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E80D" w14:textId="31B37334" w:rsidR="00F208CE" w:rsidRDefault="00513E84" w:rsidP="00513E84">
      <w:pPr>
        <w:pStyle w:val="Pagedecouverture"/>
        <w:rPr>
          <w:noProof/>
        </w:rPr>
      </w:pPr>
      <w:bookmarkStart w:id="0" w:name="LW_BM_COVERPAGE"/>
      <w:r>
        <w:rPr>
          <w:noProof/>
        </w:rPr>
        <w:pict w14:anchorId="19EFC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90D8670-D49D-46B8-8F88-AE717ADD9544" style="width:455.25pt;height:396.75pt">
            <v:imagedata r:id="rId11" o:title=""/>
          </v:shape>
        </w:pict>
      </w:r>
    </w:p>
    <w:bookmarkEnd w:id="0"/>
    <w:p w14:paraId="04EB3D1C" w14:textId="576A36D0" w:rsidR="00F208CE" w:rsidRDefault="00F208CE">
      <w:pPr>
        <w:pStyle w:val="Pagedecouverture"/>
        <w:rPr>
          <w:noProof/>
        </w:rPr>
        <w:sectPr w:rsidR="00F208CE" w:rsidSect="00513E8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DE9C509" w14:textId="29D19D35" w:rsidR="00F208CE" w:rsidRDefault="00513E84">
      <w:pPr>
        <w:pStyle w:val="Heading1"/>
        <w:tabs>
          <w:tab w:val="clear" w:pos="850"/>
        </w:tabs>
        <w:spacing w:before="120"/>
        <w:ind w:left="0" w:firstLine="0"/>
        <w:jc w:val="center"/>
        <w:rPr>
          <w:noProof/>
        </w:rPr>
      </w:pPr>
      <w:bookmarkStart w:id="1" w:name="_GoBack"/>
      <w:bookmarkEnd w:id="1"/>
      <w:r>
        <w:rPr>
          <w:noProof/>
        </w:rPr>
        <w:lastRenderedPageBreak/>
        <w:t>ANEXO</w:t>
      </w:r>
    </w:p>
    <w:p w14:paraId="6988C27C" w14:textId="77777777" w:rsidR="00F208CE" w:rsidRDefault="00F208CE">
      <w:pPr>
        <w:pStyle w:val="Text1"/>
        <w:rPr>
          <w:noProof/>
        </w:rPr>
      </w:pPr>
    </w:p>
    <w:p w14:paraId="3821781D" w14:textId="72C36AEC" w:rsidR="00F208CE" w:rsidRDefault="00513E84">
      <w:pPr>
        <w:pStyle w:val="Heading1"/>
        <w:tabs>
          <w:tab w:val="clear" w:pos="850"/>
        </w:tabs>
        <w:spacing w:before="120"/>
        <w:ind w:left="0" w:firstLine="0"/>
        <w:rPr>
          <w:b w:val="0"/>
          <w:noProof/>
        </w:rPr>
      </w:pPr>
      <w:r>
        <w:rPr>
          <w:noProof/>
        </w:rPr>
        <w:t>SECCIÓN 1: REFORMAS E INVERSIONES EN EL MARCO DEL PLAN DE RECUPERACIÓN Y RESILIENCIA</w:t>
      </w:r>
    </w:p>
    <w:p w14:paraId="4D43DAF2" w14:textId="4F72D440" w:rsidR="00F208CE" w:rsidRDefault="00513E84">
      <w:pPr>
        <w:pStyle w:val="Heading1"/>
        <w:numPr>
          <w:ilvl w:val="0"/>
          <w:numId w:val="35"/>
        </w:numPr>
        <w:rPr>
          <w:noProof/>
        </w:rPr>
      </w:pPr>
      <w:r>
        <w:rPr>
          <w:noProof/>
        </w:rPr>
        <w:t>Descripción de las reformas e inversiones</w:t>
      </w:r>
    </w:p>
    <w:p w14:paraId="3F3341F7" w14:textId="6E613914" w:rsidR="00F208CE" w:rsidRDefault="00513E84">
      <w:pPr>
        <w:pStyle w:val="ManualHeading1"/>
        <w:spacing w:before="120"/>
        <w:ind w:left="0" w:firstLine="0"/>
        <w:rPr>
          <w:noProof/>
        </w:rPr>
      </w:pPr>
      <w:r>
        <w:rPr>
          <w:noProof/>
        </w:rPr>
        <w:t xml:space="preserve">A. COMPONENTE 1.1: </w:t>
      </w:r>
      <w:r>
        <w:rPr>
          <w:noProof/>
        </w:rPr>
        <w:t>Renovación</w:t>
      </w:r>
    </w:p>
    <w:p w14:paraId="2C768895" w14:textId="77777777" w:rsidR="00F208CE" w:rsidRDefault="00513E84">
      <w:pPr>
        <w:pStyle w:val="Text1"/>
        <w:ind w:left="0"/>
        <w:rPr>
          <w:noProof/>
        </w:rPr>
      </w:pPr>
      <w:r>
        <w:rPr>
          <w:noProof/>
        </w:rPr>
        <w:t xml:space="preserve">Este componente del plan belga de recuperación y resiliencia se centra en la renovación de edificios privados y públicos. El principal objetivo del componente es renovar el parque inmobiliario existente y hacerlo más eficiente desde el punto de </w:t>
      </w:r>
      <w:r>
        <w:rPr>
          <w:noProof/>
        </w:rPr>
        <w:t xml:space="preserve">vista energético y de los recursos. Estos incluyen, en particular, los edificios públicos, las infraestructuras sociales y las viviendas, y, de manera más general, los edificios de menor rendimiento en términos de eficiencia energética. Por lo tanto, este </w:t>
      </w:r>
      <w:r>
        <w:rPr>
          <w:noProof/>
        </w:rPr>
        <w:t xml:space="preserve">componente contribuye a reducir las emisiones de gases de efecto invernadero, aumentar las oportunidades de empleo y el crecimiento en la construcción sostenible, así como a la resiliencia social mediante la reducción de la factura energética. </w:t>
      </w:r>
    </w:p>
    <w:p w14:paraId="5A628C87" w14:textId="77777777" w:rsidR="00F208CE" w:rsidRDefault="00513E84">
      <w:pPr>
        <w:pStyle w:val="Text1"/>
        <w:ind w:left="0"/>
        <w:rPr>
          <w:noProof/>
        </w:rPr>
      </w:pPr>
      <w:r>
        <w:rPr>
          <w:noProof/>
        </w:rPr>
        <w:t>El componen</w:t>
      </w:r>
      <w:r>
        <w:rPr>
          <w:noProof/>
        </w:rPr>
        <w:t xml:space="preserve">te contribuye a abordar la recomendación específica por país n.º 2019.3, en la que se pide a Bélgica que centre la política económica relacionada con la inversión, </w:t>
      </w:r>
      <w:r>
        <w:rPr>
          <w:i/>
          <w:noProof/>
        </w:rPr>
        <w:t>entre otras cosas</w:t>
      </w:r>
      <w:r>
        <w:rPr>
          <w:noProof/>
        </w:rPr>
        <w:t>, en la transición energética y con bajas emisiones de carbono.</w:t>
      </w:r>
    </w:p>
    <w:p w14:paraId="11B5ED10" w14:textId="77777777" w:rsidR="00F208CE" w:rsidRDefault="00513E84">
      <w:pPr>
        <w:pStyle w:val="P68B1DB1-Normal1"/>
        <w:spacing w:before="120" w:after="120" w:line="240" w:lineRule="auto"/>
        <w:jc w:val="both"/>
        <w:rPr>
          <w:rFonts w:cs="Times New Roman"/>
          <w:noProof/>
        </w:rPr>
      </w:pPr>
      <w:r>
        <w:rPr>
          <w:noProof/>
        </w:rPr>
        <w:t>Se espera q</w:t>
      </w:r>
      <w:r>
        <w:rPr>
          <w:noProof/>
        </w:rPr>
        <w:t>ue ninguna medida de este componente perjudique significativamente a los objetivos medioambientales en el sentido del artículo 17 del Reglamento (UE) 2020/852, teniendo en cuenta la descripción de las medidas y las medidas atenuantes establecidas en el pla</w:t>
      </w:r>
      <w:r>
        <w:rPr>
          <w:noProof/>
        </w:rPr>
        <w:t>n de recuperación y resiliencia de conformidad con las orientaciones técnicas de DNSH (2021/C58/01).</w:t>
      </w:r>
    </w:p>
    <w:p w14:paraId="0B54465F" w14:textId="77777777" w:rsidR="00F208CE" w:rsidRDefault="00513E84">
      <w:pPr>
        <w:spacing w:before="120" w:after="120"/>
        <w:rPr>
          <w:rFonts w:ascii="Times New Roman" w:hAnsi="Times New Roman" w:cs="Times New Roman"/>
          <w:b/>
          <w:noProof/>
          <w:sz w:val="24"/>
          <w:u w:val="single"/>
        </w:rPr>
      </w:pPr>
      <w:r>
        <w:rPr>
          <w:rFonts w:ascii="Times New Roman" w:hAnsi="Times New Roman"/>
          <w:b/>
          <w:noProof/>
          <w:sz w:val="24"/>
          <w:u w:val="single"/>
        </w:rPr>
        <w:t xml:space="preserve">A.1. </w:t>
      </w:r>
      <w:r>
        <w:rPr>
          <w:noProof/>
        </w:rPr>
        <w:t xml:space="preserve"> </w:t>
      </w:r>
      <w:r>
        <w:rPr>
          <w:rFonts w:ascii="Times New Roman" w:hAnsi="Times New Roman"/>
          <w:b/>
          <w:noProof/>
          <w:sz w:val="24"/>
          <w:u w:val="single"/>
        </w:rPr>
        <w:t>Descripción de las reformas e inversiones para la ayuda financiera no reembolsable</w:t>
      </w:r>
    </w:p>
    <w:p w14:paraId="3B1C6FE5" w14:textId="77777777" w:rsidR="00F208CE" w:rsidRDefault="00513E84">
      <w:pPr>
        <w:pStyle w:val="P68B1DB1-Text12"/>
        <w:tabs>
          <w:tab w:val="left" w:pos="6525"/>
        </w:tabs>
        <w:ind w:left="0"/>
        <w:rPr>
          <w:noProof/>
        </w:rPr>
      </w:pPr>
      <w:r>
        <w:rPr>
          <w:noProof/>
        </w:rPr>
        <w:t>Reforma R-1.01: «Programa mejorado de subvenciones</w:t>
      </w:r>
      <w:r>
        <w:rPr>
          <w:noProof/>
        </w:rPr>
        <w:t xml:space="preserve"> a la energía» de la Región Flamenca</w:t>
      </w:r>
    </w:p>
    <w:p w14:paraId="4CFD85AC" w14:textId="33E91D47" w:rsidR="00F208CE" w:rsidRDefault="00513E84">
      <w:pPr>
        <w:pStyle w:val="P68B1DB1-Text13"/>
        <w:tabs>
          <w:tab w:val="left" w:pos="6525"/>
        </w:tabs>
        <w:ind w:left="0"/>
        <w:rPr>
          <w:noProof/>
        </w:rPr>
      </w:pPr>
      <w:r>
        <w:rPr>
          <w:noProof/>
        </w:rPr>
        <w:t>La medida se compone de tres subreformas y tres subinversiones cuyo objetivo general es proporcionar incentivos de renovación más eficientes y acelerar las inversiones privadas en eficiencia energética en Flandes. La pr</w:t>
      </w:r>
      <w:r>
        <w:rPr>
          <w:noProof/>
        </w:rPr>
        <w:t>imera subreforma consistirá en i) la creación de una ventanilla única, un único mecanismo regional que permita la concesión de subvenciones para la eficiencia energética residencial y privada y las renovaciones de energías renovables aplicadas por contrati</w:t>
      </w:r>
      <w:r>
        <w:rPr>
          <w:noProof/>
        </w:rPr>
        <w:t>stas de edificios a partir de julio de 2022.  La subreforma ii) contendrá la revisión del sistema de concesión de etiqueta energética para apoyar las renovaciones eficientes desde el punto de vista energético. La subreforma iii) contendrá la revisión del r</w:t>
      </w:r>
      <w:r>
        <w:rPr>
          <w:noProof/>
        </w:rPr>
        <w:t>égimen de apoyo a la renovación para las baterías domésticas y los dispositivos de control inteligentes para bombas de calor, calderas eléctricas y calefacción de almacenamiento eléctrico. Las tres subreformas entrarán en vigor a más tardar el 1 de abril d</w:t>
      </w:r>
      <w:r>
        <w:rPr>
          <w:noProof/>
        </w:rPr>
        <w:t>e 2022. La reforma irá acompañada de tres subinversiones como parte de la inversión 1A: I) subvenciones para la eficiencia energética y las energías renovables, así como subvenciones por grupos destinatarios para viviendas privadas que acompañan a la subre</w:t>
      </w:r>
      <w:r>
        <w:rPr>
          <w:noProof/>
        </w:rPr>
        <w:t xml:space="preserve">forma (i); II) apoyo a través del sistema de concesión de etiqueta energética para las renovaciones eficientes desde el punto de vista energético de viviendas privadas que acompaña a la subreforma; III) subvenciones para baterías domésticas para viviendas </w:t>
      </w:r>
      <w:r>
        <w:rPr>
          <w:noProof/>
        </w:rPr>
        <w:t>privadas que acompañan a la subreforma iii).</w:t>
      </w:r>
    </w:p>
    <w:p w14:paraId="34FDFD63" w14:textId="77777777" w:rsidR="00F208CE" w:rsidRDefault="00513E84">
      <w:pPr>
        <w:pStyle w:val="P68B1DB1-Text12"/>
        <w:ind w:left="0"/>
        <w:rPr>
          <w:noProof/>
        </w:rPr>
      </w:pPr>
      <w:r>
        <w:rPr>
          <w:noProof/>
        </w:rPr>
        <w:t>Reforma R-1.02: «Programa mejorado de subvenciones a la energía» de la Región de Bruselas-Capital</w:t>
      </w:r>
    </w:p>
    <w:p w14:paraId="37CC36FA" w14:textId="77777777" w:rsidR="00F208CE" w:rsidRDefault="00513E84">
      <w:pPr>
        <w:pStyle w:val="P68B1DB1-Bodytext214"/>
        <w:shd w:val="clear" w:color="auto" w:fill="auto"/>
        <w:spacing w:before="120" w:after="120" w:line="240" w:lineRule="auto"/>
        <w:ind w:firstLine="0"/>
        <w:rPr>
          <w:noProof/>
        </w:rPr>
      </w:pPr>
      <w:r>
        <w:rPr>
          <w:noProof/>
        </w:rPr>
        <w:t>Esta reforma consiste en reformar y fusionar las primas energéticas y las primas de renovación de viviendas en un</w:t>
      </w:r>
      <w:r>
        <w:rPr>
          <w:noProof/>
        </w:rPr>
        <w:t xml:space="preserve"> único mecanismo regional para las personas a partir de 2022. Gracias al sistema unificado, los ciudadanos tendrán una visión más clara del importe al que tienen derecho para sus obras de renovación y verán una simplificación de los procedimientos administ</w:t>
      </w:r>
      <w:r>
        <w:rPr>
          <w:noProof/>
        </w:rPr>
        <w:t>rativos para obtener apoyo financiero a través de primas regionales. Solo un portal web regional informará a los solicitantes sobre las primas disponibles y solo habrá un único procedimiento digitalizado para los ciudadanos. Una inversión complementaria co</w:t>
      </w:r>
      <w:r>
        <w:rPr>
          <w:noProof/>
        </w:rPr>
        <w:t xml:space="preserve">mo parte de la inversión 1A apoya las renovaciones de eficiencia energética. </w:t>
      </w:r>
    </w:p>
    <w:p w14:paraId="4EAA5BC9" w14:textId="77777777" w:rsidR="00F208CE" w:rsidRDefault="00513E84">
      <w:pPr>
        <w:pStyle w:val="P68B1DB1-Normal5"/>
        <w:rPr>
          <w:rFonts w:eastAsia="Arial" w:cs="Arial"/>
          <w:noProof/>
        </w:rPr>
      </w:pPr>
      <w:r>
        <w:rPr>
          <w:noProof/>
        </w:rPr>
        <w:br w:type="page"/>
      </w:r>
    </w:p>
    <w:p w14:paraId="7296E670" w14:textId="3065DBB4" w:rsidR="00F208CE" w:rsidRDefault="00513E84">
      <w:pPr>
        <w:pStyle w:val="P68B1DB1-Bodytext214"/>
        <w:shd w:val="clear" w:color="auto" w:fill="auto"/>
        <w:spacing w:before="120" w:after="120" w:line="240" w:lineRule="auto"/>
        <w:ind w:firstLine="0"/>
        <w:rPr>
          <w:rFonts w:cs="Times New Roman"/>
          <w:noProof/>
        </w:rPr>
      </w:pPr>
      <w:r>
        <w:rPr>
          <w:noProof/>
        </w:rPr>
        <w:t>El Reglamento por el que se reformarán los regímenes de subvenciones energéticas para las renovaciones residenciales y privadas en la Región de Bruselas-Capital entrará en vigo</w:t>
      </w:r>
      <w:r>
        <w:rPr>
          <w:noProof/>
        </w:rPr>
        <w:t>r a más tardar el 31 de marzo de 2022.</w:t>
      </w:r>
    </w:p>
    <w:p w14:paraId="22133ADE" w14:textId="77777777" w:rsidR="00F208CE" w:rsidRDefault="00513E84">
      <w:pPr>
        <w:pStyle w:val="P68B1DB1-Text12"/>
        <w:ind w:left="0"/>
        <w:rPr>
          <w:noProof/>
        </w:rPr>
      </w:pPr>
      <w:r>
        <w:rPr>
          <w:noProof/>
        </w:rPr>
        <w:t>Reforma R-1.03: «Sistema mejorado de subvenciones a la energía» de la Comunidad germanófona</w:t>
      </w:r>
    </w:p>
    <w:p w14:paraId="56C62AF1" w14:textId="28CDF1BE" w:rsidR="00F208CE" w:rsidRDefault="00513E84">
      <w:pPr>
        <w:pStyle w:val="Text1"/>
        <w:ind w:left="0"/>
        <w:rPr>
          <w:noProof/>
          <w:color w:val="000000" w:themeColor="text1"/>
        </w:rPr>
      </w:pPr>
      <w:r>
        <w:rPr>
          <w:noProof/>
          <w:color w:val="000000" w:themeColor="text1"/>
        </w:rPr>
        <w:t>La medida introducirá un nuevo régimen de primas energéticas en la Comunidad germanófona a partir de julio de 2021.</w:t>
      </w:r>
      <w:r>
        <w:rPr>
          <w:noProof/>
        </w:rPr>
        <w:t xml:space="preserve"> El objeti</w:t>
      </w:r>
      <w:r>
        <w:rPr>
          <w:noProof/>
        </w:rPr>
        <w:t xml:space="preserve">vo del </w:t>
      </w:r>
      <w:r>
        <w:rPr>
          <w:noProof/>
          <w:color w:val="000000" w:themeColor="text1"/>
        </w:rPr>
        <w:t>proyecto de bonificación es, en particular, crear incentivos para la aplicación de medidas de ahorro energético y la reducción de las emisiones de dióxido de carbono en los edificios residenciales existentes en la comunidad germanófona. La reforma t</w:t>
      </w:r>
      <w:r>
        <w:rPr>
          <w:noProof/>
          <w:color w:val="000000" w:themeColor="text1"/>
        </w:rPr>
        <w:t>iene por objeto distinguir entre obras pequeñas, que permiten el acceso a primas de manera simplificada, y obras importantes,</w:t>
      </w:r>
      <w:r>
        <w:rPr>
          <w:noProof/>
        </w:rPr>
        <w:t xml:space="preserve">lo que requerirá procedimientos administrativos más detallados. </w:t>
      </w:r>
      <w:r>
        <w:rPr>
          <w:noProof/>
          <w:color w:val="000000" w:themeColor="text1"/>
        </w:rPr>
        <w:t>El Reglamento por el que se modifican los regímenes de subvenciones</w:t>
      </w:r>
      <w:r>
        <w:rPr>
          <w:noProof/>
          <w:color w:val="000000" w:themeColor="text1"/>
        </w:rPr>
        <w:t xml:space="preserve"> a la energía para renovaciones residenciales y privadas en la Comunidad Germanófona entrará en vigor a más tardar el 31 de marzo de 2022.</w:t>
      </w:r>
    </w:p>
    <w:p w14:paraId="07254C1D" w14:textId="77777777" w:rsidR="00F208CE" w:rsidRDefault="00513E84">
      <w:pPr>
        <w:pStyle w:val="P68B1DB1-Text12"/>
        <w:ind w:left="0"/>
        <w:rPr>
          <w:noProof/>
        </w:rPr>
      </w:pPr>
      <w:r>
        <w:rPr>
          <w:noProof/>
        </w:rPr>
        <w:t>Inversión 1A en «Renovaciones de viviendas privadas y sociales» (I-1A)</w:t>
      </w:r>
    </w:p>
    <w:p w14:paraId="3CE5A70A" w14:textId="1874F2E4" w:rsidR="00F208CE" w:rsidRDefault="00513E84">
      <w:pPr>
        <w:pStyle w:val="P68B1DB1-Text13"/>
        <w:ind w:left="0"/>
        <w:rPr>
          <w:noProof/>
        </w:rPr>
      </w:pPr>
      <w:r>
        <w:rPr>
          <w:noProof/>
        </w:rPr>
        <w:t>El objetivo de la inversión es estimular la r</w:t>
      </w:r>
      <w:r>
        <w:rPr>
          <w:noProof/>
        </w:rPr>
        <w:t xml:space="preserve">enovación eficiente desde el punto de vista energético de las viviendas privadas y sociales. La ejecución de la inversión deberá estar terminada a más tardar el 30 de junio de 2025. La inversión se compone de las siete submedidas siguientes: </w:t>
      </w:r>
    </w:p>
    <w:p w14:paraId="5145EE71" w14:textId="77777777" w:rsidR="00F208CE" w:rsidRDefault="00513E84">
      <w:pPr>
        <w:pStyle w:val="P68B1DB1-Text13"/>
        <w:numPr>
          <w:ilvl w:val="0"/>
          <w:numId w:val="37"/>
        </w:numPr>
        <w:contextualSpacing/>
        <w:rPr>
          <w:noProof/>
        </w:rPr>
      </w:pPr>
      <w:r>
        <w:rPr>
          <w:noProof/>
        </w:rPr>
        <w:t xml:space="preserve">Subinversión </w:t>
      </w:r>
      <w:r>
        <w:rPr>
          <w:noProof/>
        </w:rPr>
        <w:t>i) vinculada a la reforma R-1.01 i): subvenciones para la eficiencia energética y las energías renovables, así como subvenciones por grupos destinatarios para viviendas privadas</w:t>
      </w:r>
    </w:p>
    <w:p w14:paraId="02D94DA8" w14:textId="46632153" w:rsidR="00F208CE" w:rsidRDefault="00513E84">
      <w:pPr>
        <w:pStyle w:val="P68B1DB1-Text13"/>
        <w:numPr>
          <w:ilvl w:val="0"/>
          <w:numId w:val="37"/>
        </w:numPr>
        <w:contextualSpacing/>
        <w:rPr>
          <w:noProof/>
        </w:rPr>
      </w:pPr>
      <w:r>
        <w:rPr>
          <w:noProof/>
        </w:rPr>
        <w:t xml:space="preserve">Subinversión ii) vinculada a la reforma R-101 ii): Apoyo a través del sistema </w:t>
      </w:r>
      <w:r>
        <w:rPr>
          <w:noProof/>
        </w:rPr>
        <w:t>de etiqueta energética para la renovación eficiente desde el punto de vista energético de viviendas privadas</w:t>
      </w:r>
    </w:p>
    <w:p w14:paraId="6584C905" w14:textId="640255E6" w:rsidR="00F208CE" w:rsidRDefault="00513E84">
      <w:pPr>
        <w:pStyle w:val="P68B1DB1-Text13"/>
        <w:numPr>
          <w:ilvl w:val="0"/>
          <w:numId w:val="37"/>
        </w:numPr>
        <w:contextualSpacing/>
        <w:rPr>
          <w:noProof/>
        </w:rPr>
      </w:pPr>
      <w:r>
        <w:rPr>
          <w:noProof/>
        </w:rPr>
        <w:t>Subinversión iii) vinculada a la reforma R-101 iii): Apoyo a un régimen de ayudas a las baterías domésticas para viviendas privadas.</w:t>
      </w:r>
    </w:p>
    <w:p w14:paraId="3220BE5B" w14:textId="77777777" w:rsidR="00F208CE" w:rsidRDefault="00513E84">
      <w:pPr>
        <w:pStyle w:val="P68B1DB1-Text13"/>
        <w:numPr>
          <w:ilvl w:val="0"/>
          <w:numId w:val="37"/>
        </w:numPr>
        <w:contextualSpacing/>
        <w:rPr>
          <w:noProof/>
        </w:rPr>
      </w:pPr>
      <w:r>
        <w:rPr>
          <w:noProof/>
        </w:rPr>
        <w:t>Subinversión v</w:t>
      </w:r>
      <w:r>
        <w:rPr>
          <w:noProof/>
        </w:rPr>
        <w:t>inculada a la reforma R-1.02: «Programa mejorado de subvenciones a la energía» de la Región de Bruselas-Capital</w:t>
      </w:r>
    </w:p>
    <w:p w14:paraId="27B696D4" w14:textId="6AE926E0" w:rsidR="00F208CE" w:rsidRDefault="00513E84">
      <w:pPr>
        <w:pStyle w:val="P68B1DB1-Text13"/>
        <w:numPr>
          <w:ilvl w:val="0"/>
          <w:numId w:val="37"/>
        </w:numPr>
        <w:contextualSpacing/>
        <w:rPr>
          <w:noProof/>
        </w:rPr>
      </w:pPr>
      <w:r>
        <w:rPr>
          <w:noProof/>
        </w:rPr>
        <w:t>Inversión I-1.01: «Renovación de viviendas sociales» de la Región Flamenca</w:t>
      </w:r>
    </w:p>
    <w:p w14:paraId="7E13792F" w14:textId="758020C5" w:rsidR="00F208CE" w:rsidRDefault="00513E84">
      <w:pPr>
        <w:pStyle w:val="P68B1DB1-Text13"/>
        <w:numPr>
          <w:ilvl w:val="0"/>
          <w:numId w:val="37"/>
        </w:numPr>
        <w:contextualSpacing/>
        <w:rPr>
          <w:noProof/>
        </w:rPr>
      </w:pPr>
      <w:r>
        <w:rPr>
          <w:noProof/>
        </w:rPr>
        <w:t xml:space="preserve">Inversión I-1.02: «Renovación de viviendas sociales» de la Región de </w:t>
      </w:r>
      <w:r>
        <w:rPr>
          <w:noProof/>
        </w:rPr>
        <w:t>Bruselas-Capital</w:t>
      </w:r>
    </w:p>
    <w:p w14:paraId="4C1D0A3E" w14:textId="77777777" w:rsidR="00F208CE" w:rsidRDefault="00513E84">
      <w:pPr>
        <w:pStyle w:val="P68B1DB1-Text13"/>
        <w:numPr>
          <w:ilvl w:val="0"/>
          <w:numId w:val="37"/>
        </w:numPr>
        <w:contextualSpacing/>
        <w:rPr>
          <w:noProof/>
        </w:rPr>
      </w:pPr>
      <w:r>
        <w:rPr>
          <w:noProof/>
        </w:rPr>
        <w:t>Inversión I-1.03: «Renovación de viviendas sociales» de la comunidad germanófona</w:t>
      </w:r>
    </w:p>
    <w:p w14:paraId="111EC445" w14:textId="77777777" w:rsidR="00F208CE" w:rsidRDefault="00F208CE">
      <w:pPr>
        <w:pStyle w:val="Text1"/>
        <w:ind w:left="0"/>
        <w:rPr>
          <w:noProof/>
          <w:color w:val="000000" w:themeColor="text1"/>
        </w:rPr>
      </w:pPr>
    </w:p>
    <w:p w14:paraId="645C3314" w14:textId="77777777" w:rsidR="00F208CE" w:rsidRDefault="00513E84">
      <w:pPr>
        <w:pStyle w:val="P68B1DB1-Text12"/>
        <w:ind w:left="0"/>
        <w:rPr>
          <w:noProof/>
        </w:rPr>
      </w:pPr>
      <w:r>
        <w:rPr>
          <w:noProof/>
        </w:rPr>
        <w:t>Inversión I-1.01: «Renovación de viviendas sociales» de la Región Flamenca</w:t>
      </w:r>
    </w:p>
    <w:p w14:paraId="40205FF5" w14:textId="437A998B" w:rsidR="00F208CE" w:rsidRDefault="00513E84">
      <w:pPr>
        <w:pStyle w:val="P68B1DB1-Text13"/>
        <w:ind w:left="0"/>
        <w:rPr>
          <w:noProof/>
          <w:color w:val="000000"/>
        </w:rPr>
      </w:pPr>
      <w:r>
        <w:rPr>
          <w:noProof/>
        </w:rPr>
        <w:t>El objetivo de la medida es estimular y acelerar la renovación energética de las v</w:t>
      </w:r>
      <w:r>
        <w:rPr>
          <w:noProof/>
        </w:rPr>
        <w:t>iviendas sociales aumentando el apoyo del Fondo Flandes para el Clima a las empresas de viviendas sociales y al Fondo flamenco de vivienda. La renovación de viviendas sociales reducirá por término medio al menos el 30 % del consumo de energía primaria, tal</w:t>
      </w:r>
      <w:r>
        <w:rPr>
          <w:noProof/>
        </w:rPr>
        <w:t xml:space="preserve"> como se define en la Recomendación (UE) 2019/786 de la Comisión, relativa a la renovación de edificios.</w:t>
      </w:r>
    </w:p>
    <w:p w14:paraId="350DFDBD" w14:textId="77777777" w:rsidR="00F208CE" w:rsidRDefault="00513E84">
      <w:pPr>
        <w:pStyle w:val="P68B1DB1-Text12"/>
        <w:ind w:left="0"/>
        <w:rPr>
          <w:noProof/>
        </w:rPr>
      </w:pPr>
      <w:r>
        <w:rPr>
          <w:noProof/>
        </w:rPr>
        <w:t>Inversión I-1.02: «Renovación de viviendas sociales» de la Región de Bruselas-Capital</w:t>
      </w:r>
    </w:p>
    <w:p w14:paraId="74CC1D4A" w14:textId="07CD15F0" w:rsidR="00F208CE" w:rsidRDefault="00513E84">
      <w:pPr>
        <w:pStyle w:val="Text1"/>
        <w:ind w:left="0"/>
        <w:rPr>
          <w:noProof/>
        </w:rPr>
      </w:pPr>
      <w:r>
        <w:rPr>
          <w:noProof/>
          <w:color w:val="000000" w:themeColor="text1"/>
        </w:rPr>
        <w:t>Esta medida contribuye a financiar la renovación de viviendas so</w:t>
      </w:r>
      <w:r>
        <w:rPr>
          <w:noProof/>
          <w:color w:val="000000" w:themeColor="text1"/>
        </w:rPr>
        <w:t>ciales en Bruselas.</w:t>
      </w:r>
      <w:r>
        <w:rPr>
          <w:noProof/>
        </w:rPr>
        <w:t xml:space="preserve"> </w:t>
      </w:r>
      <w:r>
        <w:rPr>
          <w:noProof/>
          <w:color w:val="000000" w:themeColor="text1"/>
        </w:rPr>
        <w:t>La renovación de viviendas sociales reducirá por término medio al menos el 30 % del consumo de energía primaria, tal como se define en la Recomendación (UE) 2019/786 de la Comisión, relativa a la renovación de edificios.</w:t>
      </w:r>
    </w:p>
    <w:p w14:paraId="558C93B9" w14:textId="77777777" w:rsidR="00F208CE" w:rsidRDefault="00513E84">
      <w:pPr>
        <w:pStyle w:val="P68B1DB1-Text12"/>
        <w:ind w:left="0"/>
        <w:rPr>
          <w:noProof/>
        </w:rPr>
      </w:pPr>
      <w:r>
        <w:rPr>
          <w:noProof/>
        </w:rPr>
        <w:t>Inversión I-1.0</w:t>
      </w:r>
      <w:r>
        <w:rPr>
          <w:noProof/>
        </w:rPr>
        <w:t>3: «Renovación de viviendas sociales» de la comunidad germanófona</w:t>
      </w:r>
    </w:p>
    <w:p w14:paraId="1C8D2795" w14:textId="1CE35F49" w:rsidR="00F208CE" w:rsidRDefault="00513E84">
      <w:pPr>
        <w:pStyle w:val="Text1"/>
        <w:tabs>
          <w:tab w:val="left" w:pos="6525"/>
        </w:tabs>
        <w:ind w:left="0"/>
        <w:rPr>
          <w:noProof/>
        </w:rPr>
      </w:pPr>
      <w:r>
        <w:rPr>
          <w:noProof/>
          <w:color w:val="000000" w:themeColor="text1"/>
        </w:rPr>
        <w:t xml:space="preserve">La medida consiste en apoyar un programa plurianual de renovación en la Comunidad Germanófona. La medida apoyará </w:t>
      </w:r>
      <w:r>
        <w:rPr>
          <w:noProof/>
        </w:rPr>
        <w:t>la participación de la Comunidad germanófona en el capital de la empresa de v</w:t>
      </w:r>
      <w:r>
        <w:rPr>
          <w:noProof/>
        </w:rPr>
        <w:t>iviendas sociales «Öffentliche Wohnungsbaugesellschaft Ostbelgien», que permitirá llevar a cabo el programa de inversión en vivienda social. La renovación de viviendas sociales reducirá por término medio al menos el 30 % del consumo de energía primaria, ta</w:t>
      </w:r>
      <w:r>
        <w:rPr>
          <w:noProof/>
        </w:rPr>
        <w:t>l como se define en la Recomendación (UE) 2019/786 de la Comisión, relativa a la renovación de edificios.</w:t>
      </w:r>
    </w:p>
    <w:p w14:paraId="495910D1" w14:textId="77777777" w:rsidR="00F208CE" w:rsidRDefault="00513E84">
      <w:pPr>
        <w:pStyle w:val="P68B1DB1-Normal6"/>
        <w:rPr>
          <w:rFonts w:ascii="Times New Roman" w:hAnsi="Times New Roman" w:cs="Times New Roman"/>
          <w:noProof/>
          <w:sz w:val="24"/>
        </w:rPr>
      </w:pPr>
      <w:r>
        <w:rPr>
          <w:noProof/>
        </w:rPr>
        <w:br w:type="page"/>
      </w:r>
    </w:p>
    <w:p w14:paraId="157CAE5C" w14:textId="68F2E571" w:rsidR="00F208CE" w:rsidRDefault="00513E84">
      <w:pPr>
        <w:pStyle w:val="P68B1DB1-Text12"/>
        <w:tabs>
          <w:tab w:val="left" w:pos="6525"/>
        </w:tabs>
        <w:ind w:left="0"/>
        <w:rPr>
          <w:noProof/>
        </w:rPr>
      </w:pPr>
      <w:r>
        <w:rPr>
          <w:noProof/>
        </w:rPr>
        <w:t>Inversión 1B «Renovación de edificios públicos» (I-1b)</w:t>
      </w:r>
    </w:p>
    <w:p w14:paraId="6B39AB2D" w14:textId="463B77F1" w:rsidR="00F208CE" w:rsidRDefault="00513E84">
      <w:pPr>
        <w:pStyle w:val="P68B1DB1-Text13"/>
        <w:ind w:left="0"/>
        <w:rPr>
          <w:noProof/>
        </w:rPr>
      </w:pPr>
      <w:r>
        <w:rPr>
          <w:noProof/>
        </w:rPr>
        <w:t>El objetivo de la inversión es renovar y mejorar la eficiencia energética de los edificios pú</w:t>
      </w:r>
      <w:r>
        <w:rPr>
          <w:noProof/>
        </w:rPr>
        <w:t>blicos. La ejecución de la inversión deberá estar terminada a más tardar el 30 de junio de 2026. La inversión se compone de las ocho submedidas siguientes:</w:t>
      </w:r>
    </w:p>
    <w:p w14:paraId="1E68E08D" w14:textId="77777777" w:rsidR="00F208CE" w:rsidRDefault="00513E84">
      <w:pPr>
        <w:pStyle w:val="P68B1DB1-Text13"/>
        <w:numPr>
          <w:ilvl w:val="0"/>
          <w:numId w:val="37"/>
        </w:numPr>
        <w:contextualSpacing/>
        <w:rPr>
          <w:noProof/>
        </w:rPr>
      </w:pPr>
      <w:r>
        <w:rPr>
          <w:noProof/>
        </w:rPr>
        <w:t>Inversión I-1.04: «Renovación de edificios públicos» del Estado Federal</w:t>
      </w:r>
    </w:p>
    <w:p w14:paraId="387B36CC" w14:textId="77777777" w:rsidR="00F208CE" w:rsidRDefault="00513E84">
      <w:pPr>
        <w:pStyle w:val="P68B1DB1-Text13"/>
        <w:numPr>
          <w:ilvl w:val="0"/>
          <w:numId w:val="37"/>
        </w:numPr>
        <w:contextualSpacing/>
        <w:rPr>
          <w:noProof/>
        </w:rPr>
      </w:pPr>
      <w:r>
        <w:rPr>
          <w:noProof/>
        </w:rPr>
        <w:t>Inversión I-1.05: «Renovació</w:t>
      </w:r>
      <w:r>
        <w:rPr>
          <w:noProof/>
        </w:rPr>
        <w:t>n de edificios públicos» de la Región Flamenca</w:t>
      </w:r>
    </w:p>
    <w:p w14:paraId="04B9A95C" w14:textId="77777777" w:rsidR="00F208CE" w:rsidRDefault="00513E84">
      <w:pPr>
        <w:pStyle w:val="P68B1DB1-Text13"/>
        <w:numPr>
          <w:ilvl w:val="0"/>
          <w:numId w:val="37"/>
        </w:numPr>
        <w:contextualSpacing/>
        <w:rPr>
          <w:noProof/>
        </w:rPr>
      </w:pPr>
      <w:r>
        <w:rPr>
          <w:noProof/>
        </w:rPr>
        <w:t>Inversión I-1.07: «Renovación de edificios públicos — autoridades locales» de la Región Valona</w:t>
      </w:r>
    </w:p>
    <w:p w14:paraId="61A2E0C6" w14:textId="77777777" w:rsidR="00F208CE" w:rsidRDefault="00513E84">
      <w:pPr>
        <w:pStyle w:val="P68B1DB1-Text13"/>
        <w:numPr>
          <w:ilvl w:val="0"/>
          <w:numId w:val="37"/>
        </w:numPr>
        <w:contextualSpacing/>
        <w:rPr>
          <w:noProof/>
        </w:rPr>
      </w:pPr>
      <w:r>
        <w:rPr>
          <w:noProof/>
        </w:rPr>
        <w:t>Inversión I-1.08: «Renovación de edificios públicos» de la Región de Bruselas-Capital</w:t>
      </w:r>
    </w:p>
    <w:p w14:paraId="4095E82B" w14:textId="77777777" w:rsidR="00F208CE" w:rsidRDefault="00513E84">
      <w:pPr>
        <w:pStyle w:val="P68B1DB1-Text13"/>
        <w:numPr>
          <w:ilvl w:val="0"/>
          <w:numId w:val="37"/>
        </w:numPr>
        <w:contextualSpacing/>
        <w:rPr>
          <w:noProof/>
        </w:rPr>
      </w:pPr>
      <w:r>
        <w:rPr>
          <w:noProof/>
        </w:rPr>
        <w:t>Inversión I-1.09: «Renovació</w:t>
      </w:r>
      <w:r>
        <w:rPr>
          <w:noProof/>
        </w:rPr>
        <w:t>n de edificios públicos — escuelas» de la Comunidad Francesa</w:t>
      </w:r>
    </w:p>
    <w:p w14:paraId="51F88419" w14:textId="77777777" w:rsidR="00F208CE" w:rsidRDefault="00513E84">
      <w:pPr>
        <w:pStyle w:val="P68B1DB1-Text13"/>
        <w:numPr>
          <w:ilvl w:val="0"/>
          <w:numId w:val="37"/>
        </w:numPr>
        <w:contextualSpacing/>
        <w:rPr>
          <w:noProof/>
        </w:rPr>
      </w:pPr>
      <w:r>
        <w:rPr>
          <w:noProof/>
        </w:rPr>
        <w:t>Inversión I-1.10: «Renovación de edificios públicos — deporte — IPPJ» de la Comunidad Francesa</w:t>
      </w:r>
    </w:p>
    <w:p w14:paraId="45F0A20D" w14:textId="77777777" w:rsidR="00F208CE" w:rsidRDefault="00513E84">
      <w:pPr>
        <w:pStyle w:val="P68B1DB1-Text13"/>
        <w:numPr>
          <w:ilvl w:val="0"/>
          <w:numId w:val="37"/>
        </w:numPr>
        <w:contextualSpacing/>
        <w:rPr>
          <w:noProof/>
        </w:rPr>
      </w:pPr>
      <w:r>
        <w:rPr>
          <w:noProof/>
        </w:rPr>
        <w:t>Inversión I-1.11: «Renovación de edificios públicos — Universidades» de la Comunidad Francesa</w:t>
      </w:r>
    </w:p>
    <w:p w14:paraId="3B85A6F0" w14:textId="77777777" w:rsidR="00F208CE" w:rsidRDefault="00513E84">
      <w:pPr>
        <w:pStyle w:val="P68B1DB1-Text13"/>
        <w:numPr>
          <w:ilvl w:val="0"/>
          <w:numId w:val="37"/>
        </w:numPr>
        <w:contextualSpacing/>
        <w:rPr>
          <w:noProof/>
        </w:rPr>
      </w:pPr>
      <w:r>
        <w:rPr>
          <w:noProof/>
        </w:rPr>
        <w:t>Invers</w:t>
      </w:r>
      <w:r>
        <w:rPr>
          <w:noProof/>
        </w:rPr>
        <w:t>ión I-1.12: «Renovación de edificios públicos — cultura» de la Comunidad Francesa</w:t>
      </w:r>
    </w:p>
    <w:p w14:paraId="11621357" w14:textId="77777777" w:rsidR="00F208CE" w:rsidRDefault="00F208CE">
      <w:pPr>
        <w:pStyle w:val="Text1"/>
        <w:ind w:left="0"/>
        <w:rPr>
          <w:noProof/>
          <w:color w:val="000000" w:themeColor="text1"/>
        </w:rPr>
      </w:pPr>
    </w:p>
    <w:p w14:paraId="7A8CB563" w14:textId="77777777" w:rsidR="00F208CE" w:rsidRDefault="00513E84">
      <w:pPr>
        <w:pStyle w:val="P68B1DB1-Text12"/>
        <w:ind w:left="0"/>
        <w:rPr>
          <w:noProof/>
        </w:rPr>
      </w:pPr>
      <w:r>
        <w:rPr>
          <w:noProof/>
        </w:rPr>
        <w:t>Inversión I-1.04: «Renovación de edificios públicos» del Estado Federal</w:t>
      </w:r>
    </w:p>
    <w:p w14:paraId="03178D6E" w14:textId="2FEFBABF" w:rsidR="00F208CE" w:rsidRDefault="00513E84">
      <w:pPr>
        <w:pStyle w:val="P68B1DB1-Text13"/>
        <w:ind w:left="0"/>
        <w:rPr>
          <w:noProof/>
        </w:rPr>
      </w:pPr>
      <w:r>
        <w:rPr>
          <w:noProof/>
        </w:rPr>
        <w:t>La medida de inversión consiste en la renovación eficiente desde el punto de vista energético del edi</w:t>
      </w:r>
      <w:r>
        <w:rPr>
          <w:noProof/>
        </w:rPr>
        <w:t>ficio Bolsa de Bruselas. Esta renovación también puede recibir el apoyo de otros fondos de la UE. Las obras de renovación eficientes desde el punto de vista energético apoyadas por el MRR e identificadas en la orden de compra reducirán por término medio al</w:t>
      </w:r>
      <w:r>
        <w:rPr>
          <w:noProof/>
        </w:rPr>
        <w:t xml:space="preserve"> menos el 30 % del consumo de energía primaria, tal como se define en la Recomendación (UE) 2019/786 de la Comisión, relativa a la renovación de edificios. La implementación de la medida estará terminada a más tardar el 30 de junio de 2024.</w:t>
      </w:r>
    </w:p>
    <w:p w14:paraId="39996F2E" w14:textId="77777777" w:rsidR="00F208CE" w:rsidRDefault="00513E84">
      <w:pPr>
        <w:pStyle w:val="P68B1DB1-Text12"/>
        <w:ind w:left="0"/>
        <w:rPr>
          <w:noProof/>
        </w:rPr>
      </w:pPr>
      <w:r>
        <w:rPr>
          <w:noProof/>
        </w:rPr>
        <w:t>Inversión I-1.0</w:t>
      </w:r>
      <w:r>
        <w:rPr>
          <w:noProof/>
        </w:rPr>
        <w:t>5: «Renovación de edificios públicos» de la Región Flamenca</w:t>
      </w:r>
    </w:p>
    <w:p w14:paraId="4E4B16B9" w14:textId="1ADBF859" w:rsidR="00F208CE" w:rsidRDefault="00513E84">
      <w:pPr>
        <w:pStyle w:val="Text1"/>
        <w:ind w:left="0"/>
        <w:rPr>
          <w:noProof/>
          <w:color w:val="000000" w:themeColor="text1"/>
        </w:rPr>
      </w:pPr>
      <w:r>
        <w:rPr>
          <w:noProof/>
          <w:color w:val="000000" w:themeColor="text1"/>
        </w:rPr>
        <w:t xml:space="preserve">La medida de inversión </w:t>
      </w:r>
      <w:r>
        <w:rPr>
          <w:noProof/>
        </w:rPr>
        <w:t>consiste en intensificar las inversiones en la renovación del parque inmobiliario para acelerar la renovación energética de los edificios públicos. La ayuda se concederá a t</w:t>
      </w:r>
      <w:r>
        <w:rPr>
          <w:noProof/>
        </w:rPr>
        <w:t xml:space="preserve">ravés de la empresa flamenca de energía (Vlaams Energiebedrijf), que actúa como central de compras y proveedor de servicios para otros servicios públicos (en particular, la administración central) en el ámbito de los servicios relacionados con la energía. </w:t>
      </w:r>
      <w:r>
        <w:rPr>
          <w:noProof/>
        </w:rPr>
        <w:t>La medida implica: Acciones de apoyo directo en forma de obras eficientes desde el punto de vista energético, y ii) acciones de apoyo indirecto como auditorías energéticas. La implementación de la medida estará terminada a más tardar el 30 de junio de 2026</w:t>
      </w:r>
      <w:r>
        <w:rPr>
          <w:noProof/>
        </w:rPr>
        <w:t>.</w:t>
      </w:r>
    </w:p>
    <w:p w14:paraId="389455C7" w14:textId="261F3832" w:rsidR="00F208CE" w:rsidRDefault="00513E84">
      <w:pPr>
        <w:pStyle w:val="P68B1DB1-Text12"/>
        <w:ind w:left="0"/>
        <w:rPr>
          <w:noProof/>
        </w:rPr>
      </w:pPr>
      <w:r>
        <w:rPr>
          <w:noProof/>
        </w:rPr>
        <w:t>Inversión I-1.07: «Renovación de edificios públicos — autoridades locales» de la Región Valona</w:t>
      </w:r>
    </w:p>
    <w:p w14:paraId="2DAB9886" w14:textId="7BD4F667" w:rsidR="00F208CE" w:rsidRDefault="00513E84">
      <w:pPr>
        <w:pStyle w:val="P68B1DB1-Text13"/>
        <w:ind w:left="0"/>
        <w:rPr>
          <w:noProof/>
        </w:rPr>
      </w:pPr>
      <w:r>
        <w:rPr>
          <w:noProof/>
        </w:rPr>
        <w:t>La medida tiene por objeto mejorar el rendimiento energético de i) los edificios públicos de las autoridades locales y ii) la infraestructura deportiva en la r</w:t>
      </w:r>
      <w:r>
        <w:rPr>
          <w:noProof/>
        </w:rPr>
        <w:t>egión valona. La ayuda se concederá a través de una convocatoria de candidaturas abierta a las autoridades locales y a las estructuras deportivas elegibles. La renovación de los edificios públicos de las autoridades locales reducirá el consumo de energía p</w:t>
      </w:r>
      <w:r>
        <w:rPr>
          <w:noProof/>
        </w:rPr>
        <w:t>rimaria por término medio en al menos un 30 %, tal como se define en la Recomendación (UE) 2019/786 de la Comisión relativa a la renovación de edificios. La implementación de la medida estará terminada a más tardar el 30 de junio de 2026.</w:t>
      </w:r>
    </w:p>
    <w:p w14:paraId="2B070F5E" w14:textId="77777777" w:rsidR="00F208CE" w:rsidRDefault="00513E84">
      <w:pPr>
        <w:pStyle w:val="P68B1DB1-Text12"/>
        <w:ind w:left="0"/>
        <w:rPr>
          <w:noProof/>
        </w:rPr>
      </w:pPr>
      <w:r>
        <w:rPr>
          <w:noProof/>
        </w:rPr>
        <w:t>Inversión I-1.08:</w:t>
      </w:r>
      <w:r>
        <w:rPr>
          <w:noProof/>
        </w:rPr>
        <w:t xml:space="preserve"> «Renovación de edificios públicos» de la Región de Bruselas-Capital</w:t>
      </w:r>
    </w:p>
    <w:p w14:paraId="48E555F3" w14:textId="12B5E8CB" w:rsidR="00F208CE" w:rsidRDefault="00513E84">
      <w:pPr>
        <w:pStyle w:val="Text1"/>
        <w:ind w:left="0"/>
        <w:rPr>
          <w:noProof/>
          <w:color w:val="000000"/>
        </w:rPr>
      </w:pPr>
      <w:r>
        <w:rPr>
          <w:noProof/>
        </w:rPr>
        <w:t xml:space="preserve">La medida de inversión </w:t>
      </w:r>
      <w:r>
        <w:rPr>
          <w:noProof/>
          <w:color w:val="000000" w:themeColor="text1"/>
        </w:rPr>
        <w:t xml:space="preserve">consta de dos partes. En primer lugar, el desarrollo de una ventanilla única (gestionada por SIBELGA, el gestor de la red de distribución de electricidad y gas en </w:t>
      </w:r>
      <w:r>
        <w:rPr>
          <w:noProof/>
          <w:color w:val="000000" w:themeColor="text1"/>
        </w:rPr>
        <w:t>la región de Bruselas, sujeta a una obligación de servicio público) para facilitar y acelerar las renovaciones energéticas en profundidad de los edificios públicos de los entes locales y regionales en Bruselas. La ordenanza eléctrica por la que se define l</w:t>
      </w:r>
      <w:r>
        <w:rPr>
          <w:noProof/>
          <w:color w:val="000000" w:themeColor="text1"/>
        </w:rPr>
        <w:t>a misión de servicio público de Sibelga, incluido el funcionamiento de la ventanilla única para las renovaciones públicas en Bruselas, entrará en vigor a más tardar el 1 de febrero de 2022. En segundo lugar, subvenciones energéticas para las obras públicas</w:t>
      </w:r>
      <w:r>
        <w:rPr>
          <w:noProof/>
          <w:color w:val="000000" w:themeColor="text1"/>
        </w:rPr>
        <w:t xml:space="preserve"> de renovación seleccionadas. La medida reducirá el consumo de energía primaria por término medio en al menos un 30 %, tal como se define en la Recomendación (UE) 2019/786 de la Comisión, relativa a la renovación de edificios. La implementación de la medid</w:t>
      </w:r>
      <w:r>
        <w:rPr>
          <w:noProof/>
          <w:color w:val="000000" w:themeColor="text1"/>
        </w:rPr>
        <w:t>a estará terminada a más tardar el 30 de junio de 2026.</w:t>
      </w:r>
    </w:p>
    <w:p w14:paraId="5274A76E" w14:textId="77777777" w:rsidR="00F208CE" w:rsidRDefault="00513E84">
      <w:pPr>
        <w:pStyle w:val="P68B1DB1-Normal6"/>
        <w:rPr>
          <w:rFonts w:ascii="Times New Roman" w:hAnsi="Times New Roman" w:cs="Times New Roman"/>
          <w:noProof/>
          <w:sz w:val="24"/>
        </w:rPr>
      </w:pPr>
      <w:r>
        <w:rPr>
          <w:noProof/>
        </w:rPr>
        <w:br w:type="page"/>
      </w:r>
    </w:p>
    <w:p w14:paraId="211F2C16" w14:textId="78E709EC" w:rsidR="00F208CE" w:rsidRDefault="00513E84">
      <w:pPr>
        <w:pStyle w:val="P68B1DB1-Text12"/>
        <w:ind w:left="0"/>
        <w:rPr>
          <w:noProof/>
        </w:rPr>
      </w:pPr>
      <w:r>
        <w:rPr>
          <w:noProof/>
        </w:rPr>
        <w:t>Inversión I-1.09: «Renovación de edificios públicos — escuelas» de la Comunidad Francesa</w:t>
      </w:r>
    </w:p>
    <w:p w14:paraId="43EB158B" w14:textId="6EB1B152" w:rsidR="00F208CE" w:rsidRDefault="00513E84">
      <w:pPr>
        <w:pStyle w:val="Text1"/>
        <w:ind w:left="0"/>
        <w:rPr>
          <w:noProof/>
          <w:color w:val="000000" w:themeColor="text1"/>
        </w:rPr>
      </w:pPr>
      <w:r>
        <w:rPr>
          <w:noProof/>
        </w:rPr>
        <w:t>La</w:t>
      </w:r>
      <w:r>
        <w:rPr>
          <w:noProof/>
          <w:color w:val="000000" w:themeColor="text1"/>
        </w:rPr>
        <w:t xml:space="preserve"> medida de inversión apoyará i) un plan de inversiones en edificios escolares propiedad de la Comunidad F</w:t>
      </w:r>
      <w:r>
        <w:rPr>
          <w:noProof/>
          <w:color w:val="000000" w:themeColor="text1"/>
        </w:rPr>
        <w:t>rancesa y ii) a través de una convocatoria de proyectos, subvenciones para la renovación de edificios escolares en redes educativas subvencionadas por la Comunidad Francesa.</w:t>
      </w:r>
      <w:r>
        <w:rPr>
          <w:noProof/>
        </w:rPr>
        <w:t xml:space="preserve"> Al menos el 85 % de la construcción de edificios nuevos alcanzará una demanda de e</w:t>
      </w:r>
      <w:r>
        <w:rPr>
          <w:noProof/>
        </w:rPr>
        <w:t xml:space="preserve">nergía primaria (PED) que sea al menos un 20 % inferior al requisito de EECN (edificio de consumo de energía casi nulo, directivas nacionales). La implementación de la medida estará terminada a más tardar el 30 de junio de 2026. </w:t>
      </w:r>
    </w:p>
    <w:p w14:paraId="2CA64F43" w14:textId="77777777" w:rsidR="00F208CE" w:rsidRDefault="00513E84">
      <w:pPr>
        <w:pStyle w:val="P68B1DB1-Text12"/>
        <w:ind w:left="0"/>
        <w:rPr>
          <w:noProof/>
        </w:rPr>
      </w:pPr>
      <w:r>
        <w:rPr>
          <w:noProof/>
        </w:rPr>
        <w:t>Inversión I-1.10: «Renovac</w:t>
      </w:r>
      <w:r>
        <w:rPr>
          <w:noProof/>
        </w:rPr>
        <w:t>ión de edificios públicos — deporte — IPPJ» de la Comunidad Francesa</w:t>
      </w:r>
    </w:p>
    <w:p w14:paraId="033B880C" w14:textId="1BE4F21A" w:rsidR="00F208CE" w:rsidRDefault="00513E84">
      <w:pPr>
        <w:pStyle w:val="Text1"/>
        <w:ind w:left="0"/>
        <w:rPr>
          <w:noProof/>
          <w:color w:val="000000" w:themeColor="text1"/>
        </w:rPr>
      </w:pPr>
      <w:r>
        <w:rPr>
          <w:noProof/>
        </w:rPr>
        <w:t>Esta medida de</w:t>
      </w:r>
      <w:r>
        <w:rPr>
          <w:noProof/>
          <w:color w:val="000000" w:themeColor="text1"/>
        </w:rPr>
        <w:t xml:space="preserve"> inversión apoya i) la renovación de infraestructuras deportivas y ii) la renovación de instalaciones dedicadas a la juventud (Institutions Publiques de Protection de la Jeu</w:t>
      </w:r>
      <w:r>
        <w:rPr>
          <w:noProof/>
          <w:color w:val="000000" w:themeColor="text1"/>
        </w:rPr>
        <w:t>nesse — IPPJ). La construcción de edificios nuevos alcanzará una demanda de energía primaria (PED) que sea al menos un 20 % inferior al requisito de EECN (edificio de consumo de energía casi nulo, directivas nacionales). La renovación de edificios existent</w:t>
      </w:r>
      <w:r>
        <w:rPr>
          <w:noProof/>
          <w:color w:val="000000" w:themeColor="text1"/>
        </w:rPr>
        <w:t>es reducirá por término medio al menos el 30 % del consumo de energía primaria, tal como se define en la Recomendación (UE) 2019/786 de la Comisión, relativa a la renovación de edificios. La implementación de la medida estará terminada a más tardar el 30 d</w:t>
      </w:r>
      <w:r>
        <w:rPr>
          <w:noProof/>
          <w:color w:val="000000" w:themeColor="text1"/>
        </w:rPr>
        <w:t>e junio de 2026.</w:t>
      </w:r>
    </w:p>
    <w:p w14:paraId="1DDEEB82" w14:textId="77777777" w:rsidR="00F208CE" w:rsidRDefault="00513E84">
      <w:pPr>
        <w:pStyle w:val="P68B1DB1-Text12"/>
        <w:ind w:left="0"/>
        <w:rPr>
          <w:noProof/>
        </w:rPr>
      </w:pPr>
      <w:r>
        <w:rPr>
          <w:noProof/>
        </w:rPr>
        <w:t>Inversión I-1.11: «Renovación de edificios públicos — Universidades» de la Comunidad Francesa</w:t>
      </w:r>
    </w:p>
    <w:p w14:paraId="0BFDA815" w14:textId="718B3CF4" w:rsidR="00F208CE" w:rsidRDefault="00513E84">
      <w:pPr>
        <w:pStyle w:val="P68B1DB1-Text13"/>
        <w:ind w:left="0"/>
        <w:rPr>
          <w:noProof/>
        </w:rPr>
      </w:pPr>
      <w:r>
        <w:rPr>
          <w:noProof/>
        </w:rPr>
        <w:t>La medida de inversión concede ayudas a través de una convocatoria de proyectos para la renovación eficiente desde el punto de vista energético d</w:t>
      </w:r>
      <w:r>
        <w:rPr>
          <w:noProof/>
        </w:rPr>
        <w:t>e edificios de universidades subvencionados por la Comunidad Francesa. Al menos la mitad de las obras de renovación, medidas en m², reducirán por término medio al menos el 30 % del consumo de energía primaria, tal como se define en la Recomendación (UE) 20</w:t>
      </w:r>
      <w:r>
        <w:rPr>
          <w:noProof/>
        </w:rPr>
        <w:t>19/786 de la Comisión, relativa a la renovación de edificios. La implementación de la medida estará terminada a más tardar el 30 de junio de 2026.</w:t>
      </w:r>
    </w:p>
    <w:p w14:paraId="1D25ED8C" w14:textId="77777777" w:rsidR="00F208CE" w:rsidRDefault="00513E84">
      <w:pPr>
        <w:pStyle w:val="P68B1DB1-Text12"/>
        <w:ind w:left="0"/>
        <w:rPr>
          <w:noProof/>
        </w:rPr>
      </w:pPr>
      <w:r>
        <w:rPr>
          <w:noProof/>
        </w:rPr>
        <w:t>Inversión I-1.12: «Renovación de edificios públicos — cultura» de la Comunidad Francesa</w:t>
      </w:r>
    </w:p>
    <w:p w14:paraId="59B6329F" w14:textId="77777777" w:rsidR="00F208CE" w:rsidRDefault="00513E84">
      <w:pPr>
        <w:pStyle w:val="P68B1DB1-Text13"/>
        <w:ind w:left="0"/>
        <w:rPr>
          <w:noProof/>
        </w:rPr>
        <w:sectPr w:rsidR="00F208CE" w:rsidSect="00022287">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r>
        <w:rPr>
          <w:noProof/>
        </w:rPr>
        <w:t xml:space="preserve">La medida de inversión tiene por objeto la renovación eficiente desde el punto de vista energético de los edificios públicos culturales de la Comunidad Francesa. La medida consta de dos partes: I) renovación energética </w:t>
      </w:r>
      <w:r>
        <w:rPr>
          <w:noProof/>
        </w:rPr>
        <w:t>de infraestructuras culturales pertenecientes a la Comunidad Francesa y ii) subvenciones para proyectos de renovación energética de infraestructuras culturales no propiedad de la Comunidad Francesa (como las infraestructuras propiedad de las autoridades lo</w:t>
      </w:r>
      <w:r>
        <w:rPr>
          <w:noProof/>
        </w:rPr>
        <w:t>cales) concedidas mediante convocatoria de proyectos. Al menos la mitad de las obras de renovación, medidas en m², reducirán el consumo de energía primaria por término medio en al menos un 30 %, tal como se define en la Recomendación (UE) 2019/786 de la Co</w:t>
      </w:r>
      <w:r>
        <w:rPr>
          <w:noProof/>
        </w:rPr>
        <w:t>misión, relativa a la renovación de edificios. La implementación de la medida estará terminada a más tardar el 30 de junio de 2026.</w:t>
      </w:r>
    </w:p>
    <w:p w14:paraId="7866918B" w14:textId="77777777" w:rsidR="00F208CE" w:rsidRDefault="00513E84">
      <w:pPr>
        <w:pStyle w:val="Text1"/>
        <w:ind w:left="0"/>
        <w:rPr>
          <w:b/>
          <w:noProof/>
          <w:u w:val="single"/>
        </w:rPr>
      </w:pPr>
      <w:r>
        <w:rPr>
          <w:b/>
          <w:noProof/>
          <w:u w:val="single"/>
        </w:rPr>
        <w:t xml:space="preserve">A.2. </w:t>
      </w:r>
      <w:r>
        <w:rPr>
          <w:noProof/>
        </w:rPr>
        <w:t xml:space="preserve"> </w:t>
      </w:r>
      <w:r>
        <w:rPr>
          <w:b/>
          <w:noProof/>
          <w:u w:val="single"/>
        </w:rPr>
        <w:t>Hitos, metas, indicadores y calendario para el seguimiento y la ejecución de la ayuda financiera no reembolsable</w:t>
      </w:r>
    </w:p>
    <w:tbl>
      <w:tblPr>
        <w:tblW w:w="16046" w:type="dxa"/>
        <w:tblInd w:w="-601" w:type="dxa"/>
        <w:tblLayout w:type="fixed"/>
        <w:tblLook w:val="04A0" w:firstRow="1" w:lastRow="0" w:firstColumn="1" w:lastColumn="0" w:noHBand="0" w:noVBand="1"/>
      </w:tblPr>
      <w:tblGrid>
        <w:gridCol w:w="714"/>
        <w:gridCol w:w="1731"/>
        <w:gridCol w:w="1128"/>
        <w:gridCol w:w="1672"/>
        <w:gridCol w:w="1231"/>
        <w:gridCol w:w="1200"/>
        <w:gridCol w:w="1000"/>
        <w:gridCol w:w="1280"/>
        <w:gridCol w:w="960"/>
        <w:gridCol w:w="720"/>
        <w:gridCol w:w="4410"/>
      </w:tblGrid>
      <w:tr w:rsidR="00F208CE" w14:paraId="4D7D04F5" w14:textId="77777777">
        <w:trPr>
          <w:trHeight w:val="939"/>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B8710D" w14:textId="6A44E1D5" w:rsidR="00F208CE" w:rsidRDefault="00513E84">
            <w:pPr>
              <w:pStyle w:val="P68B1DB1-Normal7"/>
              <w:spacing w:after="0"/>
              <w:jc w:val="center"/>
              <w:rPr>
                <w:rFonts w:eastAsia="Times New Roman" w:cs="Times New Roman"/>
                <w:noProof/>
              </w:rPr>
            </w:pPr>
            <w:r>
              <w:rPr>
                <w:noProof/>
              </w:rPr>
              <w:t>Códig</w:t>
            </w:r>
            <w:r>
              <w:rPr>
                <w:noProof/>
              </w:rPr>
              <w:t>o Nota:</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D5B526"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9339D6" w14:textId="756BE0E2" w:rsidR="00F208CE" w:rsidRDefault="00513E84">
            <w:pPr>
              <w:pStyle w:val="P68B1DB1-Normal7"/>
              <w:spacing w:after="0"/>
              <w:jc w:val="center"/>
              <w:rPr>
                <w:rFonts w:eastAsia="Times New Roman" w:cs="Times New Roman"/>
                <w:noProof/>
              </w:rPr>
            </w:pPr>
            <w:r>
              <w:rPr>
                <w:noProof/>
              </w:rPr>
              <w:t>Hito/Objetivo</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1EA814" w14:textId="77777777" w:rsidR="00F208CE" w:rsidRDefault="00513E84">
            <w:pPr>
              <w:pStyle w:val="P68B1DB1-Normal7"/>
              <w:spacing w:after="0"/>
              <w:jc w:val="center"/>
              <w:rPr>
                <w:rFonts w:eastAsia="Times New Roman" w:cs="Times New Roman"/>
                <w:noProof/>
              </w:rPr>
            </w:pPr>
            <w:r>
              <w:rPr>
                <w:noProof/>
              </w:rPr>
              <w:t>Nombre</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22B8F2"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348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F1DDFCD"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68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81F84AD"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31CC71"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65055AAA" w14:textId="77777777">
        <w:trPr>
          <w:trHeight w:val="1027"/>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0341939" w14:textId="77777777" w:rsidR="00F208CE" w:rsidRDefault="00F208CE">
            <w:pPr>
              <w:spacing w:after="0"/>
              <w:rPr>
                <w:rFonts w:ascii="Times New Roman" w:eastAsia="Times New Roman" w:hAnsi="Times New Roman" w:cs="Times New Roman"/>
                <w:b/>
                <w:noProof/>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9B880F6" w14:textId="77777777" w:rsidR="00F208CE" w:rsidRDefault="00F208CE">
            <w:pPr>
              <w:spacing w:after="0"/>
              <w:rPr>
                <w:rFonts w:ascii="Times New Roman" w:eastAsia="Times New Roman" w:hAnsi="Times New Roman" w:cs="Times New Roman"/>
                <w:b/>
                <w:noProof/>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363854BB" w14:textId="77777777" w:rsidR="00F208CE" w:rsidRDefault="00F208CE">
            <w:pPr>
              <w:spacing w:after="0"/>
              <w:rPr>
                <w:rFonts w:ascii="Times New Roman" w:eastAsia="Times New Roman" w:hAnsi="Times New Roman" w:cs="Times New Roman"/>
                <w:b/>
                <w:noProof/>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A174B0C" w14:textId="77777777" w:rsidR="00F208CE" w:rsidRDefault="00F208CE">
            <w:pPr>
              <w:spacing w:after="0"/>
              <w:rPr>
                <w:rFonts w:ascii="Times New Roman" w:eastAsia="Times New Roman" w:hAnsi="Times New Roman" w:cs="Times New Roman"/>
                <w:b/>
                <w:noProof/>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5AA6DF47" w14:textId="77777777" w:rsidR="00F208CE" w:rsidRDefault="00F208CE">
            <w:pPr>
              <w:spacing w:after="0"/>
              <w:rPr>
                <w:rFonts w:ascii="Times New Roman" w:eastAsia="Times New Roman" w:hAnsi="Times New Roman" w:cs="Times New Roman"/>
                <w:b/>
                <w:noProof/>
              </w:rPr>
            </w:pPr>
          </w:p>
        </w:tc>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ED0916A" w14:textId="77777777" w:rsidR="00F208CE" w:rsidRDefault="00513E84">
            <w:pPr>
              <w:pStyle w:val="P68B1DB1-Normal7"/>
              <w:spacing w:after="0"/>
              <w:jc w:val="center"/>
              <w:rPr>
                <w:rFonts w:eastAsia="Times New Roman" w:cs="Times New Roman"/>
                <w:noProof/>
              </w:rPr>
            </w:pPr>
            <w:r>
              <w:rPr>
                <w:noProof/>
              </w:rPr>
              <w:t>Unidad de medida</w:t>
            </w:r>
          </w:p>
        </w:tc>
        <w:tc>
          <w:tcPr>
            <w:tcW w:w="10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2677B8E" w14:textId="77777777" w:rsidR="00F208CE" w:rsidRDefault="00513E84">
            <w:pPr>
              <w:pStyle w:val="P68B1DB1-Normal7"/>
              <w:spacing w:after="0"/>
              <w:jc w:val="center"/>
              <w:rPr>
                <w:rFonts w:eastAsia="Times New Roman" w:cs="Times New Roman"/>
                <w:noProof/>
              </w:rPr>
            </w:pPr>
            <w:r>
              <w:rPr>
                <w:noProof/>
              </w:rPr>
              <w:t xml:space="preserve">Basal </w:t>
            </w:r>
          </w:p>
        </w:tc>
        <w:tc>
          <w:tcPr>
            <w:tcW w:w="12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6FBCD94" w14:textId="77777777" w:rsidR="00F208CE" w:rsidRDefault="00513E84">
            <w:pPr>
              <w:pStyle w:val="P68B1DB1-Normal7"/>
              <w:spacing w:after="0"/>
              <w:jc w:val="center"/>
              <w:rPr>
                <w:rFonts w:eastAsia="Times New Roman" w:cs="Times New Roman"/>
                <w:noProof/>
              </w:rPr>
            </w:pPr>
            <w:r>
              <w:rPr>
                <w:noProof/>
              </w:rPr>
              <w:t xml:space="preserve">Meta </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50A7C2F" w14:textId="77777777" w:rsidR="00F208CE" w:rsidRDefault="00513E84">
            <w:pPr>
              <w:pStyle w:val="P68B1DB1-Normal7"/>
              <w:spacing w:after="0"/>
              <w:jc w:val="center"/>
              <w:rPr>
                <w:rFonts w:eastAsia="Times New Roman" w:cs="Times New Roman"/>
                <w:noProof/>
              </w:rPr>
            </w:pPr>
            <w:r>
              <w:rPr>
                <w:noProof/>
              </w:rPr>
              <w:t>Trimestre</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4AF39C" w14:textId="77777777" w:rsidR="00F208CE" w:rsidRDefault="00513E84">
            <w:pPr>
              <w:pStyle w:val="P68B1DB1-Normal7"/>
              <w:spacing w:after="0"/>
              <w:jc w:val="center"/>
              <w:rPr>
                <w:rFonts w:eastAsia="Times New Roman" w:cs="Times New Roman"/>
                <w:noProof/>
              </w:rPr>
            </w:pPr>
            <w:r>
              <w:rPr>
                <w:noProof/>
              </w:rPr>
              <w:t>Año</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5C708E06" w14:textId="77777777" w:rsidR="00F208CE" w:rsidRDefault="00F208CE">
            <w:pPr>
              <w:spacing w:after="0"/>
              <w:rPr>
                <w:rFonts w:ascii="Times New Roman" w:eastAsia="Times New Roman" w:hAnsi="Times New Roman" w:cs="Times New Roman"/>
                <w:b/>
                <w:noProof/>
              </w:rPr>
            </w:pPr>
          </w:p>
        </w:tc>
      </w:tr>
      <w:tr w:rsidR="00F208CE" w14:paraId="75559E65" w14:textId="77777777">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740779" w14:textId="77777777" w:rsidR="00F208CE" w:rsidRDefault="00513E84">
            <w:pPr>
              <w:pStyle w:val="P68B1DB1-Normal8"/>
              <w:spacing w:after="0"/>
              <w:jc w:val="center"/>
              <w:rPr>
                <w:rFonts w:eastAsia="Times New Roman" w:cs="Times New Roman"/>
                <w:noProof/>
              </w:rPr>
            </w:pPr>
            <w:r>
              <w:rPr>
                <w:noProof/>
              </w:rPr>
              <w:t>1</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134F6D06" w14:textId="79A07F23" w:rsidR="00F208CE" w:rsidRDefault="00513E84">
            <w:pPr>
              <w:pStyle w:val="P68B1DB1-Normal8"/>
              <w:spacing w:after="0"/>
              <w:rPr>
                <w:rFonts w:cs="Times New Roman"/>
                <w:noProof/>
              </w:rPr>
            </w:pPr>
            <w:r>
              <w:rPr>
                <w:noProof/>
              </w:rPr>
              <w:t>Mejora del régimen de subvenciones a la energía en la región flamenca (R-1.01)</w:t>
            </w:r>
          </w:p>
        </w:tc>
        <w:tc>
          <w:tcPr>
            <w:tcW w:w="1128" w:type="dxa"/>
            <w:tcBorders>
              <w:top w:val="single" w:sz="4" w:space="0" w:color="auto"/>
              <w:left w:val="nil"/>
              <w:bottom w:val="single" w:sz="4" w:space="0" w:color="auto"/>
              <w:right w:val="single" w:sz="4" w:space="0" w:color="auto"/>
            </w:tcBorders>
            <w:shd w:val="clear" w:color="auto" w:fill="C6EFCE"/>
            <w:noWrap/>
            <w:vAlign w:val="center"/>
          </w:tcPr>
          <w:p w14:paraId="69163E44" w14:textId="2971996A" w:rsidR="00F208CE" w:rsidRDefault="00513E84">
            <w:pPr>
              <w:pStyle w:val="P68B1DB1-Normal8"/>
              <w:spacing w:after="0"/>
              <w:rPr>
                <w:rFonts w:eastAsia="Times New Roman" w:cs="Times New Roman"/>
                <w:noProof/>
              </w:rPr>
            </w:pPr>
            <w:r>
              <w:rPr>
                <w:noProof/>
              </w:rPr>
              <w:t>M</w:t>
            </w:r>
          </w:p>
        </w:tc>
        <w:tc>
          <w:tcPr>
            <w:tcW w:w="1672" w:type="dxa"/>
            <w:tcBorders>
              <w:top w:val="single" w:sz="4" w:space="0" w:color="auto"/>
              <w:left w:val="nil"/>
              <w:bottom w:val="single" w:sz="4" w:space="0" w:color="auto"/>
              <w:right w:val="single" w:sz="4" w:space="0" w:color="auto"/>
            </w:tcBorders>
            <w:shd w:val="clear" w:color="auto" w:fill="C6EFCE"/>
            <w:noWrap/>
            <w:vAlign w:val="center"/>
          </w:tcPr>
          <w:p w14:paraId="155FB4A9" w14:textId="77777777" w:rsidR="00F208CE" w:rsidRDefault="00513E84">
            <w:pPr>
              <w:pStyle w:val="P68B1DB1-Normal8"/>
              <w:spacing w:after="0"/>
              <w:rPr>
                <w:rFonts w:eastAsia="Times New Roman" w:cs="Times New Roman"/>
                <w:noProof/>
              </w:rPr>
            </w:pPr>
            <w:r>
              <w:rPr>
                <w:noProof/>
              </w:rPr>
              <w:t>Mejora de los regímenes de subvenciones a la energía en Flandes</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13A277D6" w14:textId="77777777" w:rsidR="00F208CE" w:rsidRDefault="00513E84">
            <w:pPr>
              <w:pStyle w:val="P68B1DB1-Normal8"/>
              <w:spacing w:after="0"/>
              <w:rPr>
                <w:rFonts w:eastAsia="Times New Roman" w:cs="Times New Roman"/>
                <w:noProof/>
              </w:rPr>
            </w:pPr>
            <w:r>
              <w:rPr>
                <w:noProof/>
              </w:rPr>
              <w:t>Publicación en el Diario Oficial</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5ADC084F" w14:textId="1D3A5435" w:rsidR="00F208CE" w:rsidRDefault="00513E84">
            <w:pPr>
              <w:pStyle w:val="P68B1DB1-Normal8"/>
              <w:spacing w:after="0"/>
              <w:jc w:val="center"/>
              <w:rPr>
                <w:rFonts w:eastAsia="Times New Roman" w:cs="Times New Roman"/>
                <w:noProof/>
              </w:rPr>
            </w:pPr>
            <w:r>
              <w:rPr>
                <w:noProof/>
              </w:rPr>
              <w:t>—</w:t>
            </w:r>
          </w:p>
        </w:tc>
        <w:tc>
          <w:tcPr>
            <w:tcW w:w="1000" w:type="dxa"/>
            <w:tcBorders>
              <w:top w:val="single" w:sz="4" w:space="0" w:color="auto"/>
              <w:left w:val="nil"/>
              <w:bottom w:val="single" w:sz="4" w:space="0" w:color="auto"/>
              <w:right w:val="single" w:sz="4" w:space="0" w:color="auto"/>
            </w:tcBorders>
            <w:shd w:val="clear" w:color="auto" w:fill="C6EFCE"/>
            <w:noWrap/>
            <w:vAlign w:val="center"/>
          </w:tcPr>
          <w:p w14:paraId="4637A80C" w14:textId="61BD3DB5" w:rsidR="00F208CE" w:rsidRDefault="00513E84">
            <w:pPr>
              <w:pStyle w:val="P68B1DB1-Normal8"/>
              <w:spacing w:after="0"/>
              <w:jc w:val="center"/>
              <w:rPr>
                <w:rFonts w:eastAsia="Times New Roman" w:cs="Times New Roman"/>
                <w:noProof/>
              </w:rPr>
            </w:pPr>
            <w:r>
              <w:rPr>
                <w:noProof/>
              </w:rPr>
              <w:t>—</w:t>
            </w:r>
          </w:p>
        </w:tc>
        <w:tc>
          <w:tcPr>
            <w:tcW w:w="1280" w:type="dxa"/>
            <w:tcBorders>
              <w:top w:val="single" w:sz="4" w:space="0" w:color="auto"/>
              <w:left w:val="nil"/>
              <w:bottom w:val="single" w:sz="4" w:space="0" w:color="auto"/>
              <w:right w:val="single" w:sz="4" w:space="0" w:color="auto"/>
            </w:tcBorders>
            <w:shd w:val="clear" w:color="auto" w:fill="C6EFCE"/>
            <w:noWrap/>
            <w:vAlign w:val="center"/>
          </w:tcPr>
          <w:p w14:paraId="6036BD08" w14:textId="33F53B65" w:rsidR="00F208CE" w:rsidRDefault="00513E84">
            <w:pPr>
              <w:pStyle w:val="P68B1DB1-Normal8"/>
              <w:spacing w:after="0"/>
              <w:jc w:val="center"/>
              <w:rPr>
                <w:rFonts w:eastAsia="Times New Roman" w:cs="Times New Roman"/>
                <w:noProof/>
              </w:rPr>
            </w:pPr>
            <w:r>
              <w:rPr>
                <w:noProof/>
              </w:rPr>
              <w:t>—</w:t>
            </w: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2EFED298" w14:textId="3046208C"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0E1E046" w14:textId="77777777" w:rsidR="00F208CE" w:rsidRDefault="00513E84">
            <w:pPr>
              <w:pStyle w:val="P68B1DB1-Normal8"/>
              <w:spacing w:after="0"/>
              <w:jc w:val="center"/>
              <w:rPr>
                <w:rFonts w:eastAsia="Times New Roman" w:cs="Times New Roman"/>
                <w:noProof/>
              </w:rPr>
            </w:pPr>
            <w:r>
              <w:rPr>
                <w:noProof/>
              </w:rPr>
              <w:t>2022</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6582BE" w14:textId="5DC7B6FB" w:rsidR="00F208CE" w:rsidRDefault="00513E84">
            <w:pPr>
              <w:pStyle w:val="P68B1DB1-Normal8"/>
              <w:spacing w:after="0"/>
              <w:rPr>
                <w:rFonts w:eastAsia="Times New Roman" w:cs="Times New Roman"/>
                <w:noProof/>
              </w:rPr>
            </w:pPr>
            <w:r>
              <w:rPr>
                <w:noProof/>
              </w:rPr>
              <w:t xml:space="preserve">Adopción por el </w:t>
            </w:r>
            <w:r>
              <w:rPr>
                <w:noProof/>
              </w:rPr>
              <w:t>Gobierno/Parlamento flamenco de un nuevo reglamento que ofrezca incentivos más eficientes para acelerar las inversiones privadas en eficiencia energética: I) crear una ventanilla única para las renovaciones residenciales y privadas relacionadas con la efic</w:t>
            </w:r>
            <w:r>
              <w:rPr>
                <w:noProof/>
              </w:rPr>
              <w:t>iencia energética y las energías renovables, aplicada por contratistas de edificios, en un único mecanismo regional, ii) revisar el sistema de concesión de la etiqueta energética y iii) introducir el sistema de baterías domésticas y dispositivos de control</w:t>
            </w:r>
            <w:r>
              <w:rPr>
                <w:noProof/>
              </w:rPr>
              <w:t xml:space="preserve"> inteligentes.</w:t>
            </w:r>
          </w:p>
        </w:tc>
      </w:tr>
      <w:tr w:rsidR="00F208CE" w14:paraId="0BFE5EF1" w14:textId="77777777">
        <w:trPr>
          <w:trHeight w:val="313"/>
        </w:trPr>
        <w:tc>
          <w:tcPr>
            <w:tcW w:w="714" w:type="dxa"/>
            <w:tcBorders>
              <w:top w:val="nil"/>
              <w:left w:val="single" w:sz="4" w:space="0" w:color="auto"/>
              <w:bottom w:val="single" w:sz="4" w:space="0" w:color="auto"/>
              <w:right w:val="single" w:sz="4" w:space="0" w:color="auto"/>
            </w:tcBorders>
            <w:shd w:val="clear" w:color="auto" w:fill="C6EFCE"/>
            <w:noWrap/>
            <w:vAlign w:val="center"/>
            <w:hideMark/>
          </w:tcPr>
          <w:p w14:paraId="70AA794E" w14:textId="77777777" w:rsidR="00F208CE" w:rsidRDefault="00513E84">
            <w:pPr>
              <w:pStyle w:val="P68B1DB1-Normal8"/>
              <w:spacing w:after="0"/>
              <w:jc w:val="center"/>
              <w:rPr>
                <w:rFonts w:eastAsia="Times New Roman" w:cs="Times New Roman"/>
                <w:noProof/>
              </w:rPr>
            </w:pPr>
            <w:r>
              <w:rPr>
                <w:noProof/>
              </w:rPr>
              <w:t>2</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56FCA5D6" w14:textId="61F46815" w:rsidR="00F208CE" w:rsidRDefault="00513E84">
            <w:pPr>
              <w:pStyle w:val="P68B1DB1-Normal8"/>
              <w:spacing w:after="0"/>
              <w:rPr>
                <w:rFonts w:eastAsia="Times New Roman" w:cs="Times New Roman"/>
                <w:noProof/>
              </w:rPr>
            </w:pPr>
            <w:r>
              <w:rPr>
                <w:noProof/>
              </w:rPr>
              <w:t>Mejora del régimen de subvenciones a la energía de la región de Bruselas-Capital (R-1.02)</w:t>
            </w:r>
          </w:p>
        </w:tc>
        <w:tc>
          <w:tcPr>
            <w:tcW w:w="1128" w:type="dxa"/>
            <w:tcBorders>
              <w:top w:val="nil"/>
              <w:left w:val="nil"/>
              <w:bottom w:val="single" w:sz="4" w:space="0" w:color="auto"/>
              <w:right w:val="single" w:sz="4" w:space="0" w:color="auto"/>
            </w:tcBorders>
            <w:shd w:val="clear" w:color="auto" w:fill="C6EFCE"/>
            <w:noWrap/>
            <w:vAlign w:val="center"/>
          </w:tcPr>
          <w:p w14:paraId="3572F05D" w14:textId="5A9068B7" w:rsidR="00F208CE" w:rsidRDefault="00513E84">
            <w:pPr>
              <w:pStyle w:val="P68B1DB1-Normal8"/>
              <w:spacing w:after="0"/>
              <w:rPr>
                <w:rFonts w:eastAsia="Times New Roman" w:cs="Times New Roman"/>
                <w:noProof/>
              </w:rPr>
            </w:pPr>
            <w:r>
              <w:rPr>
                <w:noProof/>
              </w:rPr>
              <w:t>M</w:t>
            </w:r>
          </w:p>
        </w:tc>
        <w:tc>
          <w:tcPr>
            <w:tcW w:w="1672" w:type="dxa"/>
            <w:tcBorders>
              <w:top w:val="nil"/>
              <w:left w:val="nil"/>
              <w:bottom w:val="single" w:sz="4" w:space="0" w:color="auto"/>
              <w:right w:val="single" w:sz="4" w:space="0" w:color="auto"/>
            </w:tcBorders>
            <w:shd w:val="clear" w:color="auto" w:fill="C6EFCE"/>
            <w:noWrap/>
            <w:vAlign w:val="center"/>
          </w:tcPr>
          <w:p w14:paraId="157BEFA9" w14:textId="77777777" w:rsidR="00F208CE" w:rsidRDefault="00513E84">
            <w:pPr>
              <w:pStyle w:val="P68B1DB1-Normal8"/>
              <w:spacing w:after="0"/>
              <w:rPr>
                <w:rFonts w:eastAsia="Times New Roman" w:cs="Times New Roman"/>
                <w:noProof/>
              </w:rPr>
            </w:pPr>
            <w:r>
              <w:rPr>
                <w:noProof/>
              </w:rPr>
              <w:t>Entrada en vigor del nuevo Reglamento sobre los regímenes de subvenciones a la energía en Bruselas</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4EA5F1FF" w14:textId="77777777" w:rsidR="00F208CE" w:rsidRDefault="00513E84">
            <w:pPr>
              <w:pStyle w:val="P68B1DB1-Normal8"/>
              <w:spacing w:after="0"/>
              <w:rPr>
                <w:rFonts w:eastAsia="Times New Roman" w:cs="Times New Roman"/>
                <w:noProof/>
              </w:rPr>
            </w:pPr>
            <w:r>
              <w:rPr>
                <w:noProof/>
              </w:rPr>
              <w:t xml:space="preserve">Disposición de la ley que indica la entrada en </w:t>
            </w:r>
            <w:r>
              <w:rPr>
                <w:noProof/>
              </w:rPr>
              <w:t>vigor del nuevo Reglamento</w:t>
            </w:r>
          </w:p>
        </w:tc>
        <w:tc>
          <w:tcPr>
            <w:tcW w:w="1200" w:type="dxa"/>
            <w:tcBorders>
              <w:top w:val="nil"/>
              <w:left w:val="nil"/>
              <w:bottom w:val="single" w:sz="4" w:space="0" w:color="auto"/>
              <w:right w:val="single" w:sz="4" w:space="0" w:color="auto"/>
            </w:tcBorders>
            <w:shd w:val="clear" w:color="auto" w:fill="C6EFCE"/>
            <w:noWrap/>
            <w:vAlign w:val="center"/>
          </w:tcPr>
          <w:p w14:paraId="4F41A80A" w14:textId="7849D806" w:rsidR="00F208CE" w:rsidRDefault="00513E84">
            <w:pPr>
              <w:pStyle w:val="P68B1DB1-Normal8"/>
              <w:spacing w:after="0"/>
              <w:jc w:val="center"/>
              <w:rPr>
                <w:rFonts w:eastAsia="Times New Roman" w:cs="Times New Roman"/>
                <w:noProof/>
              </w:rPr>
            </w:pPr>
            <w:r>
              <w:rPr>
                <w:noProof/>
              </w:rPr>
              <w:t>—</w:t>
            </w:r>
          </w:p>
        </w:tc>
        <w:tc>
          <w:tcPr>
            <w:tcW w:w="1000" w:type="dxa"/>
            <w:tcBorders>
              <w:top w:val="nil"/>
              <w:left w:val="nil"/>
              <w:bottom w:val="single" w:sz="4" w:space="0" w:color="auto"/>
              <w:right w:val="single" w:sz="4" w:space="0" w:color="auto"/>
            </w:tcBorders>
            <w:shd w:val="clear" w:color="auto" w:fill="C6EFCE"/>
            <w:noWrap/>
            <w:vAlign w:val="center"/>
          </w:tcPr>
          <w:p w14:paraId="24D870C2" w14:textId="43F15BAF" w:rsidR="00F208CE" w:rsidRDefault="00513E84">
            <w:pPr>
              <w:pStyle w:val="P68B1DB1-Normal8"/>
              <w:spacing w:after="0"/>
              <w:jc w:val="center"/>
              <w:rPr>
                <w:rFonts w:eastAsia="Times New Roman" w:cs="Times New Roman"/>
                <w:noProof/>
              </w:rPr>
            </w:pPr>
            <w:r>
              <w:rPr>
                <w:noProof/>
              </w:rPr>
              <w:t>—</w:t>
            </w:r>
          </w:p>
        </w:tc>
        <w:tc>
          <w:tcPr>
            <w:tcW w:w="1280" w:type="dxa"/>
            <w:tcBorders>
              <w:top w:val="nil"/>
              <w:left w:val="nil"/>
              <w:bottom w:val="single" w:sz="4" w:space="0" w:color="auto"/>
              <w:right w:val="single" w:sz="4" w:space="0" w:color="auto"/>
            </w:tcBorders>
            <w:shd w:val="clear" w:color="auto" w:fill="C6EFCE"/>
            <w:noWrap/>
            <w:vAlign w:val="center"/>
          </w:tcPr>
          <w:p w14:paraId="1E6A9640" w14:textId="1D572C02" w:rsidR="00F208CE" w:rsidRDefault="00513E84">
            <w:pPr>
              <w:pStyle w:val="P68B1DB1-Normal8"/>
              <w:spacing w:after="0"/>
              <w:jc w:val="center"/>
              <w:rPr>
                <w:rFonts w:eastAsia="Times New Roman" w:cs="Times New Roman"/>
                <w:noProof/>
              </w:rPr>
            </w:pPr>
            <w:r>
              <w:rPr>
                <w:noProof/>
              </w:rPr>
              <w:t>—</w:t>
            </w:r>
          </w:p>
        </w:tc>
        <w:tc>
          <w:tcPr>
            <w:tcW w:w="960" w:type="dxa"/>
            <w:tcBorders>
              <w:top w:val="nil"/>
              <w:left w:val="nil"/>
              <w:bottom w:val="single" w:sz="4" w:space="0" w:color="auto"/>
              <w:right w:val="single" w:sz="4" w:space="0" w:color="auto"/>
            </w:tcBorders>
            <w:shd w:val="clear" w:color="auto" w:fill="C6EFCE"/>
            <w:noWrap/>
            <w:vAlign w:val="center"/>
          </w:tcPr>
          <w:p w14:paraId="7A12CB92"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3E189454" w14:textId="77777777" w:rsidR="00F208CE" w:rsidRDefault="00513E84">
            <w:pPr>
              <w:pStyle w:val="P68B1DB1-Normal8"/>
              <w:spacing w:after="0"/>
              <w:jc w:val="center"/>
              <w:rPr>
                <w:rFonts w:eastAsia="Times New Roman" w:cs="Times New Roman"/>
                <w:noProof/>
              </w:rPr>
            </w:pPr>
            <w:r>
              <w:rPr>
                <w:noProof/>
              </w:rPr>
              <w:t>2022</w:t>
            </w:r>
          </w:p>
        </w:tc>
        <w:tc>
          <w:tcPr>
            <w:tcW w:w="4410" w:type="dxa"/>
            <w:tcBorders>
              <w:top w:val="nil"/>
              <w:left w:val="single" w:sz="4" w:space="0" w:color="auto"/>
              <w:bottom w:val="single" w:sz="4" w:space="0" w:color="auto"/>
              <w:right w:val="single" w:sz="4" w:space="0" w:color="auto"/>
            </w:tcBorders>
            <w:shd w:val="clear" w:color="auto" w:fill="C6EFCE"/>
            <w:noWrap/>
            <w:vAlign w:val="center"/>
          </w:tcPr>
          <w:p w14:paraId="4FFF30C2" w14:textId="46B8A542" w:rsidR="00F208CE" w:rsidRDefault="00513E84">
            <w:pPr>
              <w:pStyle w:val="P68B1DB1-Normal8"/>
              <w:spacing w:after="0"/>
              <w:rPr>
                <w:rFonts w:eastAsia="Times New Roman" w:cs="Times New Roman"/>
                <w:noProof/>
                <w:highlight w:val="cyan"/>
              </w:rPr>
            </w:pPr>
            <w:r>
              <w:rPr>
                <w:noProof/>
              </w:rPr>
              <w:t xml:space="preserve">Entrada en vigor del Reglamento para reformar los regímenes de subvenciones a la energía para renovaciones residenciales y privadas en la Región de Bruselas-Capital. </w:t>
            </w:r>
          </w:p>
        </w:tc>
      </w:tr>
      <w:tr w:rsidR="00F208CE" w14:paraId="7B24A0E6" w14:textId="77777777">
        <w:trPr>
          <w:trHeight w:val="313"/>
        </w:trPr>
        <w:tc>
          <w:tcPr>
            <w:tcW w:w="714" w:type="dxa"/>
            <w:tcBorders>
              <w:top w:val="nil"/>
              <w:left w:val="single" w:sz="4" w:space="0" w:color="auto"/>
              <w:bottom w:val="single" w:sz="4" w:space="0" w:color="auto"/>
              <w:right w:val="single" w:sz="4" w:space="0" w:color="auto"/>
            </w:tcBorders>
            <w:shd w:val="clear" w:color="auto" w:fill="C6EFCE"/>
            <w:noWrap/>
            <w:vAlign w:val="center"/>
          </w:tcPr>
          <w:p w14:paraId="388CFC92" w14:textId="77777777" w:rsidR="00F208CE" w:rsidRDefault="00513E84">
            <w:pPr>
              <w:pStyle w:val="P68B1DB1-Normal8"/>
              <w:spacing w:after="0"/>
              <w:jc w:val="center"/>
              <w:rPr>
                <w:rFonts w:cs="Times New Roman"/>
                <w:noProof/>
              </w:rPr>
            </w:pPr>
            <w:r>
              <w:rPr>
                <w:noProof/>
              </w:rPr>
              <w:t>3</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13C24FA6" w14:textId="45DCE311" w:rsidR="00F208CE" w:rsidRDefault="00513E84">
            <w:pPr>
              <w:pStyle w:val="P68B1DB1-Normal8"/>
              <w:spacing w:after="0"/>
              <w:rPr>
                <w:rFonts w:cs="Times New Roman"/>
                <w:noProof/>
              </w:rPr>
            </w:pPr>
            <w:r>
              <w:rPr>
                <w:noProof/>
              </w:rPr>
              <w:t>Mejora del régimen de subvenciones a la energía de la Comunidad Germanófona (R-1.03)</w:t>
            </w:r>
          </w:p>
        </w:tc>
        <w:tc>
          <w:tcPr>
            <w:tcW w:w="1128" w:type="dxa"/>
            <w:tcBorders>
              <w:top w:val="nil"/>
              <w:left w:val="nil"/>
              <w:bottom w:val="single" w:sz="4" w:space="0" w:color="auto"/>
              <w:right w:val="single" w:sz="4" w:space="0" w:color="auto"/>
            </w:tcBorders>
            <w:shd w:val="clear" w:color="auto" w:fill="C6EFCE"/>
            <w:noWrap/>
            <w:vAlign w:val="center"/>
          </w:tcPr>
          <w:p w14:paraId="20764848" w14:textId="41923A42" w:rsidR="00F208CE" w:rsidRDefault="00513E84">
            <w:pPr>
              <w:pStyle w:val="P68B1DB1-Normal8"/>
              <w:spacing w:after="0"/>
              <w:rPr>
                <w:rFonts w:cs="Times New Roman"/>
                <w:noProof/>
              </w:rPr>
            </w:pPr>
            <w:r>
              <w:rPr>
                <w:noProof/>
              </w:rPr>
              <w:t>M</w:t>
            </w:r>
          </w:p>
        </w:tc>
        <w:tc>
          <w:tcPr>
            <w:tcW w:w="1672" w:type="dxa"/>
            <w:tcBorders>
              <w:top w:val="nil"/>
              <w:left w:val="nil"/>
              <w:bottom w:val="single" w:sz="4" w:space="0" w:color="auto"/>
              <w:right w:val="single" w:sz="4" w:space="0" w:color="auto"/>
            </w:tcBorders>
            <w:shd w:val="clear" w:color="auto" w:fill="C6EFCE"/>
            <w:noWrap/>
            <w:vAlign w:val="center"/>
          </w:tcPr>
          <w:p w14:paraId="74BFB5BD" w14:textId="7749D19F" w:rsidR="00F208CE" w:rsidRDefault="00513E84">
            <w:pPr>
              <w:pStyle w:val="P68B1DB1-Normal8"/>
              <w:spacing w:after="0"/>
              <w:rPr>
                <w:rFonts w:cs="Times New Roman"/>
                <w:noProof/>
              </w:rPr>
            </w:pPr>
            <w:r>
              <w:rPr>
                <w:noProof/>
              </w:rPr>
              <w:t>Entrada en vigor del nuevo Reglamento relativo a los regímenes de subvenciones a la energía en la Comunidad germanófona.</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79AC0DB7" w14:textId="77777777" w:rsidR="00F208CE" w:rsidRDefault="00513E84">
            <w:pPr>
              <w:pStyle w:val="P68B1DB1-Normal8"/>
              <w:spacing w:after="0"/>
              <w:rPr>
                <w:rFonts w:cs="Times New Roman"/>
                <w:noProof/>
              </w:rPr>
            </w:pPr>
            <w:r>
              <w:rPr>
                <w:noProof/>
              </w:rPr>
              <w:t>Disposición de la ley que indica l</w:t>
            </w:r>
            <w:r>
              <w:rPr>
                <w:noProof/>
              </w:rPr>
              <w:t>a entrada en vigor del nuevo Reglamento</w:t>
            </w:r>
          </w:p>
        </w:tc>
        <w:tc>
          <w:tcPr>
            <w:tcW w:w="1200" w:type="dxa"/>
            <w:tcBorders>
              <w:top w:val="nil"/>
              <w:left w:val="nil"/>
              <w:bottom w:val="single" w:sz="4" w:space="0" w:color="auto"/>
              <w:right w:val="single" w:sz="4" w:space="0" w:color="auto"/>
            </w:tcBorders>
            <w:shd w:val="clear" w:color="auto" w:fill="C6EFCE"/>
            <w:noWrap/>
            <w:vAlign w:val="center"/>
          </w:tcPr>
          <w:p w14:paraId="589721A3" w14:textId="65FBBC77" w:rsidR="00F208CE" w:rsidRDefault="00513E84">
            <w:pPr>
              <w:pStyle w:val="P68B1DB1-Normal8"/>
              <w:spacing w:after="0"/>
              <w:jc w:val="center"/>
              <w:rPr>
                <w:rFonts w:cs="Times New Roman"/>
                <w:noProof/>
              </w:rPr>
            </w:pPr>
            <w:r>
              <w:rPr>
                <w:noProof/>
              </w:rPr>
              <w:t>—</w:t>
            </w:r>
          </w:p>
        </w:tc>
        <w:tc>
          <w:tcPr>
            <w:tcW w:w="1000" w:type="dxa"/>
            <w:tcBorders>
              <w:top w:val="nil"/>
              <w:left w:val="nil"/>
              <w:bottom w:val="single" w:sz="4" w:space="0" w:color="auto"/>
              <w:right w:val="single" w:sz="4" w:space="0" w:color="auto"/>
            </w:tcBorders>
            <w:shd w:val="clear" w:color="auto" w:fill="C6EFCE"/>
            <w:noWrap/>
            <w:vAlign w:val="center"/>
          </w:tcPr>
          <w:p w14:paraId="38F2434E" w14:textId="057A1D3E" w:rsidR="00F208CE" w:rsidRDefault="00513E84">
            <w:pPr>
              <w:pStyle w:val="P68B1DB1-Normal8"/>
              <w:spacing w:after="0"/>
              <w:jc w:val="center"/>
              <w:rPr>
                <w:rFonts w:cs="Times New Roman"/>
                <w:noProof/>
              </w:rPr>
            </w:pPr>
            <w:r>
              <w:rPr>
                <w:noProof/>
              </w:rPr>
              <w:t>—</w:t>
            </w:r>
          </w:p>
        </w:tc>
        <w:tc>
          <w:tcPr>
            <w:tcW w:w="1280" w:type="dxa"/>
            <w:tcBorders>
              <w:top w:val="nil"/>
              <w:left w:val="nil"/>
              <w:bottom w:val="single" w:sz="4" w:space="0" w:color="auto"/>
              <w:right w:val="single" w:sz="4" w:space="0" w:color="auto"/>
            </w:tcBorders>
            <w:shd w:val="clear" w:color="auto" w:fill="C6EFCE"/>
            <w:noWrap/>
            <w:vAlign w:val="center"/>
          </w:tcPr>
          <w:p w14:paraId="410CE00D" w14:textId="38C0783D" w:rsidR="00F208CE" w:rsidRDefault="00513E84">
            <w:pPr>
              <w:pStyle w:val="P68B1DB1-Normal8"/>
              <w:spacing w:after="0"/>
              <w:jc w:val="center"/>
              <w:rPr>
                <w:rFonts w:cs="Times New Roman"/>
                <w:noProof/>
              </w:rPr>
            </w:pPr>
            <w:r>
              <w:rPr>
                <w:noProof/>
              </w:rPr>
              <w:t>—</w:t>
            </w:r>
          </w:p>
        </w:tc>
        <w:tc>
          <w:tcPr>
            <w:tcW w:w="960" w:type="dxa"/>
            <w:tcBorders>
              <w:top w:val="nil"/>
              <w:left w:val="nil"/>
              <w:bottom w:val="single" w:sz="4" w:space="0" w:color="auto"/>
              <w:right w:val="single" w:sz="4" w:space="0" w:color="auto"/>
            </w:tcBorders>
            <w:shd w:val="clear" w:color="auto" w:fill="C6EFCE"/>
            <w:noWrap/>
            <w:vAlign w:val="center"/>
          </w:tcPr>
          <w:p w14:paraId="25FC2EF6" w14:textId="77777777" w:rsidR="00F208CE" w:rsidRDefault="00513E84">
            <w:pPr>
              <w:pStyle w:val="P68B1DB1-Normal8"/>
              <w:spacing w:after="0"/>
              <w:jc w:val="center"/>
              <w:rPr>
                <w:rFonts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56A25DD8" w14:textId="77777777" w:rsidR="00F208CE" w:rsidRDefault="00513E84">
            <w:pPr>
              <w:pStyle w:val="P68B1DB1-Normal8"/>
              <w:spacing w:after="0"/>
              <w:jc w:val="center"/>
              <w:rPr>
                <w:rFonts w:cs="Times New Roman"/>
                <w:noProof/>
              </w:rPr>
            </w:pPr>
            <w:r>
              <w:rPr>
                <w:noProof/>
              </w:rPr>
              <w:t>2022</w:t>
            </w:r>
          </w:p>
        </w:tc>
        <w:tc>
          <w:tcPr>
            <w:tcW w:w="4410" w:type="dxa"/>
            <w:tcBorders>
              <w:top w:val="nil"/>
              <w:left w:val="single" w:sz="4" w:space="0" w:color="auto"/>
              <w:bottom w:val="single" w:sz="4" w:space="0" w:color="auto"/>
              <w:right w:val="single" w:sz="4" w:space="0" w:color="auto"/>
            </w:tcBorders>
            <w:shd w:val="clear" w:color="auto" w:fill="C6EFCE"/>
            <w:noWrap/>
            <w:vAlign w:val="center"/>
          </w:tcPr>
          <w:p w14:paraId="2DF71670" w14:textId="1E83AF92" w:rsidR="00F208CE" w:rsidRDefault="00513E84">
            <w:pPr>
              <w:pStyle w:val="P68B1DB1-Normal8"/>
              <w:spacing w:after="0"/>
              <w:rPr>
                <w:rFonts w:cs="Times New Roman"/>
                <w:noProof/>
              </w:rPr>
            </w:pPr>
            <w:r>
              <w:rPr>
                <w:noProof/>
              </w:rPr>
              <w:t>Entrada en vigor del Reglamento para reformar los regímenes de subvenciones a la energía para renovaciones residenciales y privadas en la Comunidad Germanófona.</w:t>
            </w:r>
          </w:p>
        </w:tc>
      </w:tr>
      <w:tr w:rsidR="00F208CE" w14:paraId="369B5905" w14:textId="77777777">
        <w:trPr>
          <w:trHeight w:val="284"/>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33D1B89" w14:textId="77777777" w:rsidR="00F208CE" w:rsidRDefault="00513E84">
            <w:pPr>
              <w:pStyle w:val="P68B1DB1-Normal8"/>
              <w:spacing w:after="0"/>
              <w:jc w:val="center"/>
              <w:rPr>
                <w:rFonts w:eastAsia="Times New Roman" w:cs="Times New Roman"/>
                <w:noProof/>
              </w:rPr>
            </w:pPr>
            <w:r>
              <w:rPr>
                <w:noProof/>
              </w:rPr>
              <w:t>5</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1A562FB6" w14:textId="4AD19626" w:rsidR="00F208CE" w:rsidRDefault="00513E84">
            <w:pPr>
              <w:pStyle w:val="P68B1DB1-Normal8"/>
              <w:spacing w:after="0"/>
              <w:rPr>
                <w:rFonts w:eastAsia="Times New Roman" w:cs="Times New Roman"/>
                <w:noProof/>
              </w:rPr>
            </w:pPr>
            <w:r>
              <w:rPr>
                <w:noProof/>
              </w:rPr>
              <w:t xml:space="preserve">Renovación de </w:t>
            </w:r>
            <w:r>
              <w:rPr>
                <w:noProof/>
              </w:rPr>
              <w:t>viviendas privadas y sociales (I-1A)</w:t>
            </w:r>
          </w:p>
        </w:tc>
        <w:tc>
          <w:tcPr>
            <w:tcW w:w="1128" w:type="dxa"/>
            <w:tcBorders>
              <w:top w:val="single" w:sz="4" w:space="0" w:color="auto"/>
              <w:left w:val="nil"/>
              <w:bottom w:val="single" w:sz="4" w:space="0" w:color="auto"/>
              <w:right w:val="single" w:sz="4" w:space="0" w:color="auto"/>
            </w:tcBorders>
            <w:shd w:val="clear" w:color="auto" w:fill="C6EFCE"/>
            <w:noWrap/>
            <w:vAlign w:val="center"/>
          </w:tcPr>
          <w:p w14:paraId="777123E4" w14:textId="61241441" w:rsidR="00F208CE" w:rsidRDefault="00513E84">
            <w:pPr>
              <w:pStyle w:val="P68B1DB1-Normal8"/>
              <w:spacing w:after="0"/>
              <w:rPr>
                <w:rFonts w:eastAsia="Times New Roman" w:cs="Times New Roman"/>
                <w:noProof/>
              </w:rPr>
            </w:pPr>
            <w:r>
              <w:rPr>
                <w:noProof/>
              </w:rPr>
              <w:t>T</w:t>
            </w:r>
          </w:p>
        </w:tc>
        <w:tc>
          <w:tcPr>
            <w:tcW w:w="1672" w:type="dxa"/>
            <w:tcBorders>
              <w:top w:val="single" w:sz="4" w:space="0" w:color="auto"/>
              <w:left w:val="nil"/>
              <w:bottom w:val="single" w:sz="4" w:space="0" w:color="auto"/>
              <w:right w:val="single" w:sz="4" w:space="0" w:color="auto"/>
            </w:tcBorders>
            <w:shd w:val="clear" w:color="auto" w:fill="C6EFCE"/>
            <w:noWrap/>
            <w:vAlign w:val="center"/>
          </w:tcPr>
          <w:p w14:paraId="4A7AECAC" w14:textId="77777777" w:rsidR="00F208CE" w:rsidRDefault="00513E84">
            <w:pPr>
              <w:pStyle w:val="P68B1DB1-Normal8"/>
              <w:spacing w:after="0"/>
              <w:rPr>
                <w:rFonts w:cs="Times New Roman"/>
                <w:noProof/>
              </w:rPr>
            </w:pPr>
            <w:r>
              <w:rPr>
                <w:noProof/>
              </w:rPr>
              <w:t>Renovación de viviendas privadas y viviendas sociales</w:t>
            </w:r>
          </w:p>
          <w:p w14:paraId="68D64C49" w14:textId="16E15AD9" w:rsidR="00F208CE" w:rsidRDefault="00513E84">
            <w:pPr>
              <w:pStyle w:val="P68B1DB1-Normal8"/>
              <w:spacing w:after="0"/>
              <w:rPr>
                <w:rFonts w:eastAsia="Times New Roman" w:cs="Times New Roman"/>
                <w:noProof/>
              </w:rPr>
            </w:pPr>
            <w:r>
              <w:rPr>
                <w:noProof/>
              </w:rPr>
              <w:t>(STEP1)</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00398981"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A5CCC71" w14:textId="77777777" w:rsidR="00F208CE" w:rsidRDefault="00513E84">
            <w:pPr>
              <w:pStyle w:val="P68B1DB1-Normal8"/>
              <w:spacing w:after="0"/>
              <w:rPr>
                <w:rFonts w:eastAsia="Times New Roman" w:cs="Times New Roman"/>
                <w:noProof/>
              </w:rPr>
            </w:pPr>
            <w:r>
              <w:rPr>
                <w:noProof/>
              </w:rPr>
              <w:t>Viviendas</w:t>
            </w:r>
          </w:p>
        </w:tc>
        <w:tc>
          <w:tcPr>
            <w:tcW w:w="1000" w:type="dxa"/>
            <w:tcBorders>
              <w:top w:val="single" w:sz="4" w:space="0" w:color="auto"/>
              <w:left w:val="nil"/>
              <w:bottom w:val="single" w:sz="4" w:space="0" w:color="auto"/>
              <w:right w:val="single" w:sz="4" w:space="0" w:color="auto"/>
            </w:tcBorders>
            <w:shd w:val="clear" w:color="auto" w:fill="C6EFCE"/>
            <w:noWrap/>
            <w:vAlign w:val="center"/>
          </w:tcPr>
          <w:p w14:paraId="151BD5D5" w14:textId="77777777" w:rsidR="00F208CE" w:rsidRDefault="00513E84">
            <w:pPr>
              <w:pStyle w:val="P68B1DB1-Normal8"/>
              <w:spacing w:after="0"/>
              <w:jc w:val="center"/>
              <w:rPr>
                <w:rFonts w:eastAsia="Times New Roman" w:cs="Times New Roman"/>
                <w:noProof/>
              </w:rPr>
            </w:pPr>
            <w:r>
              <w:rPr>
                <w:noProof/>
              </w:rPr>
              <w:t>0</w:t>
            </w:r>
          </w:p>
        </w:tc>
        <w:tc>
          <w:tcPr>
            <w:tcW w:w="1280" w:type="dxa"/>
            <w:tcBorders>
              <w:top w:val="single" w:sz="4" w:space="0" w:color="auto"/>
              <w:left w:val="nil"/>
              <w:bottom w:val="single" w:sz="4" w:space="0" w:color="auto"/>
              <w:right w:val="single" w:sz="4" w:space="0" w:color="auto"/>
            </w:tcBorders>
            <w:shd w:val="clear" w:color="auto" w:fill="C6EFCE"/>
            <w:noWrap/>
            <w:vAlign w:val="center"/>
          </w:tcPr>
          <w:p w14:paraId="27B25B0A" w14:textId="7C9F21DE" w:rsidR="00F208CE" w:rsidRDefault="00513E84">
            <w:pPr>
              <w:pStyle w:val="P68B1DB1-Normal8"/>
              <w:spacing w:after="0"/>
              <w:rPr>
                <w:rFonts w:eastAsia="Times New Roman" w:cs="Times New Roman"/>
                <w:noProof/>
              </w:rPr>
            </w:pPr>
            <w:r>
              <w:rPr>
                <w:noProof/>
              </w:rPr>
              <w:t>64 112</w:t>
            </w: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005B464F"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48A4F69A" w14:textId="77777777" w:rsidR="00F208CE" w:rsidRDefault="00513E84">
            <w:pPr>
              <w:pStyle w:val="P68B1DB1-Normal8"/>
              <w:spacing w:after="0"/>
              <w:jc w:val="center"/>
              <w:rPr>
                <w:rFonts w:eastAsia="Times New Roman" w:cs="Times New Roman"/>
                <w:noProof/>
              </w:rPr>
            </w:pPr>
            <w:r>
              <w:rPr>
                <w:noProof/>
              </w:rPr>
              <w:t>2023</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60FFE4" w14:textId="28C64F93" w:rsidR="00F208CE" w:rsidRDefault="00513E84">
            <w:pPr>
              <w:pStyle w:val="P68B1DB1-Normal8"/>
              <w:spacing w:after="120"/>
              <w:rPr>
                <w:rFonts w:cs="Times New Roman"/>
                <w:noProof/>
              </w:rPr>
            </w:pPr>
            <w:r>
              <w:rPr>
                <w:noProof/>
              </w:rPr>
              <w:t xml:space="preserve">64 112 viviendas (viviendas privadas y sociales) renovadas. </w:t>
            </w:r>
          </w:p>
          <w:p w14:paraId="09458F65" w14:textId="77777777" w:rsidR="00F208CE" w:rsidRDefault="00513E84">
            <w:pPr>
              <w:pStyle w:val="P68B1DB1-Normal8"/>
              <w:spacing w:after="120"/>
              <w:rPr>
                <w:rFonts w:cs="Times New Roman"/>
                <w:noProof/>
              </w:rPr>
            </w:pPr>
            <w:r>
              <w:rPr>
                <w:noProof/>
              </w:rPr>
              <w:t>Este objetivo se desglosa a título indicativo en los siguientes subobjetivos, que no tienen que alcanzarse individualmente siempre que se alcancen los niveles de renovación anteriores:</w:t>
            </w:r>
          </w:p>
          <w:p w14:paraId="68C56C8F" w14:textId="77777777" w:rsidR="00F208CE" w:rsidRDefault="00513E84">
            <w:pPr>
              <w:pStyle w:val="P68B1DB1-Normal8"/>
              <w:spacing w:after="0"/>
              <w:rPr>
                <w:rFonts w:cs="Times New Roman"/>
                <w:noProof/>
              </w:rPr>
            </w:pPr>
            <w:r>
              <w:rPr>
                <w:noProof/>
                <w:u w:val="single"/>
              </w:rPr>
              <w:t>Vivienda privada</w:t>
            </w:r>
            <w:r>
              <w:rPr>
                <w:noProof/>
              </w:rPr>
              <w:t>:</w:t>
            </w:r>
          </w:p>
          <w:p w14:paraId="78E2983E" w14:textId="27BDFD16" w:rsidR="00F208CE" w:rsidRDefault="00513E84">
            <w:pPr>
              <w:pStyle w:val="P68B1DB1-Normal8"/>
              <w:spacing w:after="0"/>
              <w:rPr>
                <w:rFonts w:cs="Times New Roman"/>
                <w:noProof/>
              </w:rPr>
            </w:pPr>
            <w:r>
              <w:rPr>
                <w:noProof/>
              </w:rPr>
              <w:t>I) Región flamenca (R-1.01, subvenciones para la efic</w:t>
            </w:r>
            <w:r>
              <w:rPr>
                <w:noProof/>
              </w:rPr>
              <w:t>iencia energética y las energías renovables): 49 500 viviendas.</w:t>
            </w:r>
          </w:p>
          <w:p w14:paraId="27F76AC0" w14:textId="0B470F10" w:rsidR="00F208CE" w:rsidRDefault="00513E84">
            <w:pPr>
              <w:pStyle w:val="P68B1DB1-Normal8"/>
              <w:spacing w:after="0"/>
              <w:rPr>
                <w:rFonts w:cs="Times New Roman"/>
                <w:noProof/>
              </w:rPr>
            </w:pPr>
            <w:r>
              <w:rPr>
                <w:noProof/>
              </w:rPr>
              <w:t>II) Región Flamenca (R-1.01, régimen de subvenciones energéticas para la renovación eficiente desde el punto de vista energético): 7 560 viviendas</w:t>
            </w:r>
          </w:p>
          <w:p w14:paraId="59C714B3" w14:textId="525ABB4D" w:rsidR="00F208CE" w:rsidRDefault="00513E84">
            <w:pPr>
              <w:pStyle w:val="P68B1DB1-Normal8"/>
              <w:spacing w:after="120"/>
              <w:rPr>
                <w:rFonts w:cs="Times New Roman"/>
                <w:noProof/>
              </w:rPr>
            </w:pPr>
            <w:r>
              <w:rPr>
                <w:noProof/>
              </w:rPr>
              <w:t>III) Región de Bruselas-Capital (R-1.02): 2 3</w:t>
            </w:r>
            <w:r>
              <w:rPr>
                <w:noProof/>
              </w:rPr>
              <w:t>41 viviendas</w:t>
            </w:r>
          </w:p>
          <w:p w14:paraId="4254423D" w14:textId="77777777" w:rsidR="00F208CE" w:rsidRDefault="00513E84">
            <w:pPr>
              <w:pStyle w:val="P68B1DB1-Normal8"/>
              <w:spacing w:after="0"/>
              <w:rPr>
                <w:rFonts w:cs="Times New Roman"/>
                <w:noProof/>
              </w:rPr>
            </w:pPr>
            <w:r>
              <w:rPr>
                <w:noProof/>
                <w:u w:val="single"/>
              </w:rPr>
              <w:t>Vivienda de protección oficial</w:t>
            </w:r>
            <w:r>
              <w:rPr>
                <w:noProof/>
              </w:rPr>
              <w:t>:</w:t>
            </w:r>
          </w:p>
          <w:p w14:paraId="357DF8AD" w14:textId="2E308FAE" w:rsidR="00F208CE" w:rsidRDefault="00513E84">
            <w:pPr>
              <w:pStyle w:val="P68B1DB1-Normal8"/>
              <w:spacing w:after="0"/>
              <w:rPr>
                <w:rFonts w:cs="Times New Roman"/>
                <w:noProof/>
              </w:rPr>
            </w:pPr>
            <w:r>
              <w:rPr>
                <w:noProof/>
              </w:rPr>
              <w:t>I) Región Flamenca (I-1.01): 4 010 unidades de vivienda social</w:t>
            </w:r>
          </w:p>
          <w:p w14:paraId="595AD4CB" w14:textId="68C282AD" w:rsidR="00F208CE" w:rsidRDefault="00513E84">
            <w:pPr>
              <w:pStyle w:val="P68B1DB1-Normal8"/>
              <w:spacing w:after="0"/>
              <w:rPr>
                <w:rFonts w:cs="Times New Roman"/>
                <w:noProof/>
              </w:rPr>
            </w:pPr>
            <w:r>
              <w:rPr>
                <w:noProof/>
              </w:rPr>
              <w:t>II) Región de Bruselas-Capital (I-1.02): 701 unidades de vivienda social</w:t>
            </w:r>
          </w:p>
          <w:p w14:paraId="5111E56D" w14:textId="09A1D79C" w:rsidR="00F208CE" w:rsidRDefault="00513E84">
            <w:pPr>
              <w:pStyle w:val="P68B1DB1-Normal8"/>
              <w:spacing w:after="0"/>
              <w:rPr>
                <w:rFonts w:cs="Times New Roman"/>
                <w:noProof/>
              </w:rPr>
            </w:pPr>
            <w:r>
              <w:rPr>
                <w:noProof/>
              </w:rPr>
              <w:t>La renovación de 4 711 viviendas sociales reducirá por término medio al men</w:t>
            </w:r>
            <w:r>
              <w:rPr>
                <w:noProof/>
              </w:rPr>
              <w:t>os el 30 % del consumo de energía primaria, tal como se define en la Recomendación (UE) 2019/786 de la Comisión, relativa a la renovación de edificios.</w:t>
            </w:r>
          </w:p>
        </w:tc>
      </w:tr>
      <w:tr w:rsidR="00F208CE" w14:paraId="4E90AFEE" w14:textId="77777777">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0B2E72B" w14:textId="77777777" w:rsidR="00F208CE" w:rsidRDefault="00513E84">
            <w:pPr>
              <w:pStyle w:val="P68B1DB1-Normal8"/>
              <w:spacing w:after="0"/>
              <w:jc w:val="center"/>
              <w:rPr>
                <w:rFonts w:eastAsia="Times New Roman" w:cs="Times New Roman"/>
                <w:noProof/>
              </w:rPr>
            </w:pPr>
            <w:r>
              <w:rPr>
                <w:noProof/>
              </w:rPr>
              <w:t>6</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6A5B01A2" w14:textId="657A0F69" w:rsidR="00F208CE" w:rsidRDefault="00513E84">
            <w:pPr>
              <w:pStyle w:val="P68B1DB1-Normal8"/>
              <w:spacing w:after="0"/>
              <w:rPr>
                <w:rFonts w:eastAsia="Times New Roman" w:cs="Times New Roman"/>
                <w:noProof/>
              </w:rPr>
            </w:pPr>
            <w:r>
              <w:rPr>
                <w:noProof/>
              </w:rPr>
              <w:t>Renovación de viviendas privadas y sociales (I-1A)</w:t>
            </w:r>
          </w:p>
        </w:tc>
        <w:tc>
          <w:tcPr>
            <w:tcW w:w="1128" w:type="dxa"/>
            <w:tcBorders>
              <w:top w:val="single" w:sz="4" w:space="0" w:color="auto"/>
              <w:left w:val="nil"/>
              <w:bottom w:val="single" w:sz="4" w:space="0" w:color="auto"/>
              <w:right w:val="single" w:sz="4" w:space="0" w:color="auto"/>
            </w:tcBorders>
            <w:shd w:val="clear" w:color="auto" w:fill="C6EFCE"/>
            <w:noWrap/>
            <w:vAlign w:val="center"/>
          </w:tcPr>
          <w:p w14:paraId="405A99B7" w14:textId="5AEA9544" w:rsidR="00F208CE" w:rsidRDefault="00513E84">
            <w:pPr>
              <w:pStyle w:val="P68B1DB1-Normal8"/>
              <w:spacing w:after="0"/>
              <w:rPr>
                <w:rFonts w:eastAsia="Times New Roman" w:cs="Times New Roman"/>
                <w:noProof/>
              </w:rPr>
            </w:pPr>
            <w:r>
              <w:rPr>
                <w:noProof/>
              </w:rPr>
              <w:t>T</w:t>
            </w:r>
          </w:p>
        </w:tc>
        <w:tc>
          <w:tcPr>
            <w:tcW w:w="1672" w:type="dxa"/>
            <w:tcBorders>
              <w:top w:val="single" w:sz="4" w:space="0" w:color="auto"/>
              <w:left w:val="nil"/>
              <w:bottom w:val="single" w:sz="4" w:space="0" w:color="auto"/>
              <w:right w:val="single" w:sz="4" w:space="0" w:color="auto"/>
            </w:tcBorders>
            <w:shd w:val="clear" w:color="auto" w:fill="C6EFCE"/>
            <w:noWrap/>
            <w:vAlign w:val="center"/>
          </w:tcPr>
          <w:p w14:paraId="6EC7DC11" w14:textId="77777777" w:rsidR="00F208CE" w:rsidRDefault="00513E84">
            <w:pPr>
              <w:pStyle w:val="P68B1DB1-Normal8"/>
              <w:spacing w:after="0"/>
              <w:rPr>
                <w:rFonts w:cs="Times New Roman"/>
                <w:noProof/>
              </w:rPr>
            </w:pPr>
            <w:r>
              <w:rPr>
                <w:noProof/>
              </w:rPr>
              <w:t xml:space="preserve">Renovación de viviendas privadas y viviendas </w:t>
            </w:r>
            <w:r>
              <w:rPr>
                <w:noProof/>
              </w:rPr>
              <w:t>sociales</w:t>
            </w:r>
          </w:p>
          <w:p w14:paraId="0452692C" w14:textId="3A5AAD5C" w:rsidR="00F208CE" w:rsidRDefault="00513E84">
            <w:pPr>
              <w:pStyle w:val="P68B1DB1-Normal8"/>
              <w:spacing w:after="0"/>
              <w:rPr>
                <w:rFonts w:eastAsia="Times New Roman" w:cs="Times New Roman"/>
                <w:noProof/>
              </w:rPr>
            </w:pPr>
            <w:r>
              <w:rPr>
                <w:noProof/>
              </w:rPr>
              <w:t>(paso 2)</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68996D29" w14:textId="1C5DC367" w:rsidR="00F208CE" w:rsidRDefault="00F208CE">
            <w:pPr>
              <w:spacing w:after="0"/>
              <w:rPr>
                <w:rFonts w:ascii="Times New Roman" w:eastAsia="Times New Roman" w:hAnsi="Times New Roman" w:cs="Times New Roman"/>
                <w:noProof/>
                <w:color w:val="006100"/>
              </w:rPr>
            </w:pPr>
          </w:p>
        </w:tc>
        <w:tc>
          <w:tcPr>
            <w:tcW w:w="1200" w:type="dxa"/>
            <w:tcBorders>
              <w:top w:val="nil"/>
              <w:left w:val="nil"/>
              <w:bottom w:val="single" w:sz="4" w:space="0" w:color="auto"/>
              <w:right w:val="single" w:sz="4" w:space="0" w:color="auto"/>
            </w:tcBorders>
            <w:shd w:val="clear" w:color="auto" w:fill="C6EFCE"/>
            <w:noWrap/>
            <w:vAlign w:val="center"/>
          </w:tcPr>
          <w:p w14:paraId="60FDB63A" w14:textId="77777777" w:rsidR="00F208CE" w:rsidRDefault="00513E84">
            <w:pPr>
              <w:pStyle w:val="P68B1DB1-Normal8"/>
              <w:spacing w:after="0"/>
              <w:rPr>
                <w:rFonts w:eastAsia="Times New Roman" w:cs="Times New Roman"/>
                <w:noProof/>
              </w:rPr>
            </w:pPr>
            <w:r>
              <w:rPr>
                <w:noProof/>
              </w:rPr>
              <w:t>Viviendas</w:t>
            </w:r>
          </w:p>
        </w:tc>
        <w:tc>
          <w:tcPr>
            <w:tcW w:w="1000" w:type="dxa"/>
            <w:tcBorders>
              <w:top w:val="nil"/>
              <w:left w:val="nil"/>
              <w:bottom w:val="single" w:sz="4" w:space="0" w:color="auto"/>
              <w:right w:val="single" w:sz="4" w:space="0" w:color="auto"/>
            </w:tcBorders>
            <w:shd w:val="clear" w:color="auto" w:fill="C6EFCE"/>
            <w:noWrap/>
            <w:vAlign w:val="center"/>
          </w:tcPr>
          <w:p w14:paraId="0044C456" w14:textId="7BA91165" w:rsidR="00F208CE" w:rsidRDefault="00513E84">
            <w:pPr>
              <w:pStyle w:val="P68B1DB1-Normal8"/>
              <w:spacing w:after="0"/>
              <w:rPr>
                <w:rFonts w:eastAsia="Times New Roman" w:cs="Times New Roman"/>
                <w:noProof/>
              </w:rPr>
            </w:pPr>
            <w:r>
              <w:rPr>
                <w:noProof/>
              </w:rPr>
              <w:t>64 112</w:t>
            </w:r>
          </w:p>
        </w:tc>
        <w:tc>
          <w:tcPr>
            <w:tcW w:w="1280" w:type="dxa"/>
            <w:tcBorders>
              <w:top w:val="nil"/>
              <w:left w:val="nil"/>
              <w:bottom w:val="single" w:sz="4" w:space="0" w:color="auto"/>
              <w:right w:val="single" w:sz="4" w:space="0" w:color="auto"/>
            </w:tcBorders>
            <w:shd w:val="clear" w:color="auto" w:fill="C6EFCE"/>
            <w:noWrap/>
            <w:vAlign w:val="center"/>
          </w:tcPr>
          <w:p w14:paraId="77F394CC" w14:textId="49FAB38F" w:rsidR="00F208CE" w:rsidRDefault="00513E84">
            <w:pPr>
              <w:pStyle w:val="P68B1DB1-Normal8"/>
              <w:spacing w:after="0"/>
              <w:rPr>
                <w:rFonts w:eastAsia="Times New Roman" w:cs="Times New Roman"/>
                <w:noProof/>
              </w:rPr>
            </w:pPr>
            <w:r>
              <w:rPr>
                <w:noProof/>
              </w:rPr>
              <w:t>131 732</w:t>
            </w:r>
          </w:p>
        </w:tc>
        <w:tc>
          <w:tcPr>
            <w:tcW w:w="960" w:type="dxa"/>
            <w:tcBorders>
              <w:top w:val="nil"/>
              <w:left w:val="nil"/>
              <w:bottom w:val="single" w:sz="4" w:space="0" w:color="auto"/>
              <w:right w:val="single" w:sz="4" w:space="0" w:color="auto"/>
            </w:tcBorders>
            <w:shd w:val="clear" w:color="auto" w:fill="C6EFCE"/>
            <w:noWrap/>
            <w:vAlign w:val="center"/>
          </w:tcPr>
          <w:p w14:paraId="56A048C0"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5E13C44A" w14:textId="77777777" w:rsidR="00F208CE" w:rsidRDefault="00513E84">
            <w:pPr>
              <w:pStyle w:val="P68B1DB1-Normal8"/>
              <w:spacing w:after="0"/>
              <w:jc w:val="center"/>
              <w:rPr>
                <w:rFonts w:eastAsia="Times New Roman" w:cs="Times New Roman"/>
                <w:noProof/>
              </w:rPr>
            </w:pPr>
            <w:r>
              <w:rPr>
                <w:noProof/>
              </w:rPr>
              <w:t>2024</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458A3F" w14:textId="7DD9269A" w:rsidR="00F208CE" w:rsidRDefault="00513E84">
            <w:pPr>
              <w:pStyle w:val="P68B1DB1-Normal8"/>
              <w:spacing w:after="120"/>
              <w:rPr>
                <w:rFonts w:cs="Times New Roman"/>
                <w:noProof/>
              </w:rPr>
            </w:pPr>
            <w:r>
              <w:rPr>
                <w:noProof/>
              </w:rPr>
              <w:t xml:space="preserve">67 620 viviendas adicionales (viviendas privadas y sociales) renovadas. </w:t>
            </w:r>
          </w:p>
          <w:p w14:paraId="2682FDBE" w14:textId="77777777" w:rsidR="00F208CE" w:rsidRDefault="00513E84">
            <w:pPr>
              <w:pStyle w:val="P68B1DB1-Normal8"/>
              <w:spacing w:after="120"/>
              <w:rPr>
                <w:rFonts w:cs="Times New Roman"/>
                <w:noProof/>
              </w:rPr>
            </w:pPr>
            <w:r>
              <w:rPr>
                <w:noProof/>
              </w:rPr>
              <w:t>Este objetivo se desglosa a título indicativo en los siguientes subobjetivos, que no tienen que alcanzarse individu</w:t>
            </w:r>
            <w:r>
              <w:rPr>
                <w:noProof/>
              </w:rPr>
              <w:t>almente siempre que se alcancen los niveles de renovación anteriores:</w:t>
            </w:r>
          </w:p>
          <w:p w14:paraId="4BCE2F32" w14:textId="77777777" w:rsidR="00F208CE" w:rsidRDefault="00513E84">
            <w:pPr>
              <w:pStyle w:val="P68B1DB1-Normal8"/>
              <w:spacing w:after="0"/>
              <w:rPr>
                <w:rFonts w:cs="Times New Roman"/>
                <w:noProof/>
              </w:rPr>
            </w:pPr>
            <w:r>
              <w:rPr>
                <w:noProof/>
                <w:u w:val="single"/>
              </w:rPr>
              <w:t>Vivienda privada</w:t>
            </w:r>
            <w:r>
              <w:rPr>
                <w:noProof/>
              </w:rPr>
              <w:t>:</w:t>
            </w:r>
          </w:p>
          <w:p w14:paraId="3FF56D2D" w14:textId="3AB412CA" w:rsidR="00F208CE" w:rsidRDefault="00513E84">
            <w:pPr>
              <w:pStyle w:val="P68B1DB1-Normal8"/>
              <w:spacing w:after="0"/>
              <w:rPr>
                <w:rFonts w:cs="Times New Roman"/>
                <w:noProof/>
              </w:rPr>
            </w:pPr>
            <w:r>
              <w:rPr>
                <w:noProof/>
              </w:rPr>
              <w:t>I) Región flamenca (R-1.01, subvenciones para la eficiencia energética y las energías renovables): 66 150 viviendas.</w:t>
            </w:r>
          </w:p>
          <w:p w14:paraId="456A3349" w14:textId="663285DF" w:rsidR="00F208CE" w:rsidRDefault="00513E84">
            <w:pPr>
              <w:pStyle w:val="P68B1DB1-Normal8"/>
              <w:spacing w:after="120"/>
              <w:rPr>
                <w:rFonts w:cs="Times New Roman"/>
                <w:noProof/>
              </w:rPr>
            </w:pPr>
            <w:r>
              <w:rPr>
                <w:noProof/>
              </w:rPr>
              <w:t>II) Región de Bruselas-Capital (R-1.02): 1 004 vivi</w:t>
            </w:r>
            <w:r>
              <w:rPr>
                <w:noProof/>
              </w:rPr>
              <w:t>endas</w:t>
            </w:r>
          </w:p>
          <w:p w14:paraId="6F09307F" w14:textId="77777777" w:rsidR="00F208CE" w:rsidRDefault="00513E84">
            <w:pPr>
              <w:pStyle w:val="P68B1DB1-Normal8"/>
              <w:spacing w:after="0"/>
              <w:rPr>
                <w:rFonts w:cs="Times New Roman"/>
                <w:noProof/>
              </w:rPr>
            </w:pPr>
            <w:r>
              <w:rPr>
                <w:noProof/>
                <w:u w:val="single"/>
              </w:rPr>
              <w:t>Vivienda de protección oficial</w:t>
            </w:r>
            <w:r>
              <w:rPr>
                <w:noProof/>
              </w:rPr>
              <w:t>:</w:t>
            </w:r>
          </w:p>
          <w:p w14:paraId="4E967737" w14:textId="77777777" w:rsidR="00F208CE" w:rsidRDefault="00513E84">
            <w:pPr>
              <w:pStyle w:val="P68B1DB1-Normal8"/>
              <w:spacing w:after="0"/>
              <w:rPr>
                <w:rFonts w:cs="Times New Roman"/>
                <w:noProof/>
              </w:rPr>
            </w:pPr>
            <w:r>
              <w:rPr>
                <w:noProof/>
              </w:rPr>
              <w:t>I) Región de Bruselas-Capital (I-1.02): 427 unidades de vivienda social</w:t>
            </w:r>
          </w:p>
          <w:p w14:paraId="0A73F17A" w14:textId="0B08C1E4" w:rsidR="00F208CE" w:rsidRDefault="00513E84">
            <w:pPr>
              <w:pStyle w:val="P68B1DB1-Normal8"/>
              <w:spacing w:after="0"/>
              <w:rPr>
                <w:rFonts w:cs="Times New Roman"/>
                <w:noProof/>
              </w:rPr>
            </w:pPr>
            <w:r>
              <w:rPr>
                <w:noProof/>
              </w:rPr>
              <w:t>II) Comunidad germanófona (I-1.03): 39 unidades de vivienda social</w:t>
            </w:r>
          </w:p>
          <w:p w14:paraId="7F5DDA67" w14:textId="4F0A307E" w:rsidR="00F208CE" w:rsidRDefault="00513E84">
            <w:pPr>
              <w:pStyle w:val="P68B1DB1-Normal8"/>
              <w:spacing w:after="0"/>
              <w:rPr>
                <w:rFonts w:cs="Times New Roman"/>
                <w:noProof/>
              </w:rPr>
            </w:pPr>
            <w:r>
              <w:rPr>
                <w:noProof/>
              </w:rPr>
              <w:t xml:space="preserve">La renovación de 466 viviendas sociales reducirá por término medio al menos el </w:t>
            </w:r>
            <w:r>
              <w:rPr>
                <w:noProof/>
              </w:rPr>
              <w:t>30 % del consumo de energía primaria, tal como se define en la Recomendación (UE) 2019/786 de la Comisión, relativa a la renovación de edificios.</w:t>
            </w:r>
          </w:p>
        </w:tc>
      </w:tr>
      <w:tr w:rsidR="00F208CE" w14:paraId="3A6EB5EC" w14:textId="77777777">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BA29E2" w14:textId="77777777" w:rsidR="00F208CE" w:rsidRDefault="00513E84">
            <w:pPr>
              <w:pStyle w:val="P68B1DB1-Normal8"/>
              <w:spacing w:after="0"/>
              <w:jc w:val="center"/>
              <w:rPr>
                <w:rFonts w:cs="Times New Roman"/>
                <w:noProof/>
              </w:rPr>
            </w:pPr>
            <w:r>
              <w:rPr>
                <w:noProof/>
              </w:rPr>
              <w:t>7</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43E59692" w14:textId="320DCA02" w:rsidR="00F208CE" w:rsidRDefault="00513E84">
            <w:pPr>
              <w:pStyle w:val="P68B1DB1-Normal8"/>
              <w:spacing w:after="0"/>
              <w:rPr>
                <w:rFonts w:cs="Times New Roman"/>
                <w:noProof/>
              </w:rPr>
            </w:pPr>
            <w:r>
              <w:rPr>
                <w:noProof/>
              </w:rPr>
              <w:t>Renovación de viviendas privadas y sociales (I-1A)</w:t>
            </w:r>
          </w:p>
        </w:tc>
        <w:tc>
          <w:tcPr>
            <w:tcW w:w="1128" w:type="dxa"/>
            <w:tcBorders>
              <w:top w:val="single" w:sz="4" w:space="0" w:color="auto"/>
              <w:left w:val="nil"/>
              <w:bottom w:val="single" w:sz="4" w:space="0" w:color="auto"/>
              <w:right w:val="single" w:sz="4" w:space="0" w:color="auto"/>
            </w:tcBorders>
            <w:shd w:val="clear" w:color="auto" w:fill="C6EFCE"/>
            <w:noWrap/>
            <w:vAlign w:val="center"/>
          </w:tcPr>
          <w:p w14:paraId="59CE4637" w14:textId="2B12AADE" w:rsidR="00F208CE" w:rsidRDefault="00513E84">
            <w:pPr>
              <w:pStyle w:val="P68B1DB1-Normal8"/>
              <w:spacing w:after="0"/>
              <w:rPr>
                <w:rFonts w:cs="Times New Roman"/>
                <w:noProof/>
              </w:rPr>
            </w:pPr>
            <w:r>
              <w:rPr>
                <w:noProof/>
              </w:rPr>
              <w:t>T</w:t>
            </w:r>
          </w:p>
        </w:tc>
        <w:tc>
          <w:tcPr>
            <w:tcW w:w="1672" w:type="dxa"/>
            <w:tcBorders>
              <w:top w:val="single" w:sz="4" w:space="0" w:color="auto"/>
              <w:left w:val="nil"/>
              <w:bottom w:val="single" w:sz="4" w:space="0" w:color="auto"/>
              <w:right w:val="single" w:sz="4" w:space="0" w:color="auto"/>
            </w:tcBorders>
            <w:shd w:val="clear" w:color="auto" w:fill="C6EFCE"/>
            <w:noWrap/>
            <w:vAlign w:val="center"/>
          </w:tcPr>
          <w:p w14:paraId="59688A64" w14:textId="77777777" w:rsidR="00F208CE" w:rsidRDefault="00513E84">
            <w:pPr>
              <w:pStyle w:val="P68B1DB1-Normal8"/>
              <w:spacing w:after="0"/>
              <w:rPr>
                <w:rFonts w:cs="Times New Roman"/>
                <w:noProof/>
              </w:rPr>
            </w:pPr>
            <w:r>
              <w:rPr>
                <w:noProof/>
              </w:rPr>
              <w:t>Renovación de viviendas privadas y viviendas sociales</w:t>
            </w:r>
          </w:p>
          <w:p w14:paraId="1A91F313" w14:textId="560B736F" w:rsidR="00F208CE" w:rsidRDefault="00513E84">
            <w:pPr>
              <w:pStyle w:val="P68B1DB1-Normal8"/>
              <w:spacing w:after="0"/>
              <w:rPr>
                <w:rFonts w:cs="Times New Roman"/>
                <w:noProof/>
              </w:rPr>
            </w:pPr>
            <w:r>
              <w:rPr>
                <w:noProof/>
              </w:rPr>
              <w:t>(paso 3)</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6C26E416"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2B090512" w14:textId="77777777" w:rsidR="00F208CE" w:rsidRDefault="00513E84">
            <w:pPr>
              <w:pStyle w:val="P68B1DB1-Normal8"/>
              <w:spacing w:after="0"/>
              <w:rPr>
                <w:rFonts w:cs="Times New Roman"/>
                <w:noProof/>
                <w:color w:val="375623"/>
              </w:rPr>
            </w:pPr>
            <w:r>
              <w:rPr>
                <w:noProof/>
              </w:rPr>
              <w:t>Viviendas</w:t>
            </w:r>
          </w:p>
        </w:tc>
        <w:tc>
          <w:tcPr>
            <w:tcW w:w="1000" w:type="dxa"/>
            <w:tcBorders>
              <w:top w:val="single" w:sz="4" w:space="0" w:color="auto"/>
              <w:left w:val="nil"/>
              <w:bottom w:val="single" w:sz="4" w:space="0" w:color="auto"/>
              <w:right w:val="single" w:sz="4" w:space="0" w:color="auto"/>
            </w:tcBorders>
            <w:shd w:val="clear" w:color="auto" w:fill="C6EFCE"/>
            <w:noWrap/>
            <w:vAlign w:val="center"/>
          </w:tcPr>
          <w:p w14:paraId="6C82E194" w14:textId="3A3A7074" w:rsidR="00F208CE" w:rsidRDefault="00513E84">
            <w:pPr>
              <w:pStyle w:val="P68B1DB1-Normal8"/>
              <w:spacing w:after="0"/>
              <w:rPr>
                <w:rFonts w:cs="Times New Roman"/>
                <w:noProof/>
                <w:color w:val="375623"/>
              </w:rPr>
            </w:pPr>
            <w:r>
              <w:rPr>
                <w:noProof/>
              </w:rPr>
              <w:t>131 732</w:t>
            </w:r>
          </w:p>
        </w:tc>
        <w:tc>
          <w:tcPr>
            <w:tcW w:w="1280" w:type="dxa"/>
            <w:tcBorders>
              <w:top w:val="single" w:sz="4" w:space="0" w:color="auto"/>
              <w:left w:val="nil"/>
              <w:bottom w:val="single" w:sz="4" w:space="0" w:color="auto"/>
              <w:right w:val="single" w:sz="4" w:space="0" w:color="auto"/>
            </w:tcBorders>
            <w:shd w:val="clear" w:color="auto" w:fill="C6EFCE"/>
            <w:noWrap/>
            <w:vAlign w:val="center"/>
          </w:tcPr>
          <w:p w14:paraId="61D77A38" w14:textId="460F6E17" w:rsidR="00F208CE" w:rsidRDefault="00513E84">
            <w:pPr>
              <w:pStyle w:val="P68B1DB1-Normal8"/>
              <w:spacing w:after="0"/>
              <w:rPr>
                <w:rFonts w:cs="Times New Roman"/>
                <w:noProof/>
                <w:color w:val="375623"/>
              </w:rPr>
            </w:pPr>
            <w:r>
              <w:rPr>
                <w:noProof/>
              </w:rPr>
              <w:t>198 108</w:t>
            </w: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2278967B" w14:textId="77777777" w:rsidR="00F208CE" w:rsidRDefault="00513E84">
            <w:pPr>
              <w:pStyle w:val="P68B1DB1-Normal8"/>
              <w:spacing w:after="0"/>
              <w:jc w:val="center"/>
              <w:rPr>
                <w:rFonts w:cs="Times New Roman"/>
                <w:noProof/>
                <w:color w:val="375623"/>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731A1E3" w14:textId="77777777" w:rsidR="00F208CE" w:rsidRDefault="00513E84">
            <w:pPr>
              <w:pStyle w:val="P68B1DB1-Normal8"/>
              <w:spacing w:after="0"/>
              <w:jc w:val="center"/>
              <w:rPr>
                <w:rFonts w:cs="Times New Roman"/>
                <w:noProof/>
                <w:color w:val="375623"/>
              </w:rPr>
            </w:pPr>
            <w:r>
              <w:rPr>
                <w:noProof/>
              </w:rPr>
              <w:t>2025</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F4158D" w14:textId="4C148497" w:rsidR="00F208CE" w:rsidRDefault="00513E84">
            <w:pPr>
              <w:pStyle w:val="P68B1DB1-Normal8"/>
              <w:spacing w:after="120"/>
              <w:rPr>
                <w:rFonts w:cs="Times New Roman"/>
                <w:noProof/>
              </w:rPr>
            </w:pPr>
            <w:r>
              <w:rPr>
                <w:noProof/>
              </w:rPr>
              <w:t xml:space="preserve">66 376 viviendas adicionales (viviendas privadas y sociales) renovadas. </w:t>
            </w:r>
          </w:p>
          <w:p w14:paraId="015BE8A9" w14:textId="77777777" w:rsidR="00F208CE" w:rsidRDefault="00513E84">
            <w:pPr>
              <w:pStyle w:val="P68B1DB1-Normal8"/>
              <w:spacing w:after="120"/>
              <w:rPr>
                <w:rFonts w:cs="Times New Roman"/>
                <w:noProof/>
              </w:rPr>
            </w:pPr>
            <w:r>
              <w:rPr>
                <w:noProof/>
              </w:rPr>
              <w:t xml:space="preserve">Este objetivo se desglosa a título indicativo en los siguientes subobjetivos, que no tienen que alcanzarse individualmente </w:t>
            </w:r>
            <w:r>
              <w:rPr>
                <w:noProof/>
              </w:rPr>
              <w:t>siempre que se alcancen los niveles de renovación anteriores:</w:t>
            </w:r>
          </w:p>
          <w:p w14:paraId="21FCFF8C" w14:textId="77777777" w:rsidR="00F208CE" w:rsidRDefault="00513E84">
            <w:pPr>
              <w:pStyle w:val="P68B1DB1-Normal8"/>
              <w:spacing w:after="0"/>
              <w:rPr>
                <w:rFonts w:cs="Times New Roman"/>
                <w:noProof/>
              </w:rPr>
            </w:pPr>
            <w:r>
              <w:rPr>
                <w:noProof/>
                <w:u w:val="single"/>
              </w:rPr>
              <w:t>Vivienda privada</w:t>
            </w:r>
            <w:r>
              <w:rPr>
                <w:noProof/>
              </w:rPr>
              <w:t>:</w:t>
            </w:r>
          </w:p>
          <w:p w14:paraId="01E46040" w14:textId="7314C474" w:rsidR="00F208CE" w:rsidRDefault="00513E84">
            <w:pPr>
              <w:pStyle w:val="P68B1DB1-Normal8"/>
              <w:spacing w:after="120"/>
              <w:rPr>
                <w:rFonts w:cs="Times New Roman"/>
                <w:noProof/>
              </w:rPr>
            </w:pPr>
            <w:r>
              <w:rPr>
                <w:noProof/>
              </w:rPr>
              <w:t>I) Región flamenca (R-1.01, subvenciones para la eficiencia energética y las energías renovables): 66 150 viviendas.</w:t>
            </w:r>
          </w:p>
          <w:p w14:paraId="780B37A3" w14:textId="77777777" w:rsidR="00F208CE" w:rsidRDefault="00513E84">
            <w:pPr>
              <w:pStyle w:val="P68B1DB1-Normal8"/>
              <w:spacing w:after="0"/>
              <w:rPr>
                <w:rFonts w:cs="Times New Roman"/>
                <w:noProof/>
              </w:rPr>
            </w:pPr>
            <w:r>
              <w:rPr>
                <w:noProof/>
                <w:u w:val="single"/>
              </w:rPr>
              <w:t>Vivienda de protección oficial</w:t>
            </w:r>
            <w:r>
              <w:rPr>
                <w:noProof/>
              </w:rPr>
              <w:t>:</w:t>
            </w:r>
          </w:p>
          <w:p w14:paraId="616271A2" w14:textId="77777777" w:rsidR="00F208CE" w:rsidRDefault="00513E84">
            <w:pPr>
              <w:pStyle w:val="P68B1DB1-Normal8"/>
              <w:spacing w:after="0"/>
              <w:rPr>
                <w:rFonts w:cs="Times New Roman"/>
                <w:noProof/>
              </w:rPr>
            </w:pPr>
            <w:r>
              <w:rPr>
                <w:noProof/>
              </w:rPr>
              <w:t xml:space="preserve">I) Región de </w:t>
            </w:r>
            <w:r>
              <w:rPr>
                <w:noProof/>
              </w:rPr>
              <w:t>Bruselas-Capital (I-1.02): 197 unidades de vivienda social</w:t>
            </w:r>
          </w:p>
          <w:p w14:paraId="0F21369D" w14:textId="708531EF" w:rsidR="00F208CE" w:rsidRDefault="00513E84">
            <w:pPr>
              <w:pStyle w:val="P68B1DB1-Normal8"/>
              <w:spacing w:after="0"/>
              <w:rPr>
                <w:rFonts w:cs="Times New Roman"/>
                <w:noProof/>
              </w:rPr>
            </w:pPr>
            <w:r>
              <w:rPr>
                <w:noProof/>
              </w:rPr>
              <w:t>II) Comunidad germanófona (I-1.03): 29 unidades de vivienda social</w:t>
            </w:r>
          </w:p>
          <w:p w14:paraId="25153A6A" w14:textId="0973CF8D" w:rsidR="00F208CE" w:rsidRDefault="00513E84">
            <w:pPr>
              <w:pStyle w:val="P68B1DB1-Normal8"/>
              <w:spacing w:after="0"/>
              <w:rPr>
                <w:rFonts w:cs="Times New Roman"/>
                <w:noProof/>
              </w:rPr>
            </w:pPr>
            <w:r>
              <w:rPr>
                <w:noProof/>
              </w:rPr>
              <w:t>La renovación de 226 viviendas sociales reducirá por término medio al menos el 30 % del consumo de energía primaria, tal como se d</w:t>
            </w:r>
            <w:r>
              <w:rPr>
                <w:noProof/>
              </w:rPr>
              <w:t>efine en la Recomendación (UE) 2019/786 de la Comisión, relativa a la renovación de edificios.</w:t>
            </w:r>
          </w:p>
        </w:tc>
      </w:tr>
      <w:tr w:rsidR="00F208CE" w14:paraId="7BB33251" w14:textId="77777777">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BCA8B3" w14:textId="77777777" w:rsidR="00F208CE" w:rsidRDefault="00513E84">
            <w:pPr>
              <w:pStyle w:val="P68B1DB1-Normal8"/>
              <w:spacing w:after="0"/>
              <w:jc w:val="center"/>
              <w:rPr>
                <w:rFonts w:eastAsia="Times New Roman" w:cs="Times New Roman"/>
                <w:noProof/>
              </w:rPr>
            </w:pPr>
            <w:r>
              <w:rPr>
                <w:noProof/>
              </w:rPr>
              <w:t>9</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17A0A1B0" w14:textId="2F5D0621" w:rsidR="00F208CE" w:rsidRDefault="00513E84">
            <w:pPr>
              <w:pStyle w:val="P68B1DB1-Normal8"/>
              <w:spacing w:after="0"/>
              <w:rPr>
                <w:rFonts w:eastAsia="Times New Roman" w:cs="Times New Roman"/>
                <w:noProof/>
              </w:rPr>
            </w:pPr>
            <w:r>
              <w:rPr>
                <w:noProof/>
              </w:rPr>
              <w:t>Renovación de viviendas privadas y sociales [R-1.01 (iii)]</w:t>
            </w:r>
          </w:p>
        </w:tc>
        <w:tc>
          <w:tcPr>
            <w:tcW w:w="1128" w:type="dxa"/>
            <w:tcBorders>
              <w:top w:val="single" w:sz="4" w:space="0" w:color="auto"/>
              <w:left w:val="nil"/>
              <w:bottom w:val="single" w:sz="4" w:space="0" w:color="auto"/>
              <w:right w:val="single" w:sz="4" w:space="0" w:color="auto"/>
            </w:tcBorders>
            <w:shd w:val="clear" w:color="auto" w:fill="C6EFCE"/>
            <w:noWrap/>
            <w:vAlign w:val="center"/>
          </w:tcPr>
          <w:p w14:paraId="08679B6E" w14:textId="3B8504CA" w:rsidR="00F208CE" w:rsidRDefault="00513E84">
            <w:pPr>
              <w:pStyle w:val="P68B1DB1-Normal8"/>
              <w:spacing w:after="0"/>
              <w:rPr>
                <w:rFonts w:eastAsia="Times New Roman" w:cs="Times New Roman"/>
                <w:noProof/>
              </w:rPr>
            </w:pPr>
            <w:r>
              <w:rPr>
                <w:noProof/>
              </w:rPr>
              <w:t>T</w:t>
            </w:r>
          </w:p>
        </w:tc>
        <w:tc>
          <w:tcPr>
            <w:tcW w:w="1672" w:type="dxa"/>
            <w:tcBorders>
              <w:top w:val="single" w:sz="4" w:space="0" w:color="auto"/>
              <w:left w:val="nil"/>
              <w:bottom w:val="single" w:sz="4" w:space="0" w:color="auto"/>
              <w:right w:val="single" w:sz="4" w:space="0" w:color="auto"/>
            </w:tcBorders>
            <w:shd w:val="clear" w:color="auto" w:fill="C6EFCE"/>
            <w:noWrap/>
            <w:vAlign w:val="center"/>
          </w:tcPr>
          <w:p w14:paraId="09C2912C" w14:textId="77777777" w:rsidR="00F208CE" w:rsidRDefault="00513E84">
            <w:pPr>
              <w:pStyle w:val="P68B1DB1-Normal8"/>
              <w:spacing w:after="0"/>
              <w:rPr>
                <w:rFonts w:eastAsia="Times New Roman" w:cs="Times New Roman"/>
                <w:noProof/>
              </w:rPr>
            </w:pPr>
            <w:r>
              <w:rPr>
                <w:noProof/>
              </w:rPr>
              <w:t>Concesión de subvenciones para baterías domésticas y aparatos de control inteligente en Flandes</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08480008"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4D35EB7A" w14:textId="77777777" w:rsidR="00F208CE" w:rsidRDefault="00513E84">
            <w:pPr>
              <w:pStyle w:val="P68B1DB1-Normal8"/>
              <w:spacing w:after="0"/>
              <w:rPr>
                <w:rFonts w:eastAsia="Times New Roman" w:cs="Times New Roman"/>
                <w:noProof/>
              </w:rPr>
            </w:pPr>
            <w:r>
              <w:rPr>
                <w:noProof/>
              </w:rPr>
              <w:t>Subvenciones concedidas</w:t>
            </w:r>
          </w:p>
        </w:tc>
        <w:tc>
          <w:tcPr>
            <w:tcW w:w="1000" w:type="dxa"/>
            <w:tcBorders>
              <w:top w:val="single" w:sz="4" w:space="0" w:color="auto"/>
              <w:left w:val="nil"/>
              <w:bottom w:val="single" w:sz="4" w:space="0" w:color="auto"/>
              <w:right w:val="single" w:sz="4" w:space="0" w:color="auto"/>
            </w:tcBorders>
            <w:shd w:val="clear" w:color="auto" w:fill="C6EFCE"/>
            <w:noWrap/>
            <w:vAlign w:val="center"/>
          </w:tcPr>
          <w:p w14:paraId="2897867B" w14:textId="77777777" w:rsidR="00F208CE" w:rsidRDefault="00513E84">
            <w:pPr>
              <w:pStyle w:val="P68B1DB1-Normal8"/>
              <w:spacing w:after="0"/>
              <w:rPr>
                <w:rFonts w:eastAsia="Times New Roman" w:cs="Times New Roman"/>
                <w:noProof/>
              </w:rPr>
            </w:pPr>
            <w:r>
              <w:rPr>
                <w:noProof/>
              </w:rPr>
              <w:t>0</w:t>
            </w:r>
          </w:p>
        </w:tc>
        <w:tc>
          <w:tcPr>
            <w:tcW w:w="1280" w:type="dxa"/>
            <w:tcBorders>
              <w:top w:val="single" w:sz="4" w:space="0" w:color="auto"/>
              <w:left w:val="nil"/>
              <w:bottom w:val="single" w:sz="4" w:space="0" w:color="auto"/>
              <w:right w:val="single" w:sz="4" w:space="0" w:color="auto"/>
            </w:tcBorders>
            <w:shd w:val="clear" w:color="auto" w:fill="C6EFCE"/>
            <w:noWrap/>
            <w:vAlign w:val="center"/>
          </w:tcPr>
          <w:p w14:paraId="580EEA62" w14:textId="52BB13EC" w:rsidR="00F208CE" w:rsidRDefault="00513E84">
            <w:pPr>
              <w:pStyle w:val="P68B1DB1-Normal8"/>
              <w:spacing w:after="0"/>
              <w:rPr>
                <w:rFonts w:eastAsia="Times New Roman" w:cs="Times New Roman"/>
                <w:noProof/>
              </w:rPr>
            </w:pPr>
            <w:r>
              <w:rPr>
                <w:noProof/>
              </w:rPr>
              <w:t>8 460</w:t>
            </w: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4F42994D"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490007CC" w14:textId="77777777" w:rsidR="00F208CE" w:rsidRDefault="00513E84">
            <w:pPr>
              <w:pStyle w:val="P68B1DB1-Normal8"/>
              <w:spacing w:after="0"/>
              <w:jc w:val="center"/>
              <w:rPr>
                <w:rFonts w:eastAsia="Times New Roman" w:cs="Times New Roman"/>
                <w:noProof/>
              </w:rPr>
            </w:pPr>
            <w:r>
              <w:rPr>
                <w:noProof/>
              </w:rPr>
              <w:t>2023</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37FB5F" w14:textId="7F78ADEC" w:rsidR="00F208CE" w:rsidRDefault="00513E84">
            <w:pPr>
              <w:pStyle w:val="P68B1DB1-Normal8"/>
              <w:rPr>
                <w:rFonts w:eastAsia="Times New Roman" w:cs="Times New Roman"/>
                <w:noProof/>
              </w:rPr>
            </w:pPr>
            <w:r>
              <w:rPr>
                <w:noProof/>
              </w:rPr>
              <w:t>Subvenciones concedidas para baterías domésticas para viviendas privadas en Flandes desde el primer trimestre de 2 2021.</w:t>
            </w:r>
          </w:p>
        </w:tc>
      </w:tr>
      <w:tr w:rsidR="00F208CE" w14:paraId="33CDC85A" w14:textId="77777777">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F94A7E" w14:textId="77777777" w:rsidR="00F208CE" w:rsidRDefault="00513E84">
            <w:pPr>
              <w:pStyle w:val="P68B1DB1-Normal8"/>
              <w:spacing w:after="0"/>
              <w:jc w:val="center"/>
              <w:rPr>
                <w:rFonts w:cs="Times New Roman"/>
                <w:noProof/>
              </w:rPr>
            </w:pPr>
            <w:r>
              <w:rPr>
                <w:noProof/>
              </w:rPr>
              <w:t>11</w:t>
            </w:r>
          </w:p>
        </w:tc>
        <w:tc>
          <w:tcPr>
            <w:tcW w:w="1731" w:type="dxa"/>
            <w:tcBorders>
              <w:top w:val="single" w:sz="4" w:space="0" w:color="auto"/>
              <w:left w:val="nil"/>
              <w:bottom w:val="single" w:sz="4" w:space="0" w:color="auto"/>
              <w:right w:val="single" w:sz="4" w:space="0" w:color="auto"/>
            </w:tcBorders>
            <w:shd w:val="clear" w:color="auto" w:fill="C6EFCE"/>
            <w:noWrap/>
            <w:vAlign w:val="center"/>
          </w:tcPr>
          <w:p w14:paraId="30AB7C6C" w14:textId="63233563" w:rsidR="00F208CE" w:rsidRDefault="00513E84">
            <w:pPr>
              <w:pStyle w:val="P68B1DB1-Normal8"/>
              <w:spacing w:after="0"/>
              <w:rPr>
                <w:rFonts w:cs="Times New Roman"/>
                <w:noProof/>
              </w:rPr>
            </w:pPr>
            <w:r>
              <w:rPr>
                <w:noProof/>
              </w:rPr>
              <w:t>Renovaciones de edificios públicos (I-1.08)</w:t>
            </w:r>
          </w:p>
        </w:tc>
        <w:tc>
          <w:tcPr>
            <w:tcW w:w="1128" w:type="dxa"/>
            <w:tcBorders>
              <w:top w:val="single" w:sz="4" w:space="0" w:color="auto"/>
              <w:left w:val="nil"/>
              <w:bottom w:val="single" w:sz="4" w:space="0" w:color="auto"/>
              <w:right w:val="single" w:sz="4" w:space="0" w:color="auto"/>
            </w:tcBorders>
            <w:shd w:val="clear" w:color="auto" w:fill="C6EFCE"/>
            <w:noWrap/>
            <w:vAlign w:val="center"/>
          </w:tcPr>
          <w:p w14:paraId="3DD0FB00" w14:textId="58FCEA1C" w:rsidR="00F208CE" w:rsidRDefault="00513E84">
            <w:pPr>
              <w:pStyle w:val="P68B1DB1-Normal8"/>
              <w:spacing w:after="0"/>
              <w:rPr>
                <w:rFonts w:cs="Times New Roman"/>
                <w:noProof/>
              </w:rPr>
            </w:pPr>
            <w:r>
              <w:rPr>
                <w:noProof/>
              </w:rPr>
              <w:t>M</w:t>
            </w:r>
          </w:p>
        </w:tc>
        <w:tc>
          <w:tcPr>
            <w:tcW w:w="1672" w:type="dxa"/>
            <w:tcBorders>
              <w:top w:val="single" w:sz="4" w:space="0" w:color="auto"/>
              <w:left w:val="nil"/>
              <w:bottom w:val="single" w:sz="4" w:space="0" w:color="auto"/>
              <w:right w:val="single" w:sz="4" w:space="0" w:color="auto"/>
            </w:tcBorders>
            <w:shd w:val="clear" w:color="auto" w:fill="C6EFCE"/>
            <w:noWrap/>
            <w:vAlign w:val="center"/>
          </w:tcPr>
          <w:p w14:paraId="153A0F96" w14:textId="28542E8E" w:rsidR="00F208CE" w:rsidRDefault="00513E84">
            <w:pPr>
              <w:pStyle w:val="P68B1DB1-Normal8"/>
              <w:spacing w:after="0"/>
              <w:rPr>
                <w:rFonts w:eastAsia="Times New Roman" w:cs="Times New Roman"/>
                <w:noProof/>
              </w:rPr>
            </w:pPr>
            <w:r>
              <w:rPr>
                <w:noProof/>
              </w:rPr>
              <w:t>Adaptación de la ordenanza sobre electricidad para introducir una ventanilla única para las renovaciones</w:t>
            </w:r>
          </w:p>
        </w:tc>
        <w:tc>
          <w:tcPr>
            <w:tcW w:w="1231" w:type="dxa"/>
            <w:tcBorders>
              <w:top w:val="single" w:sz="4" w:space="0" w:color="auto"/>
              <w:left w:val="nil"/>
              <w:bottom w:val="single" w:sz="4" w:space="0" w:color="auto"/>
              <w:right w:val="single" w:sz="4" w:space="0" w:color="auto"/>
            </w:tcBorders>
            <w:shd w:val="clear" w:color="auto" w:fill="C6EFCE"/>
            <w:noWrap/>
            <w:vAlign w:val="center"/>
          </w:tcPr>
          <w:p w14:paraId="6F74A623" w14:textId="77777777" w:rsidR="00F208CE" w:rsidRDefault="00513E84">
            <w:pPr>
              <w:pStyle w:val="P68B1DB1-Normal8"/>
              <w:spacing w:after="0"/>
              <w:rPr>
                <w:rFonts w:eastAsia="Times New Roman" w:cs="Times New Roman"/>
                <w:noProof/>
              </w:rPr>
            </w:pPr>
            <w:r>
              <w:rPr>
                <w:noProof/>
              </w:rPr>
              <w:t>Publicación en el Diario Oficial de la Ordenanza de la Electricidad</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691672D7" w14:textId="77777777" w:rsidR="00F208CE" w:rsidRDefault="00F208CE">
            <w:pPr>
              <w:spacing w:after="0"/>
              <w:rPr>
                <w:rFonts w:ascii="Times New Roman" w:hAnsi="Times New Roman" w:cs="Times New Roman"/>
                <w:noProof/>
                <w:color w:val="006100"/>
              </w:rPr>
            </w:pPr>
          </w:p>
        </w:tc>
        <w:tc>
          <w:tcPr>
            <w:tcW w:w="1000" w:type="dxa"/>
            <w:tcBorders>
              <w:top w:val="single" w:sz="4" w:space="0" w:color="auto"/>
              <w:left w:val="nil"/>
              <w:bottom w:val="single" w:sz="4" w:space="0" w:color="auto"/>
              <w:right w:val="single" w:sz="4" w:space="0" w:color="auto"/>
            </w:tcBorders>
            <w:shd w:val="clear" w:color="auto" w:fill="C6EFCE"/>
            <w:noWrap/>
            <w:vAlign w:val="center"/>
          </w:tcPr>
          <w:p w14:paraId="1D409220" w14:textId="77777777" w:rsidR="00F208CE" w:rsidRDefault="00F208CE">
            <w:pPr>
              <w:spacing w:after="0"/>
              <w:rPr>
                <w:rFonts w:ascii="Times New Roman" w:hAnsi="Times New Roman" w:cs="Times New Roman"/>
                <w:noProof/>
                <w:color w:val="006100"/>
              </w:rPr>
            </w:pPr>
          </w:p>
        </w:tc>
        <w:tc>
          <w:tcPr>
            <w:tcW w:w="1280" w:type="dxa"/>
            <w:tcBorders>
              <w:top w:val="single" w:sz="4" w:space="0" w:color="auto"/>
              <w:left w:val="nil"/>
              <w:bottom w:val="single" w:sz="4" w:space="0" w:color="auto"/>
              <w:right w:val="single" w:sz="4" w:space="0" w:color="auto"/>
            </w:tcBorders>
            <w:shd w:val="clear" w:color="auto" w:fill="C6EFCE"/>
            <w:noWrap/>
            <w:vAlign w:val="center"/>
          </w:tcPr>
          <w:p w14:paraId="51329E4E" w14:textId="77777777" w:rsidR="00F208CE" w:rsidRDefault="00F208CE">
            <w:pPr>
              <w:spacing w:after="0"/>
              <w:rPr>
                <w:rFonts w:ascii="Times New Roman" w:hAnsi="Times New Roman" w:cs="Times New Roman"/>
                <w:noProof/>
                <w:color w:val="006100"/>
              </w:rPr>
            </w:pP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1DEFF785" w14:textId="77777777" w:rsidR="00F208CE" w:rsidRDefault="00513E84">
            <w:pPr>
              <w:pStyle w:val="P68B1DB1-Normal8"/>
              <w:spacing w:after="0"/>
              <w:jc w:val="center"/>
              <w:rPr>
                <w:rFonts w:cs="Times New Roman"/>
                <w:noProof/>
              </w:rPr>
            </w:pPr>
            <w:r>
              <w:rPr>
                <w:noProof/>
              </w:rPr>
              <w:t>TERCER TRIMESTRE 1</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19F77359" w14:textId="77777777" w:rsidR="00F208CE" w:rsidRDefault="00513E84">
            <w:pPr>
              <w:pStyle w:val="P68B1DB1-Normal8"/>
              <w:spacing w:after="0"/>
              <w:jc w:val="center"/>
              <w:rPr>
                <w:rFonts w:cs="Times New Roman"/>
                <w:noProof/>
              </w:rPr>
            </w:pPr>
            <w:r>
              <w:rPr>
                <w:noProof/>
              </w:rPr>
              <w:t>2022</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10E27E" w14:textId="58C3F2E7" w:rsidR="00F208CE" w:rsidRDefault="00513E84">
            <w:pPr>
              <w:pStyle w:val="P68B1DB1-Normal8"/>
              <w:spacing w:after="0"/>
              <w:rPr>
                <w:rFonts w:cs="Times New Roman"/>
                <w:noProof/>
                <w:highlight w:val="cyan"/>
              </w:rPr>
            </w:pPr>
            <w:r>
              <w:rPr>
                <w:noProof/>
              </w:rPr>
              <w:t>Entrada en vigor de la ordenanza eléctrica por la que se</w:t>
            </w:r>
            <w:r>
              <w:rPr>
                <w:noProof/>
              </w:rPr>
              <w:t xml:space="preserve"> define la misión de servicio público de Sibelga, incluido el funcionamiento de la ventanilla única para las renovaciones públicas en Bruselas.</w:t>
            </w:r>
          </w:p>
        </w:tc>
      </w:tr>
      <w:tr w:rsidR="00F208CE" w14:paraId="30DE7795" w14:textId="77777777">
        <w:trPr>
          <w:trHeight w:val="313"/>
        </w:trPr>
        <w:tc>
          <w:tcPr>
            <w:tcW w:w="714" w:type="dxa"/>
            <w:tcBorders>
              <w:top w:val="nil"/>
              <w:left w:val="single" w:sz="4" w:space="0" w:color="auto"/>
              <w:bottom w:val="single" w:sz="4" w:space="0" w:color="auto"/>
              <w:right w:val="single" w:sz="4" w:space="0" w:color="auto"/>
            </w:tcBorders>
            <w:shd w:val="clear" w:color="auto" w:fill="C6EFCE"/>
            <w:noWrap/>
            <w:vAlign w:val="center"/>
          </w:tcPr>
          <w:p w14:paraId="788BF098" w14:textId="77777777" w:rsidR="00F208CE" w:rsidRDefault="00513E84">
            <w:pPr>
              <w:pStyle w:val="P68B1DB1-Normal8"/>
              <w:spacing w:after="0"/>
              <w:jc w:val="center"/>
              <w:rPr>
                <w:rFonts w:eastAsia="Times New Roman" w:cs="Times New Roman"/>
                <w:noProof/>
              </w:rPr>
            </w:pPr>
            <w:r>
              <w:rPr>
                <w:noProof/>
              </w:rPr>
              <w:t>12</w:t>
            </w:r>
          </w:p>
        </w:tc>
        <w:tc>
          <w:tcPr>
            <w:tcW w:w="1731" w:type="dxa"/>
            <w:tcBorders>
              <w:top w:val="nil"/>
              <w:left w:val="nil"/>
              <w:bottom w:val="single" w:sz="4" w:space="0" w:color="auto"/>
              <w:right w:val="single" w:sz="4" w:space="0" w:color="auto"/>
            </w:tcBorders>
            <w:shd w:val="clear" w:color="auto" w:fill="C6EFCE"/>
            <w:noWrap/>
            <w:vAlign w:val="center"/>
          </w:tcPr>
          <w:p w14:paraId="715BCC23" w14:textId="77777777" w:rsidR="00F208CE" w:rsidRDefault="00513E84">
            <w:pPr>
              <w:pStyle w:val="P68B1DB1-Normal8"/>
              <w:spacing w:after="0"/>
              <w:rPr>
                <w:rFonts w:cs="Times New Roman"/>
                <w:noProof/>
              </w:rPr>
            </w:pPr>
            <w:r>
              <w:rPr>
                <w:noProof/>
              </w:rPr>
              <w:t>Renovación de edificios públicos</w:t>
            </w:r>
          </w:p>
          <w:p w14:paraId="2B99F77F" w14:textId="704A5CE2" w:rsidR="00F208CE" w:rsidRDefault="00513E84">
            <w:pPr>
              <w:pStyle w:val="P68B1DB1-Normal8"/>
              <w:spacing w:after="0"/>
              <w:rPr>
                <w:rFonts w:cs="Times New Roman"/>
                <w:noProof/>
              </w:rPr>
            </w:pPr>
            <w:r>
              <w:rPr>
                <w:noProof/>
              </w:rPr>
              <w:t>(I-1B)</w:t>
            </w:r>
          </w:p>
        </w:tc>
        <w:tc>
          <w:tcPr>
            <w:tcW w:w="1128" w:type="dxa"/>
            <w:tcBorders>
              <w:top w:val="nil"/>
              <w:left w:val="nil"/>
              <w:bottom w:val="single" w:sz="4" w:space="0" w:color="auto"/>
              <w:right w:val="single" w:sz="4" w:space="0" w:color="auto"/>
            </w:tcBorders>
            <w:shd w:val="clear" w:color="auto" w:fill="C6EFCE"/>
            <w:noWrap/>
            <w:vAlign w:val="center"/>
          </w:tcPr>
          <w:p w14:paraId="4CB89BC7" w14:textId="357F91E4" w:rsidR="00F208CE" w:rsidRDefault="00513E84">
            <w:pPr>
              <w:pStyle w:val="P68B1DB1-Normal8"/>
              <w:spacing w:after="0"/>
              <w:rPr>
                <w:rFonts w:eastAsia="Times New Roman" w:cs="Times New Roman"/>
                <w:noProof/>
              </w:rPr>
            </w:pPr>
            <w:r>
              <w:rPr>
                <w:noProof/>
              </w:rPr>
              <w:t>T</w:t>
            </w:r>
          </w:p>
        </w:tc>
        <w:tc>
          <w:tcPr>
            <w:tcW w:w="1672" w:type="dxa"/>
            <w:tcBorders>
              <w:top w:val="nil"/>
              <w:left w:val="nil"/>
              <w:bottom w:val="single" w:sz="4" w:space="0" w:color="auto"/>
              <w:right w:val="single" w:sz="4" w:space="0" w:color="auto"/>
            </w:tcBorders>
            <w:shd w:val="clear" w:color="auto" w:fill="C6EFCE"/>
            <w:noWrap/>
            <w:vAlign w:val="center"/>
          </w:tcPr>
          <w:p w14:paraId="613CF68F" w14:textId="77777777" w:rsidR="00F208CE" w:rsidRDefault="00513E84">
            <w:pPr>
              <w:pStyle w:val="P68B1DB1-Normal8"/>
              <w:spacing w:after="0"/>
              <w:rPr>
                <w:rFonts w:eastAsia="Times New Roman" w:cs="Times New Roman"/>
                <w:noProof/>
              </w:rPr>
            </w:pPr>
            <w:r>
              <w:rPr>
                <w:noProof/>
              </w:rPr>
              <w:t>Renovación de edificios públicos (etapa 1)</w:t>
            </w:r>
          </w:p>
        </w:tc>
        <w:tc>
          <w:tcPr>
            <w:tcW w:w="1231" w:type="dxa"/>
            <w:tcBorders>
              <w:top w:val="nil"/>
              <w:left w:val="nil"/>
              <w:bottom w:val="single" w:sz="4" w:space="0" w:color="auto"/>
              <w:right w:val="single" w:sz="4" w:space="0" w:color="auto"/>
            </w:tcBorders>
            <w:shd w:val="clear" w:color="auto" w:fill="C6EFCE"/>
            <w:noWrap/>
            <w:vAlign w:val="center"/>
          </w:tcPr>
          <w:p w14:paraId="7ACBC0E9" w14:textId="77777777" w:rsidR="00F208CE" w:rsidRDefault="00F208CE">
            <w:pPr>
              <w:spacing w:after="0"/>
              <w:rPr>
                <w:rFonts w:ascii="Times New Roman" w:eastAsia="Times New Roman" w:hAnsi="Times New Roman" w:cs="Times New Roman"/>
                <w:noProof/>
                <w:color w:val="006100"/>
              </w:rPr>
            </w:pPr>
          </w:p>
        </w:tc>
        <w:tc>
          <w:tcPr>
            <w:tcW w:w="1200" w:type="dxa"/>
            <w:tcBorders>
              <w:top w:val="nil"/>
              <w:left w:val="nil"/>
              <w:bottom w:val="single" w:sz="4" w:space="0" w:color="auto"/>
              <w:right w:val="single" w:sz="4" w:space="0" w:color="auto"/>
            </w:tcBorders>
            <w:shd w:val="clear" w:color="auto" w:fill="C6EFCE"/>
            <w:noWrap/>
            <w:vAlign w:val="center"/>
          </w:tcPr>
          <w:p w14:paraId="75B4993C" w14:textId="77777777" w:rsidR="00F208CE" w:rsidRDefault="00513E84">
            <w:pPr>
              <w:pStyle w:val="P68B1DB1-Normal8"/>
              <w:spacing w:after="0"/>
              <w:rPr>
                <w:rFonts w:eastAsia="Times New Roman" w:cs="Times New Roman"/>
                <w:noProof/>
              </w:rPr>
            </w:pPr>
            <w:r>
              <w:rPr>
                <w:noProof/>
              </w:rPr>
              <w:t>m²</w:t>
            </w:r>
          </w:p>
        </w:tc>
        <w:tc>
          <w:tcPr>
            <w:tcW w:w="1000" w:type="dxa"/>
            <w:tcBorders>
              <w:top w:val="nil"/>
              <w:left w:val="nil"/>
              <w:bottom w:val="single" w:sz="4" w:space="0" w:color="auto"/>
              <w:right w:val="single" w:sz="4" w:space="0" w:color="auto"/>
            </w:tcBorders>
            <w:shd w:val="clear" w:color="auto" w:fill="C6EFCE"/>
            <w:noWrap/>
            <w:vAlign w:val="center"/>
          </w:tcPr>
          <w:p w14:paraId="2C6796E6" w14:textId="77777777" w:rsidR="00F208CE" w:rsidRDefault="00513E84">
            <w:pPr>
              <w:pStyle w:val="P68B1DB1-Normal8"/>
              <w:spacing w:after="0"/>
              <w:rPr>
                <w:rFonts w:eastAsia="Times New Roman" w:cs="Times New Roman"/>
                <w:noProof/>
              </w:rPr>
            </w:pPr>
            <w:r>
              <w:rPr>
                <w:noProof/>
              </w:rPr>
              <w:t>0</w:t>
            </w:r>
          </w:p>
        </w:tc>
        <w:tc>
          <w:tcPr>
            <w:tcW w:w="1280" w:type="dxa"/>
            <w:tcBorders>
              <w:top w:val="nil"/>
              <w:left w:val="nil"/>
              <w:bottom w:val="single" w:sz="4" w:space="0" w:color="auto"/>
              <w:right w:val="single" w:sz="4" w:space="0" w:color="auto"/>
            </w:tcBorders>
            <w:shd w:val="clear" w:color="auto" w:fill="C6EFCE"/>
            <w:noWrap/>
            <w:vAlign w:val="center"/>
          </w:tcPr>
          <w:p w14:paraId="3DFE5A0F" w14:textId="2F1FF9EA" w:rsidR="00F208CE" w:rsidRDefault="00513E84">
            <w:pPr>
              <w:pStyle w:val="P68B1DB1-Normal8"/>
              <w:spacing w:after="0"/>
              <w:rPr>
                <w:rFonts w:eastAsia="Times New Roman" w:cs="Times New Roman"/>
                <w:noProof/>
              </w:rPr>
            </w:pPr>
            <w:r>
              <w:rPr>
                <w:noProof/>
              </w:rPr>
              <w:t>4 500</w:t>
            </w:r>
          </w:p>
        </w:tc>
        <w:tc>
          <w:tcPr>
            <w:tcW w:w="960" w:type="dxa"/>
            <w:tcBorders>
              <w:top w:val="nil"/>
              <w:left w:val="nil"/>
              <w:bottom w:val="single" w:sz="4" w:space="0" w:color="auto"/>
              <w:right w:val="single" w:sz="4" w:space="0" w:color="auto"/>
            </w:tcBorders>
            <w:shd w:val="clear" w:color="auto" w:fill="C6EFCE"/>
            <w:noWrap/>
            <w:vAlign w:val="center"/>
          </w:tcPr>
          <w:p w14:paraId="61D1CF08" w14:textId="77777777" w:rsidR="00F208CE" w:rsidRDefault="00513E84">
            <w:pPr>
              <w:pStyle w:val="P68B1DB1-Normal8"/>
              <w:spacing w:after="0"/>
              <w:jc w:val="center"/>
              <w:rPr>
                <w:rFonts w:eastAsia="Times New Roman" w:cs="Times New Roman"/>
                <w:noProof/>
              </w:rPr>
            </w:pPr>
            <w:r>
              <w:rPr>
                <w:noProof/>
              </w:rPr>
              <w:t xml:space="preserve">TERCER </w:t>
            </w:r>
            <w:r>
              <w:rPr>
                <w:noProof/>
              </w:rPr>
              <w:t>TRIMESTRE 2</w:t>
            </w:r>
          </w:p>
        </w:tc>
        <w:tc>
          <w:tcPr>
            <w:tcW w:w="720" w:type="dxa"/>
            <w:tcBorders>
              <w:top w:val="nil"/>
              <w:left w:val="nil"/>
              <w:bottom w:val="single" w:sz="4" w:space="0" w:color="auto"/>
              <w:right w:val="single" w:sz="4" w:space="0" w:color="auto"/>
            </w:tcBorders>
            <w:shd w:val="clear" w:color="auto" w:fill="C6EFCE"/>
            <w:noWrap/>
            <w:vAlign w:val="center"/>
          </w:tcPr>
          <w:p w14:paraId="49006117" w14:textId="77777777" w:rsidR="00F208CE" w:rsidRDefault="00513E84">
            <w:pPr>
              <w:pStyle w:val="P68B1DB1-Normal8"/>
              <w:spacing w:after="0"/>
              <w:jc w:val="center"/>
              <w:rPr>
                <w:rFonts w:eastAsia="Times New Roman" w:cs="Times New Roman"/>
                <w:noProof/>
              </w:rPr>
            </w:pPr>
            <w:r>
              <w:rPr>
                <w:noProof/>
              </w:rPr>
              <w:t>2024</w:t>
            </w:r>
          </w:p>
        </w:tc>
        <w:tc>
          <w:tcPr>
            <w:tcW w:w="4410" w:type="dxa"/>
            <w:tcBorders>
              <w:top w:val="nil"/>
              <w:left w:val="single" w:sz="4" w:space="0" w:color="auto"/>
              <w:bottom w:val="single" w:sz="4" w:space="0" w:color="auto"/>
              <w:right w:val="single" w:sz="4" w:space="0" w:color="auto"/>
            </w:tcBorders>
            <w:shd w:val="clear" w:color="auto" w:fill="C6EFCE"/>
            <w:noWrap/>
            <w:vAlign w:val="center"/>
          </w:tcPr>
          <w:p w14:paraId="2E997A83" w14:textId="181E1B31" w:rsidR="00F208CE" w:rsidRDefault="00513E84">
            <w:pPr>
              <w:pStyle w:val="P68B1DB1-Normal8"/>
              <w:spacing w:after="120"/>
              <w:rPr>
                <w:rFonts w:eastAsia="Times New Roman" w:cs="Times New Roman"/>
                <w:noProof/>
                <w:highlight w:val="cyan"/>
              </w:rPr>
            </w:pPr>
            <w:r>
              <w:rPr>
                <w:noProof/>
              </w:rPr>
              <w:t>Estado Federal (I-1.04): 4 500 m² de edificios públicos renovados, incluidos 2 610 m² con una reducción media de al menos el 30 % del consumo de energía primaria, tal como se define en la Recomendación (UE) 2019/786 de la Comisión relativa</w:t>
            </w:r>
            <w:r>
              <w:rPr>
                <w:noProof/>
              </w:rPr>
              <w:t xml:space="preserve"> a la renovación de edificios.</w:t>
            </w:r>
          </w:p>
          <w:p w14:paraId="5B60EFDA" w14:textId="2093AD01" w:rsidR="00F208CE" w:rsidRDefault="00F208CE">
            <w:pPr>
              <w:spacing w:after="0"/>
              <w:rPr>
                <w:rFonts w:ascii="Times New Roman" w:eastAsia="Times New Roman" w:hAnsi="Times New Roman" w:cs="Times New Roman"/>
                <w:noProof/>
                <w:color w:val="006100"/>
                <w:highlight w:val="cyan"/>
              </w:rPr>
            </w:pPr>
          </w:p>
        </w:tc>
      </w:tr>
      <w:tr w:rsidR="00F208CE" w14:paraId="567F8DCC" w14:textId="77777777">
        <w:trPr>
          <w:trHeight w:val="313"/>
        </w:trPr>
        <w:tc>
          <w:tcPr>
            <w:tcW w:w="714" w:type="dxa"/>
            <w:tcBorders>
              <w:top w:val="nil"/>
              <w:left w:val="single" w:sz="4" w:space="0" w:color="auto"/>
              <w:bottom w:val="single" w:sz="4" w:space="0" w:color="auto"/>
              <w:right w:val="single" w:sz="4" w:space="0" w:color="auto"/>
            </w:tcBorders>
            <w:shd w:val="clear" w:color="auto" w:fill="C6EFCE"/>
            <w:noWrap/>
            <w:vAlign w:val="center"/>
          </w:tcPr>
          <w:p w14:paraId="619E4C7E" w14:textId="77777777" w:rsidR="00F208CE" w:rsidRDefault="00513E84">
            <w:pPr>
              <w:pStyle w:val="P68B1DB1-Normal8"/>
              <w:spacing w:after="0"/>
              <w:jc w:val="center"/>
              <w:rPr>
                <w:rFonts w:eastAsia="Times New Roman" w:cs="Times New Roman"/>
                <w:noProof/>
              </w:rPr>
            </w:pPr>
            <w:r>
              <w:rPr>
                <w:noProof/>
              </w:rPr>
              <w:t>13</w:t>
            </w:r>
          </w:p>
        </w:tc>
        <w:tc>
          <w:tcPr>
            <w:tcW w:w="173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DDFFD0" w14:textId="77777777" w:rsidR="00F208CE" w:rsidRDefault="00513E84">
            <w:pPr>
              <w:pStyle w:val="P68B1DB1-Normal8"/>
              <w:spacing w:after="0"/>
              <w:rPr>
                <w:rFonts w:cs="Times New Roman"/>
                <w:noProof/>
              </w:rPr>
            </w:pPr>
            <w:r>
              <w:rPr>
                <w:noProof/>
              </w:rPr>
              <w:t>Renovación de edificios públicos</w:t>
            </w:r>
          </w:p>
          <w:p w14:paraId="10E974EA" w14:textId="5F5EF0B1" w:rsidR="00F208CE" w:rsidRDefault="00513E84">
            <w:pPr>
              <w:pStyle w:val="P68B1DB1-Normal8"/>
              <w:spacing w:after="0"/>
              <w:rPr>
                <w:rFonts w:eastAsia="Times New Roman" w:cs="Times New Roman"/>
                <w:noProof/>
              </w:rPr>
            </w:pPr>
            <w:r>
              <w:rPr>
                <w:noProof/>
              </w:rPr>
              <w:t>(I-1B)</w:t>
            </w:r>
          </w:p>
        </w:tc>
        <w:tc>
          <w:tcPr>
            <w:tcW w:w="112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36E123" w14:textId="2A1ED641" w:rsidR="00F208CE" w:rsidRDefault="00513E84">
            <w:pPr>
              <w:pStyle w:val="P68B1DB1-Normal8"/>
              <w:spacing w:after="0"/>
              <w:rPr>
                <w:rFonts w:eastAsia="Times New Roman" w:cs="Times New Roman"/>
                <w:noProof/>
              </w:rPr>
            </w:pPr>
            <w:r>
              <w:rPr>
                <w:noProof/>
              </w:rPr>
              <w:t>T</w:t>
            </w:r>
          </w:p>
        </w:tc>
        <w:tc>
          <w:tcPr>
            <w:tcW w:w="167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67FB65" w14:textId="77777777" w:rsidR="00F208CE" w:rsidRDefault="00513E84">
            <w:pPr>
              <w:pStyle w:val="P68B1DB1-Normal8"/>
              <w:spacing w:after="0"/>
              <w:rPr>
                <w:rFonts w:eastAsia="Times New Roman" w:cs="Times New Roman"/>
                <w:noProof/>
              </w:rPr>
            </w:pPr>
            <w:r>
              <w:rPr>
                <w:noProof/>
              </w:rPr>
              <w:t>Renovación de edificios públicos (etapa 2)</w:t>
            </w:r>
          </w:p>
        </w:tc>
        <w:tc>
          <w:tcPr>
            <w:tcW w:w="123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2418F4"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DDF226" w14:textId="77777777" w:rsidR="00F208CE" w:rsidRDefault="00513E84">
            <w:pPr>
              <w:pStyle w:val="P68B1DB1-Normal8"/>
              <w:spacing w:after="0"/>
              <w:rPr>
                <w:rFonts w:eastAsia="Times New Roman" w:cs="Times New Roman"/>
                <w:noProof/>
              </w:rPr>
            </w:pPr>
            <w:r>
              <w:rPr>
                <w:noProof/>
              </w:rPr>
              <w:t>m²</w:t>
            </w:r>
          </w:p>
        </w:tc>
        <w:tc>
          <w:tcPr>
            <w:tcW w:w="100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0EA30D" w14:textId="1036527E" w:rsidR="00F208CE" w:rsidRDefault="00513E84">
            <w:pPr>
              <w:pStyle w:val="P68B1DB1-Normal8"/>
              <w:spacing w:after="0"/>
              <w:rPr>
                <w:rFonts w:eastAsia="Times New Roman" w:cs="Times New Roman"/>
                <w:noProof/>
              </w:rPr>
            </w:pPr>
            <w:r>
              <w:rPr>
                <w:noProof/>
              </w:rPr>
              <w:t>4 500</w:t>
            </w:r>
          </w:p>
        </w:tc>
        <w:tc>
          <w:tcPr>
            <w:tcW w:w="128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91CD16" w14:textId="75898FD1" w:rsidR="00F208CE" w:rsidRDefault="00513E84">
            <w:pPr>
              <w:pStyle w:val="P68B1DB1-Normal8"/>
              <w:spacing w:after="0"/>
              <w:rPr>
                <w:rFonts w:eastAsia="Times New Roman" w:cs="Times New Roman"/>
                <w:noProof/>
              </w:rPr>
            </w:pPr>
            <w:r>
              <w:rPr>
                <w:noProof/>
              </w:rPr>
              <w:t>256 690</w:t>
            </w:r>
          </w:p>
        </w:tc>
        <w:tc>
          <w:tcPr>
            <w:tcW w:w="9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75BB02"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93F26D" w14:textId="77777777" w:rsidR="00F208CE" w:rsidRDefault="00513E84">
            <w:pPr>
              <w:pStyle w:val="P68B1DB1-Normal8"/>
              <w:spacing w:after="0"/>
              <w:jc w:val="center"/>
              <w:rPr>
                <w:rFonts w:eastAsia="Times New Roman" w:cs="Times New Roman"/>
                <w:noProof/>
              </w:rPr>
            </w:pPr>
            <w:r>
              <w:rPr>
                <w:noProof/>
              </w:rPr>
              <w:t>2025</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C80A00" w14:textId="178CCD7F" w:rsidR="00F208CE" w:rsidRDefault="00513E84">
            <w:pPr>
              <w:pStyle w:val="P68B1DB1-Normal8"/>
              <w:spacing w:after="120"/>
              <w:rPr>
                <w:rFonts w:eastAsia="Times New Roman" w:cs="Times New Roman"/>
                <w:noProof/>
              </w:rPr>
            </w:pPr>
            <w:r>
              <w:rPr>
                <w:noProof/>
              </w:rPr>
              <w:t xml:space="preserve">252 190 m² adicionales de edificios públicos renovados, incluidos 20 477 m² que reduzcan por </w:t>
            </w:r>
            <w:r>
              <w:rPr>
                <w:noProof/>
              </w:rPr>
              <w:t>término medio al menos el 30 % del consumo de energía primaria, tal como se define en la Recomendación (UE) 2019/786 de la Comisión relativa a la renovación de edificios.</w:t>
            </w:r>
          </w:p>
          <w:p w14:paraId="6DDCB104" w14:textId="507BFDDF" w:rsidR="00F208CE" w:rsidRDefault="00513E84">
            <w:pPr>
              <w:pStyle w:val="P68B1DB1-Normal8"/>
              <w:spacing w:after="0"/>
              <w:rPr>
                <w:rFonts w:eastAsia="Times New Roman" w:cs="Times New Roman"/>
                <w:noProof/>
              </w:rPr>
            </w:pPr>
            <w:r>
              <w:rPr>
                <w:noProof/>
              </w:rPr>
              <w:t xml:space="preserve">Este objetivo se desglosa a título indicativo en los siguientes subobjetivos, que no </w:t>
            </w:r>
            <w:r>
              <w:rPr>
                <w:noProof/>
              </w:rPr>
              <w:t>tienen que alcanzarse individualmente siempre que se alcancen los niveles totales de renovación anteriores:</w:t>
            </w:r>
          </w:p>
          <w:p w14:paraId="467FD51F" w14:textId="2BC0AAB0" w:rsidR="00F208CE" w:rsidRDefault="00513E84">
            <w:pPr>
              <w:pStyle w:val="P68B1DB1-Normal8"/>
              <w:spacing w:after="0"/>
              <w:rPr>
                <w:rFonts w:eastAsia="Times New Roman" w:cs="Times New Roman"/>
                <w:noProof/>
              </w:rPr>
            </w:pPr>
            <w:r>
              <w:rPr>
                <w:noProof/>
              </w:rPr>
              <w:t xml:space="preserve">I) </w:t>
            </w:r>
            <w:r>
              <w:rPr>
                <w:noProof/>
                <w:u w:val="single"/>
              </w:rPr>
              <w:t>Estado Federal</w:t>
            </w:r>
            <w:r>
              <w:rPr>
                <w:noProof/>
              </w:rPr>
              <w:t xml:space="preserve"> (I-1.04): 6 300 m², de los cuales 3 654 m² reducirán por término medio al menos el 30 % del consumo de energía primaria, tal como </w:t>
            </w:r>
            <w:r>
              <w:rPr>
                <w:noProof/>
              </w:rPr>
              <w:t>se define en la Recomendación (UE) 2019/786 de la Comisión relativa a la renovación de edificios.</w:t>
            </w:r>
          </w:p>
          <w:p w14:paraId="311FEB0B" w14:textId="5836B442" w:rsidR="00F208CE" w:rsidRDefault="00513E84">
            <w:pPr>
              <w:pStyle w:val="P68B1DB1-Normal8"/>
              <w:spacing w:after="0"/>
              <w:rPr>
                <w:rFonts w:cs="Times New Roman"/>
                <w:noProof/>
              </w:rPr>
            </w:pPr>
            <w:r>
              <w:rPr>
                <w:noProof/>
              </w:rPr>
              <w:t xml:space="preserve">II) </w:t>
            </w:r>
            <w:r>
              <w:rPr>
                <w:noProof/>
                <w:u w:val="single"/>
              </w:rPr>
              <w:t>Región Flamenca</w:t>
            </w:r>
            <w:r>
              <w:rPr>
                <w:noProof/>
              </w:rPr>
              <w:t xml:space="preserve"> (I-1.05): 157 245 m².</w:t>
            </w:r>
          </w:p>
          <w:p w14:paraId="15CF12A6" w14:textId="24F31082" w:rsidR="00F208CE" w:rsidRDefault="00513E84">
            <w:pPr>
              <w:pStyle w:val="P68B1DB1-Normal8"/>
              <w:spacing w:after="0"/>
              <w:rPr>
                <w:rFonts w:eastAsia="Times New Roman" w:cs="Times New Roman"/>
                <w:noProof/>
              </w:rPr>
            </w:pPr>
            <w:r>
              <w:rPr>
                <w:noProof/>
              </w:rPr>
              <w:t xml:space="preserve">III) </w:t>
            </w:r>
            <w:r>
              <w:rPr>
                <w:noProof/>
                <w:u w:val="single"/>
              </w:rPr>
              <w:t>Región Valona</w:t>
            </w:r>
            <w:r>
              <w:rPr>
                <w:noProof/>
              </w:rPr>
              <w:t xml:space="preserve"> (I-1.07): 16 824 m².</w:t>
            </w:r>
          </w:p>
          <w:p w14:paraId="01D4A9B7" w14:textId="4876B9EF" w:rsidR="00F208CE" w:rsidRDefault="00513E84">
            <w:pPr>
              <w:pStyle w:val="P68B1DB1-Normal8"/>
              <w:spacing w:after="0"/>
              <w:rPr>
                <w:rFonts w:eastAsia="Times New Roman" w:cs="Times New Roman"/>
                <w:noProof/>
              </w:rPr>
            </w:pPr>
            <w:r>
              <w:rPr>
                <w:noProof/>
              </w:rPr>
              <w:t xml:space="preserve">IV) </w:t>
            </w:r>
            <w:r>
              <w:rPr>
                <w:noProof/>
                <w:u w:val="single"/>
              </w:rPr>
              <w:t>Comunidad Francesa</w:t>
            </w:r>
            <w:r>
              <w:rPr>
                <w:noProof/>
              </w:rPr>
              <w:t xml:space="preserve"> (I-1.09, I-1.10, I-1.11, I-1.12): 71 821 m², de los c</w:t>
            </w:r>
            <w:r>
              <w:rPr>
                <w:noProof/>
              </w:rPr>
              <w:t>uales 16 823 m² reducirán por término medio al menos el 30 % del consumo de energía primaria, tal como se define en la Recomendación (UE) 2019/786 de la Comisión relativa a la renovación de edificios.</w:t>
            </w:r>
          </w:p>
        </w:tc>
      </w:tr>
      <w:tr w:rsidR="00F208CE" w14:paraId="53555842" w14:textId="77777777">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6FAD6A" w14:textId="77777777" w:rsidR="00F208CE" w:rsidRDefault="00513E84">
            <w:pPr>
              <w:pStyle w:val="P68B1DB1-Normal8"/>
              <w:spacing w:after="0"/>
              <w:jc w:val="center"/>
              <w:rPr>
                <w:rFonts w:eastAsia="Times New Roman" w:cs="Times New Roman"/>
                <w:noProof/>
              </w:rPr>
            </w:pPr>
            <w:r>
              <w:rPr>
                <w:noProof/>
              </w:rPr>
              <w:t>14</w:t>
            </w:r>
          </w:p>
        </w:tc>
        <w:tc>
          <w:tcPr>
            <w:tcW w:w="173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FFF967" w14:textId="77777777" w:rsidR="00F208CE" w:rsidRDefault="00513E84">
            <w:pPr>
              <w:pStyle w:val="P68B1DB1-Normal8"/>
              <w:spacing w:after="0"/>
              <w:rPr>
                <w:rFonts w:cs="Times New Roman"/>
                <w:noProof/>
              </w:rPr>
            </w:pPr>
            <w:r>
              <w:rPr>
                <w:noProof/>
              </w:rPr>
              <w:t>Renovación de edificios públicos</w:t>
            </w:r>
          </w:p>
          <w:p w14:paraId="355CB857" w14:textId="0DC7E1C4" w:rsidR="00F208CE" w:rsidRDefault="00513E84">
            <w:pPr>
              <w:pStyle w:val="P68B1DB1-Normal8"/>
              <w:spacing w:after="0"/>
              <w:rPr>
                <w:rFonts w:eastAsia="Times New Roman" w:cs="Times New Roman"/>
                <w:noProof/>
              </w:rPr>
            </w:pPr>
            <w:r>
              <w:rPr>
                <w:noProof/>
              </w:rPr>
              <w:t>(I-1B)</w:t>
            </w:r>
          </w:p>
        </w:tc>
        <w:tc>
          <w:tcPr>
            <w:tcW w:w="112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18ACC2" w14:textId="5C80DD42" w:rsidR="00F208CE" w:rsidRDefault="00513E84">
            <w:pPr>
              <w:pStyle w:val="P68B1DB1-Normal8"/>
              <w:spacing w:after="0"/>
              <w:rPr>
                <w:rFonts w:eastAsia="Times New Roman" w:cs="Times New Roman"/>
                <w:noProof/>
              </w:rPr>
            </w:pPr>
            <w:r>
              <w:rPr>
                <w:noProof/>
              </w:rPr>
              <w:t>T</w:t>
            </w:r>
          </w:p>
        </w:tc>
        <w:tc>
          <w:tcPr>
            <w:tcW w:w="167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A86F6E" w14:textId="77777777" w:rsidR="00F208CE" w:rsidRDefault="00513E84">
            <w:pPr>
              <w:pStyle w:val="P68B1DB1-Normal8"/>
              <w:spacing w:after="0"/>
              <w:rPr>
                <w:rFonts w:eastAsia="Times New Roman" w:cs="Times New Roman"/>
                <w:noProof/>
              </w:rPr>
            </w:pPr>
            <w:r>
              <w:rPr>
                <w:noProof/>
              </w:rPr>
              <w:t>Renovación de edificios públicos (etapa 3)</w:t>
            </w:r>
          </w:p>
        </w:tc>
        <w:tc>
          <w:tcPr>
            <w:tcW w:w="123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C7D0CF"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A28D16" w14:textId="77777777" w:rsidR="00F208CE" w:rsidRDefault="00513E84">
            <w:pPr>
              <w:pStyle w:val="P68B1DB1-Normal8"/>
              <w:spacing w:after="0"/>
              <w:rPr>
                <w:rFonts w:eastAsia="Times New Roman" w:cs="Times New Roman"/>
                <w:noProof/>
              </w:rPr>
            </w:pPr>
            <w:r>
              <w:rPr>
                <w:noProof/>
              </w:rPr>
              <w:t>m²</w:t>
            </w:r>
          </w:p>
        </w:tc>
        <w:tc>
          <w:tcPr>
            <w:tcW w:w="100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0B5071" w14:textId="5D4B4E35" w:rsidR="00F208CE" w:rsidRDefault="00513E84">
            <w:pPr>
              <w:pStyle w:val="P68B1DB1-Normal8"/>
              <w:spacing w:after="0"/>
              <w:rPr>
                <w:rFonts w:eastAsia="Times New Roman" w:cs="Times New Roman"/>
                <w:noProof/>
              </w:rPr>
            </w:pPr>
            <w:r>
              <w:rPr>
                <w:noProof/>
              </w:rPr>
              <w:t>256 690</w:t>
            </w:r>
          </w:p>
        </w:tc>
        <w:tc>
          <w:tcPr>
            <w:tcW w:w="128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19FBE2" w14:textId="16AC56E5" w:rsidR="00F208CE" w:rsidRDefault="00513E84">
            <w:pPr>
              <w:pStyle w:val="P68B1DB1-Normal8"/>
              <w:spacing w:after="0"/>
              <w:rPr>
                <w:rFonts w:eastAsia="Times New Roman" w:cs="Times New Roman"/>
                <w:noProof/>
              </w:rPr>
            </w:pPr>
            <w:r>
              <w:rPr>
                <w:noProof/>
              </w:rPr>
              <w:t>694 470</w:t>
            </w:r>
          </w:p>
        </w:tc>
        <w:tc>
          <w:tcPr>
            <w:tcW w:w="9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E0D842"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D51692" w14:textId="77777777" w:rsidR="00F208CE" w:rsidRDefault="00513E84">
            <w:pPr>
              <w:pStyle w:val="P68B1DB1-Normal8"/>
              <w:spacing w:after="0"/>
              <w:jc w:val="center"/>
              <w:rPr>
                <w:rFonts w:eastAsia="Times New Roman" w:cs="Times New Roman"/>
                <w:noProof/>
              </w:rPr>
            </w:pPr>
            <w:r>
              <w:rPr>
                <w:noProof/>
              </w:rPr>
              <w:t>2026</w:t>
            </w:r>
          </w:p>
        </w:tc>
        <w:tc>
          <w:tcPr>
            <w:tcW w:w="441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CFBA86" w14:textId="369B1A03" w:rsidR="00F208CE" w:rsidRDefault="00513E84">
            <w:pPr>
              <w:pStyle w:val="P68B1DB1-Normal8"/>
              <w:spacing w:after="120"/>
              <w:rPr>
                <w:rFonts w:eastAsia="Times New Roman" w:cs="Times New Roman"/>
                <w:noProof/>
              </w:rPr>
            </w:pPr>
            <w:r>
              <w:rPr>
                <w:noProof/>
              </w:rPr>
              <w:t>437 780 m² adicionales de edificios públicos renovados, incluidos 163 006 m² que reduzcan por término medio al menos el 30 % del consumo de energía primaria, tal como se</w:t>
            </w:r>
            <w:r>
              <w:rPr>
                <w:noProof/>
              </w:rPr>
              <w:t xml:space="preserve"> define en la Recomendación (UE) 2019/786 de la Comisión, relativa a la renovación de edificios, y la construcción de 126 212 m² de edificios nuevos que alcancen una demanda de energía primaria (PED) que sea al menos un 20 % inferior al requisito de EECN (</w:t>
            </w:r>
            <w:r>
              <w:rPr>
                <w:noProof/>
              </w:rPr>
              <w:t>edificio de consumo de energía casi nulo).</w:t>
            </w:r>
          </w:p>
          <w:p w14:paraId="6AAD8474" w14:textId="430567E0" w:rsidR="00F208CE" w:rsidRDefault="00513E84">
            <w:pPr>
              <w:pStyle w:val="P68B1DB1-Normal8"/>
              <w:spacing w:after="0"/>
              <w:rPr>
                <w:rFonts w:cs="Times New Roman"/>
                <w:noProof/>
              </w:rPr>
            </w:pPr>
            <w:r>
              <w:rPr>
                <w:noProof/>
              </w:rPr>
              <w:t>Este objetivo se desglosa a título indicativo en los siguientes subobjetivos, que no tienen que alcanzarse individualmente siempre que se alcancen los niveles totales de renovación anteriores:</w:t>
            </w:r>
          </w:p>
          <w:p w14:paraId="1DBF4782" w14:textId="3D7EDA55" w:rsidR="00F208CE" w:rsidRDefault="00513E84">
            <w:pPr>
              <w:pStyle w:val="P68B1DB1-Normal8"/>
              <w:spacing w:after="0"/>
              <w:rPr>
                <w:rFonts w:cs="Times New Roman"/>
                <w:noProof/>
              </w:rPr>
            </w:pPr>
            <w:r>
              <w:rPr>
                <w:noProof/>
              </w:rPr>
              <w:t xml:space="preserve">I) </w:t>
            </w:r>
            <w:r>
              <w:rPr>
                <w:noProof/>
                <w:u w:val="single"/>
              </w:rPr>
              <w:t>Región Flamenca</w:t>
            </w:r>
            <w:r>
              <w:rPr>
                <w:noProof/>
              </w:rPr>
              <w:t xml:space="preserve"> (</w:t>
            </w:r>
            <w:r>
              <w:rPr>
                <w:noProof/>
              </w:rPr>
              <w:t>I-1.05): 78 040 m².</w:t>
            </w:r>
          </w:p>
          <w:p w14:paraId="4E27193F" w14:textId="022F8696" w:rsidR="00F208CE" w:rsidRDefault="00513E84">
            <w:pPr>
              <w:pStyle w:val="P68B1DB1-Normal8"/>
              <w:spacing w:after="0"/>
              <w:rPr>
                <w:rFonts w:cs="Times New Roman"/>
                <w:noProof/>
              </w:rPr>
            </w:pPr>
            <w:r>
              <w:rPr>
                <w:noProof/>
              </w:rPr>
              <w:t xml:space="preserve">II) </w:t>
            </w:r>
            <w:r>
              <w:rPr>
                <w:noProof/>
                <w:u w:val="single"/>
              </w:rPr>
              <w:t>Región Valona</w:t>
            </w:r>
            <w:r>
              <w:rPr>
                <w:noProof/>
              </w:rPr>
              <w:t xml:space="preserve"> (I-1.07): 170 282 m², de los cuales 102 984 m² reducirán el consumo de energía primaria por término medio en al menos un 30 %, tal como se define en la Recomendación (UE) 2019/786 de la Comisión relativa a la renovació</w:t>
            </w:r>
            <w:r>
              <w:rPr>
                <w:noProof/>
              </w:rPr>
              <w:t>n de edificios.</w:t>
            </w:r>
          </w:p>
          <w:p w14:paraId="4D00699E" w14:textId="50725398" w:rsidR="00F208CE" w:rsidRDefault="00513E84">
            <w:pPr>
              <w:pStyle w:val="P68B1DB1-Normal8"/>
              <w:spacing w:after="0"/>
              <w:rPr>
                <w:rFonts w:cs="Times New Roman"/>
                <w:noProof/>
              </w:rPr>
            </w:pPr>
            <w:r>
              <w:rPr>
                <w:noProof/>
              </w:rPr>
              <w:t xml:space="preserve">III) </w:t>
            </w:r>
            <w:r>
              <w:rPr>
                <w:noProof/>
                <w:u w:val="single"/>
              </w:rPr>
              <w:t>Región de Bruselas-Capital</w:t>
            </w:r>
            <w:r>
              <w:rPr>
                <w:noProof/>
              </w:rPr>
              <w:t xml:space="preserve"> (I-1.08): 27 724 m² reducirán por término medio al menos el 30 % del consumo de energía primaria, tal como se define en la Recomendación (UE) 2019/786 de la Comisión, relativa a la renovación de edificios.</w:t>
            </w:r>
          </w:p>
          <w:p w14:paraId="739FC4FF" w14:textId="73C66EB8" w:rsidR="00F208CE" w:rsidRDefault="00513E84">
            <w:pPr>
              <w:pStyle w:val="P68B1DB1-Normal8"/>
              <w:spacing w:after="0"/>
              <w:rPr>
                <w:rFonts w:eastAsia="Times New Roman" w:cs="Times New Roman"/>
                <w:noProof/>
              </w:rPr>
            </w:pPr>
            <w:r>
              <w:rPr>
                <w:noProof/>
              </w:rPr>
              <w:t>IV</w:t>
            </w:r>
            <w:r>
              <w:rPr>
                <w:noProof/>
              </w:rPr>
              <w:t xml:space="preserve">) </w:t>
            </w:r>
            <w:r>
              <w:rPr>
                <w:noProof/>
                <w:u w:val="single"/>
              </w:rPr>
              <w:t>Comunidad Francesa</w:t>
            </w:r>
            <w:r>
              <w:rPr>
                <w:noProof/>
              </w:rPr>
              <w:t xml:space="preserve"> (I-1.09, I-1.10, I-1.11, I-1.12): 161 734 m², de los cuales 32 298 m² reducirán por término medio al menos el 30 % del consumo de energía primaria, tal como se define en la Recomendación (UE) 2019/786 de la Comisión relativa a la renov</w:t>
            </w:r>
            <w:r>
              <w:rPr>
                <w:noProof/>
              </w:rPr>
              <w:t>ación de edificios. La construcción de 126 212 m² de edificios nuevos alcanzará una demanda de energía primaria (PED) que sea al menos un 20 % inferior al requisito de EECN (edificio de consumo de energía casi nulo).</w:t>
            </w:r>
          </w:p>
        </w:tc>
      </w:tr>
    </w:tbl>
    <w:p w14:paraId="0C27ABEE" w14:textId="77777777" w:rsidR="00F208CE" w:rsidRDefault="00F208CE">
      <w:pPr>
        <w:ind w:left="709"/>
        <w:rPr>
          <w:rFonts w:ascii="Times New Roman" w:hAnsi="Times New Roman" w:cs="Times New Roman"/>
          <w:noProof/>
        </w:rPr>
        <w:sectPr w:rsidR="00F208CE" w:rsidSect="007F56C3">
          <w:headerReference w:type="default" r:id="rId24"/>
          <w:footerReference w:type="default" r:id="rId25"/>
          <w:pgSz w:w="16839" w:h="11907" w:orient="landscape"/>
          <w:pgMar w:top="1134" w:right="1134" w:bottom="1134" w:left="1134" w:header="567" w:footer="567" w:gutter="0"/>
          <w:cols w:space="720"/>
          <w:docGrid w:linePitch="360"/>
        </w:sectPr>
      </w:pPr>
    </w:p>
    <w:p w14:paraId="68FB75AB" w14:textId="0D91B86C" w:rsidR="00F208CE" w:rsidRDefault="00513E84">
      <w:pPr>
        <w:pStyle w:val="ManualHeading1"/>
        <w:spacing w:before="120"/>
        <w:ind w:left="0" w:firstLine="0"/>
        <w:rPr>
          <w:noProof/>
        </w:rPr>
      </w:pPr>
      <w:r>
        <w:rPr>
          <w:noProof/>
        </w:rPr>
        <w:t>B. COMPONENTE 1.2: Tecnologías energéticas emergentes</w:t>
      </w:r>
    </w:p>
    <w:p w14:paraId="11DE0168" w14:textId="77777777" w:rsidR="00F208CE" w:rsidRDefault="00513E84">
      <w:pPr>
        <w:pStyle w:val="P68B1DB1-Normal1"/>
        <w:spacing w:before="120" w:after="120" w:line="240" w:lineRule="auto"/>
        <w:jc w:val="both"/>
        <w:rPr>
          <w:rFonts w:cs="Times New Roman"/>
          <w:noProof/>
        </w:rPr>
      </w:pPr>
      <w:r>
        <w:rPr>
          <w:noProof/>
        </w:rPr>
        <w:t xml:space="preserve">Este componente del plan belga de recuperación y resiliencia tiene por objeto dar un fuerte impulso a los avances tecnológicos para apoyar la transición energética a fin de </w:t>
      </w:r>
      <w:r>
        <w:rPr>
          <w:noProof/>
        </w:rPr>
        <w:t>seguir reduciendo las emisiones de</w:t>
      </w:r>
      <w:r>
        <w:rPr>
          <w:noProof/>
          <w:vertAlign w:val="subscript"/>
        </w:rPr>
        <w:t>CO2</w:t>
      </w:r>
      <w:r>
        <w:rPr>
          <w:noProof/>
        </w:rPr>
        <w:t>, haciendo hincapié en la integración del sistema y la descarbonización industrial.</w:t>
      </w:r>
    </w:p>
    <w:p w14:paraId="0CE8B5EC" w14:textId="77777777" w:rsidR="00F208CE" w:rsidRDefault="00513E84">
      <w:pPr>
        <w:pStyle w:val="P68B1DB1-Normal1"/>
        <w:spacing w:before="120" w:after="120" w:line="240" w:lineRule="auto"/>
        <w:jc w:val="both"/>
        <w:rPr>
          <w:rFonts w:cs="Times New Roman"/>
          <w:noProof/>
        </w:rPr>
      </w:pPr>
      <w:r>
        <w:rPr>
          <w:noProof/>
        </w:rPr>
        <w:t xml:space="preserve">El componente contribuye a abordar la recomendación específica por país n.º 2019.3, en la que se pide a Bélgica que centre la política económica relacionada con la inversión, </w:t>
      </w:r>
      <w:r>
        <w:rPr>
          <w:i/>
          <w:noProof/>
        </w:rPr>
        <w:t>entre otras cosas</w:t>
      </w:r>
      <w:r>
        <w:rPr>
          <w:noProof/>
        </w:rPr>
        <w:t xml:space="preserve">, en la transición energética y con bajas emisiones de carbono, </w:t>
      </w:r>
      <w:r>
        <w:rPr>
          <w:noProof/>
        </w:rPr>
        <w:t>y en la investigación y la innovación, así como en la recomendación específica por país n.º 2020.3 para adelantar los proyectos de inversión pública maduros.</w:t>
      </w:r>
    </w:p>
    <w:p w14:paraId="5697C89E" w14:textId="77777777" w:rsidR="00F208CE" w:rsidRDefault="00513E84">
      <w:pPr>
        <w:pStyle w:val="P68B1DB1-Normal1"/>
        <w:spacing w:before="120" w:after="120" w:line="240" w:lineRule="auto"/>
        <w:jc w:val="both"/>
        <w:rPr>
          <w:rFonts w:cs="Times New Roman"/>
          <w:noProof/>
        </w:rPr>
      </w:pPr>
      <w:r>
        <w:rPr>
          <w:noProof/>
        </w:rPr>
        <w:t>Se espera que ninguna medida de este componente perjudique significativamente a los objetivos medi</w:t>
      </w:r>
      <w:r>
        <w:rPr>
          <w:noProof/>
        </w:rPr>
        <w:t>oambientales en el sentido del artículo 17 del Reglamento (UE) 2020/852, teniendo en cuenta la descripción de las medidas y las medidas atenuantes establecidas en el plan de recuperación y resiliencia de conformidad con las orientaciones técnicas de DNSH (</w:t>
      </w:r>
      <w:r>
        <w:rPr>
          <w:noProof/>
        </w:rPr>
        <w:t>2021/C58/01).</w:t>
      </w:r>
    </w:p>
    <w:p w14:paraId="17F843D8" w14:textId="77777777" w:rsidR="00F208CE" w:rsidRDefault="00513E84">
      <w:pPr>
        <w:pStyle w:val="Text1"/>
        <w:ind w:left="0"/>
        <w:rPr>
          <w:b/>
          <w:i/>
          <w:noProof/>
        </w:rPr>
      </w:pPr>
      <w:r>
        <w:rPr>
          <w:b/>
          <w:noProof/>
          <w:u w:val="single"/>
        </w:rPr>
        <w:t xml:space="preserve">B.1 </w:t>
      </w:r>
      <w:r>
        <w:rPr>
          <w:noProof/>
        </w:rPr>
        <w:t xml:space="preserve"> </w:t>
      </w:r>
      <w:r>
        <w:rPr>
          <w:b/>
          <w:noProof/>
          <w:u w:val="single"/>
        </w:rPr>
        <w:t>Descripción de las reformas e inversiones para la ayuda financiera no reembolsable</w:t>
      </w:r>
    </w:p>
    <w:p w14:paraId="2A4F8545" w14:textId="1B1D0F86" w:rsidR="00F208CE" w:rsidRDefault="00513E84">
      <w:pPr>
        <w:pStyle w:val="P68B1DB1-Text19"/>
        <w:ind w:left="0"/>
        <w:rPr>
          <w:noProof/>
        </w:rPr>
      </w:pPr>
      <w:r>
        <w:rPr>
          <w:noProof/>
        </w:rPr>
        <w:t>Reforma R-1.04: «Marco regulador del mercado H</w:t>
      </w:r>
      <w:r>
        <w:rPr>
          <w:noProof/>
          <w:vertAlign w:val="subscript"/>
        </w:rPr>
        <w:t>2</w:t>
      </w:r>
      <w:r>
        <w:rPr>
          <w:noProof/>
        </w:rPr>
        <w:t>»</w:t>
      </w:r>
    </w:p>
    <w:p w14:paraId="092EF78E" w14:textId="196D36ED" w:rsidR="00F208CE" w:rsidRDefault="00513E84">
      <w:pPr>
        <w:pStyle w:val="Text1"/>
        <w:ind w:left="0"/>
        <w:rPr>
          <w:noProof/>
        </w:rPr>
      </w:pPr>
      <w:r>
        <w:rPr>
          <w:noProof/>
        </w:rPr>
        <w:t>La reforma consiste en las medidas necesarias para permitir revisiones legislativas destinadas a establec</w:t>
      </w:r>
      <w:r>
        <w:rPr>
          <w:noProof/>
        </w:rPr>
        <w:t>er un marco regulador más detallado para el funcionamiento del mercado H</w:t>
      </w:r>
      <w:r>
        <w:rPr>
          <w:noProof/>
          <w:vertAlign w:val="subscript"/>
        </w:rPr>
        <w:t>2</w:t>
      </w:r>
      <w:r>
        <w:rPr>
          <w:noProof/>
        </w:rPr>
        <w:t>, que abarque temas como la supervisión, el acceso no discriminatorio a las redes de transporte y la fijación de tarifas de acceso a la red. Para el transporte de H</w:t>
      </w:r>
      <w:r>
        <w:rPr>
          <w:noProof/>
          <w:vertAlign w:val="subscript"/>
        </w:rPr>
        <w:t>2</w:t>
      </w:r>
      <w:r>
        <w:rPr>
          <w:noProof/>
        </w:rPr>
        <w:t>, las nuevas dispo</w:t>
      </w:r>
      <w:r>
        <w:rPr>
          <w:noProof/>
        </w:rPr>
        <w:t>siciones legales adoptadas por el Gobierno o los gobiernos entrarán en vigor a más tardar el 1 de enero de 2024.</w:t>
      </w:r>
    </w:p>
    <w:p w14:paraId="69DBC4F8" w14:textId="44E94D83" w:rsidR="00F208CE" w:rsidRDefault="00513E84">
      <w:pPr>
        <w:pStyle w:val="P68B1DB1-Text19"/>
        <w:ind w:left="0"/>
        <w:rPr>
          <w:noProof/>
        </w:rPr>
      </w:pPr>
      <w:r>
        <w:rPr>
          <w:noProof/>
        </w:rPr>
        <w:t>Reforma R-1.05: «Marco regulador del mercado de CO2 en Flandes» de la Región Flamenca</w:t>
      </w:r>
    </w:p>
    <w:p w14:paraId="076C9FAF" w14:textId="41F0B221" w:rsidR="00F208CE" w:rsidRDefault="00513E84">
      <w:pPr>
        <w:pStyle w:val="Text1"/>
        <w:ind w:left="0"/>
        <w:rPr>
          <w:rFonts w:eastAsia="Times New Roman"/>
          <w:noProof/>
          <w:color w:val="000000" w:themeColor="text1"/>
        </w:rPr>
      </w:pPr>
      <w:r>
        <w:rPr>
          <w:noProof/>
        </w:rPr>
        <w:t>La reforma consiste en las medidas necesarias para permit</w:t>
      </w:r>
      <w:r>
        <w:rPr>
          <w:noProof/>
        </w:rPr>
        <w:t>ir revisiones legislativas destinadas a establecer un marco regulador más detallado para el funcionamiento de los mercados de CO</w:t>
      </w:r>
      <w:r>
        <w:rPr>
          <w:noProof/>
          <w:vertAlign w:val="subscript"/>
        </w:rPr>
        <w:t>2</w:t>
      </w:r>
      <w:r>
        <w:rPr>
          <w:noProof/>
        </w:rPr>
        <w:t>, que abarque temas como la supervisión, el acceso no discriminatorio a las redes de transporte y la fijación de tarifas de acc</w:t>
      </w:r>
      <w:r>
        <w:rPr>
          <w:noProof/>
        </w:rPr>
        <w:t xml:space="preserve">eso a la red. </w:t>
      </w:r>
      <w:r>
        <w:rPr>
          <w:noProof/>
          <w:color w:val="000000" w:themeColor="text1"/>
        </w:rPr>
        <w:t>Las nuevas disposiciones legales adoptadas por el Gobierno de la Región Flamenca entrarán en vigor a más tardar el 1 de enero de 2024.</w:t>
      </w:r>
    </w:p>
    <w:p w14:paraId="0BE13911" w14:textId="454F7F85" w:rsidR="00F208CE" w:rsidRDefault="00513E84">
      <w:pPr>
        <w:pStyle w:val="P68B1DB1-Text19"/>
        <w:ind w:left="0"/>
        <w:rPr>
          <w:noProof/>
        </w:rPr>
      </w:pPr>
      <w:r>
        <w:rPr>
          <w:noProof/>
        </w:rPr>
        <w:t>Reforma R-1.06: «Marco regulador del mercado de CO2 en Valonia» de la Región Valona</w:t>
      </w:r>
    </w:p>
    <w:p w14:paraId="09ABEE4A" w14:textId="5DC06573" w:rsidR="00F208CE" w:rsidRDefault="00513E84">
      <w:pPr>
        <w:pStyle w:val="Text1"/>
        <w:ind w:left="0"/>
        <w:rPr>
          <w:noProof/>
        </w:rPr>
      </w:pPr>
      <w:r>
        <w:rPr>
          <w:noProof/>
        </w:rPr>
        <w:t xml:space="preserve">La reforma consiste en </w:t>
      </w:r>
      <w:r>
        <w:rPr>
          <w:noProof/>
        </w:rPr>
        <w:t>las medidas necesarias para permitir revisiones legislativas destinadas a establecer un marco regulador más detallado para el funcionamiento de los mercados de CO</w:t>
      </w:r>
      <w:r>
        <w:rPr>
          <w:noProof/>
          <w:vertAlign w:val="subscript"/>
        </w:rPr>
        <w:t>2</w:t>
      </w:r>
      <w:r>
        <w:rPr>
          <w:noProof/>
        </w:rPr>
        <w:t>, que abarque temas como la supervisión, el acceso no discriminatorio a las redes de transpor</w:t>
      </w:r>
      <w:r>
        <w:rPr>
          <w:noProof/>
        </w:rPr>
        <w:t xml:space="preserve">te y la fijación de tarifas de acceso a la red. </w:t>
      </w:r>
      <w:r>
        <w:rPr>
          <w:noProof/>
          <w:color w:val="000000" w:themeColor="text1"/>
        </w:rPr>
        <w:t>Las nuevas disposiciones legales adoptadas por el Gobierno de la Región Valona entrarán en vigor a más tardar el 1 de enero de 2024.</w:t>
      </w:r>
    </w:p>
    <w:p w14:paraId="23E14C33" w14:textId="77777777" w:rsidR="00F208CE" w:rsidRDefault="00513E84">
      <w:pPr>
        <w:pStyle w:val="Text1"/>
        <w:ind w:left="0"/>
        <w:rPr>
          <w:noProof/>
        </w:rPr>
      </w:pPr>
      <w:r>
        <w:rPr>
          <w:noProof/>
        </w:rPr>
        <w:t xml:space="preserve">Las tres medidas siguientes, a nivel federal, flamenco y valón, se centran </w:t>
      </w:r>
      <w:r>
        <w:rPr>
          <w:noProof/>
        </w:rPr>
        <w:t>en «Una cadena de valor industrial para la transición del hidrógeno».</w:t>
      </w:r>
    </w:p>
    <w:p w14:paraId="153506AA" w14:textId="15DBDE7F" w:rsidR="00F208CE" w:rsidRDefault="00513E84">
      <w:pPr>
        <w:pStyle w:val="P68B1DB1-Text19"/>
        <w:ind w:left="0"/>
        <w:rPr>
          <w:noProof/>
        </w:rPr>
      </w:pPr>
      <w:r>
        <w:rPr>
          <w:noProof/>
        </w:rPr>
        <w:t>Inversión I-1.15: «Una cadena de valor industrial para la transición del hidrógeno» del Estado Federal</w:t>
      </w:r>
    </w:p>
    <w:p w14:paraId="2E4D5BD6" w14:textId="7D447FA8" w:rsidR="00F208CE" w:rsidRDefault="00513E84">
      <w:pPr>
        <w:pStyle w:val="Text1"/>
        <w:ind w:left="0"/>
        <w:rPr>
          <w:noProof/>
        </w:rPr>
      </w:pPr>
      <w:r>
        <w:rPr>
          <w:noProof/>
        </w:rPr>
        <w:t xml:space="preserve">La medida federal promoverá diversos proyectos de demostración relacionados con la </w:t>
      </w:r>
      <w:r>
        <w:rPr>
          <w:noProof/>
        </w:rPr>
        <w:t>producción y el uso de hidrógeno bajo la competencia del Gobierno federal. El objetivo es estimular proyectos innovadores con gran potencial para acelerar la transición energética, de modo que alcancen su madurez y se expandan para su uso comercial. Los pr</w:t>
      </w:r>
      <w:r>
        <w:rPr>
          <w:noProof/>
        </w:rPr>
        <w:t>oyectos se seleccionarán mediante una convocatoria de proyectos, que abarcará las plantas de demostración para la producción de hidrógeno verde y con bajas emisiones de carbono, así como el uso de hidrógeno, por ejemplo en buques, en la medida en que los p</w:t>
      </w:r>
      <w:r>
        <w:rPr>
          <w:noProof/>
        </w:rPr>
        <w:t>royectos sean competencia del Gobierno federal. Por lo que se refiere a las instalaciones de demostración para la producción de hidrógeno verde y con bajas emisiones de carbono, la convocatoria estará abierta a todas las tecnologías con cero emisiones de p</w:t>
      </w:r>
      <w:r>
        <w:rPr>
          <w:noProof/>
        </w:rPr>
        <w:t>roceso, como la electrolisis alimentada por electricidad renovable o la pirólisis de metano. El MRR apoyará parte de los costes de esta inversión. Esta inversión también puede recibir apoyo de otros programas o instrumentos de la Unión para costes que no e</w:t>
      </w:r>
      <w:r>
        <w:rPr>
          <w:noProof/>
        </w:rPr>
        <w:t>stén respaldados por el MRR.</w:t>
      </w:r>
    </w:p>
    <w:p w14:paraId="0D9ED779" w14:textId="77777777" w:rsidR="00F208CE" w:rsidRDefault="00F208CE">
      <w:pPr>
        <w:pStyle w:val="Text1"/>
        <w:ind w:left="0"/>
        <w:rPr>
          <w:noProof/>
        </w:rPr>
      </w:pPr>
    </w:p>
    <w:p w14:paraId="68C8DD6F" w14:textId="2EF3650F" w:rsidR="00F208CE" w:rsidRDefault="00513E84">
      <w:pPr>
        <w:pStyle w:val="P68B1DB1-Text19"/>
        <w:ind w:left="0"/>
        <w:rPr>
          <w:noProof/>
        </w:rPr>
      </w:pPr>
      <w:r>
        <w:rPr>
          <w:noProof/>
        </w:rPr>
        <w:t>Inversión I-1.16: «Una cadena de valor industrial para la transición del hidrógeno» de la Región Flamenca</w:t>
      </w:r>
    </w:p>
    <w:p w14:paraId="7CE3CA1B" w14:textId="77777777" w:rsidR="00F208CE" w:rsidRDefault="00513E84">
      <w:pPr>
        <w:pStyle w:val="Text1"/>
        <w:ind w:left="0"/>
        <w:rPr>
          <w:noProof/>
        </w:rPr>
      </w:pPr>
      <w:r>
        <w:rPr>
          <w:noProof/>
        </w:rPr>
        <w:t>Esta medida tiene por objeto apoyar la transición a una industria del hidrógeno sostenible en Flandes a través de la inv</w:t>
      </w:r>
      <w:r>
        <w:rPr>
          <w:noProof/>
        </w:rPr>
        <w:t>ersión y la financiación de proyectos. En gran medida, la financiación apoyará una cartera de proyectos que, al igual que el proyecto transfronterizo más amplio de proyecto de interés común europeo (PIICE)</w:t>
      </w:r>
      <w:r>
        <w:rPr>
          <w:rStyle w:val="FootnoteReference"/>
          <w:noProof/>
        </w:rPr>
        <w:footnoteReference w:id="2"/>
      </w:r>
      <w:r>
        <w:rPr>
          <w:noProof/>
        </w:rPr>
        <w:t>, del que formará parte integrante, tiene por obje</w:t>
      </w:r>
      <w:r>
        <w:rPr>
          <w:noProof/>
        </w:rPr>
        <w:t>to desarrollar una cadena de valor industrial orientada hacia la producción, el transporte, el almacenamiento y las aplicaciones relacionadas con el hidrógeno. Fuera de la cartera de PIICE, también se incluyen proyectos adicionales centrados en el hidrógen</w:t>
      </w:r>
      <w:r>
        <w:rPr>
          <w:noProof/>
        </w:rPr>
        <w:t>o, principalmente en el ámbito de los proyectos de investigación y desarrollo y de inversión.</w:t>
      </w:r>
    </w:p>
    <w:p w14:paraId="49CD6565" w14:textId="4A78CFC2" w:rsidR="00F208CE" w:rsidRDefault="00513E84">
      <w:pPr>
        <w:pStyle w:val="P68B1DB1-Text19"/>
        <w:ind w:left="0"/>
        <w:rPr>
          <w:noProof/>
        </w:rPr>
      </w:pPr>
      <w:r>
        <w:rPr>
          <w:noProof/>
        </w:rPr>
        <w:t>Inversión I-1.17: «Una cadena de valor industrial para la transición del hidrógeno» de la Región Valona</w:t>
      </w:r>
    </w:p>
    <w:p w14:paraId="67B7A9A2" w14:textId="799F1BB2" w:rsidR="00F208CE" w:rsidRDefault="00513E84">
      <w:pPr>
        <w:pStyle w:val="Text1"/>
        <w:ind w:left="0"/>
        <w:rPr>
          <w:noProof/>
        </w:rPr>
      </w:pPr>
      <w:r>
        <w:rPr>
          <w:noProof/>
        </w:rPr>
        <w:t>Esta medida valona tiene por objeto reducir la huella de c</w:t>
      </w:r>
      <w:r>
        <w:rPr>
          <w:noProof/>
        </w:rPr>
        <w:t>arbono de los sectores de la industria, el transporte y la construcción a través de la financiación de proyectos y la inversión. Consistirá en una serie de subproyectos coherentes (principalmente en el ámbito de la investigación y el desarrollo y el primer</w:t>
      </w:r>
      <w:r>
        <w:rPr>
          <w:noProof/>
        </w:rPr>
        <w:t xml:space="preserve"> desarrollo industrial) que abarquen toda la cadena de valor de la producción de hidrógeno verde, así como el desarrollo de diversas aplicaciones del hidrógeno como vector energético y la adaptación de dispositivos (como motores) que permitan el uso y la v</w:t>
      </w:r>
      <w:r>
        <w:rPr>
          <w:noProof/>
        </w:rPr>
        <w:t>alorización del hidrógeno. Este proyecto formará parte del</w:t>
      </w:r>
      <w:r>
        <w:rPr>
          <w:rStyle w:val="FootnoteReference"/>
          <w:noProof/>
        </w:rPr>
        <w:footnoteReference w:id="3"/>
      </w:r>
      <w:r>
        <w:rPr>
          <w:noProof/>
        </w:rPr>
        <w:t xml:space="preserve"> proyecto PIICE transfronterizo previsto sobre el hidrógeno. </w:t>
      </w:r>
    </w:p>
    <w:p w14:paraId="0BF392CE" w14:textId="17C7211E" w:rsidR="00F208CE" w:rsidRDefault="00513E84">
      <w:pPr>
        <w:pStyle w:val="P68B1DB1-Text19"/>
        <w:ind w:left="0"/>
        <w:rPr>
          <w:noProof/>
        </w:rPr>
      </w:pPr>
      <w:r>
        <w:rPr>
          <w:noProof/>
        </w:rPr>
        <w:t>Inversión I-1.18: «Desarrollo de la industria hipocarbónica» de la Región Valona</w:t>
      </w:r>
    </w:p>
    <w:p w14:paraId="269FABFC" w14:textId="77777777" w:rsidR="00F208CE" w:rsidRDefault="00513E84">
      <w:pPr>
        <w:pStyle w:val="Text1"/>
        <w:ind w:left="0"/>
        <w:rPr>
          <w:noProof/>
        </w:rPr>
        <w:sectPr w:rsidR="00F208CE" w:rsidSect="00022287">
          <w:headerReference w:type="even" r:id="rId26"/>
          <w:headerReference w:type="default" r:id="rId27"/>
          <w:footerReference w:type="even" r:id="rId28"/>
          <w:footerReference w:type="default" r:id="rId29"/>
          <w:headerReference w:type="first" r:id="rId30"/>
          <w:footerReference w:type="first" r:id="rId31"/>
          <w:pgSz w:w="11907" w:h="16839"/>
          <w:pgMar w:top="1134" w:right="1134" w:bottom="1134" w:left="1134" w:header="567" w:footer="567" w:gutter="0"/>
          <w:cols w:space="720"/>
          <w:docGrid w:linePitch="360"/>
        </w:sectPr>
      </w:pPr>
      <w:r>
        <w:rPr>
          <w:noProof/>
        </w:rPr>
        <w:t>La medida de inversión promoverá diversos proyectos destinados a reducir las emisiones de CO</w:t>
      </w:r>
      <w:r>
        <w:rPr>
          <w:noProof/>
          <w:vertAlign w:val="subscript"/>
        </w:rPr>
        <w:t>2</w:t>
      </w:r>
      <w:r>
        <w:rPr>
          <w:noProof/>
        </w:rPr>
        <w:t xml:space="preserve"> resultantes del consumo de energía y las emisiones de los procesos industriales. Se ejecutará a través de una convocatoria de proyectos par</w:t>
      </w:r>
      <w:r>
        <w:rPr>
          <w:noProof/>
        </w:rPr>
        <w:t>a proyectos de asociación de I + D destinados a llevar las tecnologías al nivel de demostración (preindustrial) o versiones piloto en los siguientes ámbitos: electrificación de procesos industriales, producción de hidrógeno por electrólisis, uso directo de</w:t>
      </w:r>
      <w:r>
        <w:rPr>
          <w:noProof/>
        </w:rPr>
        <w:t>l hidrógeno en aplicaciones industriales, captura y concentración de las emisiones de CO</w:t>
      </w:r>
      <w:r>
        <w:rPr>
          <w:noProof/>
          <w:vertAlign w:val="subscript"/>
        </w:rPr>
        <w:t>2</w:t>
      </w:r>
      <w:r>
        <w:rPr>
          <w:noProof/>
        </w:rPr>
        <w:t xml:space="preserve"> y descarbonización de los procesos de producción de amoníaco.</w:t>
      </w:r>
    </w:p>
    <w:p w14:paraId="6756431B" w14:textId="4FC850DA" w:rsidR="00F208CE" w:rsidRDefault="00513E84">
      <w:pPr>
        <w:pStyle w:val="Text1"/>
        <w:ind w:left="0"/>
        <w:rPr>
          <w:b/>
          <w:noProof/>
          <w:u w:val="single"/>
        </w:rPr>
      </w:pPr>
      <w:r>
        <w:rPr>
          <w:b/>
          <w:noProof/>
          <w:u w:val="single"/>
        </w:rPr>
        <w:t xml:space="preserve">B.2 </w:t>
      </w:r>
      <w:r>
        <w:rPr>
          <w:noProof/>
        </w:rPr>
        <w:t xml:space="preserve"> </w:t>
      </w:r>
      <w:r>
        <w:rPr>
          <w:b/>
          <w:noProof/>
          <w:u w:val="single"/>
        </w:rPr>
        <w:t>Hitos, metas, indicadores y calendario para el seguimiento y la ejecución de la ayuda financiera no</w:t>
      </w:r>
      <w:r>
        <w:rPr>
          <w:b/>
          <w:noProof/>
          <w:u w:val="single"/>
        </w:rPr>
        <w:t xml:space="preserve"> reembolsable</w:t>
      </w:r>
    </w:p>
    <w:tbl>
      <w:tblPr>
        <w:tblW w:w="15807" w:type="dxa"/>
        <w:tblInd w:w="-572" w:type="dxa"/>
        <w:tblLayout w:type="fixed"/>
        <w:tblLook w:val="04A0" w:firstRow="1" w:lastRow="0" w:firstColumn="1" w:lastColumn="0" w:noHBand="0" w:noVBand="1"/>
      </w:tblPr>
      <w:tblGrid>
        <w:gridCol w:w="993"/>
        <w:gridCol w:w="1464"/>
        <w:gridCol w:w="1229"/>
        <w:gridCol w:w="1559"/>
        <w:gridCol w:w="1843"/>
        <w:gridCol w:w="1039"/>
        <w:gridCol w:w="960"/>
        <w:gridCol w:w="840"/>
        <w:gridCol w:w="960"/>
        <w:gridCol w:w="720"/>
        <w:gridCol w:w="4200"/>
      </w:tblGrid>
      <w:tr w:rsidR="00F208CE" w14:paraId="3F0FABE5" w14:textId="77777777">
        <w:trPr>
          <w:trHeight w:val="927"/>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FB13EF" w14:textId="32C942F8" w:rsidR="00F208CE" w:rsidRDefault="00513E84">
            <w:pPr>
              <w:pStyle w:val="P68B1DB1-Normal7"/>
              <w:spacing w:after="0"/>
              <w:jc w:val="center"/>
              <w:rPr>
                <w:rFonts w:eastAsia="Times New Roman" w:cs="Times New Roman"/>
                <w:noProof/>
              </w:rPr>
            </w:pPr>
            <w:r>
              <w:rPr>
                <w:noProof/>
              </w:rPr>
              <w:t>Código N.B.:</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389AE2"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9A8886" w14:textId="77777777" w:rsidR="00F208CE" w:rsidRDefault="00513E84">
            <w:pPr>
              <w:pStyle w:val="P68B1DB1-Normal7"/>
              <w:spacing w:after="0"/>
              <w:jc w:val="center"/>
              <w:rPr>
                <w:rFonts w:eastAsia="Times New Roman" w:cs="Times New Roman"/>
                <w:noProof/>
              </w:rPr>
            </w:pPr>
            <w:r>
              <w:rPr>
                <w:noProof/>
              </w:rPr>
              <w:t>Hito/Objetivo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744DE7" w14:textId="77777777" w:rsidR="00F208CE" w:rsidRDefault="00513E84">
            <w:pPr>
              <w:pStyle w:val="P68B1DB1-Normal7"/>
              <w:spacing w:after="0"/>
              <w:jc w:val="center"/>
              <w:rPr>
                <w:rFonts w:eastAsia="Times New Roman" w:cs="Times New Roman"/>
                <w:noProof/>
              </w:rPr>
            </w:pPr>
            <w:r>
              <w:rPr>
                <w:noProof/>
              </w:rPr>
              <w:t>Nombre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DD6CDD"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83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6A61AE0"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68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D61CCE0"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DB4D9"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1A902227" w14:textId="77777777">
        <w:trPr>
          <w:trHeight w:val="101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7423978" w14:textId="77777777" w:rsidR="00F208CE" w:rsidRDefault="00F208CE">
            <w:pPr>
              <w:spacing w:after="0"/>
              <w:jc w:val="center"/>
              <w:rPr>
                <w:rFonts w:ascii="Times New Roman" w:eastAsia="Times New Roman" w:hAnsi="Times New Roman" w:cs="Times New Roman"/>
                <w:b/>
                <w:noProof/>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22A3A329" w14:textId="77777777" w:rsidR="00F208CE" w:rsidRDefault="00F208CE">
            <w:pPr>
              <w:spacing w:after="0"/>
              <w:rPr>
                <w:rFonts w:ascii="Times New Roman" w:eastAsia="Times New Roman" w:hAnsi="Times New Roman" w:cs="Times New Roman"/>
                <w:b/>
                <w:noProof/>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AB72B51" w14:textId="77777777" w:rsidR="00F208CE" w:rsidRDefault="00F208CE">
            <w:pPr>
              <w:spacing w:after="0"/>
              <w:rPr>
                <w:rFonts w:ascii="Times New Roman" w:eastAsia="Times New Roman" w:hAnsi="Times New Roman" w:cs="Times New Roman"/>
                <w:b/>
                <w:noProof/>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05B0F2" w14:textId="77777777" w:rsidR="00F208CE" w:rsidRDefault="00F208CE">
            <w:pPr>
              <w:spacing w:after="0"/>
              <w:rPr>
                <w:rFonts w:ascii="Times New Roman" w:eastAsia="Times New Roman" w:hAnsi="Times New Roman" w:cs="Times New Roman"/>
                <w:b/>
                <w:noProof/>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620AC1" w14:textId="77777777" w:rsidR="00F208CE" w:rsidRDefault="00F208CE">
            <w:pPr>
              <w:spacing w:after="0"/>
              <w:rPr>
                <w:rFonts w:ascii="Times New Roman" w:eastAsia="Times New Roman" w:hAnsi="Times New Roman" w:cs="Times New Roman"/>
                <w:b/>
                <w:noProof/>
              </w:rPr>
            </w:pPr>
          </w:p>
        </w:tc>
        <w:tc>
          <w:tcPr>
            <w:tcW w:w="103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D437BF6" w14:textId="77777777" w:rsidR="00F208CE" w:rsidRDefault="00513E84">
            <w:pPr>
              <w:pStyle w:val="P68B1DB1-Normal7"/>
              <w:spacing w:after="0"/>
              <w:jc w:val="center"/>
              <w:rPr>
                <w:rFonts w:eastAsia="Times New Roman" w:cs="Times New Roman"/>
                <w:noProof/>
              </w:rPr>
            </w:pPr>
            <w:r>
              <w:rPr>
                <w:noProof/>
              </w:rPr>
              <w:t>Unidad de medida</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10F74AC9" w14:textId="77777777" w:rsidR="00F208CE" w:rsidRDefault="00513E84">
            <w:pPr>
              <w:pStyle w:val="P68B1DB1-Normal7"/>
              <w:spacing w:after="0"/>
              <w:jc w:val="center"/>
              <w:rPr>
                <w:rFonts w:eastAsia="Times New Roman" w:cs="Times New Roman"/>
                <w:noProof/>
              </w:rPr>
            </w:pPr>
            <w:r>
              <w:rPr>
                <w:noProof/>
              </w:rPr>
              <w:t xml:space="preserve">Basal </w:t>
            </w:r>
          </w:p>
        </w:tc>
        <w:tc>
          <w:tcPr>
            <w:tcW w:w="840" w:type="dxa"/>
            <w:tcBorders>
              <w:top w:val="single" w:sz="4" w:space="0" w:color="auto"/>
              <w:left w:val="nil"/>
              <w:bottom w:val="single" w:sz="4" w:space="0" w:color="auto"/>
              <w:right w:val="single" w:sz="4" w:space="0" w:color="auto"/>
            </w:tcBorders>
            <w:shd w:val="clear" w:color="auto" w:fill="BDD7EE"/>
            <w:vAlign w:val="center"/>
            <w:hideMark/>
          </w:tcPr>
          <w:p w14:paraId="79FCC041" w14:textId="77777777" w:rsidR="00F208CE" w:rsidRDefault="00513E84">
            <w:pPr>
              <w:pStyle w:val="P68B1DB1-Normal7"/>
              <w:spacing w:after="0"/>
              <w:jc w:val="center"/>
              <w:rPr>
                <w:rFonts w:eastAsia="Times New Roman" w:cs="Times New Roman"/>
                <w:noProof/>
              </w:rPr>
            </w:pPr>
            <w:r>
              <w:rPr>
                <w:noProof/>
              </w:rPr>
              <w:t xml:space="preserve">Meta </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70688980" w14:textId="77777777" w:rsidR="00F208CE" w:rsidRDefault="00513E84">
            <w:pPr>
              <w:pStyle w:val="P68B1DB1-Normal7"/>
              <w:spacing w:after="0"/>
              <w:jc w:val="center"/>
              <w:rPr>
                <w:rFonts w:eastAsia="Times New Roman" w:cs="Times New Roman"/>
                <w:noProof/>
              </w:rPr>
            </w:pPr>
            <w:r>
              <w:rPr>
                <w:noProof/>
              </w:rPr>
              <w:t>Trimestre</w:t>
            </w:r>
          </w:p>
        </w:tc>
        <w:tc>
          <w:tcPr>
            <w:tcW w:w="720" w:type="dxa"/>
            <w:tcBorders>
              <w:top w:val="single" w:sz="4" w:space="0" w:color="auto"/>
              <w:left w:val="nil"/>
              <w:bottom w:val="single" w:sz="4" w:space="0" w:color="auto"/>
              <w:right w:val="single" w:sz="4" w:space="0" w:color="auto"/>
            </w:tcBorders>
            <w:shd w:val="clear" w:color="auto" w:fill="BDD7EE"/>
            <w:vAlign w:val="center"/>
            <w:hideMark/>
          </w:tcPr>
          <w:p w14:paraId="756FF87F" w14:textId="77777777" w:rsidR="00F208CE" w:rsidRDefault="00513E84">
            <w:pPr>
              <w:pStyle w:val="P68B1DB1-Normal7"/>
              <w:spacing w:after="0"/>
              <w:jc w:val="center"/>
              <w:rPr>
                <w:rFonts w:eastAsia="Times New Roman" w:cs="Times New Roman"/>
                <w:noProof/>
              </w:rPr>
            </w:pPr>
            <w:r>
              <w:rPr>
                <w:noProof/>
              </w:rPr>
              <w:t>Año</w:t>
            </w:r>
          </w:p>
        </w:tc>
        <w:tc>
          <w:tcPr>
            <w:tcW w:w="4200" w:type="dxa"/>
            <w:vMerge/>
            <w:tcBorders>
              <w:top w:val="single" w:sz="4" w:space="0" w:color="auto"/>
              <w:bottom w:val="single" w:sz="4" w:space="0" w:color="auto"/>
              <w:right w:val="single" w:sz="4" w:space="0" w:color="auto"/>
            </w:tcBorders>
            <w:vAlign w:val="center"/>
            <w:hideMark/>
          </w:tcPr>
          <w:p w14:paraId="639D09DC" w14:textId="77777777" w:rsidR="00F208CE" w:rsidRDefault="00F208CE">
            <w:pPr>
              <w:spacing w:after="0"/>
              <w:rPr>
                <w:rFonts w:ascii="Times New Roman" w:eastAsia="Times New Roman" w:hAnsi="Times New Roman" w:cs="Times New Roman"/>
                <w:b/>
                <w:noProof/>
              </w:rPr>
            </w:pPr>
          </w:p>
        </w:tc>
      </w:tr>
      <w:tr w:rsidR="00F208CE" w14:paraId="3B8F71BE" w14:textId="77777777">
        <w:trPr>
          <w:trHeight w:val="309"/>
        </w:trPr>
        <w:tc>
          <w:tcPr>
            <w:tcW w:w="99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67AF4DB" w14:textId="77777777" w:rsidR="00F208CE" w:rsidRDefault="00513E84">
            <w:pPr>
              <w:pStyle w:val="P68B1DB1-Normal8"/>
              <w:spacing w:after="0"/>
              <w:jc w:val="center"/>
              <w:rPr>
                <w:rFonts w:eastAsia="Times New Roman" w:cs="Times New Roman"/>
                <w:noProof/>
              </w:rPr>
            </w:pPr>
            <w:bookmarkStart w:id="2" w:name="_1683304835"/>
            <w:bookmarkEnd w:id="2"/>
            <w:r>
              <w:rPr>
                <w:noProof/>
              </w:rPr>
              <w:t>15</w:t>
            </w:r>
          </w:p>
        </w:tc>
        <w:tc>
          <w:tcPr>
            <w:tcW w:w="1464" w:type="dxa"/>
            <w:tcBorders>
              <w:top w:val="single" w:sz="4" w:space="0" w:color="auto"/>
              <w:left w:val="nil"/>
              <w:bottom w:val="single" w:sz="4" w:space="0" w:color="auto"/>
              <w:right w:val="single" w:sz="4" w:space="0" w:color="auto"/>
            </w:tcBorders>
            <w:shd w:val="clear" w:color="auto" w:fill="C6EFCE"/>
            <w:noWrap/>
            <w:vAlign w:val="center"/>
            <w:hideMark/>
          </w:tcPr>
          <w:p w14:paraId="5610425C" w14:textId="00795514" w:rsidR="00F208CE" w:rsidRDefault="00513E84">
            <w:pPr>
              <w:pStyle w:val="P68B1DB1-Normal8"/>
              <w:spacing w:after="0"/>
              <w:rPr>
                <w:rFonts w:eastAsia="Times New Roman" w:cs="Times New Roman"/>
                <w:noProof/>
              </w:rPr>
            </w:pPr>
            <w:r>
              <w:rPr>
                <w:noProof/>
              </w:rPr>
              <w:t>Marco regulador del mercado H2 (R-1.04)</w:t>
            </w:r>
          </w:p>
        </w:tc>
        <w:tc>
          <w:tcPr>
            <w:tcW w:w="1229" w:type="dxa"/>
            <w:tcBorders>
              <w:top w:val="single" w:sz="4" w:space="0" w:color="auto"/>
              <w:left w:val="nil"/>
              <w:bottom w:val="single" w:sz="4" w:space="0" w:color="auto"/>
              <w:right w:val="single" w:sz="4" w:space="0" w:color="auto"/>
            </w:tcBorders>
            <w:shd w:val="clear" w:color="auto" w:fill="C6EFCE"/>
            <w:noWrap/>
            <w:vAlign w:val="center"/>
            <w:hideMark/>
          </w:tcPr>
          <w:p w14:paraId="48CEA43B" w14:textId="675B60D6" w:rsidR="00F208CE" w:rsidRDefault="00513E84">
            <w:pPr>
              <w:pStyle w:val="P68B1DB1-Normal8"/>
              <w:spacing w:after="0"/>
              <w:rPr>
                <w:rFonts w:eastAsia="Times New Roman"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hideMark/>
          </w:tcPr>
          <w:p w14:paraId="3A7F38FC" w14:textId="20B2A431" w:rsidR="00F208CE" w:rsidRDefault="00513E84">
            <w:pPr>
              <w:pStyle w:val="P68B1DB1-Normal8"/>
              <w:spacing w:after="0"/>
              <w:rPr>
                <w:rFonts w:eastAsia="Times New Roman" w:cs="Times New Roman"/>
                <w:noProof/>
              </w:rPr>
            </w:pPr>
            <w:r>
              <w:rPr>
                <w:noProof/>
              </w:rPr>
              <w:t>Entrada en vigor de las leyes nuevas o modificadas y reglamentos conexos para permitir el desarrollo del mercado de H2</w:t>
            </w:r>
          </w:p>
        </w:tc>
        <w:tc>
          <w:tcPr>
            <w:tcW w:w="1843" w:type="dxa"/>
            <w:tcBorders>
              <w:top w:val="single" w:sz="4" w:space="0" w:color="auto"/>
              <w:left w:val="nil"/>
              <w:bottom w:val="single" w:sz="4" w:space="0" w:color="auto"/>
              <w:right w:val="single" w:sz="4" w:space="0" w:color="auto"/>
            </w:tcBorders>
            <w:shd w:val="clear" w:color="auto" w:fill="C6EFCE"/>
            <w:noWrap/>
            <w:vAlign w:val="center"/>
            <w:hideMark/>
          </w:tcPr>
          <w:p w14:paraId="3DB9F550" w14:textId="7EB1E1B0" w:rsidR="00F208CE" w:rsidRDefault="00513E84">
            <w:pPr>
              <w:pStyle w:val="P68B1DB1-Normal8"/>
              <w:spacing w:after="0"/>
              <w:rPr>
                <w:rFonts w:eastAsia="Times New Roman" w:cs="Times New Roman"/>
                <w:noProof/>
              </w:rPr>
            </w:pPr>
            <w:r>
              <w:rPr>
                <w:noProof/>
              </w:rPr>
              <w:t xml:space="preserve">Publicación de las leyes nuevas o </w:t>
            </w:r>
            <w:r>
              <w:rPr>
                <w:noProof/>
              </w:rPr>
              <w:t>modificadas y reglamentos conexos (Diario Oficial)</w:t>
            </w:r>
          </w:p>
        </w:tc>
        <w:tc>
          <w:tcPr>
            <w:tcW w:w="1039" w:type="dxa"/>
            <w:tcBorders>
              <w:top w:val="nil"/>
              <w:left w:val="nil"/>
              <w:bottom w:val="single" w:sz="4" w:space="0" w:color="auto"/>
              <w:right w:val="single" w:sz="4" w:space="0" w:color="auto"/>
            </w:tcBorders>
            <w:shd w:val="clear" w:color="auto" w:fill="C6EFCE"/>
            <w:noWrap/>
            <w:vAlign w:val="center"/>
          </w:tcPr>
          <w:p w14:paraId="2204C8C5"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2C96E4B7" w14:textId="77777777" w:rsidR="00F208CE" w:rsidRDefault="00F208CE">
            <w:pPr>
              <w:spacing w:after="0"/>
              <w:jc w:val="right"/>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33D10E55" w14:textId="77777777" w:rsidR="00F208CE" w:rsidRDefault="00F208CE">
            <w:pPr>
              <w:spacing w:after="0"/>
              <w:jc w:val="right"/>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hideMark/>
          </w:tcPr>
          <w:p w14:paraId="761FA226" w14:textId="77777777" w:rsidR="00F208CE" w:rsidRDefault="00513E84">
            <w:pPr>
              <w:pStyle w:val="P68B1DB1-Normal8"/>
              <w:spacing w:after="0"/>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hideMark/>
          </w:tcPr>
          <w:p w14:paraId="369C92C0" w14:textId="092C1E58" w:rsidR="00F208CE" w:rsidRDefault="00513E84">
            <w:pPr>
              <w:pStyle w:val="P68B1DB1-Normal8"/>
              <w:spacing w:after="0"/>
              <w:rPr>
                <w:rFonts w:eastAsia="Times New Roman" w:cs="Times New Roman"/>
                <w:noProof/>
              </w:rPr>
            </w:pPr>
            <w:r>
              <w:rPr>
                <w:noProof/>
              </w:rPr>
              <w:t>2024</w:t>
            </w:r>
          </w:p>
        </w:tc>
        <w:tc>
          <w:tcPr>
            <w:tcW w:w="4200" w:type="dxa"/>
            <w:tcBorders>
              <w:top w:val="single" w:sz="4" w:space="0" w:color="auto"/>
              <w:left w:val="nil"/>
              <w:bottom w:val="single" w:sz="4" w:space="0" w:color="auto"/>
              <w:right w:val="single" w:sz="4" w:space="0" w:color="auto"/>
            </w:tcBorders>
            <w:shd w:val="clear" w:color="auto" w:fill="C6EFCE"/>
            <w:noWrap/>
            <w:vAlign w:val="center"/>
            <w:hideMark/>
          </w:tcPr>
          <w:p w14:paraId="2FB6AED6" w14:textId="52855A96" w:rsidR="00F208CE" w:rsidRDefault="00513E84">
            <w:pPr>
              <w:pStyle w:val="P68B1DB1-Normal8"/>
              <w:spacing w:after="0"/>
              <w:rPr>
                <w:rFonts w:eastAsia="Times New Roman" w:cs="Times New Roman"/>
                <w:noProof/>
              </w:rPr>
            </w:pPr>
            <w:r>
              <w:rPr>
                <w:noProof/>
              </w:rPr>
              <w:t>Entrada en vigor de las leyes nuevas o modificadas para:</w:t>
            </w:r>
          </w:p>
          <w:p w14:paraId="0E5E0E7A" w14:textId="60F11B02" w:rsidR="00F208CE" w:rsidRDefault="00513E84">
            <w:pPr>
              <w:pStyle w:val="P68B1DB1-ListParagraph10"/>
              <w:numPr>
                <w:ilvl w:val="0"/>
                <w:numId w:val="31"/>
              </w:numPr>
              <w:spacing w:after="0"/>
              <w:rPr>
                <w:rFonts w:eastAsia="Times New Roman" w:cs="Times New Roman"/>
                <w:noProof/>
              </w:rPr>
            </w:pPr>
            <w:r>
              <w:rPr>
                <w:noProof/>
              </w:rPr>
              <w:t>permitir el desarrollo del mercado de H2,</w:t>
            </w:r>
          </w:p>
          <w:p w14:paraId="495E23C7" w14:textId="77777777" w:rsidR="00F208CE" w:rsidRDefault="00513E84">
            <w:pPr>
              <w:pStyle w:val="P68B1DB1-ListParagraph10"/>
              <w:numPr>
                <w:ilvl w:val="0"/>
                <w:numId w:val="31"/>
              </w:numPr>
              <w:spacing w:after="0"/>
              <w:rPr>
                <w:rFonts w:eastAsia="Times New Roman" w:cs="Times New Roman"/>
                <w:noProof/>
              </w:rPr>
            </w:pPr>
            <w:r>
              <w:rPr>
                <w:noProof/>
              </w:rPr>
              <w:t>abarcan temas como la supervisión, el acceso no discriminatorio y las tarifas.</w:t>
            </w:r>
          </w:p>
        </w:tc>
      </w:tr>
      <w:tr w:rsidR="00F208CE" w14:paraId="552A1EAB"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0283A6BE" w14:textId="46764E06" w:rsidR="00F208CE" w:rsidRDefault="00513E84">
            <w:pPr>
              <w:pStyle w:val="P68B1DB1-Normal8"/>
              <w:spacing w:after="0"/>
              <w:jc w:val="center"/>
              <w:rPr>
                <w:rFonts w:eastAsia="Times New Roman" w:cs="Times New Roman"/>
                <w:noProof/>
              </w:rPr>
            </w:pPr>
            <w:r>
              <w:rPr>
                <w:noProof/>
              </w:rPr>
              <w:t>15 bis</w:t>
            </w:r>
          </w:p>
        </w:tc>
        <w:tc>
          <w:tcPr>
            <w:tcW w:w="1464" w:type="dxa"/>
            <w:tcBorders>
              <w:top w:val="nil"/>
              <w:left w:val="nil"/>
              <w:bottom w:val="single" w:sz="4" w:space="0" w:color="auto"/>
              <w:right w:val="single" w:sz="4" w:space="0" w:color="auto"/>
            </w:tcBorders>
            <w:shd w:val="clear" w:color="auto" w:fill="C6EFCE"/>
            <w:noWrap/>
            <w:vAlign w:val="center"/>
          </w:tcPr>
          <w:p w14:paraId="0FA08B49" w14:textId="634D0FE9" w:rsidR="00F208CE" w:rsidRDefault="00513E84">
            <w:pPr>
              <w:pStyle w:val="P68B1DB1-Normal8"/>
              <w:spacing w:after="0"/>
              <w:rPr>
                <w:rFonts w:eastAsia="Times New Roman" w:cs="Times New Roman"/>
                <w:noProof/>
              </w:rPr>
            </w:pPr>
            <w:r>
              <w:rPr>
                <w:noProof/>
              </w:rPr>
              <w:t>Marco regulador del mercado de CO2 en Flandes (R-1.05)</w:t>
            </w:r>
          </w:p>
        </w:tc>
        <w:tc>
          <w:tcPr>
            <w:tcW w:w="1229" w:type="dxa"/>
            <w:tcBorders>
              <w:top w:val="nil"/>
              <w:left w:val="nil"/>
              <w:bottom w:val="single" w:sz="4" w:space="0" w:color="auto"/>
              <w:right w:val="single" w:sz="4" w:space="0" w:color="auto"/>
            </w:tcBorders>
            <w:shd w:val="clear" w:color="auto" w:fill="C6EFCE"/>
            <w:noWrap/>
            <w:vAlign w:val="center"/>
          </w:tcPr>
          <w:p w14:paraId="1D0C3535" w14:textId="1E685B74"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7861F9E2" w14:textId="13D9925A" w:rsidR="00F208CE" w:rsidRDefault="00513E84">
            <w:pPr>
              <w:pStyle w:val="P68B1DB1-Normal8"/>
              <w:spacing w:after="0"/>
              <w:rPr>
                <w:rFonts w:eastAsia="Times New Roman" w:cs="Times New Roman"/>
                <w:noProof/>
              </w:rPr>
            </w:pPr>
            <w:r>
              <w:rPr>
                <w:noProof/>
              </w:rPr>
              <w:t>Entrada en vigor de los decretos nuevos o modificados y de la normativa conexa para permitir el desarrollo del mercado del CO2 en Flandes</w:t>
            </w:r>
          </w:p>
        </w:tc>
        <w:tc>
          <w:tcPr>
            <w:tcW w:w="1843" w:type="dxa"/>
            <w:tcBorders>
              <w:top w:val="nil"/>
              <w:left w:val="nil"/>
              <w:bottom w:val="single" w:sz="4" w:space="0" w:color="auto"/>
              <w:right w:val="single" w:sz="4" w:space="0" w:color="auto"/>
            </w:tcBorders>
            <w:shd w:val="clear" w:color="auto" w:fill="C6EFCE"/>
            <w:noWrap/>
            <w:vAlign w:val="center"/>
          </w:tcPr>
          <w:p w14:paraId="61BC45D1" w14:textId="3B697D7F" w:rsidR="00F208CE" w:rsidRDefault="00513E84">
            <w:pPr>
              <w:pStyle w:val="P68B1DB1-Normal8"/>
              <w:spacing w:after="0"/>
              <w:rPr>
                <w:rFonts w:eastAsia="Times New Roman" w:cs="Times New Roman"/>
                <w:noProof/>
              </w:rPr>
            </w:pPr>
            <w:r>
              <w:rPr>
                <w:noProof/>
              </w:rPr>
              <w:t>Publicación de los decretos nuevos o modificados y de</w:t>
            </w:r>
            <w:r>
              <w:rPr>
                <w:noProof/>
              </w:rPr>
              <w:t xml:space="preserve"> los reglamentos conexos (Diario Oficial)</w:t>
            </w:r>
          </w:p>
        </w:tc>
        <w:tc>
          <w:tcPr>
            <w:tcW w:w="1039" w:type="dxa"/>
            <w:tcBorders>
              <w:top w:val="nil"/>
              <w:left w:val="nil"/>
              <w:bottom w:val="single" w:sz="4" w:space="0" w:color="auto"/>
              <w:right w:val="single" w:sz="4" w:space="0" w:color="auto"/>
            </w:tcBorders>
            <w:shd w:val="clear" w:color="auto" w:fill="C6EFCE"/>
            <w:noWrap/>
            <w:vAlign w:val="center"/>
          </w:tcPr>
          <w:p w14:paraId="0ECF405D"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3FE4F6AB" w14:textId="77777777" w:rsidR="00F208CE" w:rsidRDefault="00F208CE">
            <w:pPr>
              <w:spacing w:after="0"/>
              <w:jc w:val="right"/>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4DD7D184" w14:textId="77777777" w:rsidR="00F208CE" w:rsidRDefault="00F208CE">
            <w:pPr>
              <w:spacing w:after="0"/>
              <w:jc w:val="right"/>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6B8D9529" w14:textId="78B4083C" w:rsidR="00F208CE" w:rsidRDefault="00513E84">
            <w:pPr>
              <w:pStyle w:val="P68B1DB1-Normal8"/>
              <w:spacing w:after="0"/>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31A0286D" w14:textId="4C0343DC" w:rsidR="00F208CE" w:rsidRDefault="00513E84">
            <w:pPr>
              <w:pStyle w:val="P68B1DB1-Normal8"/>
              <w:spacing w:after="0"/>
              <w:rPr>
                <w:rFonts w:eastAsia="Times New Roman" w:cs="Times New Roman"/>
                <w:noProof/>
              </w:rPr>
            </w:pPr>
            <w:r>
              <w:rPr>
                <w:noProof/>
              </w:rPr>
              <w:t>2024</w:t>
            </w:r>
          </w:p>
        </w:tc>
        <w:tc>
          <w:tcPr>
            <w:tcW w:w="4200" w:type="dxa"/>
            <w:tcBorders>
              <w:top w:val="nil"/>
              <w:left w:val="nil"/>
              <w:bottom w:val="single" w:sz="4" w:space="0" w:color="auto"/>
              <w:right w:val="single" w:sz="4" w:space="0" w:color="auto"/>
            </w:tcBorders>
            <w:shd w:val="clear" w:color="auto" w:fill="C6EFCE"/>
            <w:noWrap/>
            <w:vAlign w:val="center"/>
          </w:tcPr>
          <w:p w14:paraId="724B0EE2" w14:textId="77777777" w:rsidR="00F208CE" w:rsidRDefault="00513E84">
            <w:pPr>
              <w:pStyle w:val="P68B1DB1-Normal8"/>
              <w:spacing w:after="0"/>
              <w:rPr>
                <w:rFonts w:eastAsia="Times New Roman" w:cs="Times New Roman"/>
                <w:noProof/>
              </w:rPr>
            </w:pPr>
            <w:r>
              <w:rPr>
                <w:noProof/>
              </w:rPr>
              <w:t>Entrada en vigor de los decretos nuevos o modificados a nivel flamenco para:</w:t>
            </w:r>
          </w:p>
          <w:p w14:paraId="4486EE4F" w14:textId="77777777" w:rsidR="00F208CE" w:rsidRDefault="00513E84">
            <w:pPr>
              <w:pStyle w:val="P68B1DB1-ListParagraph10"/>
              <w:numPr>
                <w:ilvl w:val="0"/>
                <w:numId w:val="1"/>
              </w:numPr>
              <w:spacing w:after="0"/>
              <w:rPr>
                <w:rFonts w:eastAsia="Times New Roman" w:cs="Times New Roman"/>
                <w:noProof/>
              </w:rPr>
            </w:pPr>
            <w:r>
              <w:rPr>
                <w:noProof/>
              </w:rPr>
              <w:t>permitir el desarrollo del mercado del CO2,</w:t>
            </w:r>
          </w:p>
          <w:p w14:paraId="683BB20A" w14:textId="211651B0" w:rsidR="00F208CE" w:rsidRDefault="00513E84">
            <w:pPr>
              <w:pStyle w:val="P68B1DB1-ListParagraph10"/>
              <w:numPr>
                <w:ilvl w:val="0"/>
                <w:numId w:val="1"/>
              </w:numPr>
              <w:spacing w:after="0"/>
              <w:rPr>
                <w:rFonts w:eastAsia="Times New Roman" w:cs="Times New Roman"/>
                <w:noProof/>
              </w:rPr>
            </w:pPr>
            <w:r>
              <w:rPr>
                <w:noProof/>
              </w:rPr>
              <w:t xml:space="preserve">abarcan temas como la supervisión, el acceso no discriminatorio y </w:t>
            </w:r>
            <w:r>
              <w:rPr>
                <w:noProof/>
              </w:rPr>
              <w:t>las tarifas.</w:t>
            </w:r>
          </w:p>
        </w:tc>
      </w:tr>
      <w:tr w:rsidR="00F208CE" w14:paraId="20975991"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29E13757" w14:textId="1E599890" w:rsidR="00F208CE" w:rsidRDefault="00513E84">
            <w:pPr>
              <w:pStyle w:val="P68B1DB1-Normal8"/>
              <w:spacing w:after="0"/>
              <w:jc w:val="center"/>
              <w:rPr>
                <w:rFonts w:eastAsia="Times New Roman" w:cs="Times New Roman"/>
                <w:noProof/>
              </w:rPr>
            </w:pPr>
            <w:r>
              <w:rPr>
                <w:noProof/>
              </w:rPr>
              <w:t>15ter</w:t>
            </w:r>
          </w:p>
        </w:tc>
        <w:tc>
          <w:tcPr>
            <w:tcW w:w="1464" w:type="dxa"/>
            <w:tcBorders>
              <w:top w:val="nil"/>
              <w:left w:val="nil"/>
              <w:bottom w:val="single" w:sz="4" w:space="0" w:color="auto"/>
              <w:right w:val="single" w:sz="4" w:space="0" w:color="auto"/>
            </w:tcBorders>
            <w:shd w:val="clear" w:color="auto" w:fill="C6EFCE"/>
            <w:noWrap/>
            <w:vAlign w:val="center"/>
          </w:tcPr>
          <w:p w14:paraId="4014C6FE" w14:textId="2A9E8A52" w:rsidR="00F208CE" w:rsidRDefault="00513E84">
            <w:pPr>
              <w:pStyle w:val="P68B1DB1-Normal8"/>
              <w:spacing w:after="0"/>
              <w:rPr>
                <w:rFonts w:eastAsia="Times New Roman" w:cs="Times New Roman"/>
                <w:noProof/>
              </w:rPr>
            </w:pPr>
            <w:r>
              <w:rPr>
                <w:noProof/>
              </w:rPr>
              <w:t>Marco regulador del mercado de CO2 en Valonia (R-1.06)</w:t>
            </w:r>
          </w:p>
        </w:tc>
        <w:tc>
          <w:tcPr>
            <w:tcW w:w="1229" w:type="dxa"/>
            <w:tcBorders>
              <w:top w:val="nil"/>
              <w:left w:val="nil"/>
              <w:bottom w:val="single" w:sz="4" w:space="0" w:color="auto"/>
              <w:right w:val="single" w:sz="4" w:space="0" w:color="auto"/>
            </w:tcBorders>
            <w:shd w:val="clear" w:color="auto" w:fill="C6EFCE"/>
            <w:noWrap/>
            <w:vAlign w:val="center"/>
          </w:tcPr>
          <w:p w14:paraId="7822D590" w14:textId="1F2D3AC4"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6B67E69A" w14:textId="253435EA" w:rsidR="00F208CE" w:rsidRDefault="00513E84">
            <w:pPr>
              <w:pStyle w:val="P68B1DB1-Normal8"/>
              <w:spacing w:after="0"/>
              <w:rPr>
                <w:rFonts w:eastAsia="Times New Roman" w:cs="Times New Roman"/>
                <w:noProof/>
              </w:rPr>
            </w:pPr>
            <w:r>
              <w:rPr>
                <w:noProof/>
              </w:rPr>
              <w:t>Entrada en vigor de los decretos nuevos o modificados y de la normativa conexa para permitir el desarrollo del mercado del CO2 en Valonia</w:t>
            </w:r>
          </w:p>
        </w:tc>
        <w:tc>
          <w:tcPr>
            <w:tcW w:w="1843" w:type="dxa"/>
            <w:tcBorders>
              <w:top w:val="nil"/>
              <w:left w:val="nil"/>
              <w:bottom w:val="single" w:sz="4" w:space="0" w:color="auto"/>
              <w:right w:val="single" w:sz="4" w:space="0" w:color="auto"/>
            </w:tcBorders>
            <w:shd w:val="clear" w:color="auto" w:fill="C6EFCE"/>
            <w:noWrap/>
            <w:vAlign w:val="center"/>
          </w:tcPr>
          <w:p w14:paraId="0C06945D" w14:textId="5F051B23" w:rsidR="00F208CE" w:rsidRDefault="00513E84">
            <w:pPr>
              <w:pStyle w:val="P68B1DB1-Normal8"/>
              <w:spacing w:after="0"/>
              <w:rPr>
                <w:rFonts w:eastAsia="Times New Roman" w:cs="Times New Roman"/>
                <w:noProof/>
              </w:rPr>
            </w:pPr>
            <w:r>
              <w:rPr>
                <w:noProof/>
              </w:rPr>
              <w:t xml:space="preserve">Publicación de los decretos nuevos o </w:t>
            </w:r>
            <w:r>
              <w:rPr>
                <w:noProof/>
              </w:rPr>
              <w:t>modificados y de los reglamentos conexos (Diario Oficial)</w:t>
            </w:r>
          </w:p>
        </w:tc>
        <w:tc>
          <w:tcPr>
            <w:tcW w:w="1039" w:type="dxa"/>
            <w:tcBorders>
              <w:top w:val="nil"/>
              <w:left w:val="nil"/>
              <w:bottom w:val="single" w:sz="4" w:space="0" w:color="auto"/>
              <w:right w:val="single" w:sz="4" w:space="0" w:color="auto"/>
            </w:tcBorders>
            <w:shd w:val="clear" w:color="auto" w:fill="C6EFCE"/>
            <w:noWrap/>
            <w:vAlign w:val="center"/>
          </w:tcPr>
          <w:p w14:paraId="73767558"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2280AEB3" w14:textId="77777777" w:rsidR="00F208CE" w:rsidRDefault="00F208CE">
            <w:pPr>
              <w:spacing w:after="0"/>
              <w:jc w:val="right"/>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3DBADB13" w14:textId="77777777" w:rsidR="00F208CE" w:rsidRDefault="00F208CE">
            <w:pPr>
              <w:spacing w:after="0"/>
              <w:jc w:val="right"/>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44733DC5" w14:textId="61EEF257" w:rsidR="00F208CE" w:rsidRDefault="00513E84">
            <w:pPr>
              <w:pStyle w:val="P68B1DB1-Normal8"/>
              <w:spacing w:after="0"/>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14158E8D" w14:textId="26D3F1A3" w:rsidR="00F208CE" w:rsidRDefault="00513E84">
            <w:pPr>
              <w:pStyle w:val="P68B1DB1-Normal8"/>
              <w:spacing w:after="0"/>
              <w:rPr>
                <w:rFonts w:eastAsia="Times New Roman" w:cs="Times New Roman"/>
                <w:noProof/>
              </w:rPr>
            </w:pPr>
            <w:r>
              <w:rPr>
                <w:noProof/>
              </w:rPr>
              <w:t>2024</w:t>
            </w:r>
          </w:p>
        </w:tc>
        <w:tc>
          <w:tcPr>
            <w:tcW w:w="4200" w:type="dxa"/>
            <w:tcBorders>
              <w:top w:val="nil"/>
              <w:left w:val="nil"/>
              <w:bottom w:val="single" w:sz="4" w:space="0" w:color="auto"/>
              <w:right w:val="single" w:sz="4" w:space="0" w:color="auto"/>
            </w:tcBorders>
            <w:shd w:val="clear" w:color="auto" w:fill="C6EFCE"/>
            <w:noWrap/>
            <w:vAlign w:val="center"/>
          </w:tcPr>
          <w:p w14:paraId="2BE9C1A0" w14:textId="0FBF8AA1" w:rsidR="00F208CE" w:rsidRDefault="00513E84">
            <w:pPr>
              <w:pStyle w:val="P68B1DB1-Normal8"/>
              <w:spacing w:after="0"/>
              <w:rPr>
                <w:rFonts w:eastAsia="Times New Roman" w:cs="Times New Roman"/>
                <w:noProof/>
              </w:rPr>
            </w:pPr>
            <w:r>
              <w:rPr>
                <w:noProof/>
              </w:rPr>
              <w:t>Entrada en vigor de los decretos nuevos o modificados a nivel valón para:</w:t>
            </w:r>
          </w:p>
          <w:p w14:paraId="41B5CE92" w14:textId="1CA618DC" w:rsidR="00F208CE" w:rsidRDefault="00513E84">
            <w:pPr>
              <w:pStyle w:val="P68B1DB1-ListParagraph10"/>
              <w:numPr>
                <w:ilvl w:val="0"/>
                <w:numId w:val="1"/>
              </w:numPr>
              <w:spacing w:after="0"/>
              <w:rPr>
                <w:rFonts w:eastAsia="Times New Roman" w:cs="Times New Roman"/>
                <w:noProof/>
              </w:rPr>
            </w:pPr>
            <w:r>
              <w:rPr>
                <w:noProof/>
              </w:rPr>
              <w:t>permitir el desarrollo del mercado del CO2,</w:t>
            </w:r>
          </w:p>
          <w:p w14:paraId="1A0A84DA" w14:textId="76C2A0C3" w:rsidR="00F208CE" w:rsidRDefault="00513E84">
            <w:pPr>
              <w:pStyle w:val="P68B1DB1-ListParagraph10"/>
              <w:numPr>
                <w:ilvl w:val="0"/>
                <w:numId w:val="1"/>
              </w:numPr>
              <w:spacing w:after="0"/>
              <w:rPr>
                <w:rFonts w:eastAsia="Times New Roman" w:cs="Times New Roman"/>
                <w:noProof/>
              </w:rPr>
            </w:pPr>
            <w:r>
              <w:rPr>
                <w:noProof/>
              </w:rPr>
              <w:t>abarcan temas como la supervisión, el acceso no discr</w:t>
            </w:r>
            <w:r>
              <w:rPr>
                <w:noProof/>
              </w:rPr>
              <w:t>iminatorio y las tarifas.</w:t>
            </w:r>
          </w:p>
        </w:tc>
      </w:tr>
      <w:tr w:rsidR="00F208CE" w14:paraId="43385E53"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14:paraId="7C533F6A" w14:textId="77777777" w:rsidR="00F208CE" w:rsidRDefault="00513E84">
            <w:pPr>
              <w:pStyle w:val="P68B1DB1-Normal8"/>
              <w:spacing w:after="0"/>
              <w:jc w:val="center"/>
              <w:rPr>
                <w:rFonts w:eastAsia="Times New Roman" w:cs="Times New Roman"/>
                <w:noProof/>
              </w:rPr>
            </w:pPr>
            <w:r>
              <w:rPr>
                <w:noProof/>
              </w:rPr>
              <w:t>18</w:t>
            </w:r>
          </w:p>
        </w:tc>
        <w:tc>
          <w:tcPr>
            <w:tcW w:w="1464" w:type="dxa"/>
            <w:tcBorders>
              <w:top w:val="nil"/>
              <w:left w:val="nil"/>
              <w:bottom w:val="single" w:sz="4" w:space="0" w:color="auto"/>
              <w:right w:val="single" w:sz="4" w:space="0" w:color="auto"/>
            </w:tcBorders>
            <w:shd w:val="clear" w:color="auto" w:fill="C6EFCE"/>
            <w:noWrap/>
            <w:vAlign w:val="center"/>
            <w:hideMark/>
          </w:tcPr>
          <w:p w14:paraId="20B4C171" w14:textId="63990001" w:rsidR="00F208CE" w:rsidRDefault="00513E84">
            <w:pPr>
              <w:pStyle w:val="P68B1DB1-Normal8"/>
              <w:spacing w:after="0"/>
              <w:rPr>
                <w:noProof/>
              </w:rPr>
            </w:pPr>
            <w:r>
              <w:rPr>
                <w:noProof/>
              </w:rPr>
              <w:t>Una cadena de valor industrial para la transición del hidrógeno (I-1.15)</w:t>
            </w:r>
          </w:p>
        </w:tc>
        <w:tc>
          <w:tcPr>
            <w:tcW w:w="1229" w:type="dxa"/>
            <w:tcBorders>
              <w:top w:val="nil"/>
              <w:left w:val="nil"/>
              <w:bottom w:val="single" w:sz="4" w:space="0" w:color="auto"/>
              <w:right w:val="single" w:sz="4" w:space="0" w:color="auto"/>
            </w:tcBorders>
            <w:shd w:val="clear" w:color="auto" w:fill="C6EFCE"/>
            <w:noWrap/>
            <w:vAlign w:val="center"/>
            <w:hideMark/>
          </w:tcPr>
          <w:p w14:paraId="516DD04F" w14:textId="6881C735"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hideMark/>
          </w:tcPr>
          <w:p w14:paraId="7CDD52BE" w14:textId="5B130448" w:rsidR="00F208CE" w:rsidRDefault="00513E84">
            <w:pPr>
              <w:pStyle w:val="P68B1DB1-Normal8"/>
              <w:spacing w:after="0"/>
              <w:rPr>
                <w:rFonts w:eastAsia="Times New Roman" w:cs="Times New Roman"/>
                <w:noProof/>
              </w:rPr>
            </w:pPr>
            <w:r>
              <w:rPr>
                <w:noProof/>
              </w:rPr>
              <w:t>Adjudicación de contratos en el marco de la convocatoria de proyectos</w:t>
            </w:r>
          </w:p>
        </w:tc>
        <w:tc>
          <w:tcPr>
            <w:tcW w:w="1843" w:type="dxa"/>
            <w:tcBorders>
              <w:top w:val="nil"/>
              <w:left w:val="nil"/>
              <w:bottom w:val="single" w:sz="4" w:space="0" w:color="auto"/>
              <w:right w:val="single" w:sz="4" w:space="0" w:color="auto"/>
            </w:tcBorders>
            <w:shd w:val="clear" w:color="auto" w:fill="C6EFCE"/>
            <w:noWrap/>
            <w:vAlign w:val="center"/>
            <w:hideMark/>
          </w:tcPr>
          <w:p w14:paraId="51BC4061" w14:textId="77777777" w:rsidR="00F208CE" w:rsidRDefault="00513E84">
            <w:pPr>
              <w:pStyle w:val="P68B1DB1-Normal8"/>
              <w:spacing w:after="0"/>
              <w:rPr>
                <w:rFonts w:eastAsia="Times New Roman" w:cs="Times New Roman"/>
                <w:noProof/>
              </w:rPr>
            </w:pPr>
            <w:r>
              <w:rPr>
                <w:noProof/>
              </w:rPr>
              <w:t xml:space="preserve">Notificación escrita de la adjudicación de contratos a los candidatos </w:t>
            </w:r>
            <w:r>
              <w:rPr>
                <w:noProof/>
              </w:rPr>
              <w:t>seleccionados</w:t>
            </w:r>
          </w:p>
        </w:tc>
        <w:tc>
          <w:tcPr>
            <w:tcW w:w="1039" w:type="dxa"/>
            <w:tcBorders>
              <w:top w:val="nil"/>
              <w:left w:val="nil"/>
              <w:bottom w:val="single" w:sz="4" w:space="0" w:color="auto"/>
              <w:right w:val="single" w:sz="4" w:space="0" w:color="auto"/>
            </w:tcBorders>
            <w:shd w:val="clear" w:color="auto" w:fill="C6EFCE"/>
            <w:noWrap/>
            <w:vAlign w:val="center"/>
            <w:hideMark/>
          </w:tcPr>
          <w:p w14:paraId="3DFE9EBB"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hideMark/>
          </w:tcPr>
          <w:p w14:paraId="6C1C4F70" w14:textId="77777777" w:rsidR="00F208CE" w:rsidRDefault="00513E84">
            <w:pPr>
              <w:pStyle w:val="P68B1DB1-Normal8"/>
              <w:spacing w:after="0"/>
              <w:rPr>
                <w:rFonts w:eastAsia="Times New Roman" w:cs="Times New Roman"/>
                <w:noProof/>
              </w:rPr>
            </w:pPr>
            <w:r>
              <w:rPr>
                <w:noProof/>
              </w:rPr>
              <w:t xml:space="preserve"> </w:t>
            </w:r>
          </w:p>
        </w:tc>
        <w:tc>
          <w:tcPr>
            <w:tcW w:w="840" w:type="dxa"/>
            <w:tcBorders>
              <w:top w:val="nil"/>
              <w:left w:val="nil"/>
              <w:bottom w:val="single" w:sz="4" w:space="0" w:color="auto"/>
              <w:right w:val="single" w:sz="4" w:space="0" w:color="auto"/>
            </w:tcBorders>
            <w:shd w:val="clear" w:color="auto" w:fill="C6EFCE"/>
            <w:noWrap/>
            <w:vAlign w:val="center"/>
            <w:hideMark/>
          </w:tcPr>
          <w:p w14:paraId="15205DEC"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hideMark/>
          </w:tcPr>
          <w:p w14:paraId="15BFDF4F" w14:textId="77777777" w:rsidR="00F208CE" w:rsidRDefault="00513E84">
            <w:pPr>
              <w:pStyle w:val="P68B1DB1-Normal8"/>
              <w:spacing w:after="0"/>
              <w:rPr>
                <w:rFonts w:eastAsia="Times New Roman" w:cs="Times New Roman"/>
                <w:noProof/>
                <w:highlight w:val="yellow"/>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7CE6927E" w14:textId="77777777" w:rsidR="00F208CE" w:rsidRDefault="00513E84">
            <w:pPr>
              <w:pStyle w:val="P68B1DB1-Normal8"/>
              <w:spacing w:after="0"/>
              <w:rPr>
                <w:rFonts w:eastAsia="Times New Roman" w:cs="Times New Roman"/>
                <w:noProof/>
              </w:rPr>
            </w:pPr>
            <w:r>
              <w:rPr>
                <w:noProof/>
              </w:rPr>
              <w:t>2022</w:t>
            </w:r>
          </w:p>
        </w:tc>
        <w:tc>
          <w:tcPr>
            <w:tcW w:w="4200" w:type="dxa"/>
            <w:tcBorders>
              <w:top w:val="nil"/>
              <w:left w:val="nil"/>
              <w:bottom w:val="single" w:sz="4" w:space="0" w:color="auto"/>
              <w:right w:val="single" w:sz="4" w:space="0" w:color="auto"/>
            </w:tcBorders>
            <w:shd w:val="clear" w:color="auto" w:fill="C6EFCE"/>
            <w:noWrap/>
            <w:vAlign w:val="center"/>
            <w:hideMark/>
          </w:tcPr>
          <w:p w14:paraId="348EDFD7" w14:textId="07CFEC6A" w:rsidR="00F208CE" w:rsidRDefault="00513E84">
            <w:pPr>
              <w:pStyle w:val="P68B1DB1-Normal8"/>
              <w:spacing w:after="0"/>
              <w:rPr>
                <w:rFonts w:eastAsia="Times New Roman" w:cs="Times New Roman"/>
                <w:noProof/>
              </w:rPr>
            </w:pPr>
            <w:r>
              <w:rPr>
                <w:noProof/>
              </w:rPr>
              <w:t>Notificación de la adjudicación de contratos por un valor total de al menos 27 000 000 EUR a candidatos sucesores en el marco de la convocatoria de proyectos «Una cadena de valor industrial para la transición del</w:t>
            </w:r>
            <w:r>
              <w:rPr>
                <w:noProof/>
              </w:rPr>
              <w:t xml:space="preserve"> hidrógeno (nivel federal). Los proyectos se seleccionarán mediante una convocatoria de proyectos, que abarcará las plantas de demostración para la producción de hidrógeno limpio, así como el uso de hidrógeno, por ejemplo en buques, en la medida en que los</w:t>
            </w:r>
            <w:r>
              <w:rPr>
                <w:noProof/>
              </w:rPr>
              <w:t xml:space="preserve"> proyectos sean competencia del Gobierno federal. Por lo que se refiere a las instalaciones de demostración para la producción de hidrógeno limpio, la convocatoria estará abierta a todas las tecnologías con cero emisiones de proceso, como la electrólisis a</w:t>
            </w:r>
            <w:r>
              <w:rPr>
                <w:noProof/>
              </w:rPr>
              <w:t>limentada por electricidad renovable o la pirólisis.</w:t>
            </w:r>
          </w:p>
          <w:p w14:paraId="682DFC84" w14:textId="77777777" w:rsidR="00F208CE" w:rsidRDefault="00F208CE">
            <w:pPr>
              <w:spacing w:after="0"/>
              <w:rPr>
                <w:rFonts w:ascii="Times New Roman" w:eastAsia="Times New Roman" w:hAnsi="Times New Roman" w:cs="Times New Roman"/>
                <w:noProof/>
                <w:color w:val="006100"/>
              </w:rPr>
            </w:pPr>
          </w:p>
          <w:p w14:paraId="473D43BF" w14:textId="4EAD5282" w:rsidR="00F208CE" w:rsidRDefault="00513E84">
            <w:pPr>
              <w:pStyle w:val="P68B1DB1-Normal8"/>
              <w:spacing w:after="0"/>
              <w:rPr>
                <w:rFonts w:eastAsia="Times New Roman" w:cs="Times New Roman"/>
                <w:noProof/>
              </w:rPr>
            </w:pPr>
            <w:r>
              <w:rPr>
                <w:noProof/>
              </w:rPr>
              <w:t xml:space="preserve">La convocatoria de proyectos de investigación e innovación (I) deberá cumplir las siguientes condiciones: </w:t>
            </w:r>
          </w:p>
          <w:p w14:paraId="145CD087" w14:textId="2B147070" w:rsidR="00F208CE" w:rsidRDefault="00513E84">
            <w:pPr>
              <w:pStyle w:val="P68B1DB1-Normal8"/>
              <w:spacing w:after="0"/>
              <w:rPr>
                <w:rFonts w:eastAsia="Times New Roman" w:cs="Times New Roman"/>
                <w:noProof/>
              </w:rPr>
            </w:pPr>
            <w:r>
              <w:rPr>
                <w:noProof/>
              </w:rPr>
              <w:t xml:space="preserve">— La I se centra exclusiva o principalmente en opciones de bajo impacto (como la producción de </w:t>
            </w:r>
            <w:r>
              <w:rPr>
                <w:noProof/>
              </w:rPr>
              <w:t>hidrógeno renovable u otras innovaciones medioambientales de emisión cero), o</w:t>
            </w:r>
          </w:p>
          <w:p w14:paraId="47B8923A" w14:textId="4A2A3B39" w:rsidR="00F208CE" w:rsidRDefault="00513E84">
            <w:pPr>
              <w:pStyle w:val="P68B1DB1-Normal8"/>
              <w:spacing w:after="0"/>
              <w:rPr>
                <w:rFonts w:eastAsia="Times New Roman" w:cs="Times New Roman"/>
                <w:noProof/>
              </w:rPr>
            </w:pPr>
            <w:r>
              <w:rPr>
                <w:noProof/>
              </w:rPr>
              <w:t xml:space="preserve">— La Recomendación I se dedica a mejorar la tecnología «mejor en clase» (como las tecnologías con el impacto más limitado (pero no nulo/bajo) entre las disponibles actualmente), </w:t>
            </w:r>
            <w:r>
              <w:rPr>
                <w:noProof/>
              </w:rPr>
              <w:t>y se establecen medidas de acompañamiento adecuadas para evitar los efectos de bloqueo (medidas que permiten la adopción de tecnologías de bajo impacto o su desarrollo); o</w:t>
            </w:r>
          </w:p>
          <w:p w14:paraId="0ECE83FB" w14:textId="77777777" w:rsidR="00F208CE" w:rsidRDefault="00513E84">
            <w:pPr>
              <w:pStyle w:val="P68B1DB1-Normal8"/>
              <w:spacing w:after="0"/>
              <w:rPr>
                <w:rFonts w:eastAsia="Times New Roman" w:cs="Times New Roman"/>
                <w:noProof/>
              </w:rPr>
            </w:pPr>
            <w:r>
              <w:rPr>
                <w:noProof/>
              </w:rPr>
              <w:t>— Los resultados del proceso R/I son tecnológicamente neutros a nivel de su aplicaci</w:t>
            </w:r>
            <w:r>
              <w:rPr>
                <w:noProof/>
              </w:rPr>
              <w:t>ón (es decir, pueden aplicarse a todas las tecnologías disponibles).</w:t>
            </w:r>
          </w:p>
          <w:p w14:paraId="4BEA39E3" w14:textId="77777777" w:rsidR="00F208CE" w:rsidRDefault="00513E84">
            <w:pPr>
              <w:pStyle w:val="P68B1DB1-Normal8"/>
              <w:spacing w:after="0"/>
              <w:rPr>
                <w:rFonts w:eastAsia="Times New Roman" w:cs="Times New Roman"/>
                <w:noProof/>
              </w:rPr>
            </w:pPr>
            <w:r>
              <w:rPr>
                <w:noProof/>
              </w:rPr>
              <w:t>— La electricidad utilizada en los proyectos es de origen verde (por ejemplo, mediante FER) o se basa en CCE verdes.</w:t>
            </w:r>
          </w:p>
          <w:p w14:paraId="0874E3CE" w14:textId="77777777" w:rsidR="00F208CE" w:rsidRDefault="00F208CE">
            <w:pPr>
              <w:spacing w:after="0"/>
              <w:rPr>
                <w:rFonts w:ascii="Times New Roman" w:eastAsia="Times New Roman" w:hAnsi="Times New Roman" w:cs="Times New Roman"/>
                <w:noProof/>
                <w:color w:val="006100"/>
              </w:rPr>
            </w:pPr>
          </w:p>
          <w:p w14:paraId="46A50186" w14:textId="502722F5" w:rsidR="00F208CE" w:rsidRDefault="00513E84">
            <w:pPr>
              <w:pStyle w:val="P68B1DB1-Normal8"/>
              <w:spacing w:after="0"/>
              <w:rPr>
                <w:rFonts w:eastAsia="Times New Roman" w:cs="Times New Roman"/>
                <w:noProof/>
              </w:rPr>
            </w:pPr>
            <w:r>
              <w:rPr>
                <w:noProof/>
              </w:rPr>
              <w:t xml:space="preserve">Los importes proporcionados por otros programas o instrumentos de la </w:t>
            </w:r>
            <w:r>
              <w:rPr>
                <w:noProof/>
              </w:rPr>
              <w:t>Unión no se contabilizarán en este importe.</w:t>
            </w:r>
          </w:p>
        </w:tc>
      </w:tr>
      <w:tr w:rsidR="00F208CE" w14:paraId="44160E0B" w14:textId="77777777">
        <w:trPr>
          <w:trHeight w:val="155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14:paraId="64877E87" w14:textId="77777777" w:rsidR="00F208CE" w:rsidRDefault="00513E84">
            <w:pPr>
              <w:pStyle w:val="P68B1DB1-Normal8"/>
              <w:spacing w:after="0"/>
              <w:jc w:val="center"/>
              <w:rPr>
                <w:rFonts w:eastAsia="Times New Roman" w:cs="Times New Roman"/>
                <w:noProof/>
              </w:rPr>
            </w:pPr>
            <w:r>
              <w:rPr>
                <w:noProof/>
              </w:rPr>
              <w:t>19</w:t>
            </w:r>
          </w:p>
        </w:tc>
        <w:tc>
          <w:tcPr>
            <w:tcW w:w="1464" w:type="dxa"/>
            <w:tcBorders>
              <w:top w:val="nil"/>
              <w:left w:val="nil"/>
              <w:bottom w:val="single" w:sz="4" w:space="0" w:color="auto"/>
              <w:right w:val="single" w:sz="4" w:space="0" w:color="auto"/>
            </w:tcBorders>
            <w:shd w:val="clear" w:color="auto" w:fill="C6EFCE"/>
            <w:noWrap/>
            <w:vAlign w:val="center"/>
            <w:hideMark/>
          </w:tcPr>
          <w:p w14:paraId="3D0DDBDB" w14:textId="77777777" w:rsidR="00F208CE" w:rsidRDefault="00513E84">
            <w:pPr>
              <w:pStyle w:val="P68B1DB1-Normal8"/>
              <w:spacing w:after="0"/>
              <w:rPr>
                <w:rFonts w:eastAsia="Times New Roman" w:cs="Times New Roman"/>
                <w:noProof/>
              </w:rPr>
            </w:pPr>
            <w:r>
              <w:rPr>
                <w:noProof/>
              </w:rPr>
              <w:t>Una cadena de valor industrial para la transición del hidrógeno (I-1.15)</w:t>
            </w:r>
          </w:p>
        </w:tc>
        <w:tc>
          <w:tcPr>
            <w:tcW w:w="1229" w:type="dxa"/>
            <w:tcBorders>
              <w:top w:val="nil"/>
              <w:left w:val="nil"/>
              <w:bottom w:val="single" w:sz="4" w:space="0" w:color="auto"/>
              <w:right w:val="single" w:sz="4" w:space="0" w:color="auto"/>
            </w:tcBorders>
            <w:shd w:val="clear" w:color="auto" w:fill="C6EFCE"/>
            <w:noWrap/>
            <w:vAlign w:val="center"/>
            <w:hideMark/>
          </w:tcPr>
          <w:p w14:paraId="57B84017" w14:textId="7E5AFF23"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hideMark/>
          </w:tcPr>
          <w:p w14:paraId="527FA2E6" w14:textId="6A432150" w:rsidR="00F208CE" w:rsidRDefault="00513E84">
            <w:pPr>
              <w:pStyle w:val="P68B1DB1-Normal8"/>
              <w:spacing w:after="0"/>
              <w:rPr>
                <w:rFonts w:eastAsia="Times New Roman" w:cs="Times New Roman"/>
                <w:noProof/>
              </w:rPr>
            </w:pPr>
            <w:r>
              <w:rPr>
                <w:noProof/>
              </w:rPr>
              <w:t>Adjudicación de contratos en el marco de la 2.a convocatoria de proyectos</w:t>
            </w:r>
          </w:p>
        </w:tc>
        <w:tc>
          <w:tcPr>
            <w:tcW w:w="1843" w:type="dxa"/>
            <w:tcBorders>
              <w:top w:val="nil"/>
              <w:left w:val="nil"/>
              <w:bottom w:val="single" w:sz="4" w:space="0" w:color="auto"/>
              <w:right w:val="single" w:sz="4" w:space="0" w:color="auto"/>
            </w:tcBorders>
            <w:shd w:val="clear" w:color="auto" w:fill="C6EFCE"/>
            <w:noWrap/>
            <w:vAlign w:val="center"/>
            <w:hideMark/>
          </w:tcPr>
          <w:p w14:paraId="059924A7" w14:textId="77777777" w:rsidR="00F208CE" w:rsidRDefault="00513E84">
            <w:pPr>
              <w:pStyle w:val="P68B1DB1-Normal8"/>
              <w:spacing w:after="0"/>
              <w:rPr>
                <w:rFonts w:eastAsia="Times New Roman" w:cs="Times New Roman"/>
                <w:noProof/>
              </w:rPr>
            </w:pPr>
            <w:r>
              <w:rPr>
                <w:noProof/>
              </w:rPr>
              <w:t xml:space="preserve">Notificación escrita de la adjudicación del contrato a los </w:t>
            </w:r>
            <w:r>
              <w:rPr>
                <w:noProof/>
              </w:rPr>
              <w:t>candidatos seleccionados</w:t>
            </w:r>
          </w:p>
        </w:tc>
        <w:tc>
          <w:tcPr>
            <w:tcW w:w="1039" w:type="dxa"/>
            <w:tcBorders>
              <w:top w:val="nil"/>
              <w:left w:val="nil"/>
              <w:bottom w:val="single" w:sz="4" w:space="0" w:color="auto"/>
              <w:right w:val="single" w:sz="4" w:space="0" w:color="auto"/>
            </w:tcBorders>
            <w:shd w:val="clear" w:color="auto" w:fill="C6EFCE"/>
            <w:noWrap/>
            <w:vAlign w:val="center"/>
            <w:hideMark/>
          </w:tcPr>
          <w:p w14:paraId="5F1FDF00"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hideMark/>
          </w:tcPr>
          <w:p w14:paraId="64BAF603" w14:textId="77777777" w:rsidR="00F208CE" w:rsidRDefault="00513E84">
            <w:pPr>
              <w:pStyle w:val="P68B1DB1-Normal8"/>
              <w:spacing w:after="0"/>
              <w:rPr>
                <w:rFonts w:eastAsia="Times New Roman" w:cs="Times New Roman"/>
                <w:noProof/>
              </w:rPr>
            </w:pPr>
            <w:r>
              <w:rPr>
                <w:noProof/>
              </w:rPr>
              <w:t xml:space="preserve"> </w:t>
            </w:r>
          </w:p>
        </w:tc>
        <w:tc>
          <w:tcPr>
            <w:tcW w:w="840" w:type="dxa"/>
            <w:tcBorders>
              <w:top w:val="nil"/>
              <w:left w:val="nil"/>
              <w:bottom w:val="single" w:sz="4" w:space="0" w:color="auto"/>
              <w:right w:val="single" w:sz="4" w:space="0" w:color="auto"/>
            </w:tcBorders>
            <w:shd w:val="clear" w:color="auto" w:fill="C6EFCE"/>
            <w:noWrap/>
            <w:vAlign w:val="center"/>
            <w:hideMark/>
          </w:tcPr>
          <w:p w14:paraId="737CCA52"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hideMark/>
          </w:tcPr>
          <w:p w14:paraId="156AA7F3" w14:textId="77777777" w:rsidR="00F208CE" w:rsidRDefault="00513E84">
            <w:pPr>
              <w:pStyle w:val="P68B1DB1-Normal8"/>
              <w:spacing w:after="0"/>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37B9C801" w14:textId="512EDEEF" w:rsidR="00F208CE" w:rsidRDefault="00513E84">
            <w:pPr>
              <w:pStyle w:val="P68B1DB1-Normal8"/>
              <w:spacing w:after="0"/>
              <w:rPr>
                <w:rFonts w:eastAsia="Times New Roman" w:cs="Times New Roman"/>
                <w:noProof/>
              </w:rPr>
            </w:pPr>
            <w:r>
              <w:rPr>
                <w:noProof/>
              </w:rPr>
              <w:t>2024</w:t>
            </w:r>
          </w:p>
        </w:tc>
        <w:tc>
          <w:tcPr>
            <w:tcW w:w="4200" w:type="dxa"/>
            <w:tcBorders>
              <w:top w:val="nil"/>
              <w:left w:val="nil"/>
              <w:bottom w:val="single" w:sz="4" w:space="0" w:color="auto"/>
              <w:right w:val="single" w:sz="4" w:space="0" w:color="auto"/>
            </w:tcBorders>
            <w:shd w:val="clear" w:color="auto" w:fill="C6EFCE"/>
            <w:noWrap/>
            <w:vAlign w:val="center"/>
            <w:hideMark/>
          </w:tcPr>
          <w:p w14:paraId="6D3AA713" w14:textId="4166E6F1" w:rsidR="00F208CE" w:rsidRDefault="00513E84">
            <w:pPr>
              <w:pStyle w:val="P68B1DB1-Normal8"/>
              <w:spacing w:after="0"/>
              <w:rPr>
                <w:rFonts w:eastAsia="Times New Roman" w:cs="Times New Roman"/>
                <w:noProof/>
              </w:rPr>
            </w:pPr>
            <w:r>
              <w:rPr>
                <w:noProof/>
              </w:rPr>
              <w:t>Adjudicación de contratos en el marco de la</w:t>
            </w:r>
            <w:r>
              <w:rPr>
                <w:noProof/>
                <w:vertAlign w:val="superscript"/>
              </w:rPr>
              <w:t>2.a</w:t>
            </w:r>
            <w:r>
              <w:rPr>
                <w:noProof/>
              </w:rPr>
              <w:t xml:space="preserve"> convocatoria de proyectos «Una cadena de valor industrial para la transición del hidrógeno» (nivel federal). Los proyectos se seleccionarán mediante una c</w:t>
            </w:r>
            <w:r>
              <w:rPr>
                <w:noProof/>
              </w:rPr>
              <w:t>onvocatoria de proyectos, que abarcará las plantas de demostración para la producción de hidrógeno limpio, así como el uso de hidrógeno, por ejemplo en buques, en la medida en que los proyectos sean competencia del Gobierno federal. Por lo que se refiere a</w:t>
            </w:r>
            <w:r>
              <w:rPr>
                <w:noProof/>
              </w:rPr>
              <w:t xml:space="preserve"> las instalaciones de demostración para la producción de hidrógeno limpio, la convocatoria estará abierta a todas las tecnologías con cero emisiones de proceso, como la electrólisis alimentada por electricidad renovable o la pirólisis. </w:t>
            </w:r>
          </w:p>
          <w:p w14:paraId="7E288680" w14:textId="77777777" w:rsidR="00F208CE" w:rsidRDefault="00F208CE">
            <w:pPr>
              <w:spacing w:after="0"/>
              <w:rPr>
                <w:rFonts w:ascii="Times New Roman" w:eastAsia="Times New Roman" w:hAnsi="Times New Roman" w:cs="Times New Roman"/>
                <w:noProof/>
                <w:color w:val="006100"/>
              </w:rPr>
            </w:pPr>
          </w:p>
          <w:p w14:paraId="73BCCD6A" w14:textId="23B68504" w:rsidR="00F208CE" w:rsidRDefault="00513E84">
            <w:pPr>
              <w:pStyle w:val="P68B1DB1-Normal8"/>
              <w:spacing w:after="0"/>
              <w:rPr>
                <w:rFonts w:eastAsia="Times New Roman" w:cs="Times New Roman"/>
                <w:noProof/>
              </w:rPr>
            </w:pPr>
            <w:r>
              <w:rPr>
                <w:noProof/>
              </w:rPr>
              <w:t>La convocatoria de</w:t>
            </w:r>
            <w:r>
              <w:rPr>
                <w:noProof/>
              </w:rPr>
              <w:t xml:space="preserve"> proyectos de investigación e innovación (I) deberá cumplir las siguientes condiciones: </w:t>
            </w:r>
          </w:p>
          <w:p w14:paraId="2D215185" w14:textId="77777777" w:rsidR="00F208CE" w:rsidRDefault="00513E84">
            <w:pPr>
              <w:pStyle w:val="P68B1DB1-Normal8"/>
              <w:spacing w:after="0"/>
              <w:rPr>
                <w:rFonts w:eastAsia="Times New Roman" w:cs="Times New Roman"/>
                <w:noProof/>
              </w:rPr>
            </w:pPr>
            <w:r>
              <w:rPr>
                <w:noProof/>
              </w:rPr>
              <w:t xml:space="preserve">— La Recomendación I se centra exclusiva o principalmente en opciones de bajo impacto (como la producción de hidrógeno renovable u otras innovaciones medioambientales </w:t>
            </w:r>
            <w:r>
              <w:rPr>
                <w:noProof/>
              </w:rPr>
              <w:t>de emisión cero); o</w:t>
            </w:r>
          </w:p>
          <w:p w14:paraId="72413873" w14:textId="77777777" w:rsidR="00F208CE" w:rsidRDefault="00513E84">
            <w:pPr>
              <w:pStyle w:val="P68B1DB1-Normal8"/>
              <w:spacing w:after="0"/>
              <w:rPr>
                <w:rFonts w:eastAsia="Times New Roman" w:cs="Times New Roman"/>
                <w:noProof/>
              </w:rPr>
            </w:pPr>
            <w:r>
              <w:rPr>
                <w:noProof/>
              </w:rPr>
              <w:t>— La Recomendación I se dedica a mejorar la tecnología «mejor en clase» (como las tecnologías con el impacto más limitado (pero no nulo/bajo) entre las disponibles actualmente), y se establecen medidas de acompañamiento adecuadas para e</w:t>
            </w:r>
            <w:r>
              <w:rPr>
                <w:noProof/>
              </w:rPr>
              <w:t>vitar los efectos de bloqueo (medidas que permiten la adopción de tecnologías de bajo impacto o su desarrollo); o</w:t>
            </w:r>
          </w:p>
          <w:p w14:paraId="4B1F8B83" w14:textId="77777777" w:rsidR="00F208CE" w:rsidRDefault="00513E84">
            <w:pPr>
              <w:pStyle w:val="P68B1DB1-Normal8"/>
              <w:spacing w:after="0"/>
              <w:rPr>
                <w:rFonts w:eastAsia="Times New Roman" w:cs="Times New Roman"/>
                <w:noProof/>
              </w:rPr>
            </w:pPr>
            <w:r>
              <w:rPr>
                <w:noProof/>
              </w:rPr>
              <w:t>— Los resultados del proceso R/I son tecnológicamente neutros a nivel de su aplicación (es decir, pueden aplicarse a todas las tecnologías dis</w:t>
            </w:r>
            <w:r>
              <w:rPr>
                <w:noProof/>
              </w:rPr>
              <w:t>ponibles).</w:t>
            </w:r>
          </w:p>
          <w:p w14:paraId="1438049F" w14:textId="70B3D50A" w:rsidR="00F208CE" w:rsidRDefault="00513E84">
            <w:pPr>
              <w:pStyle w:val="P68B1DB1-Normal8"/>
              <w:spacing w:after="0"/>
              <w:rPr>
                <w:rFonts w:eastAsia="Times New Roman" w:cs="Times New Roman"/>
                <w:noProof/>
              </w:rPr>
            </w:pPr>
            <w:r>
              <w:rPr>
                <w:noProof/>
              </w:rPr>
              <w:t>Toda electricidad utilizada en los proyectos es de origen verde (por ejemplo, utilizando FER) o se basa en CAE ecológicos.</w:t>
            </w:r>
          </w:p>
        </w:tc>
      </w:tr>
      <w:tr w:rsidR="00F208CE" w14:paraId="4707C91B"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1D25A460" w14:textId="77777777" w:rsidR="00F208CE" w:rsidRDefault="00513E84">
            <w:pPr>
              <w:pStyle w:val="P68B1DB1-Normal8"/>
              <w:spacing w:after="0"/>
              <w:jc w:val="center"/>
              <w:rPr>
                <w:rFonts w:eastAsia="Times New Roman" w:cs="Times New Roman"/>
                <w:noProof/>
              </w:rPr>
            </w:pPr>
            <w:r>
              <w:rPr>
                <w:noProof/>
              </w:rPr>
              <w:t>20</w:t>
            </w:r>
          </w:p>
        </w:tc>
        <w:tc>
          <w:tcPr>
            <w:tcW w:w="1464" w:type="dxa"/>
            <w:tcBorders>
              <w:top w:val="nil"/>
              <w:left w:val="nil"/>
              <w:bottom w:val="single" w:sz="4" w:space="0" w:color="auto"/>
              <w:right w:val="single" w:sz="4" w:space="0" w:color="auto"/>
            </w:tcBorders>
            <w:shd w:val="clear" w:color="auto" w:fill="C6EFCE"/>
            <w:noWrap/>
            <w:vAlign w:val="center"/>
          </w:tcPr>
          <w:p w14:paraId="481FAB53" w14:textId="77777777" w:rsidR="00F208CE" w:rsidRDefault="00513E84">
            <w:pPr>
              <w:pStyle w:val="P68B1DB1-Normal8"/>
              <w:spacing w:after="0"/>
              <w:rPr>
                <w:rFonts w:eastAsia="Times New Roman" w:cs="Times New Roman"/>
                <w:noProof/>
              </w:rPr>
            </w:pPr>
            <w:r>
              <w:rPr>
                <w:noProof/>
              </w:rPr>
              <w:t>Una cadena de valor industrial para la transición del hidrógeno (I-1.15)</w:t>
            </w:r>
          </w:p>
        </w:tc>
        <w:tc>
          <w:tcPr>
            <w:tcW w:w="1229" w:type="dxa"/>
            <w:tcBorders>
              <w:top w:val="nil"/>
              <w:left w:val="nil"/>
              <w:bottom w:val="single" w:sz="4" w:space="0" w:color="auto"/>
              <w:right w:val="single" w:sz="4" w:space="0" w:color="auto"/>
            </w:tcBorders>
            <w:shd w:val="clear" w:color="auto" w:fill="C6EFCE"/>
            <w:noWrap/>
            <w:vAlign w:val="center"/>
          </w:tcPr>
          <w:p w14:paraId="01FC6EB1" w14:textId="2087C08E"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4C2F201E" w14:textId="31E2658A" w:rsidR="00F208CE" w:rsidRDefault="00513E84">
            <w:pPr>
              <w:pStyle w:val="P68B1DB1-Normal8"/>
              <w:spacing w:after="0"/>
              <w:rPr>
                <w:rFonts w:eastAsia="Times New Roman" w:cs="Times New Roman"/>
                <w:noProof/>
              </w:rPr>
            </w:pPr>
            <w:r>
              <w:rPr>
                <w:noProof/>
              </w:rPr>
              <w:t xml:space="preserve">Proyectos financiados en el marco de las </w:t>
            </w:r>
            <w:r>
              <w:rPr>
                <w:noProof/>
              </w:rPr>
              <w:t>convocatorias de proyectos</w:t>
            </w:r>
          </w:p>
        </w:tc>
        <w:tc>
          <w:tcPr>
            <w:tcW w:w="1843" w:type="dxa"/>
            <w:tcBorders>
              <w:top w:val="nil"/>
              <w:left w:val="nil"/>
              <w:bottom w:val="single" w:sz="4" w:space="0" w:color="auto"/>
              <w:right w:val="single" w:sz="4" w:space="0" w:color="auto"/>
            </w:tcBorders>
            <w:shd w:val="clear" w:color="auto" w:fill="C6EFCE"/>
            <w:noWrap/>
            <w:vAlign w:val="center"/>
          </w:tcPr>
          <w:p w14:paraId="46EFF1FF" w14:textId="555E3C91" w:rsidR="00F208CE" w:rsidRDefault="00513E84">
            <w:pPr>
              <w:pStyle w:val="P68B1DB1-Normal8"/>
              <w:spacing w:after="0"/>
              <w:rPr>
                <w:rFonts w:eastAsia="Times New Roman" w:cs="Times New Roman"/>
                <w:noProof/>
              </w:rPr>
            </w:pPr>
            <w:r>
              <w:rPr>
                <w:noProof/>
              </w:rPr>
              <w:t>Pagos a proyectos adjudicados</w:t>
            </w:r>
          </w:p>
        </w:tc>
        <w:tc>
          <w:tcPr>
            <w:tcW w:w="1039" w:type="dxa"/>
            <w:tcBorders>
              <w:top w:val="nil"/>
              <w:left w:val="nil"/>
              <w:bottom w:val="single" w:sz="4" w:space="0" w:color="auto"/>
              <w:right w:val="single" w:sz="4" w:space="0" w:color="auto"/>
            </w:tcBorders>
            <w:shd w:val="clear" w:color="auto" w:fill="C6EFCE"/>
            <w:noWrap/>
            <w:vAlign w:val="center"/>
          </w:tcPr>
          <w:p w14:paraId="7E239EF9"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3796A068"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289489A1"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6570A2C7" w14:textId="77777777" w:rsidR="00F208CE" w:rsidRDefault="00513E84">
            <w:pPr>
              <w:pStyle w:val="P68B1DB1-Normal8"/>
              <w:spacing w:after="0"/>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2D219C76" w14:textId="77777777" w:rsidR="00F208CE" w:rsidRDefault="00513E84">
            <w:pPr>
              <w:pStyle w:val="P68B1DB1-Normal8"/>
              <w:spacing w:after="0"/>
              <w:rPr>
                <w:rFonts w:eastAsia="Times New Roman" w:cs="Times New Roman"/>
                <w:noProof/>
              </w:rPr>
            </w:pPr>
            <w:r>
              <w:rPr>
                <w:noProof/>
              </w:rPr>
              <w:t>2025</w:t>
            </w:r>
          </w:p>
        </w:tc>
        <w:tc>
          <w:tcPr>
            <w:tcW w:w="4200" w:type="dxa"/>
            <w:tcBorders>
              <w:top w:val="nil"/>
              <w:left w:val="nil"/>
              <w:bottom w:val="single" w:sz="4" w:space="0" w:color="auto"/>
              <w:right w:val="single" w:sz="4" w:space="0" w:color="auto"/>
            </w:tcBorders>
            <w:shd w:val="clear" w:color="auto" w:fill="C6EFCE"/>
            <w:noWrap/>
            <w:vAlign w:val="center"/>
          </w:tcPr>
          <w:p w14:paraId="7D7C317B" w14:textId="63BE6315" w:rsidR="00F208CE" w:rsidRDefault="00513E84">
            <w:pPr>
              <w:pStyle w:val="P68B1DB1-Normal8"/>
              <w:spacing w:after="0"/>
              <w:rPr>
                <w:rFonts w:eastAsia="Times New Roman" w:cs="Times New Roman"/>
                <w:noProof/>
              </w:rPr>
            </w:pPr>
            <w:r>
              <w:rPr>
                <w:noProof/>
              </w:rPr>
              <w:t xml:space="preserve">Se pagarán al menos 45 000 000 EUR a proyectos adjudicados en el marco de la convocatoria de proyectos «Una cadena de valor industrial para la transición del hidrógeno» (a </w:t>
            </w:r>
            <w:r>
              <w:rPr>
                <w:noProof/>
              </w:rPr>
              <w:t>nivel federal).</w:t>
            </w:r>
          </w:p>
          <w:p w14:paraId="6969E2E0" w14:textId="77777777" w:rsidR="00F208CE" w:rsidRDefault="00F208CE">
            <w:pPr>
              <w:spacing w:after="0"/>
              <w:rPr>
                <w:rFonts w:ascii="Times New Roman" w:eastAsia="Times New Roman" w:hAnsi="Times New Roman" w:cs="Times New Roman"/>
                <w:noProof/>
                <w:color w:val="006100"/>
              </w:rPr>
            </w:pPr>
          </w:p>
          <w:p w14:paraId="4634F7AB" w14:textId="741A4F9A" w:rsidR="00F208CE" w:rsidRDefault="00513E84">
            <w:pPr>
              <w:pStyle w:val="P68B1DB1-Normal8"/>
              <w:spacing w:after="0"/>
              <w:rPr>
                <w:rFonts w:eastAsia="Times New Roman" w:cs="Times New Roman"/>
                <w:noProof/>
              </w:rPr>
            </w:pPr>
            <w:r>
              <w:rPr>
                <w:noProof/>
              </w:rPr>
              <w:t>Los importes proporcionados por otros programas o instrumentos de la Unión no se contabilizarán en este importe.</w:t>
            </w:r>
          </w:p>
          <w:p w14:paraId="2FE8D68C" w14:textId="77777777" w:rsidR="00F208CE" w:rsidRDefault="00F208CE">
            <w:pPr>
              <w:spacing w:after="0"/>
              <w:rPr>
                <w:rFonts w:ascii="Times New Roman" w:eastAsia="Times New Roman" w:hAnsi="Times New Roman" w:cs="Times New Roman"/>
                <w:noProof/>
                <w:color w:val="006100"/>
              </w:rPr>
            </w:pPr>
          </w:p>
          <w:p w14:paraId="7DA89277" w14:textId="65815338" w:rsidR="00F208CE" w:rsidRDefault="00F208CE">
            <w:pPr>
              <w:spacing w:after="0"/>
              <w:rPr>
                <w:rFonts w:ascii="Times New Roman" w:eastAsia="Times New Roman" w:hAnsi="Times New Roman" w:cs="Times New Roman"/>
                <w:noProof/>
                <w:color w:val="006100"/>
              </w:rPr>
            </w:pPr>
          </w:p>
        </w:tc>
      </w:tr>
      <w:tr w:rsidR="00F208CE" w14:paraId="042156EC"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10BADD9D" w14:textId="77777777" w:rsidR="00F208CE" w:rsidRDefault="00513E84">
            <w:pPr>
              <w:pStyle w:val="P68B1DB1-Normal8"/>
              <w:spacing w:after="0"/>
              <w:jc w:val="center"/>
              <w:rPr>
                <w:rFonts w:eastAsia="Times New Roman" w:cs="Times New Roman"/>
                <w:noProof/>
              </w:rPr>
            </w:pPr>
            <w:r>
              <w:rPr>
                <w:noProof/>
              </w:rPr>
              <w:t>21</w:t>
            </w:r>
          </w:p>
        </w:tc>
        <w:tc>
          <w:tcPr>
            <w:tcW w:w="1464" w:type="dxa"/>
            <w:tcBorders>
              <w:top w:val="nil"/>
              <w:left w:val="nil"/>
              <w:bottom w:val="single" w:sz="4" w:space="0" w:color="auto"/>
              <w:right w:val="single" w:sz="4" w:space="0" w:color="auto"/>
            </w:tcBorders>
            <w:shd w:val="clear" w:color="auto" w:fill="C6EFCE"/>
            <w:noWrap/>
            <w:vAlign w:val="center"/>
          </w:tcPr>
          <w:p w14:paraId="6BD48A7A" w14:textId="77777777" w:rsidR="00F208CE" w:rsidRDefault="00513E84">
            <w:pPr>
              <w:pStyle w:val="P68B1DB1-Normal8"/>
              <w:spacing w:after="0"/>
              <w:rPr>
                <w:rFonts w:eastAsia="Times New Roman" w:cs="Times New Roman"/>
                <w:noProof/>
              </w:rPr>
            </w:pPr>
            <w:r>
              <w:rPr>
                <w:noProof/>
              </w:rPr>
              <w:t>Una cadena de valor industrial para la transición del hidrógeno (I-1.16)</w:t>
            </w:r>
          </w:p>
        </w:tc>
        <w:tc>
          <w:tcPr>
            <w:tcW w:w="1229" w:type="dxa"/>
            <w:tcBorders>
              <w:top w:val="nil"/>
              <w:left w:val="nil"/>
              <w:bottom w:val="single" w:sz="4" w:space="0" w:color="auto"/>
              <w:right w:val="single" w:sz="4" w:space="0" w:color="auto"/>
            </w:tcBorders>
            <w:shd w:val="clear" w:color="auto" w:fill="C6EFCE"/>
            <w:noWrap/>
            <w:vAlign w:val="center"/>
          </w:tcPr>
          <w:p w14:paraId="53D15E3C" w14:textId="1F56C25B"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2218FDA3" w14:textId="77777777" w:rsidR="00F208CE" w:rsidRDefault="00513E84">
            <w:pPr>
              <w:pStyle w:val="P68B1DB1-Normal8"/>
              <w:spacing w:after="0"/>
              <w:rPr>
                <w:rFonts w:eastAsia="Times New Roman" w:cs="Times New Roman"/>
                <w:noProof/>
              </w:rPr>
            </w:pPr>
            <w:r>
              <w:rPr>
                <w:noProof/>
              </w:rPr>
              <w:t xml:space="preserve">Adjudicación de contratos a proyectos de </w:t>
            </w:r>
            <w:r>
              <w:rPr>
                <w:noProof/>
              </w:rPr>
              <w:t>PIICE sobre hidrógeno</w:t>
            </w:r>
          </w:p>
        </w:tc>
        <w:tc>
          <w:tcPr>
            <w:tcW w:w="1843" w:type="dxa"/>
            <w:tcBorders>
              <w:top w:val="nil"/>
              <w:left w:val="nil"/>
              <w:bottom w:val="single" w:sz="4" w:space="0" w:color="auto"/>
              <w:right w:val="single" w:sz="4" w:space="0" w:color="auto"/>
            </w:tcBorders>
            <w:shd w:val="clear" w:color="auto" w:fill="C6EFCE"/>
            <w:noWrap/>
            <w:vAlign w:val="center"/>
          </w:tcPr>
          <w:p w14:paraId="33C727E3" w14:textId="77777777" w:rsidR="00F208CE" w:rsidRDefault="00513E84">
            <w:pPr>
              <w:pStyle w:val="P68B1DB1-Normal8"/>
              <w:spacing w:after="0"/>
              <w:rPr>
                <w:rFonts w:eastAsia="Times New Roman" w:cs="Times New Roman"/>
                <w:noProof/>
              </w:rPr>
            </w:pPr>
            <w:r>
              <w:rPr>
                <w:noProof/>
              </w:rPr>
              <w:t>Notificación escrita de la adjudicación de contratos a los candidatos seleccionados</w:t>
            </w:r>
          </w:p>
        </w:tc>
        <w:tc>
          <w:tcPr>
            <w:tcW w:w="1039" w:type="dxa"/>
            <w:tcBorders>
              <w:top w:val="nil"/>
              <w:left w:val="nil"/>
              <w:bottom w:val="single" w:sz="4" w:space="0" w:color="auto"/>
              <w:right w:val="single" w:sz="4" w:space="0" w:color="auto"/>
            </w:tcBorders>
            <w:shd w:val="clear" w:color="auto" w:fill="C6EFCE"/>
            <w:noWrap/>
            <w:vAlign w:val="center"/>
          </w:tcPr>
          <w:p w14:paraId="7A5208DA"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382A87C9"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52A7F5C5"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108C78E9"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78073D29" w14:textId="77777777" w:rsidR="00F208CE" w:rsidRDefault="00513E84">
            <w:pPr>
              <w:pStyle w:val="P68B1DB1-Normal8"/>
              <w:spacing w:after="0"/>
              <w:jc w:val="center"/>
              <w:rPr>
                <w:rFonts w:eastAsia="Times New Roman" w:cs="Times New Roman"/>
                <w:noProof/>
              </w:rPr>
            </w:pPr>
            <w:r>
              <w:rPr>
                <w:noProof/>
              </w:rPr>
              <w:t>2022</w:t>
            </w:r>
          </w:p>
        </w:tc>
        <w:tc>
          <w:tcPr>
            <w:tcW w:w="4200" w:type="dxa"/>
            <w:tcBorders>
              <w:top w:val="nil"/>
              <w:left w:val="nil"/>
              <w:bottom w:val="single" w:sz="4" w:space="0" w:color="auto"/>
              <w:right w:val="single" w:sz="4" w:space="0" w:color="auto"/>
            </w:tcBorders>
            <w:shd w:val="clear" w:color="auto" w:fill="C6EFCE"/>
            <w:noWrap/>
            <w:vAlign w:val="center"/>
          </w:tcPr>
          <w:p w14:paraId="48C248C7" w14:textId="77777777" w:rsidR="00F208CE" w:rsidRDefault="00513E84">
            <w:pPr>
              <w:pStyle w:val="P68B1DB1-Normal8"/>
              <w:spacing w:after="120"/>
              <w:rPr>
                <w:rFonts w:eastAsia="Times New Roman" w:cs="Times New Roman"/>
                <w:noProof/>
              </w:rPr>
            </w:pPr>
            <w:r>
              <w:rPr>
                <w:noProof/>
              </w:rPr>
              <w:t xml:space="preserve">Adjudicación de contratos a proyectos de los PIICE sobre hidrógeno (definidos como los proyectos objeto de la notificación </w:t>
            </w:r>
            <w:r>
              <w:rPr>
                <w:noProof/>
              </w:rPr>
              <w:t>de ayuda estatal del PIICE) en el marco de la medida «Una cadena de valor industrial para la transición del hidrógeno» (Flandes). Están excluidos de los proyectos seleccionados: todas las actividades en el marco del régimen de comercio de derechos de emisi</w:t>
            </w:r>
            <w:r>
              <w:rPr>
                <w:noProof/>
              </w:rPr>
              <w:t>ón (RCDE) con emisiones equivalentes de CO2 previstas que no sean sustancialmente inferiores a los parámetros de referencia pertinentes establecidos para la asignación gratuita.</w:t>
            </w:r>
          </w:p>
          <w:p w14:paraId="162BF545" w14:textId="77777777" w:rsidR="00F208CE" w:rsidRDefault="00513E84">
            <w:pPr>
              <w:pStyle w:val="P68B1DB1-Normal8"/>
              <w:spacing w:after="0"/>
              <w:rPr>
                <w:rFonts w:eastAsia="Times New Roman" w:cs="Times New Roman"/>
                <w:noProof/>
              </w:rPr>
            </w:pPr>
            <w:r>
              <w:rPr>
                <w:noProof/>
              </w:rPr>
              <w:t xml:space="preserve">Los proyectos de investigación e innovación (I) seleccionados deberán cumplir </w:t>
            </w:r>
            <w:r>
              <w:rPr>
                <w:noProof/>
              </w:rPr>
              <w:t xml:space="preserve">las siguientes condiciones: </w:t>
            </w:r>
          </w:p>
          <w:p w14:paraId="2F6D0BB1" w14:textId="77777777" w:rsidR="00F208CE" w:rsidRDefault="00513E84">
            <w:pPr>
              <w:pStyle w:val="P68B1DB1-Normal8"/>
              <w:spacing w:after="0"/>
              <w:rPr>
                <w:rFonts w:eastAsia="Times New Roman" w:cs="Times New Roman"/>
                <w:noProof/>
              </w:rPr>
            </w:pPr>
            <w:r>
              <w:rPr>
                <w:noProof/>
              </w:rPr>
              <w:t>— La Recomendación I se centra exclusiva o principalmente en opciones de bajo impacto (como la producción de hidrógeno renovable u otras innovaciones medioambientales de emisión cero); o</w:t>
            </w:r>
          </w:p>
          <w:p w14:paraId="056664EA" w14:textId="77777777" w:rsidR="00F208CE" w:rsidRDefault="00513E84">
            <w:pPr>
              <w:pStyle w:val="P68B1DB1-Normal8"/>
              <w:spacing w:after="0"/>
              <w:rPr>
                <w:rFonts w:eastAsia="Times New Roman" w:cs="Times New Roman"/>
                <w:noProof/>
              </w:rPr>
            </w:pPr>
            <w:r>
              <w:rPr>
                <w:noProof/>
              </w:rPr>
              <w:t>— La Recomendación I se dedica a mejorar</w:t>
            </w:r>
            <w:r>
              <w:rPr>
                <w:noProof/>
              </w:rPr>
              <w:t xml:space="preserve"> la tecnología «mejor en clase» (como las tecnologías con el impacto más limitado (pero no nulo/bajo) entre las disponibles actualmente), y se establecen medidas de acompañamiento adecuadas para evitar los efectos de bloqueo (medidas que permiten la adopci</w:t>
            </w:r>
            <w:r>
              <w:rPr>
                <w:noProof/>
              </w:rPr>
              <w:t>ón de tecnologías de bajo impacto o su desarrollo); o</w:t>
            </w:r>
          </w:p>
          <w:p w14:paraId="443A0FCB" w14:textId="77777777" w:rsidR="00F208CE" w:rsidRDefault="00513E84">
            <w:pPr>
              <w:pStyle w:val="P68B1DB1-Normal8"/>
              <w:spacing w:after="0"/>
              <w:rPr>
                <w:rFonts w:eastAsia="Times New Roman" w:cs="Times New Roman"/>
                <w:noProof/>
              </w:rPr>
            </w:pPr>
            <w:r>
              <w:rPr>
                <w:noProof/>
              </w:rPr>
              <w:t>— Los resultados del proceso R/I son tecnológicamente neutros a nivel de su aplicación (es decir, pueden aplicarse a todas las tecnologías disponibles).</w:t>
            </w:r>
          </w:p>
          <w:p w14:paraId="027CADB9" w14:textId="77777777" w:rsidR="00F208CE" w:rsidRDefault="00513E84">
            <w:pPr>
              <w:pStyle w:val="P68B1DB1-Normal8"/>
              <w:spacing w:after="0"/>
              <w:rPr>
                <w:rFonts w:eastAsia="Times New Roman" w:cs="Times New Roman"/>
                <w:noProof/>
              </w:rPr>
            </w:pPr>
            <w:r>
              <w:rPr>
                <w:noProof/>
              </w:rPr>
              <w:t>Toda electricidad utilizada en los proyectos es d</w:t>
            </w:r>
            <w:r>
              <w:rPr>
                <w:noProof/>
              </w:rPr>
              <w:t>e origen verde (por ejemplo, utilizando FER) o se basa en CAE ecológicos.</w:t>
            </w:r>
          </w:p>
        </w:tc>
      </w:tr>
      <w:tr w:rsidR="00F208CE" w14:paraId="27D2D573"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0E103E82" w14:textId="77777777" w:rsidR="00F208CE" w:rsidRDefault="00513E84">
            <w:pPr>
              <w:pStyle w:val="P68B1DB1-Normal8"/>
              <w:spacing w:after="0"/>
              <w:jc w:val="center"/>
              <w:rPr>
                <w:rFonts w:eastAsia="Times New Roman" w:cs="Times New Roman"/>
                <w:noProof/>
              </w:rPr>
            </w:pPr>
            <w:r>
              <w:rPr>
                <w:noProof/>
              </w:rPr>
              <w:t>22</w:t>
            </w:r>
          </w:p>
        </w:tc>
        <w:tc>
          <w:tcPr>
            <w:tcW w:w="1464" w:type="dxa"/>
            <w:tcBorders>
              <w:top w:val="nil"/>
              <w:left w:val="nil"/>
              <w:bottom w:val="single" w:sz="4" w:space="0" w:color="auto"/>
              <w:right w:val="single" w:sz="4" w:space="0" w:color="auto"/>
            </w:tcBorders>
            <w:shd w:val="clear" w:color="auto" w:fill="C6EFCE"/>
            <w:noWrap/>
            <w:vAlign w:val="center"/>
          </w:tcPr>
          <w:p w14:paraId="203AB020" w14:textId="77777777" w:rsidR="00F208CE" w:rsidRDefault="00513E84">
            <w:pPr>
              <w:pStyle w:val="P68B1DB1-Normal8"/>
              <w:spacing w:after="0"/>
              <w:rPr>
                <w:rFonts w:eastAsia="Times New Roman" w:cs="Times New Roman"/>
                <w:noProof/>
              </w:rPr>
            </w:pPr>
            <w:r>
              <w:rPr>
                <w:noProof/>
              </w:rPr>
              <w:t>Una cadena de valor industrial para la transición del hidrógeno (I-1.16)</w:t>
            </w:r>
          </w:p>
        </w:tc>
        <w:tc>
          <w:tcPr>
            <w:tcW w:w="1229" w:type="dxa"/>
            <w:tcBorders>
              <w:top w:val="nil"/>
              <w:left w:val="nil"/>
              <w:bottom w:val="single" w:sz="4" w:space="0" w:color="auto"/>
              <w:right w:val="single" w:sz="4" w:space="0" w:color="auto"/>
            </w:tcBorders>
            <w:shd w:val="clear" w:color="auto" w:fill="C6EFCE"/>
            <w:noWrap/>
            <w:vAlign w:val="center"/>
          </w:tcPr>
          <w:p w14:paraId="06837AFB" w14:textId="128D66FF"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7D11A59E" w14:textId="77777777" w:rsidR="00F208CE" w:rsidRDefault="00513E84">
            <w:pPr>
              <w:pStyle w:val="P68B1DB1-Normal8"/>
              <w:spacing w:after="0"/>
              <w:rPr>
                <w:rFonts w:eastAsia="Times New Roman" w:cs="Times New Roman"/>
                <w:noProof/>
              </w:rPr>
            </w:pPr>
            <w:r>
              <w:rPr>
                <w:noProof/>
              </w:rPr>
              <w:t>Adjudicación de contratos para proyectos de hidrógeno no incluidos en los PIICE</w:t>
            </w:r>
          </w:p>
        </w:tc>
        <w:tc>
          <w:tcPr>
            <w:tcW w:w="1843" w:type="dxa"/>
            <w:tcBorders>
              <w:top w:val="nil"/>
              <w:left w:val="nil"/>
              <w:bottom w:val="single" w:sz="4" w:space="0" w:color="auto"/>
              <w:right w:val="single" w:sz="4" w:space="0" w:color="auto"/>
            </w:tcBorders>
            <w:shd w:val="clear" w:color="auto" w:fill="C6EFCE"/>
            <w:noWrap/>
            <w:vAlign w:val="center"/>
          </w:tcPr>
          <w:p w14:paraId="290B89F6" w14:textId="77777777" w:rsidR="00F208CE" w:rsidRDefault="00513E84">
            <w:pPr>
              <w:pStyle w:val="P68B1DB1-Normal8"/>
              <w:spacing w:after="0"/>
              <w:rPr>
                <w:rFonts w:eastAsia="Times New Roman" w:cs="Times New Roman"/>
                <w:noProof/>
              </w:rPr>
            </w:pPr>
            <w:r>
              <w:rPr>
                <w:noProof/>
              </w:rPr>
              <w:t>Notificación escrita de</w:t>
            </w:r>
            <w:r>
              <w:rPr>
                <w:noProof/>
              </w:rPr>
              <w:t xml:space="preserve"> la adjudicación de contratos a los candidatos seleccionados</w:t>
            </w:r>
          </w:p>
        </w:tc>
        <w:tc>
          <w:tcPr>
            <w:tcW w:w="1039" w:type="dxa"/>
            <w:tcBorders>
              <w:top w:val="nil"/>
              <w:left w:val="nil"/>
              <w:bottom w:val="single" w:sz="4" w:space="0" w:color="auto"/>
              <w:right w:val="single" w:sz="4" w:space="0" w:color="auto"/>
            </w:tcBorders>
            <w:shd w:val="clear" w:color="auto" w:fill="C6EFCE"/>
            <w:noWrap/>
            <w:vAlign w:val="center"/>
          </w:tcPr>
          <w:p w14:paraId="3AB85F49"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4E2C40D8"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12C089B2"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7F6F225D"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65864C88" w14:textId="77777777" w:rsidR="00F208CE" w:rsidRDefault="00513E84">
            <w:pPr>
              <w:pStyle w:val="P68B1DB1-Normal8"/>
              <w:spacing w:after="0"/>
              <w:jc w:val="center"/>
              <w:rPr>
                <w:rFonts w:eastAsia="Times New Roman" w:cs="Times New Roman"/>
                <w:noProof/>
              </w:rPr>
            </w:pPr>
            <w:r>
              <w:rPr>
                <w:noProof/>
              </w:rPr>
              <w:t>2022</w:t>
            </w:r>
          </w:p>
        </w:tc>
        <w:tc>
          <w:tcPr>
            <w:tcW w:w="4200" w:type="dxa"/>
            <w:tcBorders>
              <w:top w:val="nil"/>
              <w:left w:val="nil"/>
              <w:bottom w:val="single" w:sz="4" w:space="0" w:color="auto"/>
              <w:right w:val="single" w:sz="4" w:space="0" w:color="auto"/>
            </w:tcBorders>
            <w:shd w:val="clear" w:color="auto" w:fill="C6EFCE"/>
            <w:noWrap/>
            <w:vAlign w:val="center"/>
          </w:tcPr>
          <w:p w14:paraId="6C32FC42" w14:textId="77777777" w:rsidR="00F208CE" w:rsidRDefault="00513E84">
            <w:pPr>
              <w:pStyle w:val="P68B1DB1-Normal8"/>
              <w:spacing w:after="120"/>
              <w:rPr>
                <w:rFonts w:eastAsia="Times New Roman" w:cs="Times New Roman"/>
                <w:noProof/>
              </w:rPr>
            </w:pPr>
            <w:r>
              <w:rPr>
                <w:noProof/>
              </w:rPr>
              <w:t xml:space="preserve">Adjudicación de contratos para proyectos de hidrógeno adicionales no incluidos en el PIICE. Están excluidos de los proyectos seleccionados: todas las actividades en el </w:t>
            </w:r>
            <w:r>
              <w:rPr>
                <w:noProof/>
              </w:rPr>
              <w:t>marco del régimen de comercio de derechos de emisión (RCDE) con emisiones equivalentes de CO2 previstas que no sean sustancialmente inferiores a los parámetros de referencia pertinentes establecidos para la asignación gratuita.</w:t>
            </w:r>
          </w:p>
          <w:p w14:paraId="718A6653" w14:textId="77777777" w:rsidR="00F208CE" w:rsidRDefault="00513E84">
            <w:pPr>
              <w:pStyle w:val="P68B1DB1-Normal8"/>
              <w:spacing w:after="120"/>
              <w:rPr>
                <w:rFonts w:eastAsia="Times New Roman" w:cs="Times New Roman"/>
                <w:noProof/>
              </w:rPr>
            </w:pPr>
            <w:r>
              <w:rPr>
                <w:noProof/>
              </w:rPr>
              <w:t>Los proyectos de investigaci</w:t>
            </w:r>
            <w:r>
              <w:rPr>
                <w:noProof/>
              </w:rPr>
              <w:t xml:space="preserve">ón e innovación (I) seleccionados deberán cumplir las siguientes condiciones: </w:t>
            </w:r>
          </w:p>
          <w:p w14:paraId="2432DA5D" w14:textId="77777777" w:rsidR="00F208CE" w:rsidRDefault="00513E84">
            <w:pPr>
              <w:pStyle w:val="P68B1DB1-Normal8"/>
              <w:spacing w:after="0"/>
              <w:rPr>
                <w:rFonts w:eastAsia="Times New Roman" w:cs="Times New Roman"/>
                <w:noProof/>
              </w:rPr>
            </w:pPr>
            <w:r>
              <w:rPr>
                <w:noProof/>
              </w:rPr>
              <w:t>— La Recomendación I se centra exclusiva o principalmente en opciones de bajo impacto (como la producción de hidrógeno renovable u otras innovaciones medioambientales de emisión</w:t>
            </w:r>
            <w:r>
              <w:rPr>
                <w:noProof/>
              </w:rPr>
              <w:t xml:space="preserve"> cero); o</w:t>
            </w:r>
          </w:p>
          <w:p w14:paraId="4DEFE3DF" w14:textId="77777777" w:rsidR="00F208CE" w:rsidRDefault="00513E84">
            <w:pPr>
              <w:pStyle w:val="P68B1DB1-Normal8"/>
              <w:spacing w:after="0"/>
              <w:rPr>
                <w:rFonts w:eastAsia="Times New Roman" w:cs="Times New Roman"/>
                <w:noProof/>
              </w:rPr>
            </w:pPr>
            <w:r>
              <w:rPr>
                <w:noProof/>
              </w:rPr>
              <w:t xml:space="preserve">— La Recomendación I se dedica a mejorar la tecnología «mejor en clase» (como las tecnologías con el impacto más limitado (pero no nulo/bajo) entre las disponibles actualmente), y se establecen medidas de acompañamiento adecuadas para evitar los </w:t>
            </w:r>
            <w:r>
              <w:rPr>
                <w:noProof/>
              </w:rPr>
              <w:t>efectos de bloqueo (medidas que permiten la adopción de tecnologías de bajo impacto o su desarrollo); o</w:t>
            </w:r>
          </w:p>
          <w:p w14:paraId="0705C3CC" w14:textId="77777777" w:rsidR="00F208CE" w:rsidRDefault="00513E84">
            <w:pPr>
              <w:pStyle w:val="P68B1DB1-Normal8"/>
              <w:spacing w:after="0"/>
              <w:rPr>
                <w:rFonts w:eastAsia="Times New Roman" w:cs="Times New Roman"/>
                <w:noProof/>
              </w:rPr>
            </w:pPr>
            <w:r>
              <w:rPr>
                <w:noProof/>
              </w:rPr>
              <w:t>— Los resultados del proceso R/I son tecnológicamente neutros a nivel de su aplicación (es decir, pueden aplicarse a todas las tecnologías disponibles).</w:t>
            </w:r>
          </w:p>
          <w:p w14:paraId="03351E2A" w14:textId="77777777" w:rsidR="00F208CE" w:rsidRDefault="00513E84">
            <w:pPr>
              <w:pStyle w:val="P68B1DB1-Normal8"/>
              <w:spacing w:after="0"/>
              <w:rPr>
                <w:rFonts w:eastAsia="Times New Roman" w:cs="Times New Roman"/>
                <w:noProof/>
              </w:rPr>
            </w:pPr>
            <w:r>
              <w:rPr>
                <w:noProof/>
              </w:rPr>
              <w:t>Toda electricidad utilizada en los proyectos es de origen verde (por ejemplo, utilizando FER) o se basa en CAE ecológicos.</w:t>
            </w:r>
          </w:p>
        </w:tc>
      </w:tr>
      <w:tr w:rsidR="00F208CE" w14:paraId="4F9E94E2"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5E536C5A" w14:textId="77777777" w:rsidR="00F208CE" w:rsidRDefault="00513E84">
            <w:pPr>
              <w:pStyle w:val="P68B1DB1-Normal8"/>
              <w:spacing w:after="0"/>
              <w:jc w:val="center"/>
              <w:rPr>
                <w:rFonts w:eastAsia="Times New Roman" w:cs="Times New Roman"/>
                <w:noProof/>
              </w:rPr>
            </w:pPr>
            <w:r>
              <w:rPr>
                <w:noProof/>
              </w:rPr>
              <w:t>23</w:t>
            </w:r>
          </w:p>
        </w:tc>
        <w:tc>
          <w:tcPr>
            <w:tcW w:w="1464" w:type="dxa"/>
            <w:tcBorders>
              <w:top w:val="nil"/>
              <w:left w:val="nil"/>
              <w:bottom w:val="single" w:sz="4" w:space="0" w:color="auto"/>
              <w:right w:val="single" w:sz="4" w:space="0" w:color="auto"/>
            </w:tcBorders>
            <w:shd w:val="clear" w:color="auto" w:fill="C6EFCE"/>
            <w:noWrap/>
            <w:vAlign w:val="center"/>
          </w:tcPr>
          <w:p w14:paraId="4170A5CB" w14:textId="77777777" w:rsidR="00F208CE" w:rsidRDefault="00513E84">
            <w:pPr>
              <w:pStyle w:val="P68B1DB1-Normal8"/>
              <w:spacing w:after="0"/>
              <w:rPr>
                <w:rFonts w:eastAsia="Times New Roman" w:cs="Times New Roman"/>
                <w:noProof/>
              </w:rPr>
            </w:pPr>
            <w:r>
              <w:rPr>
                <w:noProof/>
              </w:rPr>
              <w:t>Una cadena de valor industrial para la transición del hidrógeno (I-1.16)</w:t>
            </w:r>
          </w:p>
        </w:tc>
        <w:tc>
          <w:tcPr>
            <w:tcW w:w="1229" w:type="dxa"/>
            <w:tcBorders>
              <w:top w:val="nil"/>
              <w:left w:val="nil"/>
              <w:bottom w:val="single" w:sz="4" w:space="0" w:color="auto"/>
              <w:right w:val="single" w:sz="4" w:space="0" w:color="auto"/>
            </w:tcBorders>
            <w:shd w:val="clear" w:color="auto" w:fill="C6EFCE"/>
            <w:noWrap/>
            <w:vAlign w:val="center"/>
          </w:tcPr>
          <w:p w14:paraId="19952235" w14:textId="6D46757F"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094E0D58" w14:textId="77777777" w:rsidR="00F208CE" w:rsidRDefault="00513E84">
            <w:pPr>
              <w:pStyle w:val="P68B1DB1-Normal8"/>
              <w:spacing w:after="0"/>
              <w:rPr>
                <w:rFonts w:eastAsia="Times New Roman" w:cs="Times New Roman"/>
                <w:noProof/>
              </w:rPr>
            </w:pPr>
            <w:r>
              <w:rPr>
                <w:noProof/>
              </w:rPr>
              <w:t>Finalización de los proyectos adjudicados en el marco</w:t>
            </w:r>
            <w:r>
              <w:rPr>
                <w:noProof/>
              </w:rPr>
              <w:t xml:space="preserve"> de la licitación</w:t>
            </w:r>
          </w:p>
        </w:tc>
        <w:tc>
          <w:tcPr>
            <w:tcW w:w="1843" w:type="dxa"/>
            <w:tcBorders>
              <w:top w:val="nil"/>
              <w:left w:val="nil"/>
              <w:bottom w:val="single" w:sz="4" w:space="0" w:color="auto"/>
              <w:right w:val="single" w:sz="4" w:space="0" w:color="auto"/>
            </w:tcBorders>
            <w:shd w:val="clear" w:color="auto" w:fill="C6EFCE"/>
            <w:noWrap/>
            <w:vAlign w:val="center"/>
          </w:tcPr>
          <w:p w14:paraId="1262A464" w14:textId="77777777" w:rsidR="00F208CE" w:rsidRDefault="00513E84">
            <w:pPr>
              <w:pStyle w:val="P68B1DB1-Normal8"/>
              <w:spacing w:after="0"/>
              <w:rPr>
                <w:rFonts w:eastAsia="Times New Roman" w:cs="Times New Roman"/>
                <w:noProof/>
              </w:rPr>
            </w:pPr>
            <w:r>
              <w:rPr>
                <w:noProof/>
              </w:rPr>
              <w:t>Aprobación del informe final del proyecto</w:t>
            </w:r>
          </w:p>
        </w:tc>
        <w:tc>
          <w:tcPr>
            <w:tcW w:w="1039" w:type="dxa"/>
            <w:tcBorders>
              <w:top w:val="nil"/>
              <w:left w:val="nil"/>
              <w:bottom w:val="single" w:sz="4" w:space="0" w:color="auto"/>
              <w:right w:val="single" w:sz="4" w:space="0" w:color="auto"/>
            </w:tcBorders>
            <w:shd w:val="clear" w:color="auto" w:fill="C6EFCE"/>
            <w:noWrap/>
            <w:vAlign w:val="center"/>
          </w:tcPr>
          <w:p w14:paraId="6D494560"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2EF764CB"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63E28F65"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05A3F2C2"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7DA4A083" w14:textId="77777777" w:rsidR="00F208CE" w:rsidRDefault="00513E84">
            <w:pPr>
              <w:pStyle w:val="P68B1DB1-Normal8"/>
              <w:spacing w:after="0"/>
              <w:rPr>
                <w:rFonts w:eastAsia="Times New Roman" w:cs="Times New Roman"/>
                <w:noProof/>
              </w:rPr>
            </w:pPr>
            <w:r>
              <w:rPr>
                <w:noProof/>
              </w:rPr>
              <w:t>2026</w:t>
            </w:r>
          </w:p>
        </w:tc>
        <w:tc>
          <w:tcPr>
            <w:tcW w:w="4200" w:type="dxa"/>
            <w:tcBorders>
              <w:top w:val="nil"/>
              <w:left w:val="nil"/>
              <w:bottom w:val="single" w:sz="4" w:space="0" w:color="auto"/>
              <w:right w:val="single" w:sz="4" w:space="0" w:color="auto"/>
            </w:tcBorders>
            <w:shd w:val="clear" w:color="auto" w:fill="C6EFCE"/>
            <w:noWrap/>
            <w:vAlign w:val="center"/>
          </w:tcPr>
          <w:p w14:paraId="2FAECFF4" w14:textId="7086D342" w:rsidR="00F208CE" w:rsidRDefault="00513E84">
            <w:pPr>
              <w:pStyle w:val="P68B1DB1-Normal8"/>
              <w:spacing w:after="120"/>
              <w:rPr>
                <w:rFonts w:eastAsia="Times New Roman" w:cs="Times New Roman"/>
                <w:noProof/>
              </w:rPr>
            </w:pPr>
            <w:r>
              <w:rPr>
                <w:noProof/>
              </w:rPr>
              <w:t>Finalización de proyectos adjudicados en el marco de la licitación «Una cadena de valor industrial para la transición del hidrógeno» (Flandes), con 67 500 000 EUR ejecut</w:t>
            </w:r>
            <w:r>
              <w:rPr>
                <w:noProof/>
              </w:rPr>
              <w:t>ados, incluida una nueva capacidad de electrólisis de hidrógeno de 75 MW operativa.</w:t>
            </w:r>
          </w:p>
          <w:p w14:paraId="04266287" w14:textId="5C5F07D1" w:rsidR="00F208CE" w:rsidRDefault="00F208CE">
            <w:pPr>
              <w:spacing w:after="0"/>
              <w:rPr>
                <w:rFonts w:ascii="Times New Roman" w:eastAsia="Times New Roman" w:hAnsi="Times New Roman" w:cs="Times New Roman"/>
                <w:noProof/>
                <w:color w:val="006100"/>
              </w:rPr>
            </w:pPr>
          </w:p>
        </w:tc>
      </w:tr>
      <w:tr w:rsidR="00F208CE" w14:paraId="0FFD2DC0"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11C272A7" w14:textId="77777777" w:rsidR="00F208CE" w:rsidRDefault="00513E84">
            <w:pPr>
              <w:pStyle w:val="P68B1DB1-Normal8"/>
              <w:spacing w:after="0"/>
              <w:jc w:val="center"/>
              <w:rPr>
                <w:rFonts w:eastAsia="Times New Roman" w:cs="Times New Roman"/>
                <w:noProof/>
              </w:rPr>
            </w:pPr>
            <w:r>
              <w:rPr>
                <w:noProof/>
              </w:rPr>
              <w:t>24</w:t>
            </w:r>
          </w:p>
        </w:tc>
        <w:tc>
          <w:tcPr>
            <w:tcW w:w="1464" w:type="dxa"/>
            <w:tcBorders>
              <w:top w:val="nil"/>
              <w:left w:val="nil"/>
              <w:bottom w:val="single" w:sz="4" w:space="0" w:color="auto"/>
              <w:right w:val="single" w:sz="4" w:space="0" w:color="auto"/>
            </w:tcBorders>
            <w:shd w:val="clear" w:color="auto" w:fill="C6EFCE"/>
            <w:noWrap/>
            <w:vAlign w:val="center"/>
          </w:tcPr>
          <w:p w14:paraId="6BB52E42" w14:textId="77777777" w:rsidR="00F208CE" w:rsidRDefault="00513E84">
            <w:pPr>
              <w:pStyle w:val="P68B1DB1-Normal8"/>
              <w:spacing w:after="0"/>
              <w:rPr>
                <w:rFonts w:eastAsia="Times New Roman" w:cs="Times New Roman"/>
                <w:noProof/>
              </w:rPr>
            </w:pPr>
            <w:r>
              <w:rPr>
                <w:noProof/>
              </w:rPr>
              <w:t>Una cadena de valor industrial para la transición del hidrógeno (I-1.17)</w:t>
            </w:r>
          </w:p>
        </w:tc>
        <w:tc>
          <w:tcPr>
            <w:tcW w:w="1229" w:type="dxa"/>
            <w:tcBorders>
              <w:top w:val="nil"/>
              <w:left w:val="nil"/>
              <w:bottom w:val="single" w:sz="4" w:space="0" w:color="auto"/>
              <w:right w:val="single" w:sz="4" w:space="0" w:color="auto"/>
            </w:tcBorders>
            <w:shd w:val="clear" w:color="auto" w:fill="C6EFCE"/>
            <w:noWrap/>
            <w:vAlign w:val="center"/>
          </w:tcPr>
          <w:p w14:paraId="20BC7FA8" w14:textId="5AD14184"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7A7A163C" w14:textId="77777777" w:rsidR="00F208CE" w:rsidRDefault="00513E84">
            <w:pPr>
              <w:pStyle w:val="P68B1DB1-Normal8"/>
              <w:spacing w:after="0"/>
              <w:rPr>
                <w:rFonts w:eastAsia="Times New Roman" w:cs="Times New Roman"/>
                <w:noProof/>
              </w:rPr>
            </w:pPr>
            <w:r>
              <w:rPr>
                <w:noProof/>
              </w:rPr>
              <w:t>Adjudicación de contratos para proyectos de PIICE sobre hidrógeno</w:t>
            </w:r>
          </w:p>
        </w:tc>
        <w:tc>
          <w:tcPr>
            <w:tcW w:w="1843" w:type="dxa"/>
            <w:tcBorders>
              <w:top w:val="nil"/>
              <w:left w:val="nil"/>
              <w:bottom w:val="single" w:sz="4" w:space="0" w:color="auto"/>
              <w:right w:val="single" w:sz="4" w:space="0" w:color="auto"/>
            </w:tcBorders>
            <w:shd w:val="clear" w:color="auto" w:fill="C6EFCE"/>
            <w:noWrap/>
            <w:vAlign w:val="center"/>
          </w:tcPr>
          <w:p w14:paraId="38B40391" w14:textId="77777777" w:rsidR="00F208CE" w:rsidRDefault="00513E84">
            <w:pPr>
              <w:pStyle w:val="P68B1DB1-Normal8"/>
              <w:spacing w:after="0"/>
              <w:rPr>
                <w:rFonts w:eastAsia="Times New Roman" w:cs="Times New Roman"/>
                <w:noProof/>
              </w:rPr>
            </w:pPr>
            <w:r>
              <w:rPr>
                <w:noProof/>
              </w:rPr>
              <w:t>Notificación escrita de la adjudicación de contratos a los candidatos seleccionados</w:t>
            </w:r>
          </w:p>
        </w:tc>
        <w:tc>
          <w:tcPr>
            <w:tcW w:w="1039" w:type="dxa"/>
            <w:tcBorders>
              <w:top w:val="nil"/>
              <w:left w:val="nil"/>
              <w:bottom w:val="single" w:sz="4" w:space="0" w:color="auto"/>
              <w:right w:val="single" w:sz="4" w:space="0" w:color="auto"/>
            </w:tcBorders>
            <w:shd w:val="clear" w:color="auto" w:fill="C6EFCE"/>
            <w:noWrap/>
            <w:vAlign w:val="center"/>
          </w:tcPr>
          <w:p w14:paraId="6CF9B09C"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41F92FD5"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0FACCC3C"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7323C2B4"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3DF17A56" w14:textId="77777777" w:rsidR="00F208CE" w:rsidRDefault="00513E84">
            <w:pPr>
              <w:pStyle w:val="P68B1DB1-Normal8"/>
              <w:spacing w:after="0"/>
              <w:rPr>
                <w:rFonts w:eastAsia="Times New Roman" w:cs="Times New Roman"/>
                <w:noProof/>
              </w:rPr>
            </w:pPr>
            <w:r>
              <w:rPr>
                <w:noProof/>
              </w:rPr>
              <w:t>2022</w:t>
            </w:r>
          </w:p>
        </w:tc>
        <w:tc>
          <w:tcPr>
            <w:tcW w:w="4200" w:type="dxa"/>
            <w:tcBorders>
              <w:top w:val="nil"/>
              <w:left w:val="nil"/>
              <w:bottom w:val="single" w:sz="4" w:space="0" w:color="auto"/>
              <w:right w:val="single" w:sz="4" w:space="0" w:color="auto"/>
            </w:tcBorders>
            <w:shd w:val="clear" w:color="auto" w:fill="C6EFCE"/>
            <w:noWrap/>
            <w:vAlign w:val="center"/>
          </w:tcPr>
          <w:p w14:paraId="73EF1453" w14:textId="301BF8AD" w:rsidR="00F208CE" w:rsidRDefault="00513E84">
            <w:pPr>
              <w:pStyle w:val="P68B1DB1-Normal8"/>
              <w:spacing w:after="120"/>
              <w:rPr>
                <w:rFonts w:eastAsia="Times New Roman" w:cs="Times New Roman"/>
                <w:noProof/>
              </w:rPr>
            </w:pPr>
            <w:r>
              <w:rPr>
                <w:noProof/>
              </w:rPr>
              <w:t>Adjudicación de contratos a proyectos de los PIICE sobre hidrógeno (definidos como los proyectos objeto de la notificación de ayuda estatal PIICE</w:t>
            </w:r>
            <w:r>
              <w:rPr>
                <w:noProof/>
              </w:rPr>
              <w:t>) en el marco de la medida «Una cadena de valor industrial para la transición del hidrógeno» (Valonia). Las especificaciones de la convocatoria de proyectos garantizarán la exclusión de todas las actividades del régimen de comercio de derechos de emisión (</w:t>
            </w:r>
            <w:r>
              <w:rPr>
                <w:noProof/>
              </w:rPr>
              <w:t>RCDE) con emisiones equivalentes de CO2 proyectadas que no sean sustancialmente inferiores a los parámetros de referencia pertinentes establecidos para la asignación gratuita.</w:t>
            </w:r>
          </w:p>
          <w:p w14:paraId="2B95D9B6" w14:textId="77777777" w:rsidR="00F208CE" w:rsidRDefault="00513E84">
            <w:pPr>
              <w:pStyle w:val="P68B1DB1-Normal8"/>
              <w:spacing w:after="0"/>
              <w:rPr>
                <w:rFonts w:eastAsia="Times New Roman" w:cs="Times New Roman"/>
                <w:noProof/>
              </w:rPr>
            </w:pPr>
            <w:r>
              <w:rPr>
                <w:noProof/>
              </w:rPr>
              <w:t>Todos los proyectos de investigación e innovación (I) adjudicados deberán cumpli</w:t>
            </w:r>
            <w:r>
              <w:rPr>
                <w:noProof/>
              </w:rPr>
              <w:t xml:space="preserve">r las siguientes condiciones: </w:t>
            </w:r>
          </w:p>
          <w:p w14:paraId="2ECDDD35" w14:textId="77777777" w:rsidR="00F208CE" w:rsidRDefault="00513E84">
            <w:pPr>
              <w:pStyle w:val="P68B1DB1-Normal8"/>
              <w:spacing w:after="0"/>
              <w:rPr>
                <w:rFonts w:eastAsia="Times New Roman" w:cs="Times New Roman"/>
                <w:noProof/>
              </w:rPr>
            </w:pPr>
            <w:r>
              <w:rPr>
                <w:noProof/>
              </w:rPr>
              <w:t>— La Recomendación I se centra exclusiva o principalmente en opciones de bajo impacto (como la producción de hidrógeno renovable u otras innovaciones medioambientales de emisión cero); o</w:t>
            </w:r>
          </w:p>
          <w:p w14:paraId="2AABF5AC" w14:textId="77777777" w:rsidR="00F208CE" w:rsidRDefault="00513E84">
            <w:pPr>
              <w:pStyle w:val="P68B1DB1-Normal8"/>
              <w:spacing w:after="0"/>
              <w:rPr>
                <w:rFonts w:eastAsia="Times New Roman" w:cs="Times New Roman"/>
                <w:noProof/>
              </w:rPr>
            </w:pPr>
            <w:r>
              <w:rPr>
                <w:noProof/>
              </w:rPr>
              <w:t>— La Recomendación I se dedica a mejor</w:t>
            </w:r>
            <w:r>
              <w:rPr>
                <w:noProof/>
              </w:rPr>
              <w:t>ar la tecnología «mejor en clase» (como las tecnologías con el impacto más limitado (pero no nulo/bajo) entre las disponibles actualmente), y se establecen medidas de acompañamiento adecuadas para evitar los efectos de bloqueo (medidas que permiten la adop</w:t>
            </w:r>
            <w:r>
              <w:rPr>
                <w:noProof/>
              </w:rPr>
              <w:t>ción de tecnologías de bajo impacto o su desarrollo); o</w:t>
            </w:r>
          </w:p>
          <w:p w14:paraId="21FCA2E6" w14:textId="77777777" w:rsidR="00F208CE" w:rsidRDefault="00513E84">
            <w:pPr>
              <w:pStyle w:val="P68B1DB1-Normal8"/>
              <w:spacing w:after="0"/>
              <w:rPr>
                <w:rFonts w:eastAsia="Times New Roman" w:cs="Times New Roman"/>
                <w:noProof/>
              </w:rPr>
            </w:pPr>
            <w:r>
              <w:rPr>
                <w:noProof/>
              </w:rPr>
              <w:t>— Los resultados del proceso R/I son tecnológicamente neutros a nivel de su aplicación (es decir, pueden aplicarse a todas las tecnologías disponibles).</w:t>
            </w:r>
          </w:p>
          <w:p w14:paraId="2450060D" w14:textId="77777777" w:rsidR="00F208CE" w:rsidRDefault="00513E84">
            <w:pPr>
              <w:pStyle w:val="P68B1DB1-Normal8"/>
              <w:spacing w:after="0"/>
              <w:rPr>
                <w:rFonts w:eastAsia="Times New Roman" w:cs="Times New Roman"/>
                <w:noProof/>
              </w:rPr>
            </w:pPr>
            <w:r>
              <w:rPr>
                <w:noProof/>
              </w:rPr>
              <w:t>Toda electricidad utilizada en los proyectos es</w:t>
            </w:r>
            <w:r>
              <w:rPr>
                <w:noProof/>
              </w:rPr>
              <w:t xml:space="preserve"> de origen verde (por ejemplo, utilizando FER) o se basa en CAE ecológicos.</w:t>
            </w:r>
          </w:p>
          <w:p w14:paraId="74021C1B" w14:textId="79CB1674" w:rsidR="00F208CE" w:rsidRDefault="00F208CE">
            <w:pPr>
              <w:spacing w:after="0"/>
              <w:rPr>
                <w:rFonts w:ascii="Times New Roman" w:eastAsia="Times New Roman" w:hAnsi="Times New Roman" w:cs="Times New Roman"/>
                <w:noProof/>
                <w:color w:val="006100"/>
              </w:rPr>
            </w:pPr>
          </w:p>
        </w:tc>
      </w:tr>
      <w:tr w:rsidR="00F208CE" w14:paraId="090CDB63"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42503C0A" w14:textId="77777777" w:rsidR="00F208CE" w:rsidRDefault="00513E84">
            <w:pPr>
              <w:pStyle w:val="P68B1DB1-Normal8"/>
              <w:spacing w:after="0"/>
              <w:jc w:val="center"/>
              <w:rPr>
                <w:rFonts w:eastAsia="Times New Roman" w:cs="Times New Roman"/>
                <w:noProof/>
              </w:rPr>
            </w:pPr>
            <w:r>
              <w:rPr>
                <w:noProof/>
              </w:rPr>
              <w:t>26</w:t>
            </w:r>
          </w:p>
        </w:tc>
        <w:tc>
          <w:tcPr>
            <w:tcW w:w="1464" w:type="dxa"/>
            <w:tcBorders>
              <w:top w:val="nil"/>
              <w:left w:val="nil"/>
              <w:bottom w:val="single" w:sz="4" w:space="0" w:color="auto"/>
              <w:right w:val="single" w:sz="4" w:space="0" w:color="auto"/>
            </w:tcBorders>
            <w:shd w:val="clear" w:color="auto" w:fill="C6EFCE"/>
            <w:noWrap/>
            <w:vAlign w:val="center"/>
          </w:tcPr>
          <w:p w14:paraId="1B1C18D0" w14:textId="77777777" w:rsidR="00F208CE" w:rsidRDefault="00513E84">
            <w:pPr>
              <w:pStyle w:val="P68B1DB1-Normal8"/>
              <w:spacing w:after="0"/>
              <w:rPr>
                <w:rFonts w:eastAsia="Times New Roman" w:cs="Times New Roman"/>
                <w:noProof/>
              </w:rPr>
            </w:pPr>
            <w:r>
              <w:rPr>
                <w:noProof/>
              </w:rPr>
              <w:t>Una cadena de valor industrial para la transición del hidrógeno (I-1.17)</w:t>
            </w:r>
          </w:p>
        </w:tc>
        <w:tc>
          <w:tcPr>
            <w:tcW w:w="1229" w:type="dxa"/>
            <w:tcBorders>
              <w:top w:val="nil"/>
              <w:left w:val="nil"/>
              <w:bottom w:val="single" w:sz="4" w:space="0" w:color="auto"/>
              <w:right w:val="single" w:sz="4" w:space="0" w:color="auto"/>
            </w:tcBorders>
            <w:shd w:val="clear" w:color="auto" w:fill="C6EFCE"/>
            <w:noWrap/>
            <w:vAlign w:val="center"/>
          </w:tcPr>
          <w:p w14:paraId="1FF09A7D" w14:textId="1D20036F" w:rsidR="00F208CE" w:rsidRDefault="00513E84">
            <w:pPr>
              <w:pStyle w:val="P68B1DB1-Normal8"/>
              <w:spacing w:after="0"/>
              <w:rPr>
                <w:rFonts w:eastAsia="Times New Roman" w:cs="Times New Roman"/>
                <w:noProof/>
                <w:highlight w:val="yellow"/>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6C63665A" w14:textId="21A17626" w:rsidR="00F208CE" w:rsidRDefault="00513E84">
            <w:pPr>
              <w:pStyle w:val="P68B1DB1-Normal8"/>
              <w:spacing w:after="0"/>
              <w:rPr>
                <w:rFonts w:eastAsia="Times New Roman" w:cs="Times New Roman"/>
                <w:noProof/>
              </w:rPr>
            </w:pPr>
            <w:r>
              <w:rPr>
                <w:noProof/>
              </w:rPr>
              <w:t>Finalización de todos los proyectos PIICE adjudicados en el marco de la licitación</w:t>
            </w:r>
          </w:p>
        </w:tc>
        <w:tc>
          <w:tcPr>
            <w:tcW w:w="1843" w:type="dxa"/>
            <w:tcBorders>
              <w:top w:val="nil"/>
              <w:left w:val="nil"/>
              <w:bottom w:val="single" w:sz="4" w:space="0" w:color="auto"/>
              <w:right w:val="single" w:sz="4" w:space="0" w:color="auto"/>
            </w:tcBorders>
            <w:shd w:val="clear" w:color="auto" w:fill="C6EFCE"/>
            <w:noWrap/>
            <w:vAlign w:val="center"/>
          </w:tcPr>
          <w:p w14:paraId="22AC5E4F" w14:textId="4D8996D0" w:rsidR="00F208CE" w:rsidRDefault="00F208CE">
            <w:pPr>
              <w:spacing w:after="0"/>
              <w:rPr>
                <w:rFonts w:ascii="Times New Roman" w:eastAsia="Times New Roman" w:hAnsi="Times New Roman" w:cs="Times New Roman"/>
                <w:noProof/>
                <w:color w:val="006100"/>
              </w:rPr>
            </w:pPr>
          </w:p>
          <w:p w14:paraId="3C5A8CB2" w14:textId="4A3E4FCB" w:rsidR="00F208CE" w:rsidRDefault="00513E84">
            <w:pPr>
              <w:pStyle w:val="P68B1DB1-Normal8"/>
              <w:spacing w:after="0"/>
              <w:rPr>
                <w:rFonts w:eastAsia="Times New Roman" w:cs="Times New Roman"/>
                <w:noProof/>
              </w:rPr>
            </w:pPr>
            <w:r>
              <w:rPr>
                <w:noProof/>
              </w:rPr>
              <w:t xml:space="preserve">Aprobación del </w:t>
            </w:r>
            <w:r>
              <w:rPr>
                <w:noProof/>
              </w:rPr>
              <w:t>informe final del proyecto</w:t>
            </w:r>
          </w:p>
        </w:tc>
        <w:tc>
          <w:tcPr>
            <w:tcW w:w="1039" w:type="dxa"/>
            <w:tcBorders>
              <w:top w:val="nil"/>
              <w:left w:val="nil"/>
              <w:bottom w:val="single" w:sz="4" w:space="0" w:color="auto"/>
              <w:right w:val="single" w:sz="4" w:space="0" w:color="auto"/>
            </w:tcBorders>
            <w:shd w:val="clear" w:color="auto" w:fill="C6EFCE"/>
            <w:noWrap/>
            <w:vAlign w:val="center"/>
          </w:tcPr>
          <w:p w14:paraId="78D46832"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07AE36B6"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41759100"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56487F45"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364764D7" w14:textId="77777777" w:rsidR="00F208CE" w:rsidRDefault="00513E84">
            <w:pPr>
              <w:pStyle w:val="P68B1DB1-Normal8"/>
              <w:spacing w:after="0"/>
              <w:rPr>
                <w:rFonts w:eastAsia="Times New Roman" w:cs="Times New Roman"/>
                <w:noProof/>
              </w:rPr>
            </w:pPr>
            <w:r>
              <w:rPr>
                <w:noProof/>
              </w:rPr>
              <w:t>2026</w:t>
            </w:r>
          </w:p>
        </w:tc>
        <w:tc>
          <w:tcPr>
            <w:tcW w:w="4200" w:type="dxa"/>
            <w:tcBorders>
              <w:top w:val="nil"/>
              <w:left w:val="nil"/>
              <w:bottom w:val="single" w:sz="4" w:space="0" w:color="auto"/>
              <w:right w:val="single" w:sz="4" w:space="0" w:color="auto"/>
            </w:tcBorders>
            <w:shd w:val="clear" w:color="auto" w:fill="C6EFCE"/>
            <w:noWrap/>
            <w:vAlign w:val="center"/>
          </w:tcPr>
          <w:p w14:paraId="64AE2D4D" w14:textId="53F4CF0F" w:rsidR="00F208CE" w:rsidRDefault="00513E84">
            <w:pPr>
              <w:pStyle w:val="P68B1DB1-Normal8"/>
              <w:spacing w:after="120"/>
              <w:rPr>
                <w:rFonts w:eastAsia="Times New Roman" w:cs="Times New Roman"/>
                <w:noProof/>
              </w:rPr>
            </w:pPr>
            <w:r>
              <w:rPr>
                <w:noProof/>
              </w:rPr>
              <w:t>Finalización de todos los proyectos adjudicados en el marco de la licitación «Una cadena de valor industrial para la transición del hidrógeno» (Valonia), con 80 000 000 EUR ejecutados, incluida la puest</w:t>
            </w:r>
            <w:r>
              <w:rPr>
                <w:noProof/>
              </w:rPr>
              <w:t>a en funcionamiento de una capacidad de electrolisis verde de un mínimo de 1 MW (incluida la infraestructura).</w:t>
            </w:r>
          </w:p>
        </w:tc>
      </w:tr>
      <w:tr w:rsidR="00F208CE" w14:paraId="60E6ACCF"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4D491478" w14:textId="77777777" w:rsidR="00F208CE" w:rsidRDefault="00513E84">
            <w:pPr>
              <w:pStyle w:val="P68B1DB1-Normal8"/>
              <w:spacing w:after="0"/>
              <w:jc w:val="center"/>
              <w:rPr>
                <w:rFonts w:eastAsia="Times New Roman" w:cs="Times New Roman"/>
                <w:noProof/>
              </w:rPr>
            </w:pPr>
            <w:r>
              <w:rPr>
                <w:noProof/>
              </w:rPr>
              <w:t>27</w:t>
            </w:r>
          </w:p>
        </w:tc>
        <w:tc>
          <w:tcPr>
            <w:tcW w:w="1464" w:type="dxa"/>
            <w:tcBorders>
              <w:top w:val="nil"/>
              <w:left w:val="nil"/>
              <w:bottom w:val="single" w:sz="4" w:space="0" w:color="auto"/>
              <w:right w:val="single" w:sz="4" w:space="0" w:color="auto"/>
            </w:tcBorders>
            <w:shd w:val="clear" w:color="auto" w:fill="C6EFCE"/>
            <w:noWrap/>
            <w:vAlign w:val="center"/>
          </w:tcPr>
          <w:p w14:paraId="07A31F95" w14:textId="77777777" w:rsidR="00F208CE" w:rsidRDefault="00513E84">
            <w:pPr>
              <w:pStyle w:val="P68B1DB1-Normal8"/>
              <w:spacing w:after="0"/>
              <w:rPr>
                <w:rFonts w:eastAsia="Times New Roman" w:cs="Times New Roman"/>
                <w:noProof/>
              </w:rPr>
            </w:pPr>
            <w:r>
              <w:rPr>
                <w:noProof/>
              </w:rPr>
              <w:t>Desarrollo de la industria hipocarbónica (I-1.18)</w:t>
            </w:r>
          </w:p>
        </w:tc>
        <w:tc>
          <w:tcPr>
            <w:tcW w:w="1229" w:type="dxa"/>
            <w:tcBorders>
              <w:top w:val="nil"/>
              <w:left w:val="nil"/>
              <w:bottom w:val="single" w:sz="4" w:space="0" w:color="auto"/>
              <w:right w:val="single" w:sz="4" w:space="0" w:color="auto"/>
            </w:tcBorders>
            <w:shd w:val="clear" w:color="auto" w:fill="C6EFCE"/>
            <w:noWrap/>
            <w:vAlign w:val="center"/>
          </w:tcPr>
          <w:p w14:paraId="17FF3E65" w14:textId="34F379AE"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36096310" w14:textId="77777777" w:rsidR="00F208CE" w:rsidRDefault="00513E84">
            <w:pPr>
              <w:pStyle w:val="P68B1DB1-Normal8"/>
              <w:spacing w:after="0"/>
              <w:rPr>
                <w:rFonts w:eastAsia="Times New Roman" w:cs="Times New Roman"/>
                <w:noProof/>
              </w:rPr>
            </w:pPr>
            <w:r>
              <w:rPr>
                <w:noProof/>
              </w:rPr>
              <w:t>Adjudicación contratos</w:t>
            </w:r>
          </w:p>
        </w:tc>
        <w:tc>
          <w:tcPr>
            <w:tcW w:w="1843" w:type="dxa"/>
            <w:tcBorders>
              <w:top w:val="nil"/>
              <w:left w:val="nil"/>
              <w:bottom w:val="single" w:sz="4" w:space="0" w:color="auto"/>
              <w:right w:val="single" w:sz="4" w:space="0" w:color="auto"/>
            </w:tcBorders>
            <w:shd w:val="clear" w:color="auto" w:fill="C6EFCE"/>
            <w:noWrap/>
            <w:vAlign w:val="center"/>
          </w:tcPr>
          <w:p w14:paraId="212A2366" w14:textId="77777777" w:rsidR="00F208CE" w:rsidRDefault="00513E84">
            <w:pPr>
              <w:pStyle w:val="P68B1DB1-Normal8"/>
              <w:spacing w:after="0"/>
              <w:rPr>
                <w:rFonts w:eastAsia="Times New Roman" w:cs="Times New Roman"/>
                <w:noProof/>
              </w:rPr>
            </w:pPr>
            <w:r>
              <w:rPr>
                <w:noProof/>
              </w:rPr>
              <w:t xml:space="preserve">Notificación escrita de la adjudicación de contratos a los </w:t>
            </w:r>
            <w:r>
              <w:rPr>
                <w:noProof/>
              </w:rPr>
              <w:t>candidatos seleccionados</w:t>
            </w:r>
          </w:p>
        </w:tc>
        <w:tc>
          <w:tcPr>
            <w:tcW w:w="1039" w:type="dxa"/>
            <w:tcBorders>
              <w:top w:val="nil"/>
              <w:left w:val="nil"/>
              <w:bottom w:val="single" w:sz="4" w:space="0" w:color="auto"/>
              <w:right w:val="single" w:sz="4" w:space="0" w:color="auto"/>
            </w:tcBorders>
            <w:shd w:val="clear" w:color="auto" w:fill="C6EFCE"/>
            <w:noWrap/>
            <w:vAlign w:val="center"/>
          </w:tcPr>
          <w:p w14:paraId="689CB793"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5F3B7318"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06BB40C1"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58AFE834"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6F6C06A7" w14:textId="77777777" w:rsidR="00F208CE" w:rsidRDefault="00513E84">
            <w:pPr>
              <w:pStyle w:val="P68B1DB1-Normal8"/>
              <w:spacing w:after="0"/>
              <w:rPr>
                <w:rFonts w:eastAsia="Times New Roman" w:cs="Times New Roman"/>
                <w:noProof/>
              </w:rPr>
            </w:pPr>
            <w:r>
              <w:rPr>
                <w:noProof/>
              </w:rPr>
              <w:t>2022</w:t>
            </w:r>
          </w:p>
        </w:tc>
        <w:tc>
          <w:tcPr>
            <w:tcW w:w="4200" w:type="dxa"/>
            <w:tcBorders>
              <w:top w:val="nil"/>
              <w:left w:val="nil"/>
              <w:bottom w:val="single" w:sz="4" w:space="0" w:color="auto"/>
              <w:right w:val="single" w:sz="4" w:space="0" w:color="auto"/>
            </w:tcBorders>
            <w:shd w:val="clear" w:color="auto" w:fill="C6EFCE"/>
            <w:noWrap/>
            <w:vAlign w:val="center"/>
          </w:tcPr>
          <w:p w14:paraId="1E4826DC" w14:textId="77777777" w:rsidR="00F208CE" w:rsidRDefault="00513E84">
            <w:pPr>
              <w:pStyle w:val="P68B1DB1-Normal8"/>
              <w:spacing w:after="120"/>
              <w:rPr>
                <w:rFonts w:eastAsia="Times New Roman" w:cs="Times New Roman"/>
                <w:noProof/>
              </w:rPr>
            </w:pPr>
            <w:r>
              <w:rPr>
                <w:noProof/>
              </w:rPr>
              <w:t xml:space="preserve">Adjudicación de contratos en el marco de la medida «Desarrollo de la industria hipocarbónica». Las especificaciones de la convocatoria de proyectos garantizarán la exclusión de todas las actividades del </w:t>
            </w:r>
            <w:r>
              <w:rPr>
                <w:noProof/>
              </w:rPr>
              <w:t xml:space="preserve">régimen de comercio de derechos de emisión (RCDE) con emisiones equivalentes de CO2 proyectadas que no sean sustancialmente inferiores a los parámetros de referencia pertinentes establecidos para la asignación gratuita. </w:t>
            </w:r>
          </w:p>
          <w:p w14:paraId="2B805969" w14:textId="77777777" w:rsidR="00F208CE" w:rsidRDefault="00513E84">
            <w:pPr>
              <w:pStyle w:val="P68B1DB1-Normal8"/>
              <w:spacing w:after="0"/>
              <w:rPr>
                <w:rFonts w:eastAsia="Times New Roman" w:cs="Times New Roman"/>
                <w:noProof/>
              </w:rPr>
            </w:pPr>
            <w:r>
              <w:rPr>
                <w:noProof/>
              </w:rPr>
              <w:t>Todos los proyectos de investigació</w:t>
            </w:r>
            <w:r>
              <w:rPr>
                <w:noProof/>
              </w:rPr>
              <w:t xml:space="preserve">n e innovación (I) adjudicados deberán cumplir las siguientes condiciones: </w:t>
            </w:r>
          </w:p>
          <w:p w14:paraId="75F2E609" w14:textId="77777777" w:rsidR="00F208CE" w:rsidRDefault="00513E84">
            <w:pPr>
              <w:pStyle w:val="P68B1DB1-Normal8"/>
              <w:spacing w:after="0"/>
              <w:rPr>
                <w:rFonts w:eastAsia="Times New Roman" w:cs="Times New Roman"/>
                <w:noProof/>
              </w:rPr>
            </w:pPr>
            <w:r>
              <w:rPr>
                <w:noProof/>
              </w:rPr>
              <w:t>— La I + I se centra exclusiva o principalmente en opciones de bajo impacto (como la producción de hidrógeno renovable u otras innovaciones medioambientales de emisión cero); o</w:t>
            </w:r>
          </w:p>
          <w:p w14:paraId="026FDFC2" w14:textId="77777777" w:rsidR="00F208CE" w:rsidRDefault="00513E84">
            <w:pPr>
              <w:pStyle w:val="P68B1DB1-Normal8"/>
              <w:spacing w:after="0"/>
              <w:rPr>
                <w:rFonts w:eastAsia="Times New Roman" w:cs="Times New Roman"/>
                <w:noProof/>
              </w:rPr>
            </w:pPr>
            <w:r>
              <w:rPr>
                <w:noProof/>
              </w:rPr>
              <w:t>— L</w:t>
            </w:r>
            <w:r>
              <w:rPr>
                <w:noProof/>
              </w:rPr>
              <w:t>a Recomendación I se dedica a mejorar la tecnología «mejor en clase» (como las tecnologías con el impacto más limitado (pero no nulo/bajo) entre las disponibles actualmente), y se establecen medidas de acompañamiento adecuadas para evitar los efectos de bl</w:t>
            </w:r>
            <w:r>
              <w:rPr>
                <w:noProof/>
              </w:rPr>
              <w:t>oqueo (medidas que permiten la adopción de tecnologías de bajo impacto o su desarrollo); o</w:t>
            </w:r>
          </w:p>
          <w:p w14:paraId="18E7CBF4" w14:textId="77777777" w:rsidR="00F208CE" w:rsidRDefault="00513E84">
            <w:pPr>
              <w:pStyle w:val="P68B1DB1-Normal8"/>
              <w:spacing w:after="0"/>
              <w:rPr>
                <w:rFonts w:eastAsia="Times New Roman" w:cs="Times New Roman"/>
                <w:noProof/>
              </w:rPr>
            </w:pPr>
            <w:r>
              <w:rPr>
                <w:noProof/>
              </w:rPr>
              <w:t>— Los resultados del proceso R/I son tecnológicamente neutros a nivel de su aplicación (es decir, pueden aplicarse a todas las tecnologías disponibles).</w:t>
            </w:r>
          </w:p>
          <w:p w14:paraId="71DDB146" w14:textId="03D93DDF" w:rsidR="00F208CE" w:rsidRDefault="00513E84">
            <w:pPr>
              <w:pStyle w:val="P68B1DB1-Normal8"/>
              <w:spacing w:after="0"/>
              <w:rPr>
                <w:rFonts w:eastAsia="Times New Roman" w:cs="Times New Roman"/>
                <w:noProof/>
              </w:rPr>
            </w:pPr>
            <w:r>
              <w:rPr>
                <w:noProof/>
              </w:rPr>
              <w:t>Toda electri</w:t>
            </w:r>
            <w:r>
              <w:rPr>
                <w:noProof/>
              </w:rPr>
              <w:t>cidad utilizada en los proyectos es de origen verde (por ejemplo, utilizando FER) o se basa en CAE ecológicos.</w:t>
            </w:r>
          </w:p>
        </w:tc>
      </w:tr>
      <w:tr w:rsidR="00F208CE" w14:paraId="531B284B" w14:textId="77777777">
        <w:trPr>
          <w:trHeight w:val="309"/>
        </w:trPr>
        <w:tc>
          <w:tcPr>
            <w:tcW w:w="993" w:type="dxa"/>
            <w:tcBorders>
              <w:top w:val="nil"/>
              <w:left w:val="single" w:sz="4" w:space="0" w:color="auto"/>
              <w:bottom w:val="single" w:sz="4" w:space="0" w:color="auto"/>
              <w:right w:val="single" w:sz="4" w:space="0" w:color="auto"/>
            </w:tcBorders>
            <w:shd w:val="clear" w:color="auto" w:fill="C6EFCE"/>
            <w:noWrap/>
            <w:vAlign w:val="center"/>
          </w:tcPr>
          <w:p w14:paraId="0C806E13" w14:textId="77777777" w:rsidR="00F208CE" w:rsidRDefault="00513E84">
            <w:pPr>
              <w:pStyle w:val="P68B1DB1-Normal8"/>
              <w:spacing w:after="0"/>
              <w:jc w:val="center"/>
              <w:rPr>
                <w:rFonts w:eastAsia="Times New Roman" w:cs="Times New Roman"/>
                <w:noProof/>
              </w:rPr>
            </w:pPr>
            <w:r>
              <w:rPr>
                <w:noProof/>
              </w:rPr>
              <w:t>28</w:t>
            </w:r>
          </w:p>
        </w:tc>
        <w:tc>
          <w:tcPr>
            <w:tcW w:w="1464" w:type="dxa"/>
            <w:tcBorders>
              <w:top w:val="nil"/>
              <w:left w:val="nil"/>
              <w:bottom w:val="single" w:sz="4" w:space="0" w:color="auto"/>
              <w:right w:val="single" w:sz="4" w:space="0" w:color="auto"/>
            </w:tcBorders>
            <w:shd w:val="clear" w:color="auto" w:fill="C6EFCE"/>
            <w:noWrap/>
            <w:vAlign w:val="center"/>
          </w:tcPr>
          <w:p w14:paraId="360B7F75" w14:textId="77777777" w:rsidR="00F208CE" w:rsidRDefault="00513E84">
            <w:pPr>
              <w:pStyle w:val="P68B1DB1-Normal8"/>
              <w:spacing w:after="0"/>
              <w:rPr>
                <w:rFonts w:eastAsia="Times New Roman" w:cs="Times New Roman"/>
                <w:noProof/>
              </w:rPr>
            </w:pPr>
            <w:r>
              <w:rPr>
                <w:noProof/>
              </w:rPr>
              <w:t>Desarrollo de la industria hipocarbónica (I-1.18)</w:t>
            </w:r>
          </w:p>
        </w:tc>
        <w:tc>
          <w:tcPr>
            <w:tcW w:w="1229" w:type="dxa"/>
            <w:tcBorders>
              <w:top w:val="nil"/>
              <w:left w:val="nil"/>
              <w:bottom w:val="single" w:sz="4" w:space="0" w:color="auto"/>
              <w:right w:val="single" w:sz="4" w:space="0" w:color="auto"/>
            </w:tcBorders>
            <w:shd w:val="clear" w:color="auto" w:fill="C6EFCE"/>
            <w:noWrap/>
            <w:vAlign w:val="center"/>
          </w:tcPr>
          <w:p w14:paraId="722579F3" w14:textId="7AA05562"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22C4664D" w14:textId="77777777" w:rsidR="00F208CE" w:rsidRDefault="00513E84">
            <w:pPr>
              <w:pStyle w:val="P68B1DB1-Normal8"/>
              <w:spacing w:after="0"/>
              <w:rPr>
                <w:rFonts w:eastAsia="Times New Roman" w:cs="Times New Roman"/>
                <w:noProof/>
              </w:rPr>
            </w:pPr>
            <w:r>
              <w:rPr>
                <w:noProof/>
              </w:rPr>
              <w:t>Finalización de los proyectos adjudicados en el marco de la licitación</w:t>
            </w:r>
          </w:p>
        </w:tc>
        <w:tc>
          <w:tcPr>
            <w:tcW w:w="1843" w:type="dxa"/>
            <w:tcBorders>
              <w:top w:val="nil"/>
              <w:left w:val="nil"/>
              <w:bottom w:val="single" w:sz="4" w:space="0" w:color="auto"/>
              <w:right w:val="single" w:sz="4" w:space="0" w:color="auto"/>
            </w:tcBorders>
            <w:shd w:val="clear" w:color="auto" w:fill="C6EFCE"/>
            <w:noWrap/>
            <w:vAlign w:val="center"/>
          </w:tcPr>
          <w:p w14:paraId="639557BC" w14:textId="77777777" w:rsidR="00F208CE" w:rsidRDefault="00513E84">
            <w:pPr>
              <w:pStyle w:val="P68B1DB1-Normal8"/>
              <w:spacing w:after="0"/>
              <w:rPr>
                <w:rFonts w:eastAsia="Times New Roman" w:cs="Times New Roman"/>
                <w:noProof/>
              </w:rPr>
            </w:pPr>
            <w:r>
              <w:rPr>
                <w:noProof/>
              </w:rPr>
              <w:t xml:space="preserve">Aprobación del </w:t>
            </w:r>
            <w:r>
              <w:rPr>
                <w:noProof/>
              </w:rPr>
              <w:t>informe final del proyecto</w:t>
            </w:r>
          </w:p>
        </w:tc>
        <w:tc>
          <w:tcPr>
            <w:tcW w:w="1039" w:type="dxa"/>
            <w:tcBorders>
              <w:top w:val="nil"/>
              <w:left w:val="nil"/>
              <w:bottom w:val="single" w:sz="4" w:space="0" w:color="auto"/>
              <w:right w:val="single" w:sz="4" w:space="0" w:color="auto"/>
            </w:tcBorders>
            <w:shd w:val="clear" w:color="auto" w:fill="C6EFCE"/>
            <w:noWrap/>
            <w:vAlign w:val="center"/>
          </w:tcPr>
          <w:p w14:paraId="7353B73D"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6DA9873C" w14:textId="77777777" w:rsidR="00F208CE" w:rsidRDefault="00F208CE">
            <w:pPr>
              <w:spacing w:after="0"/>
              <w:rPr>
                <w:rFonts w:ascii="Times New Roman" w:eastAsia="Times New Roman" w:hAnsi="Times New Roman" w:cs="Times New Roman"/>
                <w:noProof/>
                <w:color w:val="006100"/>
              </w:rPr>
            </w:pPr>
          </w:p>
        </w:tc>
        <w:tc>
          <w:tcPr>
            <w:tcW w:w="840" w:type="dxa"/>
            <w:tcBorders>
              <w:top w:val="nil"/>
              <w:left w:val="nil"/>
              <w:bottom w:val="single" w:sz="4" w:space="0" w:color="auto"/>
              <w:right w:val="single" w:sz="4" w:space="0" w:color="auto"/>
            </w:tcBorders>
            <w:shd w:val="clear" w:color="auto" w:fill="C6EFCE"/>
            <w:noWrap/>
            <w:vAlign w:val="center"/>
          </w:tcPr>
          <w:p w14:paraId="1BB5EE2D"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2D7F050C"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7CF168E2" w14:textId="77777777" w:rsidR="00F208CE" w:rsidRDefault="00513E84">
            <w:pPr>
              <w:pStyle w:val="P68B1DB1-Normal8"/>
              <w:spacing w:after="0"/>
              <w:rPr>
                <w:rFonts w:eastAsia="Times New Roman" w:cs="Times New Roman"/>
                <w:noProof/>
              </w:rPr>
            </w:pPr>
            <w:r>
              <w:rPr>
                <w:noProof/>
              </w:rPr>
              <w:t>2026</w:t>
            </w:r>
          </w:p>
        </w:tc>
        <w:tc>
          <w:tcPr>
            <w:tcW w:w="4200" w:type="dxa"/>
            <w:tcBorders>
              <w:top w:val="nil"/>
              <w:left w:val="nil"/>
              <w:bottom w:val="single" w:sz="4" w:space="0" w:color="auto"/>
              <w:right w:val="single" w:sz="4" w:space="0" w:color="auto"/>
            </w:tcBorders>
            <w:shd w:val="clear" w:color="auto" w:fill="C6EFCE"/>
            <w:noWrap/>
            <w:vAlign w:val="center"/>
          </w:tcPr>
          <w:p w14:paraId="5451A9E6" w14:textId="2800E566" w:rsidR="00F208CE" w:rsidRDefault="00513E84">
            <w:pPr>
              <w:pStyle w:val="P68B1DB1-Normal8"/>
              <w:spacing w:after="0"/>
              <w:rPr>
                <w:rFonts w:eastAsia="Times New Roman" w:cs="Times New Roman"/>
                <w:noProof/>
              </w:rPr>
            </w:pPr>
            <w:r>
              <w:rPr>
                <w:noProof/>
              </w:rPr>
              <w:t>Finalización de proyectos adjudicados en el marco de la licitación «Una cadena de valor industrial para la transición del hidrógeno», con 30 000 000 EUR ejecutados, incluida la finalización de un proyec</w:t>
            </w:r>
            <w:r>
              <w:rPr>
                <w:noProof/>
              </w:rPr>
              <w:t>to de demostración con un potencial teórico a largo plazo de 2 millones de toneladas de reducción de CO2 al año.</w:t>
            </w:r>
          </w:p>
          <w:p w14:paraId="5BEFC9E0" w14:textId="77777777" w:rsidR="00F208CE" w:rsidRDefault="00513E84">
            <w:pPr>
              <w:pStyle w:val="P68B1DB1-Normal8"/>
              <w:spacing w:after="0"/>
              <w:rPr>
                <w:rFonts w:eastAsia="Times New Roman" w:cs="Times New Roman"/>
                <w:noProof/>
              </w:rPr>
            </w:pPr>
            <w:r>
              <w:rPr>
                <w:noProof/>
              </w:rPr>
              <w:t>El informe final del proyecto demostrará que:</w:t>
            </w:r>
          </w:p>
          <w:p w14:paraId="0C91DEC0" w14:textId="490D13A9" w:rsidR="00F208CE" w:rsidRDefault="00513E84">
            <w:pPr>
              <w:pStyle w:val="P68B1DB1-Normal8"/>
              <w:spacing w:after="0"/>
              <w:rPr>
                <w:rFonts w:eastAsia="Times New Roman" w:cs="Times New Roman"/>
                <w:noProof/>
              </w:rPr>
            </w:pPr>
            <w:r>
              <w:rPr>
                <w:noProof/>
              </w:rPr>
              <w:t>Toda electricidad utilizada en los proyectos es de origen verde (por ejemplo, utilizando FER) o s</w:t>
            </w:r>
            <w:r>
              <w:rPr>
                <w:noProof/>
              </w:rPr>
              <w:t>e basa en CAE ecológicos.</w:t>
            </w:r>
          </w:p>
        </w:tc>
      </w:tr>
    </w:tbl>
    <w:p w14:paraId="38C188AC" w14:textId="2046BB1A" w:rsidR="00F208CE" w:rsidRDefault="00F208CE">
      <w:pPr>
        <w:rPr>
          <w:noProof/>
        </w:rPr>
      </w:pPr>
    </w:p>
    <w:p w14:paraId="79C9FF89" w14:textId="77777777" w:rsidR="00F208CE" w:rsidRDefault="00F208CE">
      <w:pPr>
        <w:ind w:left="709"/>
        <w:rPr>
          <w:rFonts w:ascii="Times New Roman" w:hAnsi="Times New Roman" w:cs="Times New Roman"/>
          <w:noProof/>
        </w:rPr>
      </w:pPr>
    </w:p>
    <w:p w14:paraId="555D1205" w14:textId="77777777" w:rsidR="00F208CE" w:rsidRDefault="00F208CE">
      <w:pPr>
        <w:ind w:left="709"/>
        <w:rPr>
          <w:rFonts w:ascii="Times New Roman" w:hAnsi="Times New Roman" w:cs="Times New Roman"/>
          <w:noProof/>
        </w:rPr>
        <w:sectPr w:rsidR="00F208CE" w:rsidSect="007F56C3">
          <w:headerReference w:type="default" r:id="rId32"/>
          <w:footerReference w:type="default" r:id="rId33"/>
          <w:pgSz w:w="16839" w:h="11907" w:orient="landscape"/>
          <w:pgMar w:top="1134" w:right="1134" w:bottom="1134" w:left="1134" w:header="567" w:footer="567" w:gutter="0"/>
          <w:cols w:space="720"/>
          <w:docGrid w:linePitch="360"/>
        </w:sectPr>
      </w:pPr>
    </w:p>
    <w:p w14:paraId="6E892F57" w14:textId="6B85BD24" w:rsidR="00F208CE" w:rsidRDefault="00513E84">
      <w:pPr>
        <w:pStyle w:val="ManualHeading1"/>
        <w:spacing w:before="120"/>
        <w:ind w:left="0" w:firstLine="0"/>
        <w:rPr>
          <w:noProof/>
        </w:rPr>
      </w:pPr>
      <w:r>
        <w:rPr>
          <w:noProof/>
        </w:rPr>
        <w:t>C. COMPONENTE 1.3: Clima y medio ambiente</w:t>
      </w:r>
    </w:p>
    <w:p w14:paraId="1FEA2188" w14:textId="77777777" w:rsidR="00F208CE" w:rsidRDefault="00513E84">
      <w:pPr>
        <w:pStyle w:val="P68B1DB1-Normal1"/>
        <w:spacing w:before="120" w:after="120" w:line="240" w:lineRule="auto"/>
        <w:jc w:val="both"/>
        <w:rPr>
          <w:rFonts w:cs="Times New Roman"/>
          <w:noProof/>
        </w:rPr>
      </w:pPr>
      <w:r>
        <w:rPr>
          <w:noProof/>
        </w:rPr>
        <w:t>Las medidas en el marco de este componente del plan belga de recuperación y resiliencia tienen por objeto conservar y restaurar</w:t>
      </w:r>
      <w:r>
        <w:rPr>
          <w:noProof/>
        </w:rPr>
        <w:t xml:space="preserve"> la biodiversidad garantizando el uso y la restauración sostenibles de bosques, marismas, praderas y pastizales. Las medidas en el marco de este componente también contribuyen al secuestro de CO</w:t>
      </w:r>
      <w:r>
        <w:rPr>
          <w:noProof/>
          <w:vertAlign w:val="subscript"/>
        </w:rPr>
        <w:t>2</w:t>
      </w:r>
      <w:r>
        <w:rPr>
          <w:noProof/>
        </w:rPr>
        <w:t>. Además, las medidas preparan los efectos del cambio climáti</w:t>
      </w:r>
      <w:r>
        <w:rPr>
          <w:noProof/>
        </w:rPr>
        <w:t>co mejorando la gestión del agua y la infraestructura verde. Como consecuencia de ello, aumentará la resiliencia ante la sequía y las fuertes precipitaciones, lo que redundará en beneficio de la agricultura, el turismo, los ciudadanos y el medio ambiente e</w:t>
      </w:r>
      <w:r>
        <w:rPr>
          <w:noProof/>
        </w:rPr>
        <w:t>n su conjunto.</w:t>
      </w:r>
    </w:p>
    <w:p w14:paraId="74151ADF"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2019.3, en la que se pide a Bélgica que centre la política económica relacionada con la inversión, entre otras cosas, en la transición energética y con bajas emision</w:t>
      </w:r>
      <w:r>
        <w:rPr>
          <w:noProof/>
        </w:rPr>
        <w:t>es de carbono, así como en la recomendación específica por país n.º 2020.3 para centrar la inversión en la transición ecológica y digital.</w:t>
      </w:r>
    </w:p>
    <w:p w14:paraId="68B4CD41" w14:textId="77777777" w:rsidR="00F208CE" w:rsidRDefault="00513E84">
      <w:pPr>
        <w:pStyle w:val="P68B1DB1-Normal1"/>
        <w:spacing w:before="120" w:after="120" w:line="240" w:lineRule="auto"/>
        <w:jc w:val="both"/>
        <w:rPr>
          <w:rFonts w:cs="Times New Roman"/>
          <w:noProof/>
        </w:rPr>
      </w:pPr>
      <w:r>
        <w:rPr>
          <w:noProof/>
        </w:rPr>
        <w:t xml:space="preserve">Se espera que ninguna medida de este componente perjudique significativamente a los objetivos medioambientales en el </w:t>
      </w:r>
      <w:r>
        <w:rPr>
          <w:noProof/>
        </w:rPr>
        <w:t>sentido del artículo 17 del Reglamento (UE) 2020/852, teniendo en cuenta la descripción de las medidas y las medidas atenuantes establecidas en el plan de recuperación y resiliencia de conformidad con las orientaciones técnicas de DNSH (2021/C58/01).</w:t>
      </w:r>
    </w:p>
    <w:p w14:paraId="7B331458" w14:textId="77777777" w:rsidR="00F208CE" w:rsidRDefault="00513E84">
      <w:pPr>
        <w:spacing w:before="120"/>
        <w:jc w:val="both"/>
        <w:rPr>
          <w:rFonts w:ascii="Times New Roman" w:hAnsi="Times New Roman" w:cs="Times New Roman"/>
          <w:b/>
          <w:noProof/>
          <w:sz w:val="24"/>
          <w:u w:val="single"/>
        </w:rPr>
      </w:pPr>
      <w:r>
        <w:rPr>
          <w:rFonts w:ascii="Times New Roman" w:hAnsi="Times New Roman"/>
          <w:b/>
          <w:noProof/>
          <w:sz w:val="24"/>
          <w:u w:val="single"/>
        </w:rPr>
        <w:t xml:space="preserve">C.1. </w:t>
      </w:r>
      <w:r>
        <w:rPr>
          <w:noProof/>
        </w:rPr>
        <w:t xml:space="preserve"> </w:t>
      </w:r>
      <w:r>
        <w:rPr>
          <w:rFonts w:ascii="Times New Roman" w:hAnsi="Times New Roman"/>
          <w:b/>
          <w:noProof/>
          <w:sz w:val="24"/>
          <w:u w:val="single"/>
        </w:rPr>
        <w:t>Descripción de las reformas e inversiones para la ayuda financiera no reembolsable</w:t>
      </w:r>
    </w:p>
    <w:p w14:paraId="71A07D16" w14:textId="745D9CB6" w:rsidR="00F208CE" w:rsidRDefault="00513E84">
      <w:pPr>
        <w:pStyle w:val="P68B1DB1-Text19"/>
        <w:ind w:left="0"/>
        <w:rPr>
          <w:noProof/>
        </w:rPr>
      </w:pPr>
      <w:r>
        <w:rPr>
          <w:noProof/>
        </w:rPr>
        <w:t>Inversión I-1.22: «Biodiversidad y adaptación al cambio climático» de la Región Valona</w:t>
      </w:r>
    </w:p>
    <w:p w14:paraId="34EB9E6B" w14:textId="15B80999" w:rsidR="00F208CE" w:rsidRDefault="00513E84">
      <w:pPr>
        <w:pStyle w:val="P68B1DB1-Normal1"/>
        <w:spacing w:before="120" w:after="120" w:line="240" w:lineRule="auto"/>
        <w:jc w:val="both"/>
        <w:rPr>
          <w:rFonts w:cs="Times New Roman"/>
          <w:noProof/>
        </w:rPr>
      </w:pPr>
      <w:r>
        <w:rPr>
          <w:noProof/>
        </w:rPr>
        <w:t>La inversión tiene por objeto apoyar la conservación, la restauración y el uso sosten</w:t>
      </w:r>
      <w:r>
        <w:rPr>
          <w:noProof/>
        </w:rPr>
        <w:t>ible de la biodiversidad y los servicios ecosistémicos, lo que mejorará la capacidad de almacenamiento de carbono y la resiliencia ante los efectos del cambio climático, como las inundaciones y las sequías. La medida consta de cuatro subacciones: (1) apoya</w:t>
      </w:r>
      <w:r>
        <w:rPr>
          <w:noProof/>
        </w:rPr>
        <w:t>r la regeneración de bosques resilientes de dominio público, (2) el refuerzo de la red de zonas protegidas dentro del marco de acción prioritaria para la protección de determinadas especies y hábitats, (3) la creación de dos parques nacionales en Valonia y</w:t>
      </w:r>
      <w:r>
        <w:rPr>
          <w:noProof/>
        </w:rPr>
        <w:t xml:space="preserve"> (4) la recuperación de los ríos y la creación de humedales. La ejecución de la inversión deberá estar terminada a más tardar el 30 de junio de 2026.</w:t>
      </w:r>
    </w:p>
    <w:p w14:paraId="4E29383A" w14:textId="77777777" w:rsidR="00F208CE" w:rsidRDefault="00513E84">
      <w:pPr>
        <w:pStyle w:val="P68B1DB1-Normal11"/>
        <w:spacing w:before="120" w:after="120" w:line="240" w:lineRule="auto"/>
        <w:jc w:val="both"/>
        <w:rPr>
          <w:rFonts w:cs="Times New Roman"/>
          <w:noProof/>
        </w:rPr>
      </w:pPr>
      <w:r>
        <w:rPr>
          <w:noProof/>
        </w:rPr>
        <w:t>Inversión I-1.23: «Desfragmentación ecológica» de la Región Flamenca</w:t>
      </w:r>
    </w:p>
    <w:p w14:paraId="1E5EDC3E" w14:textId="77777777" w:rsidR="00F208CE" w:rsidRDefault="00513E84">
      <w:pPr>
        <w:pStyle w:val="P68B1DB1-Normal1"/>
        <w:spacing w:before="120" w:after="120" w:line="240" w:lineRule="auto"/>
        <w:jc w:val="both"/>
        <w:rPr>
          <w:rFonts w:cs="Times New Roman"/>
          <w:noProof/>
        </w:rPr>
      </w:pPr>
      <w:r>
        <w:rPr>
          <w:noProof/>
        </w:rPr>
        <w:t>Esta inversión en la desfragmentación</w:t>
      </w:r>
      <w:r>
        <w:rPr>
          <w:noProof/>
        </w:rPr>
        <w:t xml:space="preserve"> ecológica de las infraestructuras de transporte regionales existentes contribuirá a la restauración de los ecosistemas y al desarrollo de una red natural coherente en Flandes. La medida incluye 15 proyectos concretos para conductos y túneles ecológicos (e</w:t>
      </w:r>
      <w:r>
        <w:rPr>
          <w:noProof/>
        </w:rPr>
        <w:t>studios preparatorios o trabajos de construcción). La ejecución de la inversión deberá estar terminada a más tardar el 30 de junio de 2026.</w:t>
      </w:r>
    </w:p>
    <w:p w14:paraId="383401D4" w14:textId="77777777" w:rsidR="00F208CE" w:rsidRDefault="00513E84">
      <w:pPr>
        <w:pStyle w:val="P68B1DB1-Text19"/>
        <w:ind w:left="0"/>
        <w:rPr>
          <w:noProof/>
        </w:rPr>
      </w:pPr>
      <w:r>
        <w:rPr>
          <w:noProof/>
        </w:rPr>
        <w:t>Inversión I-1.24: «Acuerdo Azul» de la Región Flamenca</w:t>
      </w:r>
    </w:p>
    <w:p w14:paraId="52D291E3" w14:textId="77777777" w:rsidR="00F208CE" w:rsidRDefault="00513E84">
      <w:pPr>
        <w:pStyle w:val="Text1"/>
        <w:ind w:left="0"/>
        <w:rPr>
          <w:noProof/>
        </w:rPr>
        <w:sectPr w:rsidR="00F208CE" w:rsidSect="00022287">
          <w:headerReference w:type="even" r:id="rId34"/>
          <w:headerReference w:type="default" r:id="rId35"/>
          <w:footerReference w:type="even" r:id="rId36"/>
          <w:footerReference w:type="default" r:id="rId37"/>
          <w:headerReference w:type="first" r:id="rId38"/>
          <w:footerReference w:type="first" r:id="rId39"/>
          <w:pgSz w:w="11907" w:h="16839"/>
          <w:pgMar w:top="1134" w:right="1134" w:bottom="1134" w:left="1134" w:header="567" w:footer="567" w:gutter="0"/>
          <w:cols w:space="720"/>
          <w:docGrid w:linePitch="360"/>
        </w:sectPr>
      </w:pPr>
      <w:r>
        <w:rPr>
          <w:noProof/>
        </w:rPr>
        <w:t>La</w:t>
      </w:r>
      <w:r>
        <w:rPr>
          <w:noProof/>
        </w:rPr>
        <w:t xml:space="preserve"> inversión del Pacto Azul forma parte de un plan más amplio de 80 proyectos y acciones destinados a mejorar la preparación para períodos de sequía más prolongados y olas de calor más frecuentes, abordando los problemas de sequía de manera estructural. En e</w:t>
      </w:r>
      <w:r>
        <w:rPr>
          <w:noProof/>
        </w:rPr>
        <w:t>l marco del plan, se apoyarán nueve subacciones de naturaleza diversa, dirigidas a distintos agentes, incluidos la industria, los agricultores y los municipios. Las acciones abarcan: A) proyectos paisajísticos para la mitigación de la sequía, B) un program</w:t>
      </w:r>
      <w:r>
        <w:rPr>
          <w:noProof/>
        </w:rPr>
        <w:t>a de investigación en agricultura, C) dos proyectos sobre bombas y esclusas fluviales, D) un régimen de apoyo a la gestión del agua para empresas que inviertan en tecnologías innovadoras de ahorro de agua, F) proyectos innovadores sobre el uso circular del</w:t>
      </w:r>
      <w:r>
        <w:rPr>
          <w:noProof/>
        </w:rPr>
        <w:t xml:space="preserve"> agua y el seguimiento digital y sistemas inteligentes de datos sobre el agua, G) la aplicación de soluciones basadas en la naturaleza en cuatro zonas definidas y I) proyectos de restauración de humedales. La ejecución de la inversión deberá estar terminad</w:t>
      </w:r>
      <w:r>
        <w:rPr>
          <w:noProof/>
        </w:rPr>
        <w:t>a a más tardar el 30 de junio de 2026.</w:t>
      </w:r>
    </w:p>
    <w:p w14:paraId="5BD0D01A" w14:textId="77777777" w:rsidR="00F208CE" w:rsidRDefault="00513E84">
      <w:pPr>
        <w:pStyle w:val="Text1"/>
        <w:ind w:left="0"/>
        <w:rPr>
          <w:noProof/>
        </w:rPr>
      </w:pPr>
      <w:r>
        <w:rPr>
          <w:b/>
          <w:noProof/>
          <w:u w:val="single"/>
        </w:rPr>
        <w:t xml:space="preserve">C.2. </w:t>
      </w:r>
      <w:r>
        <w:rPr>
          <w:noProof/>
        </w:rPr>
        <w:t xml:space="preserve"> </w:t>
      </w:r>
      <w:r>
        <w:rPr>
          <w:b/>
          <w:noProof/>
          <w:u w:val="single"/>
        </w:rPr>
        <w:t>Hitos, metas, indicadores y calendario para el seguimiento y la ejecución de la ayuda financiera no reembolsable</w:t>
      </w:r>
    </w:p>
    <w:tbl>
      <w:tblPr>
        <w:tblW w:w="15559" w:type="dxa"/>
        <w:jc w:val="center"/>
        <w:tblLayout w:type="fixed"/>
        <w:tblLook w:val="04A0" w:firstRow="1" w:lastRow="0" w:firstColumn="1" w:lastColumn="0" w:noHBand="0" w:noVBand="1"/>
      </w:tblPr>
      <w:tblGrid>
        <w:gridCol w:w="846"/>
        <w:gridCol w:w="1593"/>
        <w:gridCol w:w="1100"/>
        <w:gridCol w:w="2019"/>
        <w:gridCol w:w="1241"/>
        <w:gridCol w:w="993"/>
        <w:gridCol w:w="1203"/>
        <w:gridCol w:w="960"/>
        <w:gridCol w:w="960"/>
        <w:gridCol w:w="720"/>
        <w:gridCol w:w="3924"/>
      </w:tblGrid>
      <w:tr w:rsidR="00F208CE" w14:paraId="7A69DE7B" w14:textId="77777777">
        <w:trPr>
          <w:trHeight w:val="927"/>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A7E009" w14:textId="72118E2E" w:rsidR="00F208CE" w:rsidRDefault="00513E84">
            <w:pPr>
              <w:pStyle w:val="P68B1DB1-Normal7"/>
              <w:spacing w:after="0"/>
              <w:jc w:val="center"/>
              <w:rPr>
                <w:rFonts w:eastAsia="Times New Roman" w:cs="Times New Roman"/>
                <w:noProof/>
              </w:rPr>
            </w:pPr>
            <w:r>
              <w:rPr>
                <w:noProof/>
              </w:rPr>
              <w:t>Código N.B.:</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4AB355"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CE733C" w14:textId="77777777" w:rsidR="00F208CE" w:rsidRDefault="00513E84">
            <w:pPr>
              <w:pStyle w:val="P68B1DB1-Normal7"/>
              <w:spacing w:after="0"/>
              <w:jc w:val="center"/>
              <w:rPr>
                <w:rFonts w:eastAsia="Times New Roman" w:cs="Times New Roman"/>
                <w:noProof/>
              </w:rPr>
            </w:pPr>
            <w:r>
              <w:rPr>
                <w:noProof/>
              </w:rPr>
              <w:t>Hito/Objetivo</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72796D9" w14:textId="77777777" w:rsidR="00F208CE" w:rsidRDefault="00513E84">
            <w:pPr>
              <w:pStyle w:val="P68B1DB1-Normal7"/>
              <w:spacing w:after="0"/>
              <w:jc w:val="center"/>
              <w:rPr>
                <w:rFonts w:eastAsia="Times New Roman" w:cs="Times New Roman"/>
                <w:noProof/>
              </w:rPr>
            </w:pPr>
            <w:r>
              <w:rPr>
                <w:noProof/>
              </w:rPr>
              <w:t>Nombre</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D2C0B9"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 xml:space="preserve">Indicadores </w:t>
            </w:r>
            <w:r>
              <w:rPr>
                <w:rFonts w:ascii="Times New Roman" w:hAnsi="Times New Roman"/>
                <w:b/>
                <w:noProof/>
                <w:sz w:val="20"/>
              </w:rPr>
              <w:t>cualitativos</w:t>
            </w:r>
            <w:r>
              <w:rPr>
                <w:noProof/>
              </w:rPr>
              <w:t xml:space="preserve">  </w:t>
            </w:r>
            <w:r>
              <w:rPr>
                <w:noProof/>
              </w:rPr>
              <w:br/>
            </w:r>
            <w:r>
              <w:rPr>
                <w:rFonts w:ascii="Times New Roman" w:hAnsi="Times New Roman"/>
                <w:b/>
                <w:noProof/>
                <w:sz w:val="20"/>
              </w:rPr>
              <w:t>(para hitos)</w:t>
            </w:r>
          </w:p>
        </w:tc>
        <w:tc>
          <w:tcPr>
            <w:tcW w:w="3156"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4385466"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680" w:type="dxa"/>
            <w:gridSpan w:val="2"/>
            <w:tcBorders>
              <w:top w:val="single" w:sz="4" w:space="0" w:color="auto"/>
              <w:left w:val="nil"/>
              <w:bottom w:val="single" w:sz="4" w:space="0" w:color="auto"/>
              <w:right w:val="single" w:sz="4" w:space="0" w:color="auto"/>
            </w:tcBorders>
            <w:shd w:val="clear" w:color="auto" w:fill="BDD7EE"/>
            <w:vAlign w:val="center"/>
            <w:hideMark/>
          </w:tcPr>
          <w:p w14:paraId="500A82B4"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39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450F54"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5EEB2CFE" w14:textId="77777777">
        <w:trPr>
          <w:trHeight w:val="101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A891423" w14:textId="77777777" w:rsidR="00F208CE" w:rsidRDefault="00F208CE">
            <w:pPr>
              <w:spacing w:after="0"/>
              <w:rPr>
                <w:rFonts w:ascii="Times New Roman" w:eastAsia="Times New Roman" w:hAnsi="Times New Roman" w:cs="Times New Roman"/>
                <w:b/>
                <w:noProof/>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07D65B82" w14:textId="77777777" w:rsidR="00F208CE" w:rsidRDefault="00F208CE">
            <w:pPr>
              <w:spacing w:after="0"/>
              <w:rPr>
                <w:rFonts w:ascii="Times New Roman" w:eastAsia="Times New Roman" w:hAnsi="Times New Roman" w:cs="Times New Roman"/>
                <w:b/>
                <w:noProof/>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5814711" w14:textId="77777777" w:rsidR="00F208CE" w:rsidRDefault="00F208CE">
            <w:pPr>
              <w:spacing w:after="0"/>
              <w:rPr>
                <w:rFonts w:ascii="Times New Roman" w:eastAsia="Times New Roman" w:hAnsi="Times New Roman" w:cs="Times New Roman"/>
                <w:b/>
                <w:noProof/>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14:paraId="0B9043E6" w14:textId="77777777" w:rsidR="00F208CE" w:rsidRDefault="00F208CE">
            <w:pPr>
              <w:spacing w:after="0"/>
              <w:rPr>
                <w:rFonts w:ascii="Times New Roman" w:eastAsia="Times New Roman" w:hAnsi="Times New Roman" w:cs="Times New Roman"/>
                <w:b/>
                <w:noProof/>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38899789" w14:textId="77777777" w:rsidR="00F208CE" w:rsidRDefault="00F208CE">
            <w:pPr>
              <w:spacing w:after="0"/>
              <w:rPr>
                <w:rFonts w:ascii="Times New Roman" w:eastAsia="Times New Roman" w:hAnsi="Times New Roman" w:cs="Times New Roman"/>
                <w:b/>
                <w:noProof/>
              </w:rPr>
            </w:pPr>
          </w:p>
        </w:tc>
        <w:tc>
          <w:tcPr>
            <w:tcW w:w="993" w:type="dxa"/>
            <w:tcBorders>
              <w:top w:val="nil"/>
              <w:left w:val="single" w:sz="4" w:space="0" w:color="auto"/>
              <w:bottom w:val="single" w:sz="4" w:space="0" w:color="auto"/>
              <w:right w:val="single" w:sz="4" w:space="0" w:color="auto"/>
            </w:tcBorders>
            <w:shd w:val="clear" w:color="auto" w:fill="BDD7EE"/>
            <w:vAlign w:val="center"/>
            <w:hideMark/>
          </w:tcPr>
          <w:p w14:paraId="11873977" w14:textId="77777777" w:rsidR="00F208CE" w:rsidRDefault="00513E84">
            <w:pPr>
              <w:pStyle w:val="P68B1DB1-Normal7"/>
              <w:spacing w:after="0"/>
              <w:jc w:val="center"/>
              <w:rPr>
                <w:rFonts w:eastAsia="Times New Roman" w:cs="Times New Roman"/>
                <w:noProof/>
              </w:rPr>
            </w:pPr>
            <w:r>
              <w:rPr>
                <w:noProof/>
              </w:rPr>
              <w:t>Unidad de medida</w:t>
            </w:r>
          </w:p>
        </w:tc>
        <w:tc>
          <w:tcPr>
            <w:tcW w:w="1203" w:type="dxa"/>
            <w:tcBorders>
              <w:top w:val="nil"/>
              <w:left w:val="nil"/>
              <w:bottom w:val="single" w:sz="4" w:space="0" w:color="auto"/>
              <w:right w:val="single" w:sz="4" w:space="0" w:color="auto"/>
            </w:tcBorders>
            <w:shd w:val="clear" w:color="auto" w:fill="BDD7EE"/>
            <w:vAlign w:val="center"/>
            <w:hideMark/>
          </w:tcPr>
          <w:p w14:paraId="0BB443C7" w14:textId="77777777" w:rsidR="00F208CE" w:rsidRDefault="00513E84">
            <w:pPr>
              <w:pStyle w:val="P68B1DB1-Normal7"/>
              <w:spacing w:after="0"/>
              <w:jc w:val="center"/>
              <w:rPr>
                <w:rFonts w:eastAsia="Times New Roman" w:cs="Times New Roman"/>
                <w:noProof/>
              </w:rPr>
            </w:pPr>
            <w:r>
              <w:rPr>
                <w:noProof/>
              </w:rPr>
              <w:t xml:space="preserve">Basal </w:t>
            </w:r>
          </w:p>
        </w:tc>
        <w:tc>
          <w:tcPr>
            <w:tcW w:w="960" w:type="dxa"/>
            <w:tcBorders>
              <w:top w:val="nil"/>
              <w:left w:val="nil"/>
              <w:bottom w:val="single" w:sz="4" w:space="0" w:color="auto"/>
              <w:right w:val="single" w:sz="4" w:space="0" w:color="auto"/>
            </w:tcBorders>
            <w:shd w:val="clear" w:color="auto" w:fill="BDD7EE"/>
            <w:vAlign w:val="center"/>
            <w:hideMark/>
          </w:tcPr>
          <w:p w14:paraId="1D98EFF4" w14:textId="77777777" w:rsidR="00F208CE" w:rsidRDefault="00513E84">
            <w:pPr>
              <w:pStyle w:val="P68B1DB1-Normal7"/>
              <w:spacing w:after="0"/>
              <w:jc w:val="center"/>
              <w:rPr>
                <w:rFonts w:eastAsia="Times New Roman" w:cs="Times New Roman"/>
                <w:noProof/>
              </w:rPr>
            </w:pPr>
            <w:r>
              <w:rPr>
                <w:noProof/>
              </w:rPr>
              <w:t xml:space="preserve">Meta </w:t>
            </w:r>
          </w:p>
        </w:tc>
        <w:tc>
          <w:tcPr>
            <w:tcW w:w="960" w:type="dxa"/>
            <w:tcBorders>
              <w:top w:val="nil"/>
              <w:left w:val="nil"/>
              <w:bottom w:val="single" w:sz="4" w:space="0" w:color="auto"/>
              <w:right w:val="single" w:sz="4" w:space="0" w:color="auto"/>
            </w:tcBorders>
            <w:shd w:val="clear" w:color="auto" w:fill="BDD7EE"/>
            <w:vAlign w:val="center"/>
            <w:hideMark/>
          </w:tcPr>
          <w:p w14:paraId="0F3A2222" w14:textId="77777777" w:rsidR="00F208CE" w:rsidRDefault="00513E84">
            <w:pPr>
              <w:pStyle w:val="P68B1DB1-Normal7"/>
              <w:spacing w:after="0"/>
              <w:jc w:val="center"/>
              <w:rPr>
                <w:rFonts w:eastAsia="Times New Roman" w:cs="Times New Roman"/>
                <w:noProof/>
              </w:rPr>
            </w:pPr>
            <w:r>
              <w:rPr>
                <w:noProof/>
              </w:rPr>
              <w:t>Trimestre</w:t>
            </w:r>
          </w:p>
        </w:tc>
        <w:tc>
          <w:tcPr>
            <w:tcW w:w="720" w:type="dxa"/>
            <w:tcBorders>
              <w:top w:val="nil"/>
              <w:left w:val="nil"/>
              <w:bottom w:val="single" w:sz="4" w:space="0" w:color="auto"/>
              <w:right w:val="single" w:sz="4" w:space="0" w:color="auto"/>
            </w:tcBorders>
            <w:shd w:val="clear" w:color="auto" w:fill="BDD7EE"/>
            <w:vAlign w:val="center"/>
            <w:hideMark/>
          </w:tcPr>
          <w:p w14:paraId="443C388F" w14:textId="77777777" w:rsidR="00F208CE" w:rsidRDefault="00513E84">
            <w:pPr>
              <w:pStyle w:val="P68B1DB1-Normal7"/>
              <w:spacing w:after="0"/>
              <w:jc w:val="center"/>
              <w:rPr>
                <w:rFonts w:eastAsia="Times New Roman" w:cs="Times New Roman"/>
                <w:noProof/>
              </w:rPr>
            </w:pPr>
            <w:r>
              <w:rPr>
                <w:noProof/>
              </w:rPr>
              <w:t>Año</w:t>
            </w:r>
          </w:p>
        </w:tc>
        <w:tc>
          <w:tcPr>
            <w:tcW w:w="3924" w:type="dxa"/>
            <w:vMerge/>
            <w:tcBorders>
              <w:top w:val="single" w:sz="4" w:space="0" w:color="auto"/>
              <w:bottom w:val="single" w:sz="4" w:space="0" w:color="auto"/>
              <w:right w:val="single" w:sz="4" w:space="0" w:color="auto"/>
            </w:tcBorders>
            <w:vAlign w:val="center"/>
            <w:hideMark/>
          </w:tcPr>
          <w:p w14:paraId="5552A75B" w14:textId="77777777" w:rsidR="00F208CE" w:rsidRDefault="00F208CE">
            <w:pPr>
              <w:spacing w:after="0"/>
              <w:rPr>
                <w:rFonts w:ascii="Times New Roman" w:eastAsia="Times New Roman" w:hAnsi="Times New Roman" w:cs="Times New Roman"/>
                <w:b/>
                <w:noProof/>
              </w:rPr>
            </w:pPr>
          </w:p>
        </w:tc>
      </w:tr>
      <w:tr w:rsidR="00F208CE" w14:paraId="6A973686" w14:textId="77777777">
        <w:trPr>
          <w:trHeight w:val="309"/>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F29EB6E" w14:textId="77777777" w:rsidR="00F208CE" w:rsidRDefault="00513E84">
            <w:pPr>
              <w:pStyle w:val="P68B1DB1-Normal8"/>
              <w:spacing w:after="0"/>
              <w:jc w:val="center"/>
              <w:rPr>
                <w:rFonts w:eastAsia="Times New Roman" w:cs="Times New Roman"/>
                <w:noProof/>
              </w:rPr>
            </w:pPr>
            <w:r>
              <w:rPr>
                <w:noProof/>
              </w:rPr>
              <w:t>36</w:t>
            </w:r>
          </w:p>
        </w:tc>
        <w:tc>
          <w:tcPr>
            <w:tcW w:w="1593" w:type="dxa"/>
            <w:tcBorders>
              <w:top w:val="single" w:sz="4" w:space="0" w:color="auto"/>
              <w:left w:val="nil"/>
              <w:bottom w:val="single" w:sz="4" w:space="0" w:color="auto"/>
              <w:right w:val="single" w:sz="4" w:space="0" w:color="auto"/>
            </w:tcBorders>
            <w:shd w:val="clear" w:color="auto" w:fill="C6EFCE"/>
            <w:noWrap/>
            <w:vAlign w:val="center"/>
            <w:hideMark/>
          </w:tcPr>
          <w:p w14:paraId="0639CF07" w14:textId="77777777" w:rsidR="00F208CE" w:rsidRDefault="00513E84">
            <w:pPr>
              <w:pStyle w:val="P68B1DB1-Normal8"/>
              <w:spacing w:after="0"/>
              <w:rPr>
                <w:rFonts w:eastAsia="Times New Roman" w:cs="Times New Roman"/>
                <w:noProof/>
              </w:rPr>
            </w:pPr>
            <w:r>
              <w:rPr>
                <w:noProof/>
              </w:rPr>
              <w:t xml:space="preserve">Biodiversidad y adaptación al cambio climático </w:t>
            </w:r>
            <w:r>
              <w:rPr>
                <w:noProof/>
              </w:rPr>
              <w:t>(I-1.22)</w:t>
            </w:r>
          </w:p>
        </w:tc>
        <w:tc>
          <w:tcPr>
            <w:tcW w:w="1100" w:type="dxa"/>
            <w:tcBorders>
              <w:top w:val="single" w:sz="4" w:space="0" w:color="auto"/>
              <w:left w:val="nil"/>
              <w:bottom w:val="single" w:sz="4" w:space="0" w:color="auto"/>
              <w:right w:val="single" w:sz="4" w:space="0" w:color="auto"/>
            </w:tcBorders>
            <w:shd w:val="clear" w:color="auto" w:fill="C6EFCE"/>
            <w:noWrap/>
            <w:vAlign w:val="center"/>
            <w:hideMark/>
          </w:tcPr>
          <w:p w14:paraId="72C800F4" w14:textId="2AAE756D" w:rsidR="00F208CE" w:rsidRDefault="00513E84">
            <w:pPr>
              <w:pStyle w:val="P68B1DB1-Normal8"/>
              <w:spacing w:after="0"/>
              <w:rPr>
                <w:rFonts w:eastAsia="Times New Roman" w:cs="Times New Roman"/>
                <w:noProof/>
              </w:rPr>
            </w:pPr>
            <w:r>
              <w:rPr>
                <w:noProof/>
              </w:rPr>
              <w:t>T</w:t>
            </w:r>
          </w:p>
        </w:tc>
        <w:tc>
          <w:tcPr>
            <w:tcW w:w="2019" w:type="dxa"/>
            <w:tcBorders>
              <w:top w:val="single" w:sz="4" w:space="0" w:color="auto"/>
              <w:left w:val="nil"/>
              <w:bottom w:val="single" w:sz="4" w:space="0" w:color="auto"/>
              <w:right w:val="single" w:sz="4" w:space="0" w:color="auto"/>
            </w:tcBorders>
            <w:shd w:val="clear" w:color="auto" w:fill="C6EFCE"/>
            <w:noWrap/>
            <w:vAlign w:val="center"/>
            <w:hideMark/>
          </w:tcPr>
          <w:p w14:paraId="7DD9806E" w14:textId="77777777" w:rsidR="00F208CE" w:rsidRDefault="00513E84">
            <w:pPr>
              <w:pStyle w:val="P68B1DB1-Normal8"/>
              <w:spacing w:after="0"/>
              <w:rPr>
                <w:rFonts w:eastAsia="Times New Roman" w:cs="Times New Roman"/>
                <w:noProof/>
              </w:rPr>
            </w:pPr>
            <w:r>
              <w:rPr>
                <w:noProof/>
              </w:rPr>
              <w:t>Medidas de gestión de la tierra aplicadas (bosques, zonas protegidas) y proyectos en curso</w:t>
            </w:r>
          </w:p>
        </w:tc>
        <w:tc>
          <w:tcPr>
            <w:tcW w:w="1241" w:type="dxa"/>
            <w:tcBorders>
              <w:top w:val="single" w:sz="4" w:space="0" w:color="auto"/>
              <w:left w:val="nil"/>
              <w:bottom w:val="single" w:sz="4" w:space="0" w:color="auto"/>
              <w:right w:val="single" w:sz="4" w:space="0" w:color="auto"/>
            </w:tcBorders>
            <w:shd w:val="clear" w:color="auto" w:fill="C6EFCE"/>
            <w:noWrap/>
            <w:vAlign w:val="center"/>
            <w:hideMark/>
          </w:tcPr>
          <w:p w14:paraId="1C20FC77" w14:textId="77777777" w:rsidR="00F208CE" w:rsidRDefault="00F208CE">
            <w:pPr>
              <w:spacing w:after="0"/>
              <w:rPr>
                <w:rFonts w:ascii="Times New Roman" w:eastAsia="Times New Roman" w:hAnsi="Times New Roman" w:cs="Times New Roman"/>
                <w:noProof/>
                <w:color w:val="006100"/>
              </w:rPr>
            </w:pPr>
          </w:p>
        </w:tc>
        <w:tc>
          <w:tcPr>
            <w:tcW w:w="993" w:type="dxa"/>
            <w:tcBorders>
              <w:top w:val="nil"/>
              <w:left w:val="nil"/>
              <w:bottom w:val="single" w:sz="4" w:space="0" w:color="auto"/>
              <w:right w:val="single" w:sz="4" w:space="0" w:color="auto"/>
            </w:tcBorders>
            <w:shd w:val="clear" w:color="auto" w:fill="C6EFCE"/>
            <w:noWrap/>
            <w:vAlign w:val="center"/>
            <w:hideMark/>
          </w:tcPr>
          <w:p w14:paraId="3882287D" w14:textId="77777777" w:rsidR="00F208CE" w:rsidRDefault="00513E84">
            <w:pPr>
              <w:pStyle w:val="P68B1DB1-Normal8"/>
              <w:spacing w:after="0"/>
              <w:rPr>
                <w:rFonts w:eastAsia="Times New Roman" w:cs="Times New Roman"/>
                <w:noProof/>
              </w:rPr>
            </w:pPr>
            <w:r>
              <w:rPr>
                <w:noProof/>
              </w:rPr>
              <w:t>hectárea</w:t>
            </w:r>
          </w:p>
        </w:tc>
        <w:tc>
          <w:tcPr>
            <w:tcW w:w="1203" w:type="dxa"/>
            <w:tcBorders>
              <w:top w:val="nil"/>
              <w:left w:val="nil"/>
              <w:bottom w:val="single" w:sz="4" w:space="0" w:color="auto"/>
              <w:right w:val="single" w:sz="4" w:space="0" w:color="auto"/>
            </w:tcBorders>
            <w:shd w:val="clear" w:color="auto" w:fill="C6EFCE"/>
            <w:noWrap/>
            <w:vAlign w:val="center"/>
            <w:hideMark/>
          </w:tcPr>
          <w:p w14:paraId="74581348" w14:textId="77777777" w:rsidR="00F208CE" w:rsidRDefault="00513E84">
            <w:pPr>
              <w:pStyle w:val="P68B1DB1-Normal8"/>
              <w:spacing w:after="0"/>
              <w:jc w:val="center"/>
              <w:rPr>
                <w:rFonts w:eastAsia="Times New Roman" w:cs="Times New Roman"/>
                <w:noProof/>
              </w:rPr>
            </w:pPr>
            <w:r>
              <w:rPr>
                <w:noProof/>
              </w:rPr>
              <w:t>0</w:t>
            </w:r>
          </w:p>
        </w:tc>
        <w:tc>
          <w:tcPr>
            <w:tcW w:w="960" w:type="dxa"/>
            <w:tcBorders>
              <w:top w:val="nil"/>
              <w:left w:val="nil"/>
              <w:bottom w:val="single" w:sz="4" w:space="0" w:color="auto"/>
              <w:right w:val="single" w:sz="4" w:space="0" w:color="auto"/>
            </w:tcBorders>
            <w:shd w:val="clear" w:color="auto" w:fill="C6EFCE"/>
            <w:noWrap/>
            <w:vAlign w:val="center"/>
            <w:hideMark/>
          </w:tcPr>
          <w:p w14:paraId="04C6C0BF" w14:textId="737B8751" w:rsidR="00F208CE" w:rsidRDefault="00513E84">
            <w:pPr>
              <w:pStyle w:val="P68B1DB1-Normal8"/>
              <w:spacing w:after="0"/>
              <w:jc w:val="center"/>
              <w:rPr>
                <w:rFonts w:eastAsia="Times New Roman" w:cs="Times New Roman"/>
                <w:noProof/>
              </w:rPr>
            </w:pPr>
            <w:r>
              <w:rPr>
                <w:noProof/>
              </w:rPr>
              <w:t>1 935</w:t>
            </w:r>
          </w:p>
        </w:tc>
        <w:tc>
          <w:tcPr>
            <w:tcW w:w="960" w:type="dxa"/>
            <w:tcBorders>
              <w:top w:val="nil"/>
              <w:left w:val="nil"/>
              <w:bottom w:val="single" w:sz="4" w:space="0" w:color="auto"/>
              <w:right w:val="single" w:sz="4" w:space="0" w:color="auto"/>
            </w:tcBorders>
            <w:shd w:val="clear" w:color="auto" w:fill="C6EFCE"/>
            <w:noWrap/>
            <w:vAlign w:val="center"/>
            <w:hideMark/>
          </w:tcPr>
          <w:p w14:paraId="57DD02D4"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54C255A2" w14:textId="77777777" w:rsidR="00F208CE" w:rsidRDefault="00513E84">
            <w:pPr>
              <w:pStyle w:val="P68B1DB1-Normal8"/>
              <w:spacing w:after="0"/>
              <w:jc w:val="center"/>
              <w:rPr>
                <w:rFonts w:eastAsia="Times New Roman" w:cs="Times New Roman"/>
                <w:noProof/>
              </w:rPr>
            </w:pPr>
            <w:r>
              <w:rPr>
                <w:noProof/>
              </w:rPr>
              <w:t>2024</w:t>
            </w:r>
          </w:p>
        </w:tc>
        <w:tc>
          <w:tcPr>
            <w:tcW w:w="3924" w:type="dxa"/>
            <w:tcBorders>
              <w:top w:val="single" w:sz="4" w:space="0" w:color="auto"/>
              <w:left w:val="nil"/>
              <w:bottom w:val="single" w:sz="4" w:space="0" w:color="auto"/>
              <w:right w:val="single" w:sz="4" w:space="0" w:color="auto"/>
            </w:tcBorders>
            <w:shd w:val="clear" w:color="auto" w:fill="C6EFCE"/>
            <w:noWrap/>
            <w:vAlign w:val="center"/>
            <w:hideMark/>
          </w:tcPr>
          <w:p w14:paraId="3E5C00CB" w14:textId="7BB1A3D5" w:rsidR="00F208CE" w:rsidRDefault="00513E84">
            <w:pPr>
              <w:pStyle w:val="P68B1DB1-Normal8"/>
              <w:spacing w:after="0"/>
              <w:rPr>
                <w:rFonts w:eastAsia="Times New Roman" w:cs="Times New Roman"/>
                <w:noProof/>
              </w:rPr>
            </w:pPr>
            <w:r>
              <w:rPr>
                <w:noProof/>
              </w:rPr>
              <w:t>Se aplicaron medidas de gestión de la tierra a 1 935 hectáreas para mejorar la biodiversidad y la resiliencia al</w:t>
            </w:r>
            <w:r>
              <w:rPr>
                <w:noProof/>
              </w:rPr>
              <w:t xml:space="preserve"> cambio climático en los bosques y las zonas protegidas, así como los avances en proyectos de recuperación.</w:t>
            </w:r>
          </w:p>
        </w:tc>
      </w:tr>
      <w:tr w:rsidR="00F208CE" w14:paraId="30E840C9"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hideMark/>
          </w:tcPr>
          <w:p w14:paraId="46139729" w14:textId="77777777" w:rsidR="00F208CE" w:rsidRDefault="00513E84">
            <w:pPr>
              <w:pStyle w:val="P68B1DB1-Normal8"/>
              <w:spacing w:after="0"/>
              <w:jc w:val="center"/>
              <w:rPr>
                <w:rFonts w:eastAsia="Times New Roman" w:cs="Times New Roman"/>
                <w:noProof/>
              </w:rPr>
            </w:pPr>
            <w:r>
              <w:rPr>
                <w:noProof/>
              </w:rPr>
              <w:t>37</w:t>
            </w:r>
          </w:p>
        </w:tc>
        <w:tc>
          <w:tcPr>
            <w:tcW w:w="1593" w:type="dxa"/>
            <w:tcBorders>
              <w:top w:val="nil"/>
              <w:left w:val="nil"/>
              <w:bottom w:val="single" w:sz="4" w:space="0" w:color="auto"/>
              <w:right w:val="single" w:sz="4" w:space="0" w:color="auto"/>
            </w:tcBorders>
            <w:shd w:val="clear" w:color="auto" w:fill="C6EFCE"/>
            <w:noWrap/>
            <w:vAlign w:val="center"/>
            <w:hideMark/>
          </w:tcPr>
          <w:p w14:paraId="789AC99F" w14:textId="77777777" w:rsidR="00F208CE" w:rsidRDefault="00513E84">
            <w:pPr>
              <w:pStyle w:val="P68B1DB1-Normal8"/>
              <w:spacing w:after="0"/>
              <w:rPr>
                <w:rFonts w:eastAsia="Times New Roman" w:cs="Times New Roman"/>
                <w:noProof/>
              </w:rPr>
            </w:pPr>
            <w:r>
              <w:rPr>
                <w:noProof/>
              </w:rPr>
              <w:t>Biodiversidad y adaptación al cambio climático (I-1.22)</w:t>
            </w:r>
          </w:p>
        </w:tc>
        <w:tc>
          <w:tcPr>
            <w:tcW w:w="1100" w:type="dxa"/>
            <w:tcBorders>
              <w:top w:val="nil"/>
              <w:left w:val="nil"/>
              <w:bottom w:val="single" w:sz="4" w:space="0" w:color="auto"/>
              <w:right w:val="single" w:sz="4" w:space="0" w:color="auto"/>
            </w:tcBorders>
            <w:shd w:val="clear" w:color="auto" w:fill="C6EFCE"/>
            <w:noWrap/>
            <w:vAlign w:val="center"/>
            <w:hideMark/>
          </w:tcPr>
          <w:p w14:paraId="6535CEC6" w14:textId="5FA8B281" w:rsidR="00F208CE" w:rsidRDefault="00513E84">
            <w:pPr>
              <w:pStyle w:val="P68B1DB1-Normal8"/>
              <w:spacing w:after="0"/>
              <w:rPr>
                <w:rFonts w:eastAsia="Times New Roman" w:cs="Times New Roman"/>
                <w:noProof/>
              </w:rPr>
            </w:pPr>
            <w:r>
              <w:rPr>
                <w:noProof/>
              </w:rPr>
              <w:t>T</w:t>
            </w:r>
          </w:p>
        </w:tc>
        <w:tc>
          <w:tcPr>
            <w:tcW w:w="2019" w:type="dxa"/>
            <w:tcBorders>
              <w:top w:val="nil"/>
              <w:left w:val="nil"/>
              <w:bottom w:val="single" w:sz="4" w:space="0" w:color="auto"/>
              <w:right w:val="single" w:sz="4" w:space="0" w:color="auto"/>
            </w:tcBorders>
            <w:shd w:val="clear" w:color="auto" w:fill="C6EFCE"/>
            <w:noWrap/>
            <w:vAlign w:val="center"/>
            <w:hideMark/>
          </w:tcPr>
          <w:p w14:paraId="5C4A5F10" w14:textId="77777777" w:rsidR="00F208CE" w:rsidRDefault="00513E84">
            <w:pPr>
              <w:pStyle w:val="P68B1DB1-Normal8"/>
              <w:spacing w:after="0"/>
              <w:rPr>
                <w:rFonts w:eastAsia="Times New Roman" w:cs="Times New Roman"/>
                <w:noProof/>
              </w:rPr>
            </w:pPr>
            <w:r>
              <w:rPr>
                <w:noProof/>
              </w:rPr>
              <w:t>Finalización de las medidas de gestión de la tierra aplicadas (bosques y zonas protegidas) y de los proyectos de ordenación territorial finalizados</w:t>
            </w:r>
          </w:p>
        </w:tc>
        <w:tc>
          <w:tcPr>
            <w:tcW w:w="1241" w:type="dxa"/>
            <w:tcBorders>
              <w:top w:val="nil"/>
              <w:left w:val="nil"/>
              <w:bottom w:val="single" w:sz="4" w:space="0" w:color="auto"/>
              <w:right w:val="single" w:sz="4" w:space="0" w:color="auto"/>
            </w:tcBorders>
            <w:shd w:val="clear" w:color="auto" w:fill="C6EFCE"/>
            <w:noWrap/>
            <w:vAlign w:val="center"/>
            <w:hideMark/>
          </w:tcPr>
          <w:p w14:paraId="2C2DE08D" w14:textId="77777777" w:rsidR="00F208CE" w:rsidRDefault="00F208CE">
            <w:pPr>
              <w:spacing w:after="0"/>
              <w:rPr>
                <w:rFonts w:ascii="Times New Roman" w:eastAsia="Times New Roman" w:hAnsi="Times New Roman" w:cs="Times New Roman"/>
                <w:noProof/>
                <w:color w:val="006100"/>
              </w:rPr>
            </w:pPr>
          </w:p>
        </w:tc>
        <w:tc>
          <w:tcPr>
            <w:tcW w:w="993" w:type="dxa"/>
            <w:tcBorders>
              <w:top w:val="nil"/>
              <w:left w:val="nil"/>
              <w:bottom w:val="single" w:sz="4" w:space="0" w:color="auto"/>
              <w:right w:val="single" w:sz="4" w:space="0" w:color="auto"/>
            </w:tcBorders>
            <w:shd w:val="clear" w:color="auto" w:fill="C6EFCE"/>
            <w:noWrap/>
            <w:vAlign w:val="center"/>
            <w:hideMark/>
          </w:tcPr>
          <w:p w14:paraId="770C3EBC" w14:textId="77777777" w:rsidR="00F208CE" w:rsidRDefault="00513E84">
            <w:pPr>
              <w:pStyle w:val="P68B1DB1-Normal8"/>
              <w:spacing w:after="0"/>
              <w:rPr>
                <w:rFonts w:eastAsia="Times New Roman" w:cs="Times New Roman"/>
                <w:noProof/>
              </w:rPr>
            </w:pPr>
            <w:r>
              <w:rPr>
                <w:noProof/>
              </w:rPr>
              <w:t>hectárea</w:t>
            </w:r>
          </w:p>
        </w:tc>
        <w:tc>
          <w:tcPr>
            <w:tcW w:w="1203" w:type="dxa"/>
            <w:tcBorders>
              <w:top w:val="nil"/>
              <w:left w:val="nil"/>
              <w:bottom w:val="single" w:sz="4" w:space="0" w:color="auto"/>
              <w:right w:val="single" w:sz="4" w:space="0" w:color="auto"/>
            </w:tcBorders>
            <w:shd w:val="clear" w:color="auto" w:fill="C6EFCE"/>
            <w:noWrap/>
            <w:vAlign w:val="center"/>
            <w:hideMark/>
          </w:tcPr>
          <w:p w14:paraId="2BCFB75F" w14:textId="2D262276" w:rsidR="00F208CE" w:rsidRDefault="00513E84">
            <w:pPr>
              <w:pStyle w:val="P68B1DB1-Normal8"/>
              <w:spacing w:after="0"/>
              <w:jc w:val="center"/>
              <w:rPr>
                <w:rFonts w:eastAsia="Times New Roman" w:cs="Times New Roman"/>
                <w:noProof/>
              </w:rPr>
            </w:pPr>
            <w:r>
              <w:rPr>
                <w:noProof/>
              </w:rPr>
              <w:t>1 935</w:t>
            </w:r>
          </w:p>
        </w:tc>
        <w:tc>
          <w:tcPr>
            <w:tcW w:w="960" w:type="dxa"/>
            <w:tcBorders>
              <w:top w:val="nil"/>
              <w:left w:val="nil"/>
              <w:bottom w:val="single" w:sz="4" w:space="0" w:color="auto"/>
              <w:right w:val="single" w:sz="4" w:space="0" w:color="auto"/>
            </w:tcBorders>
            <w:shd w:val="clear" w:color="auto" w:fill="C6EFCE"/>
            <w:noWrap/>
            <w:vAlign w:val="center"/>
            <w:hideMark/>
          </w:tcPr>
          <w:p w14:paraId="40111644" w14:textId="41CDFA1A" w:rsidR="00F208CE" w:rsidRDefault="00513E84">
            <w:pPr>
              <w:pStyle w:val="P68B1DB1-Normal8"/>
              <w:spacing w:after="0"/>
              <w:jc w:val="center"/>
              <w:rPr>
                <w:rFonts w:eastAsia="Times New Roman" w:cs="Times New Roman"/>
                <w:noProof/>
              </w:rPr>
            </w:pPr>
            <w:r>
              <w:rPr>
                <w:noProof/>
              </w:rPr>
              <w:t>3 735</w:t>
            </w:r>
          </w:p>
        </w:tc>
        <w:tc>
          <w:tcPr>
            <w:tcW w:w="960" w:type="dxa"/>
            <w:tcBorders>
              <w:top w:val="nil"/>
              <w:left w:val="nil"/>
              <w:bottom w:val="single" w:sz="4" w:space="0" w:color="auto"/>
              <w:right w:val="single" w:sz="4" w:space="0" w:color="auto"/>
            </w:tcBorders>
            <w:shd w:val="clear" w:color="auto" w:fill="C6EFCE"/>
            <w:noWrap/>
            <w:vAlign w:val="center"/>
            <w:hideMark/>
          </w:tcPr>
          <w:p w14:paraId="6A901547"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348D382F" w14:textId="77777777" w:rsidR="00F208CE" w:rsidRDefault="00513E84">
            <w:pPr>
              <w:pStyle w:val="P68B1DB1-Normal8"/>
              <w:spacing w:after="0"/>
              <w:jc w:val="center"/>
              <w:rPr>
                <w:rFonts w:eastAsia="Times New Roman" w:cs="Times New Roman"/>
                <w:noProof/>
              </w:rPr>
            </w:pPr>
            <w:r>
              <w:rPr>
                <w:noProof/>
              </w:rPr>
              <w:t>2026</w:t>
            </w:r>
          </w:p>
        </w:tc>
        <w:tc>
          <w:tcPr>
            <w:tcW w:w="3924" w:type="dxa"/>
            <w:tcBorders>
              <w:top w:val="nil"/>
              <w:left w:val="nil"/>
              <w:bottom w:val="single" w:sz="4" w:space="0" w:color="auto"/>
              <w:right w:val="single" w:sz="4" w:space="0" w:color="auto"/>
            </w:tcBorders>
            <w:shd w:val="clear" w:color="auto" w:fill="C6EFCE"/>
            <w:noWrap/>
            <w:vAlign w:val="center"/>
            <w:hideMark/>
          </w:tcPr>
          <w:p w14:paraId="28B1326D" w14:textId="06F2D45C" w:rsidR="00F208CE" w:rsidRDefault="00513E84">
            <w:pPr>
              <w:pStyle w:val="P68B1DB1-Normal8"/>
              <w:spacing w:after="0"/>
              <w:rPr>
                <w:rFonts w:eastAsia="Times New Roman" w:cs="Times New Roman"/>
                <w:noProof/>
              </w:rPr>
            </w:pPr>
            <w:r>
              <w:rPr>
                <w:noProof/>
              </w:rPr>
              <w:t>Se aplicaron medidas de gestión de la tierra a 3 735 hectáreas</w:t>
            </w:r>
            <w:r>
              <w:rPr>
                <w:noProof/>
              </w:rPr>
              <w:t xml:space="preserve"> para mejorar la biodiversidad y la resiliencia al cambio climático en los bosques y en las zonas protegidas, así como proyectos finalizados.</w:t>
            </w:r>
          </w:p>
        </w:tc>
      </w:tr>
      <w:tr w:rsidR="00F208CE" w14:paraId="06E8A47F"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hideMark/>
          </w:tcPr>
          <w:p w14:paraId="590A39E8" w14:textId="77777777" w:rsidR="00F208CE" w:rsidRDefault="00513E84">
            <w:pPr>
              <w:pStyle w:val="P68B1DB1-Normal8"/>
              <w:spacing w:after="0"/>
              <w:jc w:val="center"/>
              <w:rPr>
                <w:rFonts w:eastAsia="Times New Roman" w:cs="Times New Roman"/>
                <w:noProof/>
              </w:rPr>
            </w:pPr>
            <w:r>
              <w:rPr>
                <w:noProof/>
              </w:rPr>
              <w:t>38</w:t>
            </w:r>
          </w:p>
        </w:tc>
        <w:tc>
          <w:tcPr>
            <w:tcW w:w="1593" w:type="dxa"/>
            <w:tcBorders>
              <w:top w:val="nil"/>
              <w:left w:val="nil"/>
              <w:bottom w:val="single" w:sz="4" w:space="0" w:color="auto"/>
              <w:right w:val="single" w:sz="4" w:space="0" w:color="auto"/>
            </w:tcBorders>
            <w:shd w:val="clear" w:color="auto" w:fill="C6EFCE"/>
            <w:noWrap/>
            <w:vAlign w:val="center"/>
            <w:hideMark/>
          </w:tcPr>
          <w:p w14:paraId="785C5FC8" w14:textId="77777777" w:rsidR="00F208CE" w:rsidRDefault="00513E84">
            <w:pPr>
              <w:pStyle w:val="P68B1DB1-Normal8"/>
              <w:spacing w:after="0"/>
              <w:rPr>
                <w:rFonts w:eastAsia="Times New Roman" w:cs="Times New Roman"/>
                <w:noProof/>
              </w:rPr>
            </w:pPr>
            <w:r>
              <w:rPr>
                <w:noProof/>
              </w:rPr>
              <w:t>Biodiversidad y adaptación al cambio climático (I-1.22)</w:t>
            </w:r>
          </w:p>
        </w:tc>
        <w:tc>
          <w:tcPr>
            <w:tcW w:w="1100" w:type="dxa"/>
            <w:tcBorders>
              <w:top w:val="nil"/>
              <w:left w:val="nil"/>
              <w:bottom w:val="single" w:sz="4" w:space="0" w:color="auto"/>
              <w:right w:val="single" w:sz="4" w:space="0" w:color="auto"/>
            </w:tcBorders>
            <w:shd w:val="clear" w:color="auto" w:fill="C6EFCE"/>
            <w:noWrap/>
            <w:vAlign w:val="center"/>
            <w:hideMark/>
          </w:tcPr>
          <w:p w14:paraId="0AD36815" w14:textId="18FEA931" w:rsidR="00F208CE" w:rsidRDefault="00513E84">
            <w:pPr>
              <w:pStyle w:val="P68B1DB1-Normal8"/>
              <w:spacing w:after="0"/>
              <w:rPr>
                <w:rFonts w:eastAsia="Times New Roman" w:cs="Times New Roman"/>
                <w:noProof/>
              </w:rPr>
            </w:pPr>
            <w:r>
              <w:rPr>
                <w:noProof/>
              </w:rPr>
              <w:t>M</w:t>
            </w:r>
          </w:p>
        </w:tc>
        <w:tc>
          <w:tcPr>
            <w:tcW w:w="2019" w:type="dxa"/>
            <w:tcBorders>
              <w:top w:val="nil"/>
              <w:left w:val="nil"/>
              <w:bottom w:val="single" w:sz="4" w:space="0" w:color="auto"/>
              <w:right w:val="single" w:sz="4" w:space="0" w:color="auto"/>
            </w:tcBorders>
            <w:shd w:val="clear" w:color="auto" w:fill="C6EFCE"/>
            <w:noWrap/>
            <w:vAlign w:val="center"/>
            <w:hideMark/>
          </w:tcPr>
          <w:p w14:paraId="6B4C9ACF" w14:textId="77777777" w:rsidR="00F208CE" w:rsidRDefault="00513E84">
            <w:pPr>
              <w:pStyle w:val="P68B1DB1-Normal8"/>
              <w:spacing w:after="0"/>
              <w:rPr>
                <w:rFonts w:eastAsia="Times New Roman" w:cs="Times New Roman"/>
                <w:noProof/>
              </w:rPr>
            </w:pPr>
            <w:r>
              <w:rPr>
                <w:noProof/>
              </w:rPr>
              <w:t>Adjudicación de contratos a proyectos de creación de</w:t>
            </w:r>
            <w:r>
              <w:rPr>
                <w:noProof/>
              </w:rPr>
              <w:t xml:space="preserve"> dos parques nacionales</w:t>
            </w:r>
          </w:p>
        </w:tc>
        <w:tc>
          <w:tcPr>
            <w:tcW w:w="1241" w:type="dxa"/>
            <w:tcBorders>
              <w:top w:val="nil"/>
              <w:left w:val="nil"/>
              <w:bottom w:val="single" w:sz="4" w:space="0" w:color="auto"/>
              <w:right w:val="single" w:sz="4" w:space="0" w:color="auto"/>
            </w:tcBorders>
            <w:shd w:val="clear" w:color="auto" w:fill="C6EFCE"/>
            <w:noWrap/>
            <w:vAlign w:val="center"/>
            <w:hideMark/>
          </w:tcPr>
          <w:p w14:paraId="74DBE557" w14:textId="688CBD72" w:rsidR="00F208CE" w:rsidRDefault="00513E84">
            <w:pPr>
              <w:pStyle w:val="P68B1DB1-Normal8"/>
              <w:spacing w:after="0"/>
              <w:rPr>
                <w:rFonts w:eastAsia="Times New Roman" w:cs="Times New Roman"/>
                <w:noProof/>
              </w:rPr>
            </w:pPr>
            <w:r>
              <w:rPr>
                <w:noProof/>
              </w:rPr>
              <w:t>Notificación escrita de la adjudicación de contratos a los candidatos seleccionados</w:t>
            </w:r>
          </w:p>
        </w:tc>
        <w:tc>
          <w:tcPr>
            <w:tcW w:w="993" w:type="dxa"/>
            <w:tcBorders>
              <w:top w:val="nil"/>
              <w:left w:val="nil"/>
              <w:bottom w:val="single" w:sz="4" w:space="0" w:color="auto"/>
              <w:right w:val="single" w:sz="4" w:space="0" w:color="auto"/>
            </w:tcBorders>
            <w:shd w:val="clear" w:color="auto" w:fill="C6EFCE"/>
            <w:noWrap/>
            <w:vAlign w:val="center"/>
            <w:hideMark/>
          </w:tcPr>
          <w:p w14:paraId="32FA3B69" w14:textId="77777777" w:rsidR="00F208CE" w:rsidRDefault="00F208CE">
            <w:pPr>
              <w:spacing w:after="0"/>
              <w:rPr>
                <w:rFonts w:ascii="Times New Roman" w:eastAsia="Times New Roman" w:hAnsi="Times New Roman" w:cs="Times New Roman"/>
                <w:noProof/>
                <w:color w:val="006100"/>
              </w:rPr>
            </w:pPr>
          </w:p>
        </w:tc>
        <w:tc>
          <w:tcPr>
            <w:tcW w:w="1203" w:type="dxa"/>
            <w:tcBorders>
              <w:top w:val="nil"/>
              <w:left w:val="nil"/>
              <w:bottom w:val="single" w:sz="4" w:space="0" w:color="auto"/>
              <w:right w:val="single" w:sz="4" w:space="0" w:color="auto"/>
            </w:tcBorders>
            <w:shd w:val="clear" w:color="auto" w:fill="C6EFCE"/>
            <w:noWrap/>
            <w:vAlign w:val="center"/>
            <w:hideMark/>
          </w:tcPr>
          <w:p w14:paraId="44C5E7E9" w14:textId="77777777" w:rsidR="00F208CE" w:rsidRDefault="00F208CE">
            <w:pPr>
              <w:spacing w:after="0"/>
              <w:jc w:val="center"/>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hideMark/>
          </w:tcPr>
          <w:p w14:paraId="775EBB65" w14:textId="77777777" w:rsidR="00F208CE" w:rsidRDefault="00F208CE">
            <w:pPr>
              <w:spacing w:after="0"/>
              <w:jc w:val="center"/>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hideMark/>
          </w:tcPr>
          <w:p w14:paraId="08480529"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hideMark/>
          </w:tcPr>
          <w:p w14:paraId="4DFAA5EC" w14:textId="77777777" w:rsidR="00F208CE" w:rsidRDefault="00513E84">
            <w:pPr>
              <w:pStyle w:val="P68B1DB1-Normal8"/>
              <w:spacing w:after="0"/>
              <w:jc w:val="center"/>
              <w:rPr>
                <w:rFonts w:eastAsia="Times New Roman" w:cs="Times New Roman"/>
                <w:noProof/>
              </w:rPr>
            </w:pPr>
            <w:r>
              <w:rPr>
                <w:noProof/>
              </w:rPr>
              <w:t>2023</w:t>
            </w:r>
          </w:p>
        </w:tc>
        <w:tc>
          <w:tcPr>
            <w:tcW w:w="3924" w:type="dxa"/>
            <w:tcBorders>
              <w:top w:val="nil"/>
              <w:left w:val="nil"/>
              <w:bottom w:val="single" w:sz="4" w:space="0" w:color="auto"/>
              <w:right w:val="single" w:sz="4" w:space="0" w:color="auto"/>
            </w:tcBorders>
            <w:shd w:val="clear" w:color="auto" w:fill="C6EFCE"/>
            <w:noWrap/>
            <w:vAlign w:val="center"/>
            <w:hideMark/>
          </w:tcPr>
          <w:p w14:paraId="23BC3922" w14:textId="4BAD20AD" w:rsidR="00F208CE" w:rsidRDefault="00513E84">
            <w:pPr>
              <w:pStyle w:val="P68B1DB1-Normal8"/>
              <w:spacing w:after="0"/>
              <w:rPr>
                <w:rFonts w:eastAsia="Times New Roman" w:cs="Times New Roman"/>
                <w:noProof/>
              </w:rPr>
            </w:pPr>
            <w:r>
              <w:rPr>
                <w:noProof/>
              </w:rPr>
              <w:t>Adjudicación de contratos para dos proyectos y notificación escrita enviada a los candidatos seleccionados por el Ministro de Medio Ambiente valón a raíz de la convocatoria de propuestas para dos parques nacionales de una superficie total comprendida entre</w:t>
            </w:r>
            <w:r>
              <w:rPr>
                <w:noProof/>
              </w:rPr>
              <w:t xml:space="preserve"> 10 000 y 70 000 hectáreas.</w:t>
            </w:r>
          </w:p>
        </w:tc>
      </w:tr>
      <w:tr w:rsidR="00F208CE" w14:paraId="69D14355"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hideMark/>
          </w:tcPr>
          <w:p w14:paraId="25FB5921" w14:textId="77777777" w:rsidR="00F208CE" w:rsidRDefault="00513E84">
            <w:pPr>
              <w:pStyle w:val="P68B1DB1-Normal8"/>
              <w:spacing w:after="0"/>
              <w:jc w:val="center"/>
              <w:rPr>
                <w:rFonts w:eastAsia="Times New Roman" w:cs="Times New Roman"/>
                <w:noProof/>
              </w:rPr>
            </w:pPr>
            <w:r>
              <w:rPr>
                <w:noProof/>
              </w:rPr>
              <w:t>39</w:t>
            </w:r>
          </w:p>
        </w:tc>
        <w:tc>
          <w:tcPr>
            <w:tcW w:w="1593" w:type="dxa"/>
            <w:tcBorders>
              <w:top w:val="nil"/>
              <w:left w:val="nil"/>
              <w:bottom w:val="single" w:sz="4" w:space="0" w:color="auto"/>
              <w:right w:val="single" w:sz="4" w:space="0" w:color="auto"/>
            </w:tcBorders>
            <w:shd w:val="clear" w:color="auto" w:fill="C6EFCE"/>
            <w:noWrap/>
            <w:vAlign w:val="center"/>
            <w:hideMark/>
          </w:tcPr>
          <w:p w14:paraId="36971B49" w14:textId="77777777" w:rsidR="00F208CE" w:rsidRDefault="00513E84">
            <w:pPr>
              <w:pStyle w:val="P68B1DB1-Normal8"/>
              <w:spacing w:after="0"/>
              <w:rPr>
                <w:rFonts w:eastAsia="Times New Roman" w:cs="Times New Roman"/>
                <w:noProof/>
              </w:rPr>
            </w:pPr>
            <w:r>
              <w:rPr>
                <w:noProof/>
              </w:rPr>
              <w:t>Biodiversidad y adaptación al cambio climático (I-1.22)</w:t>
            </w:r>
          </w:p>
        </w:tc>
        <w:tc>
          <w:tcPr>
            <w:tcW w:w="1100" w:type="dxa"/>
            <w:tcBorders>
              <w:top w:val="nil"/>
              <w:left w:val="nil"/>
              <w:bottom w:val="single" w:sz="4" w:space="0" w:color="auto"/>
              <w:right w:val="single" w:sz="4" w:space="0" w:color="auto"/>
            </w:tcBorders>
            <w:shd w:val="clear" w:color="auto" w:fill="C6EFCE"/>
            <w:noWrap/>
            <w:vAlign w:val="center"/>
            <w:hideMark/>
          </w:tcPr>
          <w:p w14:paraId="5DFE8042" w14:textId="745EC5EE" w:rsidR="00F208CE" w:rsidRDefault="00513E84">
            <w:pPr>
              <w:pStyle w:val="P68B1DB1-Normal8"/>
              <w:spacing w:after="0"/>
              <w:rPr>
                <w:rFonts w:eastAsia="Times New Roman" w:cs="Times New Roman"/>
                <w:noProof/>
              </w:rPr>
            </w:pPr>
            <w:r>
              <w:rPr>
                <w:noProof/>
              </w:rPr>
              <w:t>T</w:t>
            </w:r>
          </w:p>
        </w:tc>
        <w:tc>
          <w:tcPr>
            <w:tcW w:w="2019" w:type="dxa"/>
            <w:tcBorders>
              <w:top w:val="nil"/>
              <w:left w:val="nil"/>
              <w:bottom w:val="single" w:sz="4" w:space="0" w:color="auto"/>
              <w:right w:val="single" w:sz="4" w:space="0" w:color="auto"/>
            </w:tcBorders>
            <w:shd w:val="clear" w:color="auto" w:fill="C6EFCE"/>
            <w:noWrap/>
            <w:vAlign w:val="center"/>
            <w:hideMark/>
          </w:tcPr>
          <w:p w14:paraId="078B3B6C" w14:textId="77777777" w:rsidR="00F208CE" w:rsidRDefault="00513E84">
            <w:pPr>
              <w:pStyle w:val="P68B1DB1-Normal8"/>
              <w:spacing w:after="0"/>
              <w:rPr>
                <w:rFonts w:eastAsia="Times New Roman" w:cs="Times New Roman"/>
                <w:noProof/>
              </w:rPr>
            </w:pPr>
            <w:r>
              <w:rPr>
                <w:noProof/>
              </w:rPr>
              <w:t>Finalización de dos proyectos para parques nacionales</w:t>
            </w:r>
          </w:p>
        </w:tc>
        <w:tc>
          <w:tcPr>
            <w:tcW w:w="1241" w:type="dxa"/>
            <w:tcBorders>
              <w:top w:val="nil"/>
              <w:left w:val="nil"/>
              <w:bottom w:val="single" w:sz="4" w:space="0" w:color="auto"/>
              <w:right w:val="single" w:sz="4" w:space="0" w:color="auto"/>
            </w:tcBorders>
            <w:shd w:val="clear" w:color="auto" w:fill="C6EFCE"/>
            <w:noWrap/>
            <w:vAlign w:val="center"/>
            <w:hideMark/>
          </w:tcPr>
          <w:p w14:paraId="037350BD" w14:textId="77777777" w:rsidR="00F208CE" w:rsidRDefault="00F208CE">
            <w:pPr>
              <w:spacing w:after="0"/>
              <w:rPr>
                <w:rFonts w:ascii="Times New Roman" w:eastAsia="Times New Roman" w:hAnsi="Times New Roman" w:cs="Times New Roman"/>
                <w:noProof/>
                <w:color w:val="006100"/>
              </w:rPr>
            </w:pPr>
          </w:p>
        </w:tc>
        <w:tc>
          <w:tcPr>
            <w:tcW w:w="993" w:type="dxa"/>
            <w:tcBorders>
              <w:top w:val="nil"/>
              <w:left w:val="nil"/>
              <w:bottom w:val="single" w:sz="4" w:space="0" w:color="auto"/>
              <w:right w:val="single" w:sz="4" w:space="0" w:color="auto"/>
            </w:tcBorders>
            <w:shd w:val="clear" w:color="auto" w:fill="C6EFCE"/>
            <w:noWrap/>
            <w:vAlign w:val="center"/>
            <w:hideMark/>
          </w:tcPr>
          <w:p w14:paraId="79ED2678" w14:textId="77777777" w:rsidR="00F208CE" w:rsidRDefault="00513E84">
            <w:pPr>
              <w:pStyle w:val="P68B1DB1-Normal8"/>
              <w:spacing w:after="0"/>
              <w:rPr>
                <w:rFonts w:eastAsia="Times New Roman" w:cs="Times New Roman"/>
                <w:noProof/>
              </w:rPr>
            </w:pPr>
            <w:r>
              <w:rPr>
                <w:noProof/>
              </w:rPr>
              <w:t>proyectos</w:t>
            </w:r>
          </w:p>
        </w:tc>
        <w:tc>
          <w:tcPr>
            <w:tcW w:w="1203" w:type="dxa"/>
            <w:tcBorders>
              <w:top w:val="nil"/>
              <w:left w:val="nil"/>
              <w:bottom w:val="single" w:sz="4" w:space="0" w:color="auto"/>
              <w:right w:val="single" w:sz="4" w:space="0" w:color="auto"/>
            </w:tcBorders>
            <w:shd w:val="clear" w:color="auto" w:fill="C6EFCE"/>
            <w:noWrap/>
            <w:vAlign w:val="center"/>
            <w:hideMark/>
          </w:tcPr>
          <w:p w14:paraId="19E9B232" w14:textId="77777777" w:rsidR="00F208CE" w:rsidRDefault="00513E84">
            <w:pPr>
              <w:pStyle w:val="P68B1DB1-Normal8"/>
              <w:spacing w:after="0"/>
              <w:jc w:val="center"/>
              <w:rPr>
                <w:rFonts w:eastAsia="Times New Roman" w:cs="Times New Roman"/>
                <w:noProof/>
              </w:rPr>
            </w:pPr>
            <w:r>
              <w:rPr>
                <w:noProof/>
              </w:rPr>
              <w:t>0</w:t>
            </w:r>
          </w:p>
        </w:tc>
        <w:tc>
          <w:tcPr>
            <w:tcW w:w="960" w:type="dxa"/>
            <w:tcBorders>
              <w:top w:val="nil"/>
              <w:left w:val="nil"/>
              <w:bottom w:val="single" w:sz="4" w:space="0" w:color="auto"/>
              <w:right w:val="single" w:sz="4" w:space="0" w:color="auto"/>
            </w:tcBorders>
            <w:shd w:val="clear" w:color="auto" w:fill="C6EFCE"/>
            <w:noWrap/>
            <w:vAlign w:val="center"/>
            <w:hideMark/>
          </w:tcPr>
          <w:p w14:paraId="3565F185" w14:textId="77777777" w:rsidR="00F208CE" w:rsidRDefault="00513E84">
            <w:pPr>
              <w:pStyle w:val="P68B1DB1-Normal8"/>
              <w:spacing w:after="0"/>
              <w:jc w:val="center"/>
              <w:rPr>
                <w:rFonts w:eastAsia="Times New Roman" w:cs="Times New Roman"/>
                <w:noProof/>
              </w:rPr>
            </w:pPr>
            <w:r>
              <w:rPr>
                <w:noProof/>
              </w:rPr>
              <w:t>2</w:t>
            </w:r>
          </w:p>
        </w:tc>
        <w:tc>
          <w:tcPr>
            <w:tcW w:w="960" w:type="dxa"/>
            <w:tcBorders>
              <w:top w:val="nil"/>
              <w:left w:val="nil"/>
              <w:bottom w:val="single" w:sz="4" w:space="0" w:color="auto"/>
              <w:right w:val="single" w:sz="4" w:space="0" w:color="auto"/>
            </w:tcBorders>
            <w:shd w:val="clear" w:color="auto" w:fill="C6EFCE"/>
            <w:noWrap/>
            <w:vAlign w:val="center"/>
            <w:hideMark/>
          </w:tcPr>
          <w:p w14:paraId="22EF4E7D"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51A2DCB6" w14:textId="77777777" w:rsidR="00F208CE" w:rsidRDefault="00513E84">
            <w:pPr>
              <w:pStyle w:val="P68B1DB1-Normal8"/>
              <w:spacing w:after="0"/>
              <w:jc w:val="center"/>
              <w:rPr>
                <w:rFonts w:eastAsia="Times New Roman" w:cs="Times New Roman"/>
                <w:noProof/>
              </w:rPr>
            </w:pPr>
            <w:r>
              <w:rPr>
                <w:noProof/>
              </w:rPr>
              <w:t>2026</w:t>
            </w:r>
          </w:p>
        </w:tc>
        <w:tc>
          <w:tcPr>
            <w:tcW w:w="3924" w:type="dxa"/>
            <w:tcBorders>
              <w:top w:val="nil"/>
              <w:left w:val="nil"/>
              <w:bottom w:val="single" w:sz="4" w:space="0" w:color="auto"/>
              <w:right w:val="single" w:sz="4" w:space="0" w:color="auto"/>
            </w:tcBorders>
            <w:shd w:val="clear" w:color="auto" w:fill="C6EFCE"/>
            <w:noWrap/>
            <w:vAlign w:val="center"/>
            <w:hideMark/>
          </w:tcPr>
          <w:p w14:paraId="6FFA2102" w14:textId="66DF4938" w:rsidR="00F208CE" w:rsidRDefault="00513E84">
            <w:pPr>
              <w:pStyle w:val="P68B1DB1-Normal8"/>
              <w:spacing w:after="0"/>
              <w:rPr>
                <w:rFonts w:eastAsia="Times New Roman" w:cs="Times New Roman"/>
                <w:noProof/>
              </w:rPr>
            </w:pPr>
            <w:r>
              <w:rPr>
                <w:noProof/>
              </w:rPr>
              <w:t xml:space="preserve">Finalización de las obras de infraestructura de dos parques nacionales </w:t>
            </w:r>
            <w:r>
              <w:rPr>
                <w:noProof/>
              </w:rPr>
              <w:t>con una superficie total de entre 10 000 y 70 000 hectáreas.</w:t>
            </w:r>
          </w:p>
        </w:tc>
      </w:tr>
      <w:tr w:rsidR="00F208CE" w14:paraId="4A510CD1"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1C110C97" w14:textId="77777777" w:rsidR="00F208CE" w:rsidRDefault="00513E84">
            <w:pPr>
              <w:pStyle w:val="P68B1DB1-Normal8"/>
              <w:spacing w:after="0"/>
              <w:jc w:val="center"/>
              <w:rPr>
                <w:rFonts w:eastAsia="Times New Roman" w:cs="Times New Roman"/>
                <w:noProof/>
              </w:rPr>
            </w:pPr>
            <w:r>
              <w:rPr>
                <w:noProof/>
              </w:rPr>
              <w:t>40</w:t>
            </w:r>
          </w:p>
        </w:tc>
        <w:tc>
          <w:tcPr>
            <w:tcW w:w="1593" w:type="dxa"/>
            <w:tcBorders>
              <w:top w:val="nil"/>
              <w:left w:val="nil"/>
              <w:bottom w:val="single" w:sz="4" w:space="0" w:color="auto"/>
              <w:right w:val="single" w:sz="4" w:space="0" w:color="auto"/>
            </w:tcBorders>
            <w:shd w:val="clear" w:color="auto" w:fill="C6EFCE"/>
            <w:noWrap/>
            <w:vAlign w:val="center"/>
          </w:tcPr>
          <w:p w14:paraId="551CC83B" w14:textId="77777777" w:rsidR="00F208CE" w:rsidRDefault="00513E84">
            <w:pPr>
              <w:pStyle w:val="P68B1DB1-Normal8"/>
              <w:spacing w:after="0"/>
              <w:rPr>
                <w:rFonts w:eastAsia="Times New Roman" w:cs="Times New Roman"/>
                <w:noProof/>
              </w:rPr>
            </w:pPr>
            <w:r>
              <w:rPr>
                <w:noProof/>
              </w:rPr>
              <w:t>Desfragmentación ecológica (I-1.23)</w:t>
            </w:r>
          </w:p>
        </w:tc>
        <w:tc>
          <w:tcPr>
            <w:tcW w:w="1100" w:type="dxa"/>
            <w:tcBorders>
              <w:top w:val="nil"/>
              <w:left w:val="nil"/>
              <w:bottom w:val="single" w:sz="4" w:space="0" w:color="auto"/>
              <w:right w:val="single" w:sz="4" w:space="0" w:color="auto"/>
            </w:tcBorders>
            <w:shd w:val="clear" w:color="auto" w:fill="C6EFCE"/>
            <w:noWrap/>
            <w:vAlign w:val="center"/>
          </w:tcPr>
          <w:p w14:paraId="4C3A754C" w14:textId="7D962221" w:rsidR="00F208CE" w:rsidRDefault="00513E84">
            <w:pPr>
              <w:pStyle w:val="P68B1DB1-Normal8"/>
              <w:spacing w:after="0"/>
              <w:rPr>
                <w:rFonts w:eastAsia="Times New Roman" w:cs="Times New Roman"/>
                <w:noProof/>
              </w:rPr>
            </w:pPr>
            <w:r>
              <w:rPr>
                <w:noProof/>
              </w:rPr>
              <w:t>T</w:t>
            </w:r>
          </w:p>
        </w:tc>
        <w:tc>
          <w:tcPr>
            <w:tcW w:w="2019" w:type="dxa"/>
            <w:tcBorders>
              <w:top w:val="nil"/>
              <w:left w:val="nil"/>
              <w:bottom w:val="single" w:sz="4" w:space="0" w:color="auto"/>
              <w:right w:val="single" w:sz="4" w:space="0" w:color="auto"/>
            </w:tcBorders>
            <w:shd w:val="clear" w:color="auto" w:fill="C6EFCE"/>
            <w:noWrap/>
            <w:vAlign w:val="center"/>
          </w:tcPr>
          <w:p w14:paraId="79B2B3BB" w14:textId="77777777" w:rsidR="00F208CE" w:rsidRDefault="00513E84">
            <w:pPr>
              <w:pStyle w:val="P68B1DB1-Normal8"/>
              <w:spacing w:after="0"/>
              <w:rPr>
                <w:rFonts w:eastAsia="Times New Roman" w:cs="Times New Roman"/>
                <w:noProof/>
              </w:rPr>
            </w:pPr>
            <w:r>
              <w:rPr>
                <w:noProof/>
              </w:rPr>
              <w:t>Finalización de proyectos de desfragmentación ecológica</w:t>
            </w:r>
          </w:p>
        </w:tc>
        <w:tc>
          <w:tcPr>
            <w:tcW w:w="1241" w:type="dxa"/>
            <w:tcBorders>
              <w:top w:val="nil"/>
              <w:left w:val="nil"/>
              <w:bottom w:val="single" w:sz="4" w:space="0" w:color="auto"/>
              <w:right w:val="single" w:sz="4" w:space="0" w:color="auto"/>
            </w:tcBorders>
            <w:shd w:val="clear" w:color="auto" w:fill="C6EFCE"/>
            <w:noWrap/>
            <w:vAlign w:val="center"/>
          </w:tcPr>
          <w:p w14:paraId="57A605F1" w14:textId="77777777" w:rsidR="00F208CE" w:rsidRDefault="00F208CE">
            <w:pPr>
              <w:spacing w:after="0"/>
              <w:rPr>
                <w:rFonts w:ascii="Times New Roman" w:eastAsia="Times New Roman" w:hAnsi="Times New Roman" w:cs="Times New Roman"/>
                <w:noProof/>
                <w:color w:val="006100"/>
              </w:rPr>
            </w:pPr>
          </w:p>
        </w:tc>
        <w:tc>
          <w:tcPr>
            <w:tcW w:w="993" w:type="dxa"/>
            <w:tcBorders>
              <w:top w:val="nil"/>
              <w:left w:val="nil"/>
              <w:bottom w:val="single" w:sz="4" w:space="0" w:color="auto"/>
              <w:right w:val="single" w:sz="4" w:space="0" w:color="auto"/>
            </w:tcBorders>
            <w:shd w:val="clear" w:color="auto" w:fill="C6EFCE"/>
            <w:noWrap/>
            <w:vAlign w:val="center"/>
          </w:tcPr>
          <w:p w14:paraId="173ED5E1" w14:textId="77777777" w:rsidR="00F208CE" w:rsidRDefault="00513E84">
            <w:pPr>
              <w:pStyle w:val="P68B1DB1-Normal8"/>
              <w:spacing w:after="0"/>
              <w:rPr>
                <w:rFonts w:eastAsia="Times New Roman" w:cs="Times New Roman"/>
                <w:noProof/>
              </w:rPr>
            </w:pPr>
            <w:r>
              <w:rPr>
                <w:noProof/>
              </w:rPr>
              <w:t>proyectos</w:t>
            </w:r>
          </w:p>
        </w:tc>
        <w:tc>
          <w:tcPr>
            <w:tcW w:w="1203" w:type="dxa"/>
            <w:tcBorders>
              <w:top w:val="nil"/>
              <w:left w:val="nil"/>
              <w:bottom w:val="single" w:sz="4" w:space="0" w:color="auto"/>
              <w:right w:val="single" w:sz="4" w:space="0" w:color="auto"/>
            </w:tcBorders>
            <w:shd w:val="clear" w:color="auto" w:fill="C6EFCE"/>
            <w:noWrap/>
            <w:vAlign w:val="center"/>
          </w:tcPr>
          <w:p w14:paraId="609FDEB8" w14:textId="77777777" w:rsidR="00F208CE" w:rsidRDefault="00513E84">
            <w:pPr>
              <w:pStyle w:val="P68B1DB1-Normal8"/>
              <w:spacing w:after="0"/>
              <w:jc w:val="center"/>
              <w:rPr>
                <w:rFonts w:eastAsia="Times New Roman" w:cs="Times New Roman"/>
                <w:noProof/>
              </w:rPr>
            </w:pPr>
            <w:r>
              <w:rPr>
                <w:noProof/>
              </w:rPr>
              <w:t>0</w:t>
            </w:r>
          </w:p>
        </w:tc>
        <w:tc>
          <w:tcPr>
            <w:tcW w:w="960" w:type="dxa"/>
            <w:tcBorders>
              <w:top w:val="nil"/>
              <w:left w:val="nil"/>
              <w:bottom w:val="single" w:sz="4" w:space="0" w:color="auto"/>
              <w:right w:val="single" w:sz="4" w:space="0" w:color="auto"/>
            </w:tcBorders>
            <w:shd w:val="clear" w:color="auto" w:fill="C6EFCE"/>
            <w:noWrap/>
            <w:vAlign w:val="center"/>
          </w:tcPr>
          <w:p w14:paraId="70302BB5" w14:textId="77777777" w:rsidR="00F208CE" w:rsidRDefault="00513E84">
            <w:pPr>
              <w:pStyle w:val="P68B1DB1-Normal8"/>
              <w:spacing w:after="0"/>
              <w:jc w:val="center"/>
              <w:rPr>
                <w:rFonts w:eastAsia="Times New Roman" w:cs="Times New Roman"/>
                <w:noProof/>
              </w:rPr>
            </w:pPr>
            <w:r>
              <w:rPr>
                <w:noProof/>
              </w:rPr>
              <w:t>15</w:t>
            </w:r>
          </w:p>
        </w:tc>
        <w:tc>
          <w:tcPr>
            <w:tcW w:w="960" w:type="dxa"/>
            <w:tcBorders>
              <w:top w:val="nil"/>
              <w:left w:val="nil"/>
              <w:bottom w:val="single" w:sz="4" w:space="0" w:color="auto"/>
              <w:right w:val="single" w:sz="4" w:space="0" w:color="auto"/>
            </w:tcBorders>
            <w:shd w:val="clear" w:color="auto" w:fill="C6EFCE"/>
            <w:noWrap/>
            <w:vAlign w:val="center"/>
          </w:tcPr>
          <w:p w14:paraId="0309AA0E"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24CD92C2" w14:textId="77777777" w:rsidR="00F208CE" w:rsidRDefault="00513E84">
            <w:pPr>
              <w:pStyle w:val="P68B1DB1-Normal8"/>
              <w:spacing w:after="0"/>
              <w:jc w:val="center"/>
              <w:rPr>
                <w:rFonts w:eastAsia="Times New Roman" w:cs="Times New Roman"/>
                <w:noProof/>
              </w:rPr>
            </w:pPr>
            <w:r>
              <w:rPr>
                <w:noProof/>
              </w:rPr>
              <w:t>2026</w:t>
            </w:r>
          </w:p>
        </w:tc>
        <w:tc>
          <w:tcPr>
            <w:tcW w:w="3924" w:type="dxa"/>
            <w:tcBorders>
              <w:top w:val="nil"/>
              <w:left w:val="nil"/>
              <w:bottom w:val="single" w:sz="4" w:space="0" w:color="auto"/>
              <w:right w:val="single" w:sz="4" w:space="0" w:color="auto"/>
            </w:tcBorders>
            <w:shd w:val="clear" w:color="auto" w:fill="C6EFCE"/>
            <w:noWrap/>
            <w:vAlign w:val="center"/>
          </w:tcPr>
          <w:p w14:paraId="7D83F4BE" w14:textId="77777777" w:rsidR="00F208CE" w:rsidRDefault="00513E84">
            <w:pPr>
              <w:pStyle w:val="P68B1DB1-Normal8"/>
              <w:spacing w:after="0"/>
              <w:rPr>
                <w:rFonts w:eastAsia="Times New Roman" w:cs="Times New Roman"/>
                <w:strike/>
                <w:noProof/>
              </w:rPr>
            </w:pPr>
            <w:r>
              <w:rPr>
                <w:noProof/>
              </w:rPr>
              <w:t xml:space="preserve">Finalización de obras de </w:t>
            </w:r>
            <w:r>
              <w:rPr>
                <w:noProof/>
              </w:rPr>
              <w:t xml:space="preserve">infraestructura para siete proyectos de desfragmentación ecológica (como los conductos ecológicos o los túneles ecológicos) y finalización de ocho proyectos que solo abarcan fases preparatorias (como las fases de localización y diseño) para ocho proyectos </w:t>
            </w:r>
            <w:r>
              <w:rPr>
                <w:noProof/>
              </w:rPr>
              <w:t>de desfragmentación futuros.</w:t>
            </w:r>
          </w:p>
        </w:tc>
      </w:tr>
      <w:tr w:rsidR="00F208CE" w14:paraId="22D372D8"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22658811" w14:textId="77777777" w:rsidR="00F208CE" w:rsidRDefault="00513E84">
            <w:pPr>
              <w:pStyle w:val="P68B1DB1-Normal8"/>
              <w:spacing w:after="0"/>
              <w:jc w:val="center"/>
              <w:rPr>
                <w:rFonts w:eastAsia="Times New Roman" w:cs="Times New Roman"/>
                <w:noProof/>
              </w:rPr>
            </w:pPr>
            <w:r>
              <w:rPr>
                <w:noProof/>
              </w:rPr>
              <w:t>41</w:t>
            </w:r>
          </w:p>
        </w:tc>
        <w:tc>
          <w:tcPr>
            <w:tcW w:w="1593" w:type="dxa"/>
            <w:tcBorders>
              <w:top w:val="nil"/>
              <w:left w:val="nil"/>
              <w:bottom w:val="single" w:sz="4" w:space="0" w:color="auto"/>
              <w:right w:val="single" w:sz="4" w:space="0" w:color="auto"/>
            </w:tcBorders>
            <w:shd w:val="clear" w:color="auto" w:fill="C6EFCE"/>
            <w:noWrap/>
            <w:vAlign w:val="center"/>
          </w:tcPr>
          <w:p w14:paraId="2C21BB5C" w14:textId="77777777" w:rsidR="00F208CE" w:rsidRDefault="00513E84">
            <w:pPr>
              <w:pStyle w:val="P68B1DB1-Normal8"/>
              <w:spacing w:after="0"/>
              <w:rPr>
                <w:rFonts w:eastAsia="Times New Roman" w:cs="Times New Roman"/>
                <w:noProof/>
              </w:rPr>
            </w:pPr>
            <w:r>
              <w:rPr>
                <w:noProof/>
              </w:rPr>
              <w:t>Acuerdo Azul (I-1.24)</w:t>
            </w:r>
          </w:p>
        </w:tc>
        <w:tc>
          <w:tcPr>
            <w:tcW w:w="1100" w:type="dxa"/>
            <w:tcBorders>
              <w:top w:val="nil"/>
              <w:left w:val="nil"/>
              <w:bottom w:val="single" w:sz="4" w:space="0" w:color="auto"/>
              <w:right w:val="single" w:sz="4" w:space="0" w:color="auto"/>
            </w:tcBorders>
            <w:shd w:val="clear" w:color="auto" w:fill="C6EFCE"/>
            <w:noWrap/>
            <w:vAlign w:val="center"/>
          </w:tcPr>
          <w:p w14:paraId="251D8154" w14:textId="1C7DD9BA" w:rsidR="00F208CE" w:rsidRDefault="00513E84">
            <w:pPr>
              <w:pStyle w:val="P68B1DB1-Normal8"/>
              <w:spacing w:after="0"/>
              <w:rPr>
                <w:rFonts w:eastAsia="Times New Roman" w:cs="Times New Roman"/>
                <w:noProof/>
              </w:rPr>
            </w:pPr>
            <w:r>
              <w:rPr>
                <w:noProof/>
              </w:rPr>
              <w:t>M</w:t>
            </w:r>
          </w:p>
        </w:tc>
        <w:tc>
          <w:tcPr>
            <w:tcW w:w="2019" w:type="dxa"/>
            <w:tcBorders>
              <w:top w:val="nil"/>
              <w:left w:val="nil"/>
              <w:bottom w:val="single" w:sz="4" w:space="0" w:color="auto"/>
              <w:right w:val="single" w:sz="4" w:space="0" w:color="auto"/>
            </w:tcBorders>
            <w:shd w:val="clear" w:color="auto" w:fill="C6EFCE"/>
            <w:noWrap/>
            <w:vAlign w:val="center"/>
          </w:tcPr>
          <w:p w14:paraId="77F7433C" w14:textId="77777777" w:rsidR="00F208CE" w:rsidRDefault="00513E84">
            <w:pPr>
              <w:pStyle w:val="P68B1DB1-Normal8"/>
              <w:spacing w:after="0"/>
              <w:rPr>
                <w:rFonts w:eastAsia="Times New Roman" w:cs="Times New Roman"/>
                <w:noProof/>
              </w:rPr>
            </w:pPr>
            <w:r>
              <w:rPr>
                <w:noProof/>
              </w:rPr>
              <w:t>Inicio de proyectos para reforzar la biodiversidad o mitigar los efectos del cambio climático.</w:t>
            </w:r>
          </w:p>
        </w:tc>
        <w:tc>
          <w:tcPr>
            <w:tcW w:w="1241" w:type="dxa"/>
            <w:tcBorders>
              <w:top w:val="nil"/>
              <w:left w:val="nil"/>
              <w:bottom w:val="single" w:sz="4" w:space="0" w:color="auto"/>
              <w:right w:val="single" w:sz="4" w:space="0" w:color="auto"/>
            </w:tcBorders>
            <w:shd w:val="clear" w:color="auto" w:fill="C6EFCE"/>
            <w:noWrap/>
            <w:vAlign w:val="center"/>
          </w:tcPr>
          <w:p w14:paraId="63DB5F30" w14:textId="77777777" w:rsidR="00F208CE" w:rsidRDefault="00513E84">
            <w:pPr>
              <w:pStyle w:val="P68B1DB1-Normal8"/>
              <w:spacing w:after="0"/>
              <w:rPr>
                <w:rFonts w:eastAsia="Times New Roman" w:cs="Times New Roman"/>
                <w:noProof/>
              </w:rPr>
            </w:pPr>
            <w:r>
              <w:rPr>
                <w:noProof/>
              </w:rPr>
              <w:t>Documento escrito contractual o jurídico para declarar el inicio</w:t>
            </w:r>
          </w:p>
        </w:tc>
        <w:tc>
          <w:tcPr>
            <w:tcW w:w="993" w:type="dxa"/>
            <w:tcBorders>
              <w:top w:val="nil"/>
              <w:left w:val="nil"/>
              <w:bottom w:val="single" w:sz="4" w:space="0" w:color="auto"/>
              <w:right w:val="single" w:sz="4" w:space="0" w:color="auto"/>
            </w:tcBorders>
            <w:shd w:val="clear" w:color="auto" w:fill="C6EFCE"/>
            <w:noWrap/>
            <w:vAlign w:val="center"/>
          </w:tcPr>
          <w:p w14:paraId="71DFA128" w14:textId="77777777" w:rsidR="00F208CE" w:rsidRDefault="00F208CE">
            <w:pPr>
              <w:spacing w:after="0"/>
              <w:rPr>
                <w:rFonts w:ascii="Times New Roman" w:eastAsia="Times New Roman" w:hAnsi="Times New Roman" w:cs="Times New Roman"/>
                <w:noProof/>
                <w:color w:val="006100"/>
              </w:rPr>
            </w:pPr>
          </w:p>
        </w:tc>
        <w:tc>
          <w:tcPr>
            <w:tcW w:w="1203" w:type="dxa"/>
            <w:tcBorders>
              <w:top w:val="nil"/>
              <w:left w:val="nil"/>
              <w:bottom w:val="single" w:sz="4" w:space="0" w:color="auto"/>
              <w:right w:val="single" w:sz="4" w:space="0" w:color="auto"/>
            </w:tcBorders>
            <w:shd w:val="clear" w:color="auto" w:fill="C6EFCE"/>
            <w:noWrap/>
            <w:vAlign w:val="center"/>
          </w:tcPr>
          <w:p w14:paraId="2B366AE0"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61AEEA37" w14:textId="77777777" w:rsidR="00F208CE" w:rsidRDefault="00F208CE">
            <w:pPr>
              <w:spacing w:after="0"/>
              <w:rPr>
                <w:rFonts w:ascii="Times New Roman" w:eastAsia="Times New Roman" w:hAnsi="Times New Roman" w:cs="Times New Roman"/>
                <w:strike/>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0E5C2DD4"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0156DC6F" w14:textId="77777777" w:rsidR="00F208CE" w:rsidRDefault="00513E84">
            <w:pPr>
              <w:pStyle w:val="P68B1DB1-Normal8"/>
              <w:spacing w:after="0"/>
              <w:jc w:val="center"/>
              <w:rPr>
                <w:rFonts w:eastAsia="Times New Roman" w:cs="Times New Roman"/>
                <w:noProof/>
              </w:rPr>
            </w:pPr>
            <w:r>
              <w:rPr>
                <w:noProof/>
              </w:rPr>
              <w:t>2023</w:t>
            </w:r>
          </w:p>
        </w:tc>
        <w:tc>
          <w:tcPr>
            <w:tcW w:w="3924" w:type="dxa"/>
            <w:tcBorders>
              <w:top w:val="nil"/>
              <w:left w:val="nil"/>
              <w:bottom w:val="single" w:sz="4" w:space="0" w:color="auto"/>
              <w:right w:val="single" w:sz="4" w:space="0" w:color="auto"/>
            </w:tcBorders>
            <w:shd w:val="clear" w:color="auto" w:fill="C6EFCE"/>
            <w:noWrap/>
            <w:vAlign w:val="center"/>
          </w:tcPr>
          <w:p w14:paraId="7C534D8F" w14:textId="79CDF014" w:rsidR="00F208CE" w:rsidRDefault="00513E84">
            <w:pPr>
              <w:pStyle w:val="P68B1DB1-Normal8"/>
              <w:spacing w:after="0"/>
              <w:rPr>
                <w:rFonts w:eastAsia="Times New Roman" w:cs="Times New Roman"/>
                <w:noProof/>
              </w:rPr>
            </w:pPr>
            <w:r>
              <w:rPr>
                <w:noProof/>
              </w:rPr>
              <w:t xml:space="preserve">Documento </w:t>
            </w:r>
            <w:r>
              <w:rPr>
                <w:noProof/>
              </w:rPr>
              <w:t>contractual o jurídico escrito firmado o adoptado para testificar el inicio de 41 de 46 proyectos para reforzar la biodiversidad o mitigar los efectos del cambio climático, como las inundaciones de sequía: 35 proyectos paisajísticos para la mitigación de l</w:t>
            </w:r>
            <w:r>
              <w:rPr>
                <w:noProof/>
              </w:rPr>
              <w:t>a sequía (proyectos A en la descripción de la medida), un programa de investigación en agricultura (B), dos proyectos sobre bombas y esclusas fluviales (C), un régimen de apoyo a la gestión del agua (D), dos módulos inteligentes de datos sobre el agua y pr</w:t>
            </w:r>
            <w:r>
              <w:rPr>
                <w:noProof/>
              </w:rPr>
              <w:t>oyectos de agua circulares (F), cuatro ámbitos para soluciones basadas en la naturaleza (G) y la restauración de humedales (I).</w:t>
            </w:r>
          </w:p>
        </w:tc>
      </w:tr>
      <w:tr w:rsidR="00F208CE" w14:paraId="76F86FB9"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24E98C48" w14:textId="77777777" w:rsidR="00F208CE" w:rsidRDefault="00513E84">
            <w:pPr>
              <w:pStyle w:val="P68B1DB1-Normal8"/>
              <w:spacing w:after="0"/>
              <w:jc w:val="center"/>
              <w:rPr>
                <w:rFonts w:eastAsia="Times New Roman" w:cs="Times New Roman"/>
                <w:noProof/>
              </w:rPr>
            </w:pPr>
            <w:r>
              <w:rPr>
                <w:noProof/>
              </w:rPr>
              <w:t>42</w:t>
            </w:r>
          </w:p>
        </w:tc>
        <w:tc>
          <w:tcPr>
            <w:tcW w:w="1593" w:type="dxa"/>
            <w:tcBorders>
              <w:top w:val="nil"/>
              <w:left w:val="nil"/>
              <w:bottom w:val="single" w:sz="4" w:space="0" w:color="auto"/>
              <w:right w:val="single" w:sz="4" w:space="0" w:color="auto"/>
            </w:tcBorders>
            <w:shd w:val="clear" w:color="auto" w:fill="C6EFCE"/>
            <w:noWrap/>
            <w:vAlign w:val="center"/>
          </w:tcPr>
          <w:p w14:paraId="2EB76865" w14:textId="77777777" w:rsidR="00F208CE" w:rsidRDefault="00513E84">
            <w:pPr>
              <w:pStyle w:val="P68B1DB1-Normal8"/>
              <w:spacing w:after="0"/>
              <w:rPr>
                <w:rFonts w:eastAsia="Times New Roman" w:cs="Times New Roman"/>
                <w:noProof/>
              </w:rPr>
            </w:pPr>
            <w:r>
              <w:rPr>
                <w:noProof/>
              </w:rPr>
              <w:t>Acuerdo Azul (I-1.24)</w:t>
            </w:r>
          </w:p>
        </w:tc>
        <w:tc>
          <w:tcPr>
            <w:tcW w:w="1100" w:type="dxa"/>
            <w:tcBorders>
              <w:top w:val="nil"/>
              <w:left w:val="nil"/>
              <w:bottom w:val="single" w:sz="4" w:space="0" w:color="auto"/>
              <w:right w:val="single" w:sz="4" w:space="0" w:color="auto"/>
            </w:tcBorders>
            <w:shd w:val="clear" w:color="auto" w:fill="C6EFCE"/>
            <w:noWrap/>
            <w:vAlign w:val="center"/>
          </w:tcPr>
          <w:p w14:paraId="4D2CB40C" w14:textId="6A79DB87" w:rsidR="00F208CE" w:rsidRDefault="00513E84">
            <w:pPr>
              <w:pStyle w:val="P68B1DB1-Normal8"/>
              <w:spacing w:after="0"/>
              <w:rPr>
                <w:rFonts w:eastAsia="Times New Roman" w:cs="Times New Roman"/>
                <w:noProof/>
              </w:rPr>
            </w:pPr>
            <w:r>
              <w:rPr>
                <w:noProof/>
              </w:rPr>
              <w:t>M</w:t>
            </w:r>
          </w:p>
        </w:tc>
        <w:tc>
          <w:tcPr>
            <w:tcW w:w="2019" w:type="dxa"/>
            <w:tcBorders>
              <w:top w:val="nil"/>
              <w:left w:val="nil"/>
              <w:bottom w:val="single" w:sz="4" w:space="0" w:color="auto"/>
              <w:right w:val="single" w:sz="4" w:space="0" w:color="auto"/>
            </w:tcBorders>
            <w:shd w:val="clear" w:color="auto" w:fill="C6EFCE"/>
            <w:noWrap/>
            <w:vAlign w:val="center"/>
          </w:tcPr>
          <w:p w14:paraId="47040388" w14:textId="77777777" w:rsidR="00F208CE" w:rsidRDefault="00513E84">
            <w:pPr>
              <w:pStyle w:val="P68B1DB1-Normal8"/>
              <w:spacing w:after="0"/>
              <w:rPr>
                <w:rFonts w:eastAsia="Times New Roman" w:cs="Times New Roman"/>
                <w:noProof/>
              </w:rPr>
            </w:pPr>
            <w:r>
              <w:rPr>
                <w:noProof/>
              </w:rPr>
              <w:t>Compras de terrenos para reforzar la biodiversidad o mitigar los efectos del cambio climático</w:t>
            </w:r>
          </w:p>
        </w:tc>
        <w:tc>
          <w:tcPr>
            <w:tcW w:w="1241" w:type="dxa"/>
            <w:tcBorders>
              <w:top w:val="nil"/>
              <w:left w:val="nil"/>
              <w:bottom w:val="single" w:sz="4" w:space="0" w:color="auto"/>
              <w:right w:val="single" w:sz="4" w:space="0" w:color="auto"/>
            </w:tcBorders>
            <w:shd w:val="clear" w:color="auto" w:fill="C6EFCE"/>
            <w:noWrap/>
            <w:vAlign w:val="center"/>
          </w:tcPr>
          <w:p w14:paraId="000843B7" w14:textId="77777777" w:rsidR="00F208CE" w:rsidRDefault="00513E84">
            <w:pPr>
              <w:pStyle w:val="P68B1DB1-Normal8"/>
              <w:spacing w:after="0"/>
              <w:rPr>
                <w:rFonts w:eastAsia="Times New Roman" w:cs="Times New Roman"/>
                <w:noProof/>
              </w:rPr>
            </w:pPr>
            <w:r>
              <w:rPr>
                <w:noProof/>
              </w:rPr>
              <w:t>Escrituras de título</w:t>
            </w:r>
          </w:p>
        </w:tc>
        <w:tc>
          <w:tcPr>
            <w:tcW w:w="993" w:type="dxa"/>
            <w:tcBorders>
              <w:top w:val="nil"/>
              <w:left w:val="nil"/>
              <w:bottom w:val="single" w:sz="4" w:space="0" w:color="auto"/>
              <w:right w:val="single" w:sz="4" w:space="0" w:color="auto"/>
            </w:tcBorders>
            <w:shd w:val="clear" w:color="auto" w:fill="C6EFCE"/>
            <w:noWrap/>
            <w:vAlign w:val="center"/>
          </w:tcPr>
          <w:p w14:paraId="581A65A6" w14:textId="77777777" w:rsidR="00F208CE" w:rsidRDefault="00F208CE">
            <w:pPr>
              <w:spacing w:after="0"/>
              <w:rPr>
                <w:rFonts w:ascii="Times New Roman" w:eastAsia="Times New Roman" w:hAnsi="Times New Roman" w:cs="Times New Roman"/>
                <w:noProof/>
                <w:color w:val="006100"/>
              </w:rPr>
            </w:pPr>
          </w:p>
        </w:tc>
        <w:tc>
          <w:tcPr>
            <w:tcW w:w="1203" w:type="dxa"/>
            <w:tcBorders>
              <w:top w:val="nil"/>
              <w:left w:val="nil"/>
              <w:bottom w:val="single" w:sz="4" w:space="0" w:color="auto"/>
              <w:right w:val="single" w:sz="4" w:space="0" w:color="auto"/>
            </w:tcBorders>
            <w:shd w:val="clear" w:color="auto" w:fill="C6EFCE"/>
            <w:noWrap/>
            <w:vAlign w:val="center"/>
          </w:tcPr>
          <w:p w14:paraId="07BA648E"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14B05522"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4BBEC002"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6FD8F194" w14:textId="77777777" w:rsidR="00F208CE" w:rsidRDefault="00513E84">
            <w:pPr>
              <w:pStyle w:val="P68B1DB1-Normal8"/>
              <w:spacing w:after="0"/>
              <w:jc w:val="center"/>
              <w:rPr>
                <w:rFonts w:eastAsia="Times New Roman" w:cs="Times New Roman"/>
                <w:noProof/>
              </w:rPr>
            </w:pPr>
            <w:r>
              <w:rPr>
                <w:noProof/>
              </w:rPr>
              <w:t>2023</w:t>
            </w:r>
          </w:p>
        </w:tc>
        <w:tc>
          <w:tcPr>
            <w:tcW w:w="3924" w:type="dxa"/>
            <w:tcBorders>
              <w:top w:val="nil"/>
              <w:left w:val="nil"/>
              <w:bottom w:val="single" w:sz="4" w:space="0" w:color="auto"/>
              <w:right w:val="single" w:sz="4" w:space="0" w:color="auto"/>
            </w:tcBorders>
            <w:shd w:val="clear" w:color="auto" w:fill="C6EFCE"/>
            <w:noWrap/>
            <w:vAlign w:val="center"/>
          </w:tcPr>
          <w:p w14:paraId="70B8A756" w14:textId="6C803709" w:rsidR="00F208CE" w:rsidRDefault="00513E84">
            <w:pPr>
              <w:pStyle w:val="P68B1DB1-Normal8"/>
              <w:spacing w:after="0"/>
              <w:rPr>
                <w:rFonts w:eastAsia="Times New Roman" w:cs="Times New Roman"/>
                <w:noProof/>
              </w:rPr>
            </w:pPr>
            <w:r>
              <w:rPr>
                <w:noProof/>
              </w:rPr>
              <w:t>Finalización de las compras de tierras para proyectos de restauración de humedales (I) y para superficies para soluciones basadas en la naturaleza (G) (aproximadamente 1 000 hectáreas)</w:t>
            </w:r>
          </w:p>
        </w:tc>
      </w:tr>
      <w:tr w:rsidR="00F208CE" w14:paraId="4FB9857D"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hideMark/>
          </w:tcPr>
          <w:p w14:paraId="33E2F22F" w14:textId="77777777" w:rsidR="00F208CE" w:rsidRDefault="00513E84">
            <w:pPr>
              <w:pStyle w:val="P68B1DB1-Normal8"/>
              <w:spacing w:after="0"/>
              <w:jc w:val="center"/>
              <w:rPr>
                <w:rFonts w:eastAsia="Times New Roman" w:cs="Times New Roman"/>
                <w:noProof/>
              </w:rPr>
            </w:pPr>
            <w:r>
              <w:rPr>
                <w:noProof/>
              </w:rPr>
              <w:t>43</w:t>
            </w:r>
          </w:p>
        </w:tc>
        <w:tc>
          <w:tcPr>
            <w:tcW w:w="1593" w:type="dxa"/>
            <w:tcBorders>
              <w:top w:val="nil"/>
              <w:left w:val="nil"/>
              <w:bottom w:val="single" w:sz="4" w:space="0" w:color="auto"/>
              <w:right w:val="single" w:sz="4" w:space="0" w:color="auto"/>
            </w:tcBorders>
            <w:shd w:val="clear" w:color="auto" w:fill="C6EFCE"/>
            <w:noWrap/>
            <w:vAlign w:val="center"/>
            <w:hideMark/>
          </w:tcPr>
          <w:p w14:paraId="2471D728" w14:textId="77777777" w:rsidR="00F208CE" w:rsidRDefault="00513E84">
            <w:pPr>
              <w:pStyle w:val="P68B1DB1-Normal8"/>
              <w:spacing w:after="0"/>
              <w:rPr>
                <w:rFonts w:eastAsia="Times New Roman" w:cs="Times New Roman"/>
                <w:noProof/>
              </w:rPr>
            </w:pPr>
            <w:r>
              <w:rPr>
                <w:noProof/>
              </w:rPr>
              <w:t xml:space="preserve">Acuerdo Azul </w:t>
            </w:r>
            <w:r>
              <w:rPr>
                <w:noProof/>
              </w:rPr>
              <w:t>(I-1.24)</w:t>
            </w:r>
          </w:p>
        </w:tc>
        <w:tc>
          <w:tcPr>
            <w:tcW w:w="1100" w:type="dxa"/>
            <w:tcBorders>
              <w:top w:val="nil"/>
              <w:left w:val="nil"/>
              <w:bottom w:val="single" w:sz="4" w:space="0" w:color="auto"/>
              <w:right w:val="single" w:sz="4" w:space="0" w:color="auto"/>
            </w:tcBorders>
            <w:shd w:val="clear" w:color="auto" w:fill="C6EFCE"/>
            <w:noWrap/>
            <w:vAlign w:val="center"/>
            <w:hideMark/>
          </w:tcPr>
          <w:p w14:paraId="3E57EA74" w14:textId="5ECCA0F3" w:rsidR="00F208CE" w:rsidRDefault="00513E84">
            <w:pPr>
              <w:pStyle w:val="P68B1DB1-Normal8"/>
              <w:spacing w:after="0"/>
              <w:rPr>
                <w:rFonts w:eastAsia="Times New Roman" w:cs="Times New Roman"/>
                <w:noProof/>
              </w:rPr>
            </w:pPr>
            <w:r>
              <w:rPr>
                <w:noProof/>
              </w:rPr>
              <w:t>T</w:t>
            </w:r>
          </w:p>
        </w:tc>
        <w:tc>
          <w:tcPr>
            <w:tcW w:w="2019" w:type="dxa"/>
            <w:tcBorders>
              <w:top w:val="nil"/>
              <w:left w:val="nil"/>
              <w:bottom w:val="single" w:sz="4" w:space="0" w:color="auto"/>
              <w:right w:val="single" w:sz="4" w:space="0" w:color="auto"/>
            </w:tcBorders>
            <w:shd w:val="clear" w:color="auto" w:fill="C6EFCE"/>
            <w:noWrap/>
            <w:vAlign w:val="center"/>
            <w:hideMark/>
          </w:tcPr>
          <w:p w14:paraId="4DCA4493" w14:textId="77777777" w:rsidR="00F208CE" w:rsidRDefault="00513E84">
            <w:pPr>
              <w:pStyle w:val="P68B1DB1-Normal8"/>
              <w:spacing w:after="0"/>
              <w:rPr>
                <w:rFonts w:eastAsia="Times New Roman" w:cs="Times New Roman"/>
                <w:noProof/>
              </w:rPr>
            </w:pPr>
            <w:r>
              <w:rPr>
                <w:noProof/>
              </w:rPr>
              <w:t>Finalización de los proyectos del Pacto Azul</w:t>
            </w:r>
          </w:p>
        </w:tc>
        <w:tc>
          <w:tcPr>
            <w:tcW w:w="1241" w:type="dxa"/>
            <w:tcBorders>
              <w:top w:val="nil"/>
              <w:left w:val="nil"/>
              <w:bottom w:val="single" w:sz="4" w:space="0" w:color="auto"/>
              <w:right w:val="single" w:sz="4" w:space="0" w:color="auto"/>
            </w:tcBorders>
            <w:shd w:val="clear" w:color="auto" w:fill="C6EFCE"/>
            <w:noWrap/>
            <w:vAlign w:val="center"/>
            <w:hideMark/>
          </w:tcPr>
          <w:p w14:paraId="63B58C79" w14:textId="77777777" w:rsidR="00F208CE" w:rsidRDefault="00F208CE">
            <w:pPr>
              <w:spacing w:after="0"/>
              <w:rPr>
                <w:rFonts w:ascii="Times New Roman" w:eastAsia="Times New Roman" w:hAnsi="Times New Roman" w:cs="Times New Roman"/>
                <w:noProof/>
                <w:color w:val="006100"/>
              </w:rPr>
            </w:pPr>
          </w:p>
        </w:tc>
        <w:tc>
          <w:tcPr>
            <w:tcW w:w="993" w:type="dxa"/>
            <w:tcBorders>
              <w:top w:val="nil"/>
              <w:left w:val="nil"/>
              <w:bottom w:val="single" w:sz="4" w:space="0" w:color="auto"/>
              <w:right w:val="single" w:sz="4" w:space="0" w:color="auto"/>
            </w:tcBorders>
            <w:shd w:val="clear" w:color="auto" w:fill="C6EFCE"/>
            <w:noWrap/>
            <w:vAlign w:val="center"/>
            <w:hideMark/>
          </w:tcPr>
          <w:p w14:paraId="46DAEC54" w14:textId="77777777" w:rsidR="00F208CE" w:rsidRDefault="00513E84">
            <w:pPr>
              <w:pStyle w:val="P68B1DB1-Normal8"/>
              <w:spacing w:after="0"/>
              <w:rPr>
                <w:rFonts w:eastAsia="Times New Roman" w:cs="Times New Roman"/>
                <w:noProof/>
              </w:rPr>
            </w:pPr>
            <w:r>
              <w:rPr>
                <w:noProof/>
              </w:rPr>
              <w:t>proyectos</w:t>
            </w:r>
          </w:p>
        </w:tc>
        <w:tc>
          <w:tcPr>
            <w:tcW w:w="1203" w:type="dxa"/>
            <w:tcBorders>
              <w:top w:val="nil"/>
              <w:left w:val="nil"/>
              <w:bottom w:val="single" w:sz="4" w:space="0" w:color="auto"/>
              <w:right w:val="single" w:sz="4" w:space="0" w:color="auto"/>
            </w:tcBorders>
            <w:shd w:val="clear" w:color="auto" w:fill="C6EFCE"/>
            <w:noWrap/>
            <w:vAlign w:val="center"/>
            <w:hideMark/>
          </w:tcPr>
          <w:p w14:paraId="57A91B58" w14:textId="77777777" w:rsidR="00F208CE" w:rsidRDefault="00513E84">
            <w:pPr>
              <w:pStyle w:val="P68B1DB1-Normal8"/>
              <w:spacing w:after="0"/>
              <w:rPr>
                <w:rFonts w:eastAsia="Times New Roman" w:cs="Times New Roman"/>
                <w:noProof/>
              </w:rPr>
            </w:pPr>
            <w:r>
              <w:rPr>
                <w:noProof/>
              </w:rPr>
              <w:t>0</w:t>
            </w:r>
          </w:p>
        </w:tc>
        <w:tc>
          <w:tcPr>
            <w:tcW w:w="960" w:type="dxa"/>
            <w:tcBorders>
              <w:top w:val="nil"/>
              <w:left w:val="nil"/>
              <w:bottom w:val="single" w:sz="4" w:space="0" w:color="auto"/>
              <w:right w:val="single" w:sz="4" w:space="0" w:color="auto"/>
            </w:tcBorders>
            <w:shd w:val="clear" w:color="auto" w:fill="C6EFCE"/>
            <w:noWrap/>
            <w:vAlign w:val="center"/>
            <w:hideMark/>
          </w:tcPr>
          <w:p w14:paraId="0D8AEE17" w14:textId="0DCC3335" w:rsidR="00F208CE" w:rsidRDefault="00513E84">
            <w:pPr>
              <w:pStyle w:val="P68B1DB1-Normal8"/>
              <w:spacing w:after="0"/>
              <w:rPr>
                <w:rFonts w:eastAsia="Times New Roman" w:cs="Times New Roman"/>
                <w:noProof/>
              </w:rPr>
            </w:pPr>
            <w:r>
              <w:rPr>
                <w:noProof/>
              </w:rPr>
              <w:t>41</w:t>
            </w:r>
          </w:p>
        </w:tc>
        <w:tc>
          <w:tcPr>
            <w:tcW w:w="960" w:type="dxa"/>
            <w:tcBorders>
              <w:top w:val="nil"/>
              <w:left w:val="nil"/>
              <w:bottom w:val="single" w:sz="4" w:space="0" w:color="auto"/>
              <w:right w:val="single" w:sz="4" w:space="0" w:color="auto"/>
            </w:tcBorders>
            <w:shd w:val="clear" w:color="auto" w:fill="C6EFCE"/>
            <w:noWrap/>
            <w:vAlign w:val="center"/>
            <w:hideMark/>
          </w:tcPr>
          <w:p w14:paraId="25DCAA25"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1D78135A" w14:textId="77777777" w:rsidR="00F208CE" w:rsidRDefault="00513E84">
            <w:pPr>
              <w:pStyle w:val="P68B1DB1-Normal8"/>
              <w:spacing w:after="0"/>
              <w:jc w:val="center"/>
              <w:rPr>
                <w:rFonts w:eastAsia="Times New Roman" w:cs="Times New Roman"/>
                <w:noProof/>
              </w:rPr>
            </w:pPr>
            <w:r>
              <w:rPr>
                <w:noProof/>
              </w:rPr>
              <w:t>2026</w:t>
            </w:r>
          </w:p>
        </w:tc>
        <w:tc>
          <w:tcPr>
            <w:tcW w:w="3924" w:type="dxa"/>
            <w:tcBorders>
              <w:top w:val="nil"/>
              <w:left w:val="nil"/>
              <w:bottom w:val="single" w:sz="4" w:space="0" w:color="auto"/>
              <w:right w:val="single" w:sz="4" w:space="0" w:color="auto"/>
            </w:tcBorders>
            <w:shd w:val="clear" w:color="auto" w:fill="C6EFCE"/>
            <w:noWrap/>
            <w:vAlign w:val="center"/>
            <w:hideMark/>
          </w:tcPr>
          <w:p w14:paraId="228B293B" w14:textId="2F4836CC" w:rsidR="00F208CE" w:rsidRDefault="00513E84">
            <w:pPr>
              <w:pStyle w:val="P68B1DB1-Normal8"/>
              <w:spacing w:after="0"/>
              <w:rPr>
                <w:rFonts w:eastAsia="Times New Roman" w:cs="Times New Roman"/>
                <w:noProof/>
              </w:rPr>
            </w:pPr>
            <w:r>
              <w:rPr>
                <w:noProof/>
              </w:rPr>
              <w:t xml:space="preserve">Finalización de 41 de los 46 proyectos del Pacto Azul para aumentar la resiliencia frente a la sequía (A, B, C, D, F, G, I), que abarcan 2 255 hectáreas (A, G, </w:t>
            </w:r>
            <w:r>
              <w:rPr>
                <w:noProof/>
              </w:rPr>
              <w:t>I), cuatro instalaciones de bombeo construidas y cuatro puertas de esclusa restauradas (C), incluida la finalización de una red de control inteligente del agua operativa y proyectos de agua circulares (F).</w:t>
            </w:r>
          </w:p>
        </w:tc>
      </w:tr>
    </w:tbl>
    <w:p w14:paraId="1B42EA13" w14:textId="77777777" w:rsidR="00F208CE" w:rsidRDefault="00F208CE">
      <w:pPr>
        <w:rPr>
          <w:rFonts w:ascii="Times New Roman" w:hAnsi="Times New Roman" w:cs="Times New Roman"/>
          <w:noProof/>
        </w:rPr>
        <w:sectPr w:rsidR="00F208CE" w:rsidSect="007F56C3">
          <w:headerReference w:type="default" r:id="rId40"/>
          <w:footerReference w:type="default" r:id="rId41"/>
          <w:pgSz w:w="16839" w:h="11907" w:orient="landscape"/>
          <w:pgMar w:top="1134" w:right="1134" w:bottom="1134" w:left="1134" w:header="567" w:footer="567" w:gutter="0"/>
          <w:cols w:space="720"/>
          <w:docGrid w:linePitch="360"/>
        </w:sectPr>
      </w:pPr>
    </w:p>
    <w:p w14:paraId="29F1CAC9" w14:textId="77777777" w:rsidR="00F208CE" w:rsidRDefault="00513E84">
      <w:pPr>
        <w:pStyle w:val="ManualHeading1"/>
        <w:spacing w:before="120"/>
        <w:ind w:left="0" w:firstLine="0"/>
        <w:rPr>
          <w:noProof/>
        </w:rPr>
      </w:pPr>
      <w:r>
        <w:rPr>
          <w:noProof/>
        </w:rPr>
        <w:t>D. COMPONENTE 2.1: Ciberseguridad</w:t>
      </w:r>
    </w:p>
    <w:p w14:paraId="3BFD3E3D" w14:textId="77777777" w:rsidR="00F208CE" w:rsidRDefault="00513E84">
      <w:pPr>
        <w:pStyle w:val="P68B1DB1-Normal1"/>
        <w:spacing w:before="120" w:after="120" w:line="240" w:lineRule="auto"/>
        <w:jc w:val="both"/>
        <w:rPr>
          <w:rFonts w:cs="Times New Roman"/>
          <w:noProof/>
        </w:rPr>
      </w:pPr>
      <w:r>
        <w:rPr>
          <w:noProof/>
        </w:rPr>
        <w:t>Se espera que este componente del plan belga de recuperación y resiliencia refuerce la ciberresiliencia general y la preparación de la sociedad belga ante cibercrisis.</w:t>
      </w:r>
    </w:p>
    <w:p w14:paraId="7D496CFE" w14:textId="77777777" w:rsidR="00F208CE" w:rsidRDefault="00513E84">
      <w:pPr>
        <w:pStyle w:val="P68B1DB1-Normal1"/>
        <w:spacing w:before="120" w:after="120" w:line="240" w:lineRule="auto"/>
        <w:jc w:val="both"/>
        <w:rPr>
          <w:rFonts w:cs="Times New Roman"/>
          <w:noProof/>
        </w:rPr>
      </w:pPr>
      <w:r>
        <w:rPr>
          <w:noProof/>
        </w:rPr>
        <w:t xml:space="preserve">El componente contribuye a </w:t>
      </w:r>
      <w:r>
        <w:rPr>
          <w:noProof/>
        </w:rPr>
        <w:t>abordar las recomendaciones específicas por país n.º 2019.3 y n.º 2020.3 para centrar la inversión en la transición digital y las recomendaciones específicas por país n.º 2019.4</w:t>
      </w:r>
      <w:r>
        <w:rPr>
          <w:noProof/>
          <w:shd w:val="clear" w:color="auto" w:fill="FFFFFF"/>
        </w:rPr>
        <w:t xml:space="preserve"> y n.º 2020.3 </w:t>
      </w:r>
      <w:r>
        <w:rPr>
          <w:noProof/>
        </w:rPr>
        <w:t>para mejorar el entorno empresarial.</w:t>
      </w:r>
    </w:p>
    <w:p w14:paraId="04E74D61" w14:textId="77777777" w:rsidR="00F208CE" w:rsidRDefault="00513E84">
      <w:pPr>
        <w:spacing w:before="120" w:after="120"/>
        <w:jc w:val="both"/>
        <w:rPr>
          <w:rFonts w:ascii="Times New Roman" w:hAnsi="Times New Roman" w:cs="Times New Roman"/>
          <w:b/>
          <w:noProof/>
          <w:sz w:val="24"/>
          <w:u w:val="single"/>
        </w:rPr>
      </w:pPr>
      <w:r>
        <w:rPr>
          <w:rFonts w:ascii="Times New Roman" w:hAnsi="Times New Roman"/>
          <w:b/>
          <w:noProof/>
          <w:sz w:val="24"/>
          <w:u w:val="single"/>
        </w:rPr>
        <w:t xml:space="preserve">D.1. </w:t>
      </w:r>
      <w:r>
        <w:rPr>
          <w:noProof/>
        </w:rPr>
        <w:t xml:space="preserve"> </w:t>
      </w:r>
      <w:r>
        <w:rPr>
          <w:rFonts w:ascii="Times New Roman" w:hAnsi="Times New Roman"/>
          <w:b/>
          <w:noProof/>
          <w:sz w:val="24"/>
          <w:u w:val="single"/>
        </w:rPr>
        <w:t>Descripción de las ref</w:t>
      </w:r>
      <w:r>
        <w:rPr>
          <w:rFonts w:ascii="Times New Roman" w:hAnsi="Times New Roman"/>
          <w:b/>
          <w:noProof/>
          <w:sz w:val="24"/>
          <w:u w:val="single"/>
        </w:rPr>
        <w:t>ormas e inversiones para la ayuda financiera no reembolsable</w:t>
      </w:r>
    </w:p>
    <w:p w14:paraId="38903484" w14:textId="77777777" w:rsidR="00F208CE" w:rsidRDefault="00513E84">
      <w:pPr>
        <w:pStyle w:val="P68B1DB1-Text19"/>
        <w:ind w:left="0"/>
        <w:rPr>
          <w:noProof/>
        </w:rPr>
      </w:pPr>
      <w:r>
        <w:rPr>
          <w:noProof/>
        </w:rPr>
        <w:t>Inversión I-2.01: «Sociedad digital cibersegura y resiliente» del Estado Federal</w:t>
      </w:r>
    </w:p>
    <w:p w14:paraId="0F3B813A" w14:textId="22A0A106" w:rsidR="00F208CE" w:rsidRDefault="00513E84">
      <w:pPr>
        <w:pStyle w:val="Text1"/>
        <w:ind w:left="0"/>
        <w:rPr>
          <w:noProof/>
        </w:rPr>
      </w:pPr>
      <w:r>
        <w:rPr>
          <w:noProof/>
        </w:rPr>
        <w:t>La inversión consiste en medidas para (1) reforzar las cibercapacidades de las pymes y los trabajadores por cuenta</w:t>
      </w:r>
      <w:r>
        <w:rPr>
          <w:noProof/>
        </w:rPr>
        <w:t xml:space="preserve"> propia a través de campañas de sensibilización en materia de ciberseguridad, un sitio web que ofrece servicios como un ciberespacio gratuito para identificar rápidamente ámbitos en los que puede mejorarse la ciberresiliencia y proyectos de apoyo a las pym</w:t>
      </w:r>
      <w:r>
        <w:rPr>
          <w:noProof/>
        </w:rPr>
        <w:t>es en el ámbito de la ciberseguridad, como el intercambio de mejores prácticas, (2) luchar contra la ciberdelincuencia mediante alertas específicas de cibervulnerabilidades e infecciones informáticas para usuarios profesionales de TI (Be Guard), un complem</w:t>
      </w:r>
      <w:r>
        <w:rPr>
          <w:noProof/>
        </w:rPr>
        <w:t>ento en línea que permite a los visitantes identificar la fiabilidad de los sitios web (sitios web validados), y un cuestionario en línea para evaluar la madurez cibernética de las empresas, así como recomendaciones para aumentar su ciberresiliencia (ciber</w:t>
      </w:r>
      <w:r>
        <w:rPr>
          <w:noProof/>
        </w:rPr>
        <w:t>fundamentos), (3) combatir el phishing mediante plataformas actualizadas y nuevas contra la suplantación de identidad (StopPhishing), (4) introducir un marco de gobernanza mundial en materia de ciberseguridad en el Departamento de Asuntos Exteriores basado</w:t>
      </w:r>
      <w:r>
        <w:rPr>
          <w:noProof/>
        </w:rPr>
        <w:t xml:space="preserve"> en las</w:t>
      </w:r>
      <w:r>
        <w:rPr>
          <w:noProof/>
        </w:rPr>
        <w:footnoteReference w:id="4"/>
      </w:r>
      <w:r>
        <w:rPr>
          <w:noProof/>
        </w:rPr>
        <w:t xml:space="preserve"> normas ISO27000</w:t>
      </w:r>
      <w:r>
        <w:rPr>
          <w:noProof/>
        </w:rPr>
        <w:footnoteReference w:id="5"/>
      </w:r>
      <w:r>
        <w:rPr>
          <w:noProof/>
        </w:rPr>
        <w:t xml:space="preserve"> y CIS20, y (5) ofrecer servicios de ciberresiliencia al público belga en general, consistentes en i) servicios de gestión de incidentes de ciberataques contra infraestructuras y sistemas informáticos de empresas privadas, los ciud</w:t>
      </w:r>
      <w:r>
        <w:rPr>
          <w:noProof/>
        </w:rPr>
        <w:t>adanos y los servicios gubernamentales, y ii) los servicios que permiten la atribución de tales ciberataques (es decir, la identificación de la organización o persona en el origen del ataque) debido al aumento de las capacidades cibernéticas del Ministerio</w:t>
      </w:r>
      <w:r>
        <w:rPr>
          <w:noProof/>
        </w:rPr>
        <w:t xml:space="preserve"> de Defensa, que es el centro de especialistas en ciberseguridad de la administración belga en el que dichas actividades están centralizadas. No se financiarán operaciones militares</w:t>
      </w:r>
      <w:r>
        <w:rPr>
          <w:b/>
          <w:noProof/>
        </w:rPr>
        <w:t xml:space="preserve"> </w:t>
      </w:r>
      <w:r>
        <w:rPr>
          <w:noProof/>
        </w:rPr>
        <w:t xml:space="preserve">y el centro de gravedad de la medida es civil, con servicios destinados a </w:t>
      </w:r>
      <w:r>
        <w:rPr>
          <w:noProof/>
        </w:rPr>
        <w:t>proteger e incrementar la ciberresiliencia y la ciberseguridad de la sociedad en general, es decir, las empresas privadas, los ciudadanos y los servicios gubernamentales. La ejecución de la inversión deberá estar terminada a más tardar el 30 de junio de 20</w:t>
      </w:r>
      <w:r>
        <w:rPr>
          <w:noProof/>
        </w:rPr>
        <w:t>26.</w:t>
      </w:r>
    </w:p>
    <w:p w14:paraId="78D9364E" w14:textId="77777777" w:rsidR="00F208CE" w:rsidRDefault="00513E84">
      <w:pPr>
        <w:pStyle w:val="P68B1DB1-Text19"/>
        <w:ind w:left="0"/>
        <w:rPr>
          <w:noProof/>
        </w:rPr>
      </w:pPr>
      <w:r>
        <w:rPr>
          <w:noProof/>
        </w:rPr>
        <w:t>Inversión I-2.02: «Ciberseguridad: 5G» del Estado Federal</w:t>
      </w:r>
    </w:p>
    <w:p w14:paraId="40053CEE" w14:textId="074E2ECA" w:rsidR="00F208CE" w:rsidRDefault="00513E84">
      <w:pPr>
        <w:pStyle w:val="Text1"/>
        <w:ind w:left="0"/>
        <w:rPr>
          <w:noProof/>
        </w:rPr>
      </w:pPr>
      <w:r>
        <w:rPr>
          <w:noProof/>
        </w:rPr>
        <w:t>La inversión tiene por objeto reforzar las capacidades de interceptación de comunicaciones privadas por parte de la policía judicial en un contexto 5G debido a las inversiones en un suite de bar</w:t>
      </w:r>
      <w:r>
        <w:rPr>
          <w:noProof/>
        </w:rPr>
        <w:t>rido y de interferencia, sistemas para captar audio en casas y vehículos, capacidades para localizar y rastrear vehículos y objetos, y un sistema de transmisión de imágenes adquiridas durante métodos especiales de investigación. Estas inversiones se adapta</w:t>
      </w:r>
      <w:r>
        <w:rPr>
          <w:noProof/>
        </w:rPr>
        <w:t>rán a la 5G. La ejecución de la inversión deberá estar terminada a más tardar el 31 de diciembre de 2025.</w:t>
      </w:r>
    </w:p>
    <w:p w14:paraId="23FF5433" w14:textId="77777777" w:rsidR="00F208CE" w:rsidRDefault="00513E84">
      <w:pPr>
        <w:pStyle w:val="P68B1DB1-Text19"/>
        <w:ind w:left="0"/>
        <w:rPr>
          <w:noProof/>
        </w:rPr>
      </w:pPr>
      <w:r>
        <w:rPr>
          <w:noProof/>
        </w:rPr>
        <w:t>Inversión I-2.03: «Ciberseguridad: Interceptación y salvaguardia de NTSU/CTIF del Estado Federal</w:t>
      </w:r>
    </w:p>
    <w:p w14:paraId="01750932" w14:textId="77777777" w:rsidR="00F208CE" w:rsidRDefault="00513E84">
      <w:pPr>
        <w:pStyle w:val="Text1"/>
        <w:ind w:left="0"/>
        <w:rPr>
          <w:noProof/>
        </w:rPr>
        <w:sectPr w:rsidR="00F208CE" w:rsidSect="00022287">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r>
        <w:rPr>
          <w:noProof/>
        </w:rPr>
        <w:t>La inversión introducirá un registro digital de comunicaciones privadas interceptadas (Li-Vault) gestionado por la Unidad Nacional de Apoyo Técnico y Táctico de la Policía Federal belga, para su uso por el sistema judicial, la policí</w:t>
      </w:r>
      <w:r>
        <w:rPr>
          <w:noProof/>
        </w:rPr>
        <w:t>a y los servicios de inteligencia. La ejecución de la inversión deberá estar terminada a más tardar el 30 de junio de 2025.</w:t>
      </w:r>
    </w:p>
    <w:p w14:paraId="353B57BE" w14:textId="6F96A641" w:rsidR="00F208CE" w:rsidRDefault="00513E84">
      <w:pPr>
        <w:pStyle w:val="Text1"/>
        <w:ind w:left="0"/>
        <w:rPr>
          <w:noProof/>
        </w:rPr>
      </w:pPr>
      <w:r>
        <w:rPr>
          <w:b/>
          <w:noProof/>
          <w:u w:val="single"/>
        </w:rPr>
        <w:t xml:space="preserve">D.2. </w:t>
      </w:r>
      <w:r>
        <w:rPr>
          <w:noProof/>
        </w:rPr>
        <w:t xml:space="preserve"> </w:t>
      </w:r>
      <w:r>
        <w:rPr>
          <w:b/>
          <w:noProof/>
          <w:u w:val="single"/>
        </w:rPr>
        <w:t>Hitos, metas, indicadores y calendario para el seguimiento y la ejecución de la ayuda financiera no reembolsable</w:t>
      </w:r>
    </w:p>
    <w:tbl>
      <w:tblPr>
        <w:tblW w:w="15622" w:type="dxa"/>
        <w:tblInd w:w="-318" w:type="dxa"/>
        <w:tblLayout w:type="fixed"/>
        <w:tblLook w:val="04A0" w:firstRow="1" w:lastRow="0" w:firstColumn="1" w:lastColumn="0" w:noHBand="0" w:noVBand="1"/>
      </w:tblPr>
      <w:tblGrid>
        <w:gridCol w:w="673"/>
        <w:gridCol w:w="1680"/>
        <w:gridCol w:w="1080"/>
        <w:gridCol w:w="1680"/>
        <w:gridCol w:w="1721"/>
        <w:gridCol w:w="1134"/>
        <w:gridCol w:w="850"/>
        <w:gridCol w:w="709"/>
        <w:gridCol w:w="992"/>
        <w:gridCol w:w="851"/>
        <w:gridCol w:w="4252"/>
      </w:tblGrid>
      <w:tr w:rsidR="00F208CE" w14:paraId="080966FD" w14:textId="77777777">
        <w:trPr>
          <w:trHeight w:val="927"/>
          <w:tblHeader/>
        </w:trPr>
        <w:tc>
          <w:tcPr>
            <w:tcW w:w="6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A1F07C" w14:textId="6A91AF6E" w:rsidR="00F208CE" w:rsidRDefault="00513E84">
            <w:pPr>
              <w:pStyle w:val="P68B1DB1-Normal7"/>
              <w:spacing w:after="0"/>
              <w:jc w:val="center"/>
              <w:rPr>
                <w:rFonts w:eastAsia="Times New Roman" w:cs="Times New Roman"/>
                <w:noProof/>
              </w:rPr>
            </w:pPr>
            <w:r>
              <w:rPr>
                <w:noProof/>
              </w:rPr>
              <w:t>Código N.B.:</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93A46F"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17F290" w14:textId="77777777" w:rsidR="00F208CE" w:rsidRDefault="00513E84">
            <w:pPr>
              <w:pStyle w:val="P68B1DB1-Normal7"/>
              <w:spacing w:after="0"/>
              <w:jc w:val="center"/>
              <w:rPr>
                <w:rFonts w:eastAsia="Times New Roman" w:cs="Times New Roman"/>
                <w:noProof/>
              </w:rPr>
            </w:pPr>
            <w:r>
              <w:rPr>
                <w:noProof/>
              </w:rPr>
              <w:t>Hito/Objetivo</w:t>
            </w:r>
          </w:p>
        </w:tc>
        <w:tc>
          <w:tcPr>
            <w:tcW w:w="1680" w:type="dxa"/>
            <w:vMerge w:val="restart"/>
            <w:tcBorders>
              <w:top w:val="single" w:sz="4" w:space="0" w:color="auto"/>
              <w:left w:val="nil"/>
              <w:bottom w:val="single" w:sz="4" w:space="0" w:color="auto"/>
              <w:right w:val="single" w:sz="4" w:space="0" w:color="auto"/>
            </w:tcBorders>
            <w:shd w:val="clear" w:color="auto" w:fill="BDD7EE"/>
            <w:vAlign w:val="center"/>
            <w:hideMark/>
          </w:tcPr>
          <w:p w14:paraId="77C18003" w14:textId="77777777" w:rsidR="00F208CE" w:rsidRDefault="00513E84">
            <w:pPr>
              <w:pStyle w:val="P68B1DB1-Normal7"/>
              <w:spacing w:after="0"/>
              <w:jc w:val="center"/>
              <w:rPr>
                <w:rFonts w:eastAsia="Times New Roman" w:cs="Times New Roman"/>
                <w:noProof/>
              </w:rPr>
            </w:pPr>
            <w:r>
              <w:rPr>
                <w:noProof/>
              </w:rPr>
              <w:t>Nombre</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58DD1D"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14:paraId="4D277C46"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7ED761FE"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7D741F0"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3CE1DCA7" w14:textId="77777777">
        <w:trPr>
          <w:trHeight w:val="1013"/>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6BC0A05E"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7D539A5" w14:textId="77777777" w:rsidR="00F208CE" w:rsidRDefault="00F208CE">
            <w:pPr>
              <w:spacing w:after="0"/>
              <w:rPr>
                <w:rFonts w:ascii="Times New Roman" w:eastAsia="Times New Roman" w:hAnsi="Times New Roman" w:cs="Times New Roman"/>
                <w:b/>
                <w:noProof/>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A1166C1"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789FBE98" w14:textId="77777777" w:rsidR="00F208CE" w:rsidRDefault="00F208CE">
            <w:pPr>
              <w:spacing w:after="0"/>
              <w:rPr>
                <w:rFonts w:ascii="Times New Roman" w:eastAsia="Times New Roman" w:hAnsi="Times New Roman" w:cs="Times New Roman"/>
                <w:b/>
                <w:noProof/>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235FCE2C" w14:textId="77777777" w:rsidR="00F208CE" w:rsidRDefault="00F208CE">
            <w:pPr>
              <w:spacing w:after="0"/>
              <w:rPr>
                <w:rFonts w:ascii="Times New Roman" w:eastAsia="Times New Roman" w:hAnsi="Times New Roman" w:cs="Times New Roman"/>
                <w:b/>
                <w:noProof/>
              </w:rPr>
            </w:pPr>
          </w:p>
        </w:tc>
        <w:tc>
          <w:tcPr>
            <w:tcW w:w="1134" w:type="dxa"/>
            <w:tcBorders>
              <w:top w:val="nil"/>
              <w:left w:val="single" w:sz="4" w:space="0" w:color="auto"/>
              <w:bottom w:val="single" w:sz="4" w:space="0" w:color="auto"/>
              <w:right w:val="single" w:sz="4" w:space="0" w:color="auto"/>
            </w:tcBorders>
            <w:shd w:val="clear" w:color="auto" w:fill="BDD7EE"/>
            <w:vAlign w:val="center"/>
            <w:hideMark/>
          </w:tcPr>
          <w:p w14:paraId="2D7538B0" w14:textId="77777777" w:rsidR="00F208CE" w:rsidRDefault="00513E84">
            <w:pPr>
              <w:pStyle w:val="P68B1DB1-Normal12"/>
              <w:spacing w:after="0"/>
              <w:jc w:val="center"/>
              <w:rPr>
                <w:rFonts w:eastAsia="Times New Roman" w:cs="Times New Roman"/>
                <w:noProof/>
              </w:rPr>
            </w:pPr>
            <w:r>
              <w:rPr>
                <w:noProof/>
              </w:rPr>
              <w:t>Unidad de medida</w:t>
            </w:r>
          </w:p>
        </w:tc>
        <w:tc>
          <w:tcPr>
            <w:tcW w:w="850" w:type="dxa"/>
            <w:tcBorders>
              <w:top w:val="nil"/>
              <w:left w:val="nil"/>
              <w:bottom w:val="single" w:sz="4" w:space="0" w:color="auto"/>
              <w:right w:val="single" w:sz="4" w:space="0" w:color="auto"/>
            </w:tcBorders>
            <w:shd w:val="clear" w:color="auto" w:fill="BDD7EE"/>
            <w:vAlign w:val="center"/>
            <w:hideMark/>
          </w:tcPr>
          <w:p w14:paraId="050C9574" w14:textId="77777777" w:rsidR="00F208CE" w:rsidRDefault="00513E84">
            <w:pPr>
              <w:pStyle w:val="P68B1DB1-Normal12"/>
              <w:spacing w:after="0"/>
              <w:jc w:val="center"/>
              <w:rPr>
                <w:rFonts w:eastAsia="Times New Roman" w:cs="Times New Roman"/>
                <w:noProof/>
              </w:rPr>
            </w:pPr>
            <w:r>
              <w:rPr>
                <w:noProof/>
              </w:rPr>
              <w:t xml:space="preserve">Basal </w:t>
            </w:r>
          </w:p>
        </w:tc>
        <w:tc>
          <w:tcPr>
            <w:tcW w:w="709" w:type="dxa"/>
            <w:tcBorders>
              <w:top w:val="nil"/>
              <w:left w:val="nil"/>
              <w:bottom w:val="single" w:sz="4" w:space="0" w:color="auto"/>
              <w:right w:val="single" w:sz="4" w:space="0" w:color="auto"/>
            </w:tcBorders>
            <w:shd w:val="clear" w:color="auto" w:fill="BDD7EE"/>
            <w:vAlign w:val="center"/>
            <w:hideMark/>
          </w:tcPr>
          <w:p w14:paraId="4ECE2AA1" w14:textId="77777777" w:rsidR="00F208CE" w:rsidRDefault="00513E84">
            <w:pPr>
              <w:pStyle w:val="P68B1DB1-Normal12"/>
              <w:spacing w:after="0"/>
              <w:jc w:val="center"/>
              <w:rPr>
                <w:rFonts w:eastAsia="Times New Roman" w:cs="Times New Roman"/>
                <w:noProof/>
              </w:rPr>
            </w:pPr>
            <w:r>
              <w:rPr>
                <w:noProof/>
              </w:rPr>
              <w:t xml:space="preserve">Meta </w:t>
            </w:r>
          </w:p>
        </w:tc>
        <w:tc>
          <w:tcPr>
            <w:tcW w:w="992" w:type="dxa"/>
            <w:tcBorders>
              <w:top w:val="nil"/>
              <w:left w:val="nil"/>
              <w:bottom w:val="single" w:sz="4" w:space="0" w:color="auto"/>
              <w:right w:val="single" w:sz="4" w:space="0" w:color="auto"/>
            </w:tcBorders>
            <w:shd w:val="clear" w:color="auto" w:fill="BDD7EE"/>
            <w:vAlign w:val="center"/>
            <w:hideMark/>
          </w:tcPr>
          <w:p w14:paraId="564631C3" w14:textId="77777777" w:rsidR="00F208CE" w:rsidRDefault="00513E84">
            <w:pPr>
              <w:pStyle w:val="P68B1DB1-Normal12"/>
              <w:spacing w:after="0"/>
              <w:jc w:val="center"/>
              <w:rPr>
                <w:rFonts w:eastAsia="Times New Roman" w:cs="Times New Roman"/>
                <w:noProof/>
              </w:rPr>
            </w:pPr>
            <w:r>
              <w:rPr>
                <w:noProof/>
              </w:rPr>
              <w:t>Trimestre</w:t>
            </w:r>
          </w:p>
        </w:tc>
        <w:tc>
          <w:tcPr>
            <w:tcW w:w="851" w:type="dxa"/>
            <w:tcBorders>
              <w:top w:val="nil"/>
              <w:left w:val="nil"/>
              <w:bottom w:val="single" w:sz="4" w:space="0" w:color="auto"/>
              <w:right w:val="single" w:sz="4" w:space="0" w:color="auto"/>
            </w:tcBorders>
            <w:shd w:val="clear" w:color="auto" w:fill="BDD7EE"/>
            <w:vAlign w:val="center"/>
            <w:hideMark/>
          </w:tcPr>
          <w:p w14:paraId="5DEFE66C" w14:textId="77777777" w:rsidR="00F208CE" w:rsidRDefault="00513E84">
            <w:pPr>
              <w:pStyle w:val="P68B1DB1-Normal12"/>
              <w:spacing w:after="0"/>
              <w:jc w:val="center"/>
              <w:rPr>
                <w:rFonts w:eastAsia="Times New Roman" w:cs="Times New Roman"/>
                <w:noProof/>
              </w:rPr>
            </w:pPr>
            <w:r>
              <w:rPr>
                <w:noProof/>
              </w:rPr>
              <w:t>Año</w:t>
            </w:r>
          </w:p>
        </w:tc>
        <w:tc>
          <w:tcPr>
            <w:tcW w:w="4252" w:type="dxa"/>
            <w:vMerge/>
            <w:tcBorders>
              <w:top w:val="single" w:sz="4" w:space="0" w:color="auto"/>
              <w:bottom w:val="single" w:sz="4" w:space="0" w:color="auto"/>
              <w:right w:val="single" w:sz="4" w:space="0" w:color="auto"/>
            </w:tcBorders>
            <w:vAlign w:val="center"/>
            <w:hideMark/>
          </w:tcPr>
          <w:p w14:paraId="57679C3E" w14:textId="77777777" w:rsidR="00F208CE" w:rsidRDefault="00F208CE">
            <w:pPr>
              <w:spacing w:after="0"/>
              <w:rPr>
                <w:rFonts w:ascii="Times New Roman" w:eastAsia="Times New Roman" w:hAnsi="Times New Roman" w:cs="Times New Roman"/>
                <w:b/>
                <w:noProof/>
              </w:rPr>
            </w:pPr>
          </w:p>
        </w:tc>
      </w:tr>
      <w:tr w:rsidR="00F208CE" w14:paraId="1113BA4C" w14:textId="77777777">
        <w:trPr>
          <w:trHeight w:val="309"/>
        </w:trPr>
        <w:tc>
          <w:tcPr>
            <w:tcW w:w="67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FDABC3F" w14:textId="77777777" w:rsidR="00F208CE" w:rsidRDefault="00513E84">
            <w:pPr>
              <w:pStyle w:val="P68B1DB1-Normal8"/>
              <w:spacing w:after="0"/>
              <w:jc w:val="center"/>
              <w:rPr>
                <w:rFonts w:eastAsia="Times New Roman" w:cs="Times New Roman"/>
                <w:noProof/>
              </w:rPr>
            </w:pPr>
            <w:r>
              <w:rPr>
                <w:noProof/>
              </w:rPr>
              <w:t>44</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4574A4F6" w14:textId="77777777" w:rsidR="00F208CE" w:rsidRDefault="00513E84">
            <w:pPr>
              <w:pStyle w:val="P68B1DB1-Normal8"/>
              <w:spacing w:after="0"/>
              <w:rPr>
                <w:rFonts w:eastAsia="Times New Roman" w:cs="Times New Roman"/>
                <w:noProof/>
              </w:rPr>
            </w:pPr>
            <w:r>
              <w:rPr>
                <w:noProof/>
              </w:rPr>
              <w:t>Sociedad digital cibersegura y resiliente (I-2.01)</w:t>
            </w: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26E956AC" w14:textId="77A9A157" w:rsidR="00F208CE" w:rsidRDefault="00513E84">
            <w:pPr>
              <w:pStyle w:val="P68B1DB1-Normal8"/>
              <w:spacing w:after="0"/>
              <w:rPr>
                <w:rFonts w:eastAsia="Times New Roman" w:cs="Times New Roman"/>
                <w:noProof/>
              </w:rPr>
            </w:pPr>
            <w:r>
              <w:rPr>
                <w:noProof/>
              </w:rPr>
              <w:t>T</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60AECE23" w14:textId="33480701" w:rsidR="00F208CE" w:rsidRDefault="00513E84">
            <w:pPr>
              <w:pStyle w:val="P68B1DB1-Normal8"/>
              <w:spacing w:after="0"/>
              <w:rPr>
                <w:rFonts w:eastAsia="Times New Roman" w:cs="Times New Roman"/>
                <w:noProof/>
              </w:rPr>
            </w:pPr>
            <w:r>
              <w:rPr>
                <w:noProof/>
              </w:rPr>
              <w:t>Notificación de la adjudicación de ocho licitaciones públicas</w:t>
            </w:r>
          </w:p>
        </w:tc>
        <w:tc>
          <w:tcPr>
            <w:tcW w:w="1721" w:type="dxa"/>
            <w:tcBorders>
              <w:top w:val="single" w:sz="4" w:space="0" w:color="auto"/>
              <w:left w:val="nil"/>
              <w:bottom w:val="single" w:sz="4" w:space="0" w:color="auto"/>
              <w:right w:val="single" w:sz="4" w:space="0" w:color="auto"/>
            </w:tcBorders>
            <w:shd w:val="clear" w:color="auto" w:fill="C6EFCE"/>
            <w:noWrap/>
            <w:vAlign w:val="center"/>
          </w:tcPr>
          <w:p w14:paraId="2D2703C3" w14:textId="310FBEB1" w:rsidR="00F208CE" w:rsidRDefault="00513E84">
            <w:pPr>
              <w:pStyle w:val="P68B1DB1-Normal8"/>
              <w:spacing w:after="0"/>
              <w:rPr>
                <w:rFonts w:eastAsia="Times New Roman" w:cs="Times New Roman"/>
                <w:noProof/>
              </w:rPr>
            </w:pPr>
            <w:r>
              <w:rPr>
                <w:noProof/>
              </w:rPr>
              <w:t>Notificación escrita de los premios a los candidatos seleccionados</w:t>
            </w:r>
          </w:p>
        </w:tc>
        <w:tc>
          <w:tcPr>
            <w:tcW w:w="1134" w:type="dxa"/>
            <w:tcBorders>
              <w:top w:val="nil"/>
              <w:left w:val="nil"/>
              <w:bottom w:val="single" w:sz="4" w:space="0" w:color="auto"/>
              <w:right w:val="single" w:sz="4" w:space="0" w:color="auto"/>
            </w:tcBorders>
            <w:shd w:val="clear" w:color="auto" w:fill="C6EFCE"/>
            <w:noWrap/>
            <w:vAlign w:val="center"/>
          </w:tcPr>
          <w:p w14:paraId="4CC80AA8" w14:textId="77777777" w:rsidR="00F208CE" w:rsidRDefault="00513E84">
            <w:pPr>
              <w:pStyle w:val="P68B1DB1-Normal8"/>
              <w:spacing w:after="0"/>
              <w:rPr>
                <w:rFonts w:eastAsia="Times New Roman" w:cs="Times New Roman"/>
                <w:noProof/>
              </w:rPr>
            </w:pPr>
            <w:r>
              <w:rPr>
                <w:noProof/>
              </w:rPr>
              <w:t>Adjudicación de contratos públicos</w:t>
            </w:r>
          </w:p>
        </w:tc>
        <w:tc>
          <w:tcPr>
            <w:tcW w:w="850" w:type="dxa"/>
            <w:tcBorders>
              <w:top w:val="nil"/>
              <w:left w:val="nil"/>
              <w:bottom w:val="single" w:sz="4" w:space="0" w:color="auto"/>
              <w:right w:val="single" w:sz="4" w:space="0" w:color="auto"/>
            </w:tcBorders>
            <w:shd w:val="clear" w:color="auto" w:fill="C6EFCE"/>
            <w:noWrap/>
            <w:vAlign w:val="center"/>
          </w:tcPr>
          <w:p w14:paraId="314DBF6D" w14:textId="77777777" w:rsidR="00F208CE" w:rsidRDefault="00513E84">
            <w:pPr>
              <w:pStyle w:val="P68B1DB1-Normal8"/>
              <w:spacing w:after="0"/>
              <w:jc w:val="right"/>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vAlign w:val="center"/>
          </w:tcPr>
          <w:p w14:paraId="0EB57DC3" w14:textId="77777777" w:rsidR="00F208CE" w:rsidRDefault="00513E84">
            <w:pPr>
              <w:pStyle w:val="P68B1DB1-Normal8"/>
              <w:spacing w:after="0"/>
              <w:jc w:val="right"/>
              <w:rPr>
                <w:rFonts w:eastAsia="Times New Roman" w:cs="Times New Roman"/>
                <w:noProof/>
              </w:rPr>
            </w:pPr>
            <w:r>
              <w:rPr>
                <w:noProof/>
              </w:rPr>
              <w:t>8</w:t>
            </w:r>
          </w:p>
        </w:tc>
        <w:tc>
          <w:tcPr>
            <w:tcW w:w="992" w:type="dxa"/>
            <w:tcBorders>
              <w:top w:val="nil"/>
              <w:left w:val="nil"/>
              <w:bottom w:val="single" w:sz="4" w:space="0" w:color="auto"/>
              <w:right w:val="single" w:sz="4" w:space="0" w:color="auto"/>
            </w:tcBorders>
            <w:shd w:val="clear" w:color="auto" w:fill="C6EFCE"/>
            <w:noWrap/>
            <w:vAlign w:val="center"/>
            <w:hideMark/>
          </w:tcPr>
          <w:p w14:paraId="63A6480D" w14:textId="77777777" w:rsidR="00F208CE" w:rsidRDefault="00513E84">
            <w:pPr>
              <w:pStyle w:val="P68B1DB1-Normal8"/>
              <w:spacing w:after="0"/>
              <w:jc w:val="center"/>
              <w:rPr>
                <w:rFonts w:eastAsia="Times New Roman" w:cs="Times New Roman"/>
                <w:noProof/>
              </w:rPr>
            </w:pPr>
            <w:r>
              <w:rPr>
                <w:noProof/>
              </w:rPr>
              <w:t xml:space="preserve">TERCER </w:t>
            </w:r>
            <w:r>
              <w:rPr>
                <w:noProof/>
              </w:rPr>
              <w:t>TRIMESTRE 2</w:t>
            </w:r>
          </w:p>
        </w:tc>
        <w:tc>
          <w:tcPr>
            <w:tcW w:w="851" w:type="dxa"/>
            <w:tcBorders>
              <w:top w:val="nil"/>
              <w:left w:val="nil"/>
              <w:bottom w:val="single" w:sz="4" w:space="0" w:color="auto"/>
              <w:right w:val="single" w:sz="4" w:space="0" w:color="auto"/>
            </w:tcBorders>
            <w:shd w:val="clear" w:color="auto" w:fill="C6EFCE"/>
            <w:noWrap/>
            <w:vAlign w:val="center"/>
            <w:hideMark/>
          </w:tcPr>
          <w:p w14:paraId="7D270CFC" w14:textId="77777777" w:rsidR="00F208CE" w:rsidRDefault="00513E84">
            <w:pPr>
              <w:pStyle w:val="P68B1DB1-Normal8"/>
              <w:spacing w:after="0"/>
              <w:jc w:val="center"/>
              <w:rPr>
                <w:rFonts w:eastAsia="Times New Roman" w:cs="Times New Roman"/>
                <w:noProof/>
              </w:rPr>
            </w:pPr>
            <w:r>
              <w:rPr>
                <w:noProof/>
              </w:rPr>
              <w:t>2024</w:t>
            </w:r>
          </w:p>
        </w:tc>
        <w:tc>
          <w:tcPr>
            <w:tcW w:w="4252" w:type="dxa"/>
            <w:tcBorders>
              <w:top w:val="single" w:sz="4" w:space="0" w:color="auto"/>
              <w:left w:val="nil"/>
              <w:bottom w:val="single" w:sz="4" w:space="0" w:color="auto"/>
              <w:right w:val="single" w:sz="4" w:space="0" w:color="auto"/>
            </w:tcBorders>
            <w:shd w:val="clear" w:color="auto" w:fill="C6EFCE"/>
            <w:noWrap/>
            <w:vAlign w:val="bottom"/>
            <w:hideMark/>
          </w:tcPr>
          <w:p w14:paraId="5E2A1FD3" w14:textId="401404CD" w:rsidR="00F208CE" w:rsidRDefault="00513E84">
            <w:pPr>
              <w:pStyle w:val="P68B1DB1-Normal8"/>
              <w:spacing w:after="0"/>
              <w:rPr>
                <w:rFonts w:eastAsia="Times New Roman" w:cs="Times New Roman"/>
                <w:noProof/>
              </w:rPr>
            </w:pPr>
            <w:r>
              <w:rPr>
                <w:noProof/>
              </w:rPr>
              <w:t>Notificación de las adjudicaciones de ocho licitaciones públicas i) por parte del Ministerio de Economía para la entrega del sitio web que permita a las pymes y los trabajadores por cuenta propia llevar a cabo un ciberescáner gratuito para</w:t>
            </w:r>
            <w:r>
              <w:rPr>
                <w:noProof/>
              </w:rPr>
              <w:t xml:space="preserve"> identificar rápidamente ámbitos en los que pueda mejorarse la ciberresiliencia, ii) por parte del Ministerio de Economía para una campaña anual de sensibilización en materia de ciberseguridad dirigida a las pymes y los trabajadores por cuenta propia, iii)</w:t>
            </w:r>
            <w:r>
              <w:rPr>
                <w:noProof/>
              </w:rPr>
              <w:t xml:space="preserve"> por el Centro de Ciberseguridad para la entrega de un complemento en línea que permita a los visitantes identificar la fiabilidad de los sitios web, iv) por el Centro de Ciberseguridad para la prestación de una plataforma en la que las pymes más grandes p</w:t>
            </w:r>
            <w:r>
              <w:rPr>
                <w:noProof/>
              </w:rPr>
              <w:t>uedan autoevaluar su cibermadurez sobre la base de una encuesta en línea; V) por el regulador federal belga de telecomunicaciones para la aplicación de una solución contra el phishing para los correos electrónicos, vi) SMS, vii) llamadas fraudulentas y vii</w:t>
            </w:r>
            <w:r>
              <w:rPr>
                <w:noProof/>
              </w:rPr>
              <w:t>i) mensajes de señalización fraudulentos en la infraestructura de los operadores de telecomunicaciones.</w:t>
            </w:r>
          </w:p>
        </w:tc>
      </w:tr>
      <w:tr w:rsidR="00F208CE" w14:paraId="1C24E52E" w14:textId="77777777">
        <w:trPr>
          <w:trHeight w:val="309"/>
        </w:trPr>
        <w:tc>
          <w:tcPr>
            <w:tcW w:w="673" w:type="dxa"/>
            <w:tcBorders>
              <w:top w:val="nil"/>
              <w:left w:val="single" w:sz="4" w:space="0" w:color="auto"/>
              <w:bottom w:val="single" w:sz="4" w:space="0" w:color="auto"/>
              <w:right w:val="single" w:sz="4" w:space="0" w:color="auto"/>
            </w:tcBorders>
            <w:shd w:val="clear" w:color="auto" w:fill="C6EFCE"/>
            <w:noWrap/>
            <w:vAlign w:val="center"/>
            <w:hideMark/>
          </w:tcPr>
          <w:p w14:paraId="3CDEA484" w14:textId="77777777" w:rsidR="00F208CE" w:rsidRDefault="00513E84">
            <w:pPr>
              <w:pStyle w:val="P68B1DB1-Normal8"/>
              <w:spacing w:after="0"/>
              <w:jc w:val="center"/>
              <w:rPr>
                <w:rFonts w:eastAsia="Times New Roman" w:cs="Times New Roman"/>
                <w:noProof/>
              </w:rPr>
            </w:pPr>
            <w:r>
              <w:rPr>
                <w:noProof/>
              </w:rPr>
              <w:t>45</w:t>
            </w:r>
          </w:p>
        </w:tc>
        <w:tc>
          <w:tcPr>
            <w:tcW w:w="1680" w:type="dxa"/>
            <w:tcBorders>
              <w:top w:val="nil"/>
              <w:left w:val="nil"/>
              <w:bottom w:val="single" w:sz="4" w:space="0" w:color="auto"/>
              <w:right w:val="single" w:sz="4" w:space="0" w:color="auto"/>
            </w:tcBorders>
            <w:shd w:val="clear" w:color="auto" w:fill="C6EFCE"/>
            <w:noWrap/>
            <w:vAlign w:val="center"/>
            <w:hideMark/>
          </w:tcPr>
          <w:p w14:paraId="445A2A8E" w14:textId="77777777" w:rsidR="00F208CE" w:rsidRDefault="00513E84">
            <w:pPr>
              <w:pStyle w:val="P68B1DB1-Normal8"/>
              <w:spacing w:after="0"/>
              <w:rPr>
                <w:rFonts w:eastAsia="Times New Roman" w:cs="Times New Roman"/>
                <w:noProof/>
              </w:rPr>
            </w:pPr>
            <w:r>
              <w:rPr>
                <w:noProof/>
              </w:rPr>
              <w:t>Sociedad digital cibersegura y resiliente (I-2.01)</w:t>
            </w:r>
          </w:p>
        </w:tc>
        <w:tc>
          <w:tcPr>
            <w:tcW w:w="1080" w:type="dxa"/>
            <w:tcBorders>
              <w:top w:val="nil"/>
              <w:left w:val="nil"/>
              <w:bottom w:val="single" w:sz="4" w:space="0" w:color="auto"/>
              <w:right w:val="single" w:sz="4" w:space="0" w:color="auto"/>
            </w:tcBorders>
            <w:shd w:val="clear" w:color="auto" w:fill="C6EFCE"/>
            <w:noWrap/>
            <w:vAlign w:val="center"/>
            <w:hideMark/>
          </w:tcPr>
          <w:p w14:paraId="521F51D1" w14:textId="5BF77051" w:rsidR="00F208CE" w:rsidRDefault="00513E84">
            <w:pPr>
              <w:pStyle w:val="P68B1DB1-Normal8"/>
              <w:spacing w:after="0"/>
              <w:rPr>
                <w:rFonts w:eastAsia="Times New Roman"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hideMark/>
          </w:tcPr>
          <w:p w14:paraId="16929CAA" w14:textId="0886B7DB" w:rsidR="00F208CE" w:rsidRDefault="00513E84">
            <w:pPr>
              <w:pStyle w:val="P68B1DB1-Normal8"/>
              <w:spacing w:after="0"/>
              <w:rPr>
                <w:rFonts w:eastAsia="Times New Roman" w:cs="Times New Roman"/>
                <w:noProof/>
              </w:rPr>
            </w:pPr>
            <w:r>
              <w:rPr>
                <w:noProof/>
              </w:rPr>
              <w:t>Realización de la primera campaña de sensibilización en materia de ciberseguridad</w:t>
            </w:r>
          </w:p>
        </w:tc>
        <w:tc>
          <w:tcPr>
            <w:tcW w:w="1721" w:type="dxa"/>
            <w:tcBorders>
              <w:top w:val="nil"/>
              <w:left w:val="nil"/>
              <w:bottom w:val="single" w:sz="4" w:space="0" w:color="auto"/>
              <w:right w:val="single" w:sz="4" w:space="0" w:color="auto"/>
            </w:tcBorders>
            <w:shd w:val="clear" w:color="auto" w:fill="C6EFCE"/>
            <w:noWrap/>
            <w:vAlign w:val="bottom"/>
            <w:hideMark/>
          </w:tcPr>
          <w:p w14:paraId="1190E227" w14:textId="77777777" w:rsidR="00F208CE" w:rsidRDefault="00513E84">
            <w:pPr>
              <w:pStyle w:val="P68B1DB1-Normal8"/>
              <w:spacing w:after="0"/>
              <w:rPr>
                <w:rFonts w:eastAsia="Times New Roman" w:cs="Times New Roman"/>
                <w:noProof/>
              </w:rPr>
            </w:pPr>
            <w:r>
              <w:rPr>
                <w:noProof/>
              </w:rPr>
              <w:t xml:space="preserve">Primera </w:t>
            </w:r>
            <w:r>
              <w:rPr>
                <w:noProof/>
              </w:rPr>
              <w:t>campaña de sensibilización en materia de ciberseguridad dirigida a las pymes y los trabajadores autónomos sobre los riesgos de ciberresiliencia</w:t>
            </w:r>
          </w:p>
        </w:tc>
        <w:tc>
          <w:tcPr>
            <w:tcW w:w="1134" w:type="dxa"/>
            <w:tcBorders>
              <w:top w:val="nil"/>
              <w:left w:val="nil"/>
              <w:bottom w:val="single" w:sz="4" w:space="0" w:color="auto"/>
              <w:right w:val="single" w:sz="4" w:space="0" w:color="auto"/>
            </w:tcBorders>
            <w:shd w:val="clear" w:color="auto" w:fill="C6EFCE"/>
            <w:noWrap/>
            <w:vAlign w:val="center"/>
          </w:tcPr>
          <w:p w14:paraId="7E40B513" w14:textId="77777777"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136FA1FA" w14:textId="77777777" w:rsidR="00F208CE" w:rsidRDefault="00F208CE">
            <w:pPr>
              <w:spacing w:after="0"/>
              <w:jc w:val="right"/>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3CA5A1E7" w14:textId="77777777" w:rsidR="00F208CE" w:rsidRDefault="00F208CE">
            <w:pPr>
              <w:spacing w:after="0"/>
              <w:jc w:val="right"/>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hideMark/>
          </w:tcPr>
          <w:p w14:paraId="3940E998" w14:textId="77777777" w:rsidR="00F208CE" w:rsidRDefault="00513E84">
            <w:pPr>
              <w:pStyle w:val="P68B1DB1-Normal8"/>
              <w:spacing w:after="0"/>
              <w:jc w:val="center"/>
              <w:rPr>
                <w:rFonts w:eastAsia="Times New Roman" w:cs="Times New Roman"/>
                <w:noProof/>
              </w:rPr>
            </w:pPr>
            <w:r>
              <w:rPr>
                <w:noProof/>
              </w:rPr>
              <w:t>TERCER TRIMESTRE 4</w:t>
            </w:r>
          </w:p>
        </w:tc>
        <w:tc>
          <w:tcPr>
            <w:tcW w:w="851" w:type="dxa"/>
            <w:tcBorders>
              <w:top w:val="nil"/>
              <w:left w:val="nil"/>
              <w:bottom w:val="single" w:sz="4" w:space="0" w:color="auto"/>
              <w:right w:val="single" w:sz="4" w:space="0" w:color="auto"/>
            </w:tcBorders>
            <w:shd w:val="clear" w:color="auto" w:fill="C6EFCE"/>
            <w:noWrap/>
            <w:vAlign w:val="center"/>
            <w:hideMark/>
          </w:tcPr>
          <w:p w14:paraId="0A4E3B6C" w14:textId="77777777" w:rsidR="00F208CE" w:rsidRDefault="00513E84">
            <w:pPr>
              <w:pStyle w:val="P68B1DB1-Normal8"/>
              <w:spacing w:after="0"/>
              <w:jc w:val="center"/>
              <w:rPr>
                <w:rFonts w:eastAsia="Times New Roman" w:cs="Times New Roman"/>
                <w:noProof/>
              </w:rPr>
            </w:pPr>
            <w:r>
              <w:rPr>
                <w:noProof/>
              </w:rPr>
              <w:t>2022</w:t>
            </w:r>
          </w:p>
        </w:tc>
        <w:tc>
          <w:tcPr>
            <w:tcW w:w="4252" w:type="dxa"/>
            <w:tcBorders>
              <w:top w:val="nil"/>
              <w:left w:val="nil"/>
              <w:bottom w:val="single" w:sz="4" w:space="0" w:color="auto"/>
              <w:right w:val="single" w:sz="4" w:space="0" w:color="auto"/>
            </w:tcBorders>
            <w:shd w:val="clear" w:color="auto" w:fill="C6EFCE"/>
            <w:noWrap/>
            <w:vAlign w:val="center"/>
          </w:tcPr>
          <w:p w14:paraId="764A517B" w14:textId="77777777" w:rsidR="00F208CE" w:rsidRDefault="00513E84">
            <w:pPr>
              <w:pStyle w:val="P68B1DB1-Normal8"/>
              <w:spacing w:after="0"/>
              <w:rPr>
                <w:rFonts w:eastAsia="Times New Roman" w:cs="Times New Roman"/>
                <w:noProof/>
              </w:rPr>
            </w:pPr>
            <w:r>
              <w:rPr>
                <w:noProof/>
              </w:rPr>
              <w:t xml:space="preserve">Primera campaña de sensibilización en materia de ciberseguridad dirigida a las pymes </w:t>
            </w:r>
            <w:r>
              <w:rPr>
                <w:noProof/>
              </w:rPr>
              <w:t xml:space="preserve">y los trabajadores por cuenta propia sobre los riesgos de ciberresiliencia impartida y desplegada en un sitio web. Este sitio web ofrecerá una «CyberScan» gratuita a las pymes y a los trabajadores por cuenta propia para identificar rápidamente los ámbitos </w:t>
            </w:r>
            <w:r>
              <w:rPr>
                <w:noProof/>
              </w:rPr>
              <w:t>en los que puede mejorarse la ciberresiliencia.</w:t>
            </w:r>
          </w:p>
        </w:tc>
      </w:tr>
      <w:tr w:rsidR="00F208CE" w14:paraId="4F264A0D" w14:textId="77777777">
        <w:trPr>
          <w:trHeight w:val="309"/>
        </w:trPr>
        <w:tc>
          <w:tcPr>
            <w:tcW w:w="673" w:type="dxa"/>
            <w:tcBorders>
              <w:top w:val="nil"/>
              <w:left w:val="single" w:sz="4" w:space="0" w:color="auto"/>
              <w:bottom w:val="single" w:sz="4" w:space="0" w:color="auto"/>
              <w:right w:val="single" w:sz="4" w:space="0" w:color="auto"/>
            </w:tcBorders>
            <w:shd w:val="clear" w:color="auto" w:fill="C6EFCE"/>
            <w:noWrap/>
            <w:vAlign w:val="center"/>
            <w:hideMark/>
          </w:tcPr>
          <w:p w14:paraId="4E78D52D" w14:textId="77777777" w:rsidR="00F208CE" w:rsidRDefault="00513E84">
            <w:pPr>
              <w:pStyle w:val="P68B1DB1-Normal8"/>
              <w:spacing w:after="0"/>
              <w:jc w:val="center"/>
              <w:rPr>
                <w:rFonts w:eastAsia="Times New Roman" w:cs="Times New Roman"/>
                <w:noProof/>
              </w:rPr>
            </w:pPr>
            <w:r>
              <w:rPr>
                <w:noProof/>
              </w:rPr>
              <w:t>46</w:t>
            </w:r>
          </w:p>
        </w:tc>
        <w:tc>
          <w:tcPr>
            <w:tcW w:w="1680" w:type="dxa"/>
            <w:tcBorders>
              <w:top w:val="nil"/>
              <w:left w:val="nil"/>
              <w:bottom w:val="single" w:sz="4" w:space="0" w:color="auto"/>
              <w:right w:val="single" w:sz="4" w:space="0" w:color="auto"/>
            </w:tcBorders>
            <w:shd w:val="clear" w:color="auto" w:fill="C6EFCE"/>
            <w:noWrap/>
            <w:vAlign w:val="center"/>
            <w:hideMark/>
          </w:tcPr>
          <w:p w14:paraId="0C96F36C" w14:textId="77777777" w:rsidR="00F208CE" w:rsidRDefault="00513E84">
            <w:pPr>
              <w:pStyle w:val="P68B1DB1-Normal8"/>
              <w:spacing w:after="0"/>
              <w:rPr>
                <w:rFonts w:eastAsia="Times New Roman" w:cs="Times New Roman"/>
                <w:noProof/>
              </w:rPr>
            </w:pPr>
            <w:r>
              <w:rPr>
                <w:noProof/>
              </w:rPr>
              <w:t>Sociedad digital cibersegura y resiliente (I-2.01)</w:t>
            </w:r>
          </w:p>
        </w:tc>
        <w:tc>
          <w:tcPr>
            <w:tcW w:w="1080" w:type="dxa"/>
            <w:tcBorders>
              <w:top w:val="nil"/>
              <w:left w:val="nil"/>
              <w:bottom w:val="single" w:sz="4" w:space="0" w:color="auto"/>
              <w:right w:val="single" w:sz="4" w:space="0" w:color="auto"/>
            </w:tcBorders>
            <w:shd w:val="clear" w:color="auto" w:fill="C6EFCE"/>
            <w:noWrap/>
            <w:vAlign w:val="center"/>
            <w:hideMark/>
          </w:tcPr>
          <w:p w14:paraId="16052212" w14:textId="6BD89817" w:rsidR="00F208CE" w:rsidRDefault="00513E84">
            <w:pPr>
              <w:pStyle w:val="P68B1DB1-Normal8"/>
              <w:spacing w:after="0"/>
              <w:rPr>
                <w:rFonts w:eastAsia="Times New Roman"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hideMark/>
          </w:tcPr>
          <w:p w14:paraId="5DF8C9FB" w14:textId="77777777" w:rsidR="00F208CE" w:rsidRDefault="00513E84">
            <w:pPr>
              <w:pStyle w:val="P68B1DB1-Normal8"/>
              <w:spacing w:after="0"/>
              <w:rPr>
                <w:rFonts w:eastAsia="Times New Roman" w:cs="Times New Roman"/>
                <w:noProof/>
              </w:rPr>
            </w:pPr>
            <w:r>
              <w:rPr>
                <w:noProof/>
              </w:rPr>
              <w:t>Instrumentos para aumentar la ciberresiliencia a disposición del público en general</w:t>
            </w:r>
          </w:p>
        </w:tc>
        <w:tc>
          <w:tcPr>
            <w:tcW w:w="1721" w:type="dxa"/>
            <w:tcBorders>
              <w:top w:val="nil"/>
              <w:left w:val="nil"/>
              <w:bottom w:val="single" w:sz="4" w:space="0" w:color="auto"/>
              <w:right w:val="single" w:sz="4" w:space="0" w:color="auto"/>
            </w:tcBorders>
            <w:shd w:val="clear" w:color="auto" w:fill="C6EFCE"/>
            <w:noWrap/>
            <w:vAlign w:val="center"/>
            <w:hideMark/>
          </w:tcPr>
          <w:p w14:paraId="2C6979ED" w14:textId="77777777" w:rsidR="00F208CE" w:rsidRDefault="00F208CE">
            <w:pPr>
              <w:spacing w:after="0"/>
              <w:rPr>
                <w:rFonts w:ascii="Times New Roman" w:eastAsia="Times New Roman" w:hAnsi="Times New Roman" w:cs="Times New Roman"/>
                <w:noProof/>
                <w:color w:val="006100"/>
              </w:rPr>
            </w:pPr>
          </w:p>
        </w:tc>
        <w:tc>
          <w:tcPr>
            <w:tcW w:w="1134" w:type="dxa"/>
            <w:tcBorders>
              <w:top w:val="nil"/>
              <w:left w:val="nil"/>
              <w:bottom w:val="single" w:sz="4" w:space="0" w:color="auto"/>
              <w:right w:val="single" w:sz="4" w:space="0" w:color="auto"/>
            </w:tcBorders>
            <w:shd w:val="clear" w:color="auto" w:fill="C6EFCE"/>
            <w:noWrap/>
            <w:vAlign w:val="center"/>
            <w:hideMark/>
          </w:tcPr>
          <w:p w14:paraId="65774778" w14:textId="77777777" w:rsidR="00F208CE" w:rsidRDefault="00513E84">
            <w:pPr>
              <w:pStyle w:val="P68B1DB1-Normal8"/>
              <w:spacing w:after="0"/>
              <w:rPr>
                <w:rFonts w:eastAsia="Times New Roman" w:cs="Times New Roman"/>
                <w:noProof/>
                <w:sz w:val="20"/>
              </w:rPr>
            </w:pPr>
            <w:r>
              <w:rPr>
                <w:noProof/>
                <w:sz w:val="20"/>
              </w:rPr>
              <w:t xml:space="preserve">Número de </w:t>
            </w:r>
            <w:r>
              <w:rPr>
                <w:noProof/>
                <w:sz w:val="18"/>
              </w:rPr>
              <w:t>instrumentos</w:t>
            </w:r>
            <w:r>
              <w:rPr>
                <w:noProof/>
                <w:sz w:val="20"/>
              </w:rPr>
              <w:t xml:space="preserve"> </w:t>
            </w:r>
          </w:p>
        </w:tc>
        <w:tc>
          <w:tcPr>
            <w:tcW w:w="850" w:type="dxa"/>
            <w:tcBorders>
              <w:top w:val="nil"/>
              <w:left w:val="nil"/>
              <w:bottom w:val="single" w:sz="4" w:space="0" w:color="auto"/>
              <w:right w:val="single" w:sz="4" w:space="0" w:color="auto"/>
            </w:tcBorders>
            <w:shd w:val="clear" w:color="auto" w:fill="C6EFCE"/>
            <w:noWrap/>
            <w:vAlign w:val="center"/>
          </w:tcPr>
          <w:p w14:paraId="2BFDC6A6" w14:textId="77777777" w:rsidR="00F208CE" w:rsidRDefault="00513E84">
            <w:pPr>
              <w:pStyle w:val="P68B1DB1-Normal8"/>
              <w:spacing w:after="0"/>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vAlign w:val="center"/>
          </w:tcPr>
          <w:p w14:paraId="41BA920A" w14:textId="77777777" w:rsidR="00F208CE" w:rsidRDefault="00513E84">
            <w:pPr>
              <w:pStyle w:val="P68B1DB1-Normal8"/>
              <w:spacing w:after="0"/>
              <w:rPr>
                <w:rFonts w:eastAsia="Times New Roman" w:cs="Times New Roman"/>
                <w:noProof/>
              </w:rPr>
            </w:pPr>
            <w:r>
              <w:rPr>
                <w:noProof/>
              </w:rPr>
              <w:t>4</w:t>
            </w:r>
          </w:p>
        </w:tc>
        <w:tc>
          <w:tcPr>
            <w:tcW w:w="992" w:type="dxa"/>
            <w:tcBorders>
              <w:top w:val="nil"/>
              <w:left w:val="nil"/>
              <w:bottom w:val="single" w:sz="4" w:space="0" w:color="auto"/>
              <w:right w:val="single" w:sz="4" w:space="0" w:color="auto"/>
            </w:tcBorders>
            <w:shd w:val="clear" w:color="auto" w:fill="C6EFCE"/>
            <w:noWrap/>
            <w:vAlign w:val="center"/>
            <w:hideMark/>
          </w:tcPr>
          <w:p w14:paraId="2D816B44" w14:textId="77777777" w:rsidR="00F208CE" w:rsidRDefault="00513E84">
            <w:pPr>
              <w:pStyle w:val="P68B1DB1-Normal8"/>
              <w:spacing w:after="0"/>
              <w:jc w:val="center"/>
              <w:rPr>
                <w:rFonts w:eastAsia="Times New Roman" w:cs="Times New Roman"/>
                <w:noProof/>
              </w:rPr>
            </w:pPr>
            <w:r>
              <w:rPr>
                <w:noProof/>
              </w:rPr>
              <w:t>TERCER TRIMESTRE 4</w:t>
            </w:r>
          </w:p>
        </w:tc>
        <w:tc>
          <w:tcPr>
            <w:tcW w:w="851" w:type="dxa"/>
            <w:tcBorders>
              <w:top w:val="nil"/>
              <w:left w:val="nil"/>
              <w:bottom w:val="single" w:sz="4" w:space="0" w:color="auto"/>
              <w:right w:val="single" w:sz="4" w:space="0" w:color="auto"/>
            </w:tcBorders>
            <w:shd w:val="clear" w:color="auto" w:fill="C6EFCE"/>
            <w:noWrap/>
            <w:vAlign w:val="center"/>
            <w:hideMark/>
          </w:tcPr>
          <w:p w14:paraId="58FCDD2E" w14:textId="4E144C6D" w:rsidR="00F208CE" w:rsidRDefault="00513E84">
            <w:pPr>
              <w:pStyle w:val="P68B1DB1-Normal8"/>
              <w:spacing w:after="0"/>
              <w:jc w:val="center"/>
              <w:rPr>
                <w:rFonts w:eastAsia="Times New Roman" w:cs="Times New Roman"/>
                <w:noProof/>
              </w:rPr>
            </w:pPr>
            <w:r>
              <w:rPr>
                <w:noProof/>
              </w:rPr>
              <w:t>2024</w:t>
            </w:r>
          </w:p>
        </w:tc>
        <w:tc>
          <w:tcPr>
            <w:tcW w:w="4252" w:type="dxa"/>
            <w:tcBorders>
              <w:top w:val="nil"/>
              <w:left w:val="nil"/>
              <w:bottom w:val="single" w:sz="4" w:space="0" w:color="auto"/>
              <w:right w:val="single" w:sz="4" w:space="0" w:color="auto"/>
            </w:tcBorders>
            <w:shd w:val="clear" w:color="auto" w:fill="C6EFCE"/>
            <w:noWrap/>
            <w:vAlign w:val="center"/>
            <w:hideMark/>
          </w:tcPr>
          <w:p w14:paraId="77BE0081" w14:textId="77777777" w:rsidR="00F208CE" w:rsidRDefault="00513E84">
            <w:pPr>
              <w:pStyle w:val="P68B1DB1-Normal8"/>
              <w:spacing w:after="0"/>
              <w:rPr>
                <w:rFonts w:eastAsia="Times New Roman" w:cs="Times New Roman"/>
                <w:noProof/>
              </w:rPr>
            </w:pPr>
            <w:r>
              <w:rPr>
                <w:noProof/>
              </w:rPr>
              <w:t xml:space="preserve">El público en </w:t>
            </w:r>
            <w:r>
              <w:rPr>
                <w:noProof/>
              </w:rPr>
              <w:t>general dispone de cuatro herramientas destinadas a aumentar las capacidades de ciberresiliencia, a saber: BeGuard, ii) sitios web validados; III) Ciber fundamentales, y iv) StopPhishing.</w:t>
            </w:r>
          </w:p>
        </w:tc>
      </w:tr>
      <w:tr w:rsidR="00F208CE" w14:paraId="25F3B820" w14:textId="77777777">
        <w:trPr>
          <w:trHeight w:val="309"/>
        </w:trPr>
        <w:tc>
          <w:tcPr>
            <w:tcW w:w="673" w:type="dxa"/>
            <w:tcBorders>
              <w:top w:val="nil"/>
              <w:left w:val="single" w:sz="4" w:space="0" w:color="auto"/>
              <w:bottom w:val="single" w:sz="4" w:space="0" w:color="auto"/>
              <w:right w:val="single" w:sz="4" w:space="0" w:color="auto"/>
            </w:tcBorders>
            <w:shd w:val="clear" w:color="auto" w:fill="C6EFCE"/>
            <w:noWrap/>
            <w:vAlign w:val="center"/>
          </w:tcPr>
          <w:p w14:paraId="0AF3B1DD" w14:textId="77777777" w:rsidR="00F208CE" w:rsidRDefault="00513E84">
            <w:pPr>
              <w:pStyle w:val="P68B1DB1-Normal8"/>
              <w:spacing w:after="0"/>
              <w:jc w:val="center"/>
              <w:rPr>
                <w:rFonts w:eastAsia="Times New Roman" w:cs="Times New Roman"/>
                <w:noProof/>
              </w:rPr>
            </w:pPr>
            <w:r>
              <w:rPr>
                <w:noProof/>
              </w:rPr>
              <w:t>47</w:t>
            </w:r>
          </w:p>
        </w:tc>
        <w:tc>
          <w:tcPr>
            <w:tcW w:w="1680" w:type="dxa"/>
            <w:tcBorders>
              <w:top w:val="nil"/>
              <w:left w:val="nil"/>
              <w:bottom w:val="single" w:sz="4" w:space="0" w:color="auto"/>
              <w:right w:val="single" w:sz="4" w:space="0" w:color="auto"/>
            </w:tcBorders>
            <w:shd w:val="clear" w:color="auto" w:fill="C6EFCE"/>
            <w:noWrap/>
            <w:vAlign w:val="center"/>
          </w:tcPr>
          <w:p w14:paraId="41FB164B" w14:textId="77777777" w:rsidR="00F208CE" w:rsidRDefault="00513E84">
            <w:pPr>
              <w:pStyle w:val="P68B1DB1-Normal8"/>
              <w:spacing w:after="0"/>
              <w:rPr>
                <w:rFonts w:eastAsia="Times New Roman" w:cs="Times New Roman"/>
                <w:noProof/>
              </w:rPr>
            </w:pPr>
            <w:r>
              <w:rPr>
                <w:noProof/>
              </w:rPr>
              <w:t>Sociedad digital cibersegura y resiliente (I-2.01)</w:t>
            </w:r>
          </w:p>
        </w:tc>
        <w:tc>
          <w:tcPr>
            <w:tcW w:w="1080" w:type="dxa"/>
            <w:tcBorders>
              <w:top w:val="nil"/>
              <w:left w:val="nil"/>
              <w:bottom w:val="single" w:sz="4" w:space="0" w:color="auto"/>
              <w:right w:val="single" w:sz="4" w:space="0" w:color="auto"/>
            </w:tcBorders>
            <w:shd w:val="clear" w:color="auto" w:fill="C6EFCE"/>
            <w:noWrap/>
            <w:vAlign w:val="center"/>
          </w:tcPr>
          <w:p w14:paraId="58931F20" w14:textId="7FD6258E" w:rsidR="00F208CE" w:rsidRDefault="00513E84">
            <w:pPr>
              <w:pStyle w:val="P68B1DB1-Normal8"/>
              <w:spacing w:after="0"/>
              <w:rPr>
                <w:rFonts w:eastAsia="Times New Roman"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1F1DED56" w14:textId="77777777" w:rsidR="00F208CE" w:rsidRDefault="00513E84">
            <w:pPr>
              <w:pStyle w:val="P68B1DB1-Normal8"/>
              <w:spacing w:after="0"/>
              <w:rPr>
                <w:rFonts w:eastAsia="Times New Roman" w:cs="Times New Roman"/>
                <w:noProof/>
              </w:rPr>
            </w:pPr>
            <w:r>
              <w:rPr>
                <w:noProof/>
              </w:rPr>
              <w:t xml:space="preserve">Marco global de gobernanza en materia de ciberseguridad en el Ministerio de Asuntos Exteriores </w:t>
            </w:r>
          </w:p>
        </w:tc>
        <w:tc>
          <w:tcPr>
            <w:tcW w:w="1721" w:type="dxa"/>
            <w:tcBorders>
              <w:top w:val="nil"/>
              <w:left w:val="nil"/>
              <w:bottom w:val="single" w:sz="4" w:space="0" w:color="auto"/>
              <w:right w:val="single" w:sz="4" w:space="0" w:color="auto"/>
            </w:tcBorders>
            <w:shd w:val="clear" w:color="auto" w:fill="C6EFCE"/>
            <w:noWrap/>
            <w:vAlign w:val="center"/>
          </w:tcPr>
          <w:p w14:paraId="5A26C67F" w14:textId="77777777" w:rsidR="00F208CE" w:rsidRDefault="00513E84">
            <w:pPr>
              <w:pStyle w:val="P68B1DB1-Normal8"/>
              <w:spacing w:after="0"/>
              <w:rPr>
                <w:rFonts w:eastAsia="Times New Roman" w:cs="Times New Roman"/>
                <w:noProof/>
              </w:rPr>
            </w:pPr>
            <w:r>
              <w:rPr>
                <w:noProof/>
              </w:rPr>
              <w:t>Aplicación y aplicación del marco global de gobernanza en materia de ciberseguridad en el Ministerio de Asuntos Exteriores</w:t>
            </w:r>
          </w:p>
        </w:tc>
        <w:tc>
          <w:tcPr>
            <w:tcW w:w="1134" w:type="dxa"/>
            <w:tcBorders>
              <w:top w:val="nil"/>
              <w:left w:val="nil"/>
              <w:bottom w:val="single" w:sz="4" w:space="0" w:color="auto"/>
              <w:right w:val="single" w:sz="4" w:space="0" w:color="auto"/>
            </w:tcBorders>
            <w:shd w:val="clear" w:color="auto" w:fill="C6EFCE"/>
            <w:noWrap/>
            <w:vAlign w:val="center"/>
          </w:tcPr>
          <w:p w14:paraId="1C99D034" w14:textId="77777777"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53D51B1A" w14:textId="77777777" w:rsidR="00F208CE" w:rsidRDefault="00F208CE">
            <w:pPr>
              <w:spacing w:after="0"/>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317DA7D6"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3C9C8C17" w14:textId="77777777" w:rsidR="00F208CE" w:rsidRDefault="00513E84">
            <w:pPr>
              <w:pStyle w:val="P68B1DB1-Normal8"/>
              <w:spacing w:after="0"/>
              <w:jc w:val="center"/>
              <w:rPr>
                <w:rFonts w:eastAsia="Times New Roman" w:cs="Times New Roman"/>
                <w:noProof/>
              </w:rPr>
            </w:pPr>
            <w:r>
              <w:rPr>
                <w:noProof/>
              </w:rPr>
              <w:t>TERCER TRIMESTRE 4</w:t>
            </w:r>
          </w:p>
        </w:tc>
        <w:tc>
          <w:tcPr>
            <w:tcW w:w="851" w:type="dxa"/>
            <w:tcBorders>
              <w:top w:val="nil"/>
              <w:left w:val="nil"/>
              <w:bottom w:val="single" w:sz="4" w:space="0" w:color="auto"/>
              <w:right w:val="single" w:sz="4" w:space="0" w:color="auto"/>
            </w:tcBorders>
            <w:shd w:val="clear" w:color="auto" w:fill="C6EFCE"/>
            <w:noWrap/>
            <w:vAlign w:val="center"/>
          </w:tcPr>
          <w:p w14:paraId="5CB735E8" w14:textId="77777777" w:rsidR="00F208CE" w:rsidRDefault="00513E84">
            <w:pPr>
              <w:pStyle w:val="P68B1DB1-Normal8"/>
              <w:spacing w:after="0"/>
              <w:jc w:val="center"/>
              <w:rPr>
                <w:rFonts w:eastAsia="Times New Roman" w:cs="Times New Roman"/>
                <w:noProof/>
              </w:rPr>
            </w:pPr>
            <w:r>
              <w:rPr>
                <w:noProof/>
              </w:rPr>
              <w:t>2023</w:t>
            </w:r>
          </w:p>
        </w:tc>
        <w:tc>
          <w:tcPr>
            <w:tcW w:w="4252" w:type="dxa"/>
            <w:tcBorders>
              <w:top w:val="nil"/>
              <w:left w:val="nil"/>
              <w:bottom w:val="single" w:sz="4" w:space="0" w:color="auto"/>
              <w:right w:val="single" w:sz="4" w:space="0" w:color="auto"/>
            </w:tcBorders>
            <w:shd w:val="clear" w:color="auto" w:fill="C6EFCE"/>
            <w:noWrap/>
            <w:vAlign w:val="center"/>
          </w:tcPr>
          <w:p w14:paraId="7B9BE02A" w14:textId="77777777" w:rsidR="00F208CE" w:rsidRDefault="00513E84">
            <w:pPr>
              <w:pStyle w:val="P68B1DB1-Normal8"/>
              <w:spacing w:after="0"/>
              <w:rPr>
                <w:rFonts w:eastAsia="Times New Roman" w:cs="Times New Roman"/>
                <w:noProof/>
              </w:rPr>
            </w:pPr>
            <w:r>
              <w:rPr>
                <w:noProof/>
              </w:rPr>
              <w:t>En el Mini</w:t>
            </w:r>
            <w:r>
              <w:rPr>
                <w:noProof/>
              </w:rPr>
              <w:t>sterio de Asuntos Exteriores está en vigor un marco mundial de gobernanza en materia de ciberseguridad basado en las normas ISO 27000 y CIS20.</w:t>
            </w:r>
          </w:p>
        </w:tc>
      </w:tr>
      <w:tr w:rsidR="00F208CE" w14:paraId="3B3C7ECB" w14:textId="77777777">
        <w:trPr>
          <w:trHeight w:val="309"/>
        </w:trPr>
        <w:tc>
          <w:tcPr>
            <w:tcW w:w="673" w:type="dxa"/>
            <w:tcBorders>
              <w:top w:val="nil"/>
              <w:left w:val="single" w:sz="4" w:space="0" w:color="auto"/>
              <w:bottom w:val="single" w:sz="4" w:space="0" w:color="auto"/>
              <w:right w:val="single" w:sz="4" w:space="0" w:color="auto"/>
            </w:tcBorders>
            <w:shd w:val="clear" w:color="auto" w:fill="C6EFCE"/>
            <w:noWrap/>
            <w:vAlign w:val="center"/>
          </w:tcPr>
          <w:p w14:paraId="11EB69B0" w14:textId="77777777" w:rsidR="00F208CE" w:rsidRDefault="00513E84">
            <w:pPr>
              <w:pStyle w:val="P68B1DB1-Normal8"/>
              <w:spacing w:after="0"/>
              <w:jc w:val="center"/>
              <w:rPr>
                <w:rFonts w:eastAsia="Times New Roman" w:cs="Times New Roman"/>
                <w:noProof/>
              </w:rPr>
            </w:pPr>
            <w:r>
              <w:rPr>
                <w:noProof/>
              </w:rPr>
              <w:t>48</w:t>
            </w:r>
          </w:p>
        </w:tc>
        <w:tc>
          <w:tcPr>
            <w:tcW w:w="1680" w:type="dxa"/>
            <w:tcBorders>
              <w:top w:val="nil"/>
              <w:left w:val="nil"/>
              <w:bottom w:val="single" w:sz="4" w:space="0" w:color="auto"/>
              <w:right w:val="single" w:sz="4" w:space="0" w:color="auto"/>
            </w:tcBorders>
            <w:shd w:val="clear" w:color="auto" w:fill="C6EFCE"/>
            <w:noWrap/>
            <w:vAlign w:val="center"/>
          </w:tcPr>
          <w:p w14:paraId="0F42320C" w14:textId="77777777" w:rsidR="00F208CE" w:rsidRDefault="00513E84">
            <w:pPr>
              <w:pStyle w:val="P68B1DB1-Normal8"/>
              <w:spacing w:after="0"/>
              <w:rPr>
                <w:rFonts w:eastAsia="Times New Roman" w:cs="Times New Roman"/>
                <w:noProof/>
              </w:rPr>
            </w:pPr>
            <w:r>
              <w:rPr>
                <w:noProof/>
              </w:rPr>
              <w:t>Sociedad digital cibersegura y resiliente (I-2.01)</w:t>
            </w:r>
          </w:p>
        </w:tc>
        <w:tc>
          <w:tcPr>
            <w:tcW w:w="1080" w:type="dxa"/>
            <w:tcBorders>
              <w:top w:val="nil"/>
              <w:left w:val="nil"/>
              <w:bottom w:val="single" w:sz="4" w:space="0" w:color="auto"/>
              <w:right w:val="single" w:sz="4" w:space="0" w:color="auto"/>
            </w:tcBorders>
            <w:shd w:val="clear" w:color="auto" w:fill="C6EFCE"/>
            <w:noWrap/>
            <w:vAlign w:val="center"/>
          </w:tcPr>
          <w:p w14:paraId="7986B72B" w14:textId="03BA753E" w:rsidR="00F208CE" w:rsidRDefault="00513E84">
            <w:pPr>
              <w:pStyle w:val="P68B1DB1-Normal8"/>
              <w:spacing w:after="0"/>
              <w:rPr>
                <w:rFonts w:eastAsia="Times New Roman"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402DF165" w14:textId="77777777" w:rsidR="00F208CE" w:rsidRDefault="00513E84">
            <w:pPr>
              <w:pStyle w:val="P68B1DB1-Normal8"/>
              <w:spacing w:after="0"/>
              <w:rPr>
                <w:rFonts w:eastAsia="Times New Roman" w:cs="Times New Roman"/>
                <w:noProof/>
              </w:rPr>
            </w:pPr>
            <w:r>
              <w:rPr>
                <w:noProof/>
              </w:rPr>
              <w:t xml:space="preserve">Prestación de servicios de ciberresiliencia a la </w:t>
            </w:r>
            <w:r>
              <w:rPr>
                <w:noProof/>
              </w:rPr>
              <w:t>sociedad belga en general por el Ministerio de Defensa</w:t>
            </w:r>
          </w:p>
        </w:tc>
        <w:tc>
          <w:tcPr>
            <w:tcW w:w="1721" w:type="dxa"/>
            <w:tcBorders>
              <w:top w:val="nil"/>
              <w:left w:val="nil"/>
              <w:bottom w:val="single" w:sz="4" w:space="0" w:color="auto"/>
              <w:right w:val="single" w:sz="4" w:space="0" w:color="auto"/>
            </w:tcBorders>
            <w:shd w:val="clear" w:color="auto" w:fill="C6EFCE"/>
            <w:noWrap/>
            <w:vAlign w:val="center"/>
          </w:tcPr>
          <w:p w14:paraId="3D928470" w14:textId="77777777" w:rsidR="00F208CE" w:rsidRDefault="00513E84">
            <w:pPr>
              <w:pStyle w:val="P68B1DB1-Normal8"/>
              <w:spacing w:after="0"/>
              <w:rPr>
                <w:rFonts w:eastAsia="Times New Roman" w:cs="Times New Roman"/>
                <w:noProof/>
              </w:rPr>
            </w:pPr>
            <w:r>
              <w:rPr>
                <w:noProof/>
              </w:rPr>
              <w:t>Entrada en funcionamiento de la plataforma de ciberresiliencia del Ministerio de Defensa y publicación del informe sobre ciberamenazas</w:t>
            </w:r>
          </w:p>
        </w:tc>
        <w:tc>
          <w:tcPr>
            <w:tcW w:w="1134" w:type="dxa"/>
            <w:tcBorders>
              <w:top w:val="nil"/>
              <w:left w:val="nil"/>
              <w:bottom w:val="single" w:sz="4" w:space="0" w:color="auto"/>
              <w:right w:val="single" w:sz="4" w:space="0" w:color="auto"/>
            </w:tcBorders>
            <w:shd w:val="clear" w:color="auto" w:fill="C6EFCE"/>
            <w:noWrap/>
            <w:vAlign w:val="center"/>
          </w:tcPr>
          <w:p w14:paraId="38EF80DF" w14:textId="77777777"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572FD017" w14:textId="77777777" w:rsidR="00F208CE" w:rsidRDefault="00F208CE">
            <w:pPr>
              <w:spacing w:after="0"/>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604EDD77"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4C9319A3" w14:textId="77777777" w:rsidR="00F208CE" w:rsidRDefault="00513E84">
            <w:pPr>
              <w:pStyle w:val="P68B1DB1-Normal8"/>
              <w:spacing w:after="0"/>
              <w:jc w:val="center"/>
              <w:rPr>
                <w:rFonts w:eastAsia="Times New Roman" w:cs="Times New Roman"/>
                <w:noProof/>
              </w:rPr>
            </w:pPr>
            <w:r>
              <w:rPr>
                <w:noProof/>
              </w:rPr>
              <w:t>TERCER TRIMESTRE 2</w:t>
            </w:r>
          </w:p>
        </w:tc>
        <w:tc>
          <w:tcPr>
            <w:tcW w:w="851" w:type="dxa"/>
            <w:tcBorders>
              <w:top w:val="nil"/>
              <w:left w:val="nil"/>
              <w:bottom w:val="single" w:sz="4" w:space="0" w:color="auto"/>
              <w:right w:val="single" w:sz="4" w:space="0" w:color="auto"/>
            </w:tcBorders>
            <w:shd w:val="clear" w:color="auto" w:fill="C6EFCE"/>
            <w:noWrap/>
            <w:vAlign w:val="center"/>
          </w:tcPr>
          <w:p w14:paraId="424B6246" w14:textId="77777777" w:rsidR="00F208CE" w:rsidRDefault="00513E84">
            <w:pPr>
              <w:pStyle w:val="P68B1DB1-Normal8"/>
              <w:spacing w:after="0"/>
              <w:jc w:val="center"/>
              <w:rPr>
                <w:rFonts w:eastAsia="Times New Roman" w:cs="Times New Roman"/>
                <w:noProof/>
              </w:rPr>
            </w:pPr>
            <w:r>
              <w:rPr>
                <w:noProof/>
              </w:rPr>
              <w:t>2026</w:t>
            </w:r>
          </w:p>
        </w:tc>
        <w:tc>
          <w:tcPr>
            <w:tcW w:w="4252" w:type="dxa"/>
            <w:tcBorders>
              <w:top w:val="nil"/>
              <w:left w:val="nil"/>
              <w:bottom w:val="single" w:sz="4" w:space="0" w:color="auto"/>
              <w:right w:val="single" w:sz="4" w:space="0" w:color="auto"/>
            </w:tcBorders>
            <w:shd w:val="clear" w:color="auto" w:fill="C6EFCE"/>
            <w:noWrap/>
            <w:vAlign w:val="center"/>
          </w:tcPr>
          <w:p w14:paraId="6105EC06" w14:textId="7330DF64" w:rsidR="00F208CE" w:rsidRDefault="00513E84">
            <w:pPr>
              <w:pStyle w:val="P68B1DB1-Normal8"/>
              <w:spacing w:after="0"/>
              <w:rPr>
                <w:rFonts w:eastAsia="Times New Roman" w:cs="Times New Roman"/>
                <w:noProof/>
              </w:rPr>
            </w:pPr>
            <w:r>
              <w:rPr>
                <w:noProof/>
              </w:rPr>
              <w:t>Se refuerzan las capacidades de ciberre</w:t>
            </w:r>
            <w:r>
              <w:rPr>
                <w:noProof/>
              </w:rPr>
              <w:t>siliencia del Ministerio de Defensa para ofrecer servicios de ciberresiliencia a la sociedad belga en general, incluidos los ciudadanos, las empresas y los servicios civiles. Estos servicios se prestarán a través de una plataforma que integre la inteligenc</w:t>
            </w:r>
            <w:r>
              <w:rPr>
                <w:noProof/>
              </w:rPr>
              <w:t>ia pertinente sobre ciberamenazas, y a través de la supervisión de los agentes que puedan representar amenazas cibernéticas. Esta supervisión consistirá en un informe periódico que contendrá actualizaciones de los ciberagentes.</w:t>
            </w:r>
          </w:p>
        </w:tc>
      </w:tr>
      <w:tr w:rsidR="00F208CE" w14:paraId="1520E900" w14:textId="77777777">
        <w:trPr>
          <w:trHeight w:val="309"/>
        </w:trPr>
        <w:tc>
          <w:tcPr>
            <w:tcW w:w="673" w:type="dxa"/>
            <w:tcBorders>
              <w:top w:val="nil"/>
              <w:left w:val="single" w:sz="4" w:space="0" w:color="auto"/>
              <w:bottom w:val="single" w:sz="4" w:space="0" w:color="auto"/>
              <w:right w:val="single" w:sz="4" w:space="0" w:color="auto"/>
            </w:tcBorders>
            <w:shd w:val="clear" w:color="auto" w:fill="C6EFCE"/>
            <w:noWrap/>
            <w:vAlign w:val="center"/>
          </w:tcPr>
          <w:p w14:paraId="1AD8F8B5" w14:textId="77777777" w:rsidR="00F208CE" w:rsidRDefault="00513E84">
            <w:pPr>
              <w:pStyle w:val="P68B1DB1-Normal8"/>
              <w:spacing w:after="0"/>
              <w:jc w:val="center"/>
              <w:rPr>
                <w:rFonts w:eastAsia="Times New Roman" w:cs="Times New Roman"/>
                <w:noProof/>
              </w:rPr>
            </w:pPr>
            <w:r>
              <w:rPr>
                <w:noProof/>
              </w:rPr>
              <w:t>49</w:t>
            </w:r>
          </w:p>
        </w:tc>
        <w:tc>
          <w:tcPr>
            <w:tcW w:w="1680" w:type="dxa"/>
            <w:tcBorders>
              <w:top w:val="nil"/>
              <w:left w:val="nil"/>
              <w:bottom w:val="single" w:sz="4" w:space="0" w:color="auto"/>
              <w:right w:val="single" w:sz="4" w:space="0" w:color="auto"/>
            </w:tcBorders>
            <w:shd w:val="clear" w:color="auto" w:fill="C6EFCE"/>
            <w:noWrap/>
            <w:vAlign w:val="center"/>
          </w:tcPr>
          <w:p w14:paraId="10C9EBC2" w14:textId="204FB0D9" w:rsidR="00F208CE" w:rsidRDefault="00513E84">
            <w:pPr>
              <w:pStyle w:val="P68B1DB1-Normal8"/>
              <w:spacing w:after="0"/>
              <w:rPr>
                <w:rFonts w:eastAsia="Times New Roman" w:cs="Times New Roman"/>
                <w:noProof/>
              </w:rPr>
            </w:pPr>
            <w:r>
              <w:rPr>
                <w:noProof/>
              </w:rPr>
              <w:t xml:space="preserve">Ciberseguridad: 5G </w:t>
            </w:r>
            <w:r>
              <w:rPr>
                <w:noProof/>
              </w:rPr>
              <w:t>(I-2.02)</w:t>
            </w:r>
          </w:p>
        </w:tc>
        <w:tc>
          <w:tcPr>
            <w:tcW w:w="1080" w:type="dxa"/>
            <w:tcBorders>
              <w:top w:val="nil"/>
              <w:left w:val="nil"/>
              <w:bottom w:val="single" w:sz="4" w:space="0" w:color="auto"/>
              <w:right w:val="single" w:sz="4" w:space="0" w:color="auto"/>
            </w:tcBorders>
            <w:shd w:val="clear" w:color="auto" w:fill="C6EFCE"/>
            <w:noWrap/>
            <w:vAlign w:val="center"/>
          </w:tcPr>
          <w:p w14:paraId="2D662734" w14:textId="0C3CBDCE" w:rsidR="00F208CE" w:rsidRDefault="00513E84">
            <w:pPr>
              <w:pStyle w:val="P68B1DB1-Normal8"/>
              <w:spacing w:after="0"/>
              <w:rPr>
                <w:rFonts w:eastAsia="Times New Roman"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42FAB26F" w14:textId="77777777" w:rsidR="00F208CE" w:rsidRDefault="00513E84">
            <w:pPr>
              <w:pStyle w:val="P68B1DB1-Normal8"/>
              <w:spacing w:after="0"/>
              <w:rPr>
                <w:rFonts w:eastAsia="Times New Roman" w:cs="Times New Roman"/>
                <w:noProof/>
              </w:rPr>
            </w:pPr>
            <w:r>
              <w:rPr>
                <w:noProof/>
              </w:rPr>
              <w:t xml:space="preserve">Refuerzo de las capacidades de interceptación de la policía judicial en el contexto de la 5G </w:t>
            </w:r>
          </w:p>
        </w:tc>
        <w:tc>
          <w:tcPr>
            <w:tcW w:w="1721" w:type="dxa"/>
            <w:tcBorders>
              <w:top w:val="nil"/>
              <w:left w:val="nil"/>
              <w:bottom w:val="single" w:sz="4" w:space="0" w:color="auto"/>
              <w:right w:val="single" w:sz="4" w:space="0" w:color="auto"/>
            </w:tcBorders>
            <w:shd w:val="clear" w:color="auto" w:fill="C6EFCE"/>
            <w:noWrap/>
            <w:vAlign w:val="center"/>
          </w:tcPr>
          <w:p w14:paraId="269C1D2C" w14:textId="77777777" w:rsidR="00F208CE" w:rsidRDefault="00513E84">
            <w:pPr>
              <w:pStyle w:val="P68B1DB1-Normal8"/>
              <w:spacing w:after="0"/>
              <w:rPr>
                <w:rFonts w:eastAsia="Times New Roman" w:cs="Times New Roman"/>
                <w:noProof/>
              </w:rPr>
            </w:pPr>
            <w:r>
              <w:rPr>
                <w:noProof/>
              </w:rPr>
              <w:t xml:space="preserve">Refuerzo de las capacidades de interceptación de la policía judicial en el contexto de la 5G en todo el territorio belga a través de cinco elementos </w:t>
            </w:r>
            <w:r>
              <w:rPr>
                <w:noProof/>
              </w:rPr>
              <w:t>operativos</w:t>
            </w:r>
          </w:p>
        </w:tc>
        <w:tc>
          <w:tcPr>
            <w:tcW w:w="1134" w:type="dxa"/>
            <w:tcBorders>
              <w:top w:val="nil"/>
              <w:left w:val="nil"/>
              <w:bottom w:val="single" w:sz="4" w:space="0" w:color="auto"/>
              <w:right w:val="single" w:sz="4" w:space="0" w:color="auto"/>
            </w:tcBorders>
            <w:shd w:val="clear" w:color="auto" w:fill="C6EFCE"/>
            <w:noWrap/>
            <w:vAlign w:val="center"/>
          </w:tcPr>
          <w:p w14:paraId="4E17FA73" w14:textId="77777777"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08EFE2F9" w14:textId="77777777" w:rsidR="00F208CE" w:rsidRDefault="00F208CE">
            <w:pPr>
              <w:spacing w:after="0"/>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75E33216"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280568B6" w14:textId="77777777" w:rsidR="00F208CE" w:rsidRDefault="00513E84">
            <w:pPr>
              <w:pStyle w:val="P68B1DB1-Normal8"/>
              <w:spacing w:after="0"/>
              <w:jc w:val="center"/>
              <w:rPr>
                <w:rFonts w:eastAsia="Times New Roman" w:cs="Times New Roman"/>
                <w:noProof/>
              </w:rPr>
            </w:pPr>
            <w:r>
              <w:rPr>
                <w:noProof/>
              </w:rPr>
              <w:t>TERCER TRIMESTRE 4</w:t>
            </w:r>
          </w:p>
        </w:tc>
        <w:tc>
          <w:tcPr>
            <w:tcW w:w="851" w:type="dxa"/>
            <w:tcBorders>
              <w:top w:val="nil"/>
              <w:left w:val="nil"/>
              <w:bottom w:val="single" w:sz="4" w:space="0" w:color="auto"/>
              <w:right w:val="single" w:sz="4" w:space="0" w:color="auto"/>
            </w:tcBorders>
            <w:shd w:val="clear" w:color="auto" w:fill="C6EFCE"/>
            <w:noWrap/>
            <w:vAlign w:val="center"/>
          </w:tcPr>
          <w:p w14:paraId="728EC530" w14:textId="77777777" w:rsidR="00F208CE" w:rsidRDefault="00513E84">
            <w:pPr>
              <w:pStyle w:val="P68B1DB1-Normal8"/>
              <w:spacing w:after="0"/>
              <w:jc w:val="center"/>
              <w:rPr>
                <w:rFonts w:eastAsia="Times New Roman" w:cs="Times New Roman"/>
                <w:noProof/>
              </w:rPr>
            </w:pPr>
            <w:r>
              <w:rPr>
                <w:noProof/>
              </w:rPr>
              <w:t>2025</w:t>
            </w:r>
          </w:p>
        </w:tc>
        <w:tc>
          <w:tcPr>
            <w:tcW w:w="4252" w:type="dxa"/>
            <w:tcBorders>
              <w:top w:val="nil"/>
              <w:left w:val="nil"/>
              <w:bottom w:val="single" w:sz="4" w:space="0" w:color="auto"/>
              <w:right w:val="single" w:sz="4" w:space="0" w:color="auto"/>
            </w:tcBorders>
            <w:shd w:val="clear" w:color="auto" w:fill="C6EFCE"/>
            <w:noWrap/>
            <w:vAlign w:val="center"/>
          </w:tcPr>
          <w:p w14:paraId="6A2FAFAE" w14:textId="77777777" w:rsidR="00F208CE" w:rsidRDefault="00513E84">
            <w:pPr>
              <w:pStyle w:val="P68B1DB1-Normal8"/>
              <w:spacing w:after="0"/>
              <w:rPr>
                <w:rFonts w:eastAsia="Times New Roman" w:cs="Times New Roman"/>
                <w:noProof/>
              </w:rPr>
            </w:pPr>
            <w:r>
              <w:rPr>
                <w:noProof/>
              </w:rPr>
              <w:t>Las capacidades de interceptación de comunicaciones privadas por parte de la policía judicial en el contexto de la 5G se refuerzan en todo el territorio belga. Esto se logrará mediante la entrada en funcionamiento de l</w:t>
            </w:r>
            <w:r>
              <w:rPr>
                <w:noProof/>
              </w:rPr>
              <w:t>o siguiente:</w:t>
            </w:r>
          </w:p>
          <w:p w14:paraId="4273A01F" w14:textId="77777777" w:rsidR="00F208CE" w:rsidRDefault="00513E84">
            <w:pPr>
              <w:pStyle w:val="P68B1DB1-Normal8"/>
              <w:spacing w:after="0"/>
              <w:rPr>
                <w:rFonts w:eastAsia="Times New Roman" w:cs="Times New Roman"/>
                <w:noProof/>
              </w:rPr>
            </w:pPr>
            <w:r>
              <w:rPr>
                <w:noProof/>
              </w:rPr>
              <w:t>— un suite de barrido adaptado a la 5G;</w:t>
            </w:r>
          </w:p>
          <w:p w14:paraId="68D28D0A" w14:textId="77777777" w:rsidR="00F208CE" w:rsidRDefault="00513E84">
            <w:pPr>
              <w:pStyle w:val="P68B1DB1-Normal8"/>
              <w:spacing w:after="0"/>
              <w:rPr>
                <w:rFonts w:eastAsia="Times New Roman" w:cs="Times New Roman"/>
                <w:noProof/>
              </w:rPr>
            </w:pPr>
            <w:r>
              <w:rPr>
                <w:noProof/>
              </w:rPr>
              <w:t xml:space="preserve">— una suite de interferencia adaptada a la 5G; </w:t>
            </w:r>
          </w:p>
          <w:p w14:paraId="7079B948" w14:textId="77777777" w:rsidR="00F208CE" w:rsidRDefault="00513E84">
            <w:pPr>
              <w:pStyle w:val="P68B1DB1-Normal8"/>
              <w:spacing w:after="0"/>
              <w:rPr>
                <w:rFonts w:eastAsia="Times New Roman" w:cs="Times New Roman"/>
                <w:noProof/>
              </w:rPr>
            </w:pPr>
            <w:r>
              <w:rPr>
                <w:noProof/>
              </w:rPr>
              <w:t xml:space="preserve">— sistemas de captura de audio en casas y vehículos adaptados a la 5G; </w:t>
            </w:r>
          </w:p>
          <w:p w14:paraId="08C5FAA4" w14:textId="77777777" w:rsidR="00F208CE" w:rsidRDefault="00513E84">
            <w:pPr>
              <w:pStyle w:val="P68B1DB1-Normal8"/>
              <w:spacing w:after="0"/>
              <w:rPr>
                <w:rFonts w:eastAsia="Times New Roman" w:cs="Times New Roman"/>
                <w:noProof/>
              </w:rPr>
            </w:pPr>
            <w:r>
              <w:rPr>
                <w:noProof/>
              </w:rPr>
              <w:t>— capacidades para localizar y rastrear vehículos y objetos adaptados a la 5G; y</w:t>
            </w:r>
          </w:p>
          <w:p w14:paraId="2E2D263E" w14:textId="77777777" w:rsidR="00F208CE" w:rsidRDefault="00513E84">
            <w:pPr>
              <w:pStyle w:val="P68B1DB1-Normal8"/>
              <w:spacing w:after="0"/>
              <w:rPr>
                <w:rFonts w:eastAsia="Times New Roman" w:cs="Times New Roman"/>
                <w:noProof/>
              </w:rPr>
            </w:pPr>
            <w:r>
              <w:rPr>
                <w:noProof/>
              </w:rPr>
              <w:t xml:space="preserve">— </w:t>
            </w:r>
            <w:r>
              <w:rPr>
                <w:noProof/>
              </w:rPr>
              <w:t>un sistema de transmisión de imágenes adquiridas durante métodos especiales de investigación.</w:t>
            </w:r>
          </w:p>
        </w:tc>
      </w:tr>
      <w:tr w:rsidR="00F208CE" w14:paraId="6754F364" w14:textId="77777777">
        <w:trPr>
          <w:trHeight w:val="309"/>
        </w:trPr>
        <w:tc>
          <w:tcPr>
            <w:tcW w:w="673" w:type="dxa"/>
            <w:tcBorders>
              <w:top w:val="nil"/>
              <w:left w:val="single" w:sz="4" w:space="0" w:color="auto"/>
              <w:bottom w:val="single" w:sz="4" w:space="0" w:color="auto"/>
              <w:right w:val="single" w:sz="4" w:space="0" w:color="auto"/>
            </w:tcBorders>
            <w:shd w:val="clear" w:color="auto" w:fill="C6EFCE"/>
            <w:noWrap/>
            <w:vAlign w:val="center"/>
          </w:tcPr>
          <w:p w14:paraId="2A975BA0" w14:textId="77777777" w:rsidR="00F208CE" w:rsidRDefault="00513E84">
            <w:pPr>
              <w:pStyle w:val="P68B1DB1-Normal8"/>
              <w:spacing w:after="0"/>
              <w:jc w:val="center"/>
              <w:rPr>
                <w:rFonts w:eastAsia="Times New Roman" w:cs="Times New Roman"/>
                <w:noProof/>
              </w:rPr>
            </w:pPr>
            <w:r>
              <w:rPr>
                <w:noProof/>
              </w:rPr>
              <w:t>50</w:t>
            </w:r>
          </w:p>
        </w:tc>
        <w:tc>
          <w:tcPr>
            <w:tcW w:w="1680" w:type="dxa"/>
            <w:tcBorders>
              <w:top w:val="nil"/>
              <w:left w:val="nil"/>
              <w:bottom w:val="single" w:sz="4" w:space="0" w:color="auto"/>
              <w:right w:val="single" w:sz="4" w:space="0" w:color="auto"/>
            </w:tcBorders>
            <w:shd w:val="clear" w:color="auto" w:fill="C6EFCE"/>
            <w:noWrap/>
            <w:vAlign w:val="center"/>
          </w:tcPr>
          <w:p w14:paraId="0BA2CC90" w14:textId="2C403366" w:rsidR="00F208CE" w:rsidRDefault="00513E84">
            <w:pPr>
              <w:pStyle w:val="P68B1DB1-Normal8"/>
              <w:spacing w:after="0"/>
              <w:rPr>
                <w:rFonts w:eastAsia="Times New Roman" w:cs="Times New Roman"/>
                <w:noProof/>
              </w:rPr>
            </w:pPr>
            <w:r>
              <w:rPr>
                <w:noProof/>
              </w:rPr>
              <w:t>Ciberseguridad: Interceptación y salvaguardia NTSU/CTIF (I-2.03)</w:t>
            </w:r>
          </w:p>
        </w:tc>
        <w:tc>
          <w:tcPr>
            <w:tcW w:w="1080" w:type="dxa"/>
            <w:tcBorders>
              <w:top w:val="nil"/>
              <w:left w:val="nil"/>
              <w:bottom w:val="single" w:sz="4" w:space="0" w:color="auto"/>
              <w:right w:val="single" w:sz="4" w:space="0" w:color="auto"/>
            </w:tcBorders>
            <w:shd w:val="clear" w:color="auto" w:fill="C6EFCE"/>
            <w:noWrap/>
            <w:vAlign w:val="center"/>
          </w:tcPr>
          <w:p w14:paraId="7F8E7611" w14:textId="45CCD793" w:rsidR="00F208CE" w:rsidRDefault="00513E84">
            <w:pPr>
              <w:pStyle w:val="P68B1DB1-Normal8"/>
              <w:spacing w:after="0"/>
              <w:rPr>
                <w:rFonts w:eastAsia="Times New Roman"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17546E81" w14:textId="193B4373" w:rsidR="00F208CE" w:rsidRDefault="00513E84">
            <w:pPr>
              <w:pStyle w:val="P68B1DB1-Normal8"/>
              <w:spacing w:after="0"/>
              <w:rPr>
                <w:rFonts w:eastAsia="Times New Roman" w:cs="Times New Roman"/>
                <w:noProof/>
                <w:highlight w:val="yellow"/>
              </w:rPr>
            </w:pPr>
            <w:r>
              <w:rPr>
                <w:noProof/>
              </w:rPr>
              <w:t>Registro digital de comunicaciones privadas interceptadas gestionado por la Unidad Nacional</w:t>
            </w:r>
            <w:r>
              <w:rPr>
                <w:noProof/>
              </w:rPr>
              <w:t xml:space="preserve"> de Apoyo Técnico y Táctico de la Policía Federal belga</w:t>
            </w:r>
          </w:p>
        </w:tc>
        <w:tc>
          <w:tcPr>
            <w:tcW w:w="1721" w:type="dxa"/>
            <w:tcBorders>
              <w:top w:val="nil"/>
              <w:left w:val="nil"/>
              <w:bottom w:val="single" w:sz="4" w:space="0" w:color="auto"/>
              <w:right w:val="single" w:sz="4" w:space="0" w:color="auto"/>
            </w:tcBorders>
            <w:shd w:val="clear" w:color="auto" w:fill="C6EFCE"/>
            <w:noWrap/>
            <w:vAlign w:val="center"/>
          </w:tcPr>
          <w:p w14:paraId="1D1FF5F3" w14:textId="77777777" w:rsidR="00F208CE" w:rsidRDefault="00513E84">
            <w:pPr>
              <w:pStyle w:val="P68B1DB1-Normal8"/>
              <w:spacing w:after="0"/>
              <w:rPr>
                <w:rFonts w:eastAsia="Times New Roman" w:cs="Times New Roman"/>
                <w:noProof/>
              </w:rPr>
            </w:pPr>
            <w:r>
              <w:rPr>
                <w:noProof/>
              </w:rPr>
              <w:t xml:space="preserve">Inscripción en el funcionamiento del registro digital de comunicaciones privadas interceptadas </w:t>
            </w:r>
          </w:p>
        </w:tc>
        <w:tc>
          <w:tcPr>
            <w:tcW w:w="1134" w:type="dxa"/>
            <w:tcBorders>
              <w:top w:val="nil"/>
              <w:left w:val="nil"/>
              <w:bottom w:val="single" w:sz="4" w:space="0" w:color="auto"/>
              <w:right w:val="single" w:sz="4" w:space="0" w:color="auto"/>
            </w:tcBorders>
            <w:shd w:val="clear" w:color="auto" w:fill="C6EFCE"/>
            <w:noWrap/>
            <w:vAlign w:val="center"/>
          </w:tcPr>
          <w:p w14:paraId="6E2B2FC2" w14:textId="77777777"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09D4266F" w14:textId="77777777" w:rsidR="00F208CE" w:rsidRDefault="00F208CE">
            <w:pPr>
              <w:spacing w:after="0"/>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2AD314AB"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7ECC9B44" w14:textId="77777777" w:rsidR="00F208CE" w:rsidRDefault="00513E84">
            <w:pPr>
              <w:pStyle w:val="P68B1DB1-Normal8"/>
              <w:spacing w:after="0"/>
              <w:jc w:val="center"/>
              <w:rPr>
                <w:rFonts w:eastAsia="Times New Roman" w:cs="Times New Roman"/>
                <w:noProof/>
              </w:rPr>
            </w:pPr>
            <w:r>
              <w:rPr>
                <w:noProof/>
              </w:rPr>
              <w:t>TERCER TRIMESTRE 2</w:t>
            </w:r>
          </w:p>
        </w:tc>
        <w:tc>
          <w:tcPr>
            <w:tcW w:w="851" w:type="dxa"/>
            <w:tcBorders>
              <w:top w:val="nil"/>
              <w:left w:val="nil"/>
              <w:bottom w:val="single" w:sz="4" w:space="0" w:color="auto"/>
              <w:right w:val="single" w:sz="4" w:space="0" w:color="auto"/>
            </w:tcBorders>
            <w:shd w:val="clear" w:color="auto" w:fill="C6EFCE"/>
            <w:noWrap/>
            <w:vAlign w:val="center"/>
          </w:tcPr>
          <w:p w14:paraId="0A6D73EC" w14:textId="77777777" w:rsidR="00F208CE" w:rsidRDefault="00513E84">
            <w:pPr>
              <w:pStyle w:val="P68B1DB1-Normal8"/>
              <w:spacing w:after="0"/>
              <w:jc w:val="center"/>
              <w:rPr>
                <w:rFonts w:eastAsia="Times New Roman" w:cs="Times New Roman"/>
                <w:noProof/>
              </w:rPr>
            </w:pPr>
            <w:r>
              <w:rPr>
                <w:noProof/>
              </w:rPr>
              <w:t>2025</w:t>
            </w:r>
          </w:p>
        </w:tc>
        <w:tc>
          <w:tcPr>
            <w:tcW w:w="4252" w:type="dxa"/>
            <w:tcBorders>
              <w:top w:val="nil"/>
              <w:left w:val="nil"/>
              <w:bottom w:val="single" w:sz="4" w:space="0" w:color="auto"/>
              <w:right w:val="single" w:sz="4" w:space="0" w:color="auto"/>
            </w:tcBorders>
            <w:shd w:val="clear" w:color="auto" w:fill="C6EFCE"/>
            <w:noWrap/>
            <w:vAlign w:val="center"/>
          </w:tcPr>
          <w:p w14:paraId="2404CDB9" w14:textId="77777777" w:rsidR="00F208CE" w:rsidRDefault="00513E84">
            <w:pPr>
              <w:pStyle w:val="P68B1DB1-Normal8"/>
              <w:spacing w:after="0"/>
              <w:rPr>
                <w:rFonts w:eastAsia="Times New Roman" w:cs="Times New Roman"/>
                <w:noProof/>
              </w:rPr>
            </w:pPr>
            <w:r>
              <w:rPr>
                <w:noProof/>
              </w:rPr>
              <w:t>Registro digital de comunicaciones privadas interceptadas (Li-vault) gestiona</w:t>
            </w:r>
            <w:r>
              <w:rPr>
                <w:noProof/>
              </w:rPr>
              <w:t>do por la Unidad Nacional de Apoyo Técnico y Táctico de la Policía Federal belga, operativo y listo para ser utilizado por el sistema judicial, la policía y los servicios de inteligencia.</w:t>
            </w:r>
          </w:p>
        </w:tc>
      </w:tr>
    </w:tbl>
    <w:p w14:paraId="410A4494" w14:textId="77777777" w:rsidR="00F208CE" w:rsidRDefault="00F208CE">
      <w:pPr>
        <w:ind w:left="709"/>
        <w:rPr>
          <w:rFonts w:ascii="Times New Roman" w:hAnsi="Times New Roman" w:cs="Times New Roman"/>
          <w:noProof/>
        </w:rPr>
        <w:sectPr w:rsidR="00F208CE" w:rsidSect="007F56C3">
          <w:headerReference w:type="default" r:id="rId48"/>
          <w:footerReference w:type="default" r:id="rId49"/>
          <w:pgSz w:w="16839" w:h="11907" w:orient="landscape"/>
          <w:pgMar w:top="1134" w:right="1134" w:bottom="1134" w:left="1134" w:header="567" w:footer="567" w:gutter="0"/>
          <w:cols w:space="720"/>
          <w:docGrid w:linePitch="360"/>
        </w:sectPr>
      </w:pPr>
    </w:p>
    <w:p w14:paraId="41F5C845" w14:textId="1FEF0F50" w:rsidR="00F208CE" w:rsidRDefault="00513E84">
      <w:pPr>
        <w:pStyle w:val="ManualHeading1"/>
        <w:spacing w:before="120"/>
        <w:ind w:left="0" w:firstLine="0"/>
        <w:rPr>
          <w:noProof/>
        </w:rPr>
      </w:pPr>
      <w:r>
        <w:rPr>
          <w:noProof/>
        </w:rPr>
        <w:t xml:space="preserve">E. </w:t>
      </w:r>
      <w:r>
        <w:rPr>
          <w:noProof/>
        </w:rPr>
        <w:t>COMPONENTE 2.2: Administración pública</w:t>
      </w:r>
    </w:p>
    <w:p w14:paraId="0D10C521" w14:textId="77777777" w:rsidR="00F208CE" w:rsidRDefault="00513E84">
      <w:pPr>
        <w:pStyle w:val="P68B1DB1-Normal1"/>
        <w:spacing w:before="120" w:after="120" w:line="240" w:lineRule="auto"/>
        <w:jc w:val="both"/>
        <w:rPr>
          <w:rFonts w:cs="Times New Roman"/>
          <w:noProof/>
        </w:rPr>
      </w:pPr>
      <w:r>
        <w:rPr>
          <w:noProof/>
        </w:rPr>
        <w:t>Este componente del plan belga de recuperación y resiliencia tiene por objeto aumentar la eficiencia de la administración pública digitalizando sus servicios.</w:t>
      </w:r>
    </w:p>
    <w:p w14:paraId="57673018" w14:textId="77777777" w:rsidR="00F208CE" w:rsidRDefault="00513E84">
      <w:pPr>
        <w:pStyle w:val="P68B1DB1-Normal1"/>
        <w:spacing w:before="120" w:after="120" w:line="240" w:lineRule="auto"/>
        <w:jc w:val="both"/>
        <w:rPr>
          <w:rFonts w:cs="Times New Roman"/>
          <w:noProof/>
        </w:rPr>
      </w:pPr>
      <w:r>
        <w:rPr>
          <w:noProof/>
        </w:rPr>
        <w:t>Este componente contribuye a abordar las recomendaciones e</w:t>
      </w:r>
      <w:r>
        <w:rPr>
          <w:noProof/>
        </w:rPr>
        <w:t>specíficas por país 2019.3 y 2019.4, en las que se pide a Bélgica que centre la política económica relacionada con la inversión, entre otras cosas, en la digitalización, y que reduzca la carga normativa y administrativa para incentivar el emprendimiento. T</w:t>
      </w:r>
      <w:r>
        <w:rPr>
          <w:noProof/>
        </w:rPr>
        <w:t>ambién está relacionada con la Recomendación específica por país n.º 2020.3 para mejorar el entorno empresarial, concentrar anticipadamente la inversión pública madura y centrar la inversión en la transición digital.</w:t>
      </w:r>
    </w:p>
    <w:p w14:paraId="2CACEFE6" w14:textId="77777777" w:rsidR="00F208CE" w:rsidRDefault="00513E84">
      <w:pPr>
        <w:pStyle w:val="P68B1DB1-Normal1"/>
        <w:spacing w:before="120" w:after="120" w:line="240" w:lineRule="auto"/>
        <w:jc w:val="both"/>
        <w:rPr>
          <w:rFonts w:cs="Times New Roman"/>
          <w:noProof/>
        </w:rPr>
      </w:pPr>
      <w:r>
        <w:rPr>
          <w:noProof/>
        </w:rPr>
        <w:t>Se espera que ninguna medida de este co</w:t>
      </w:r>
      <w:r>
        <w:rPr>
          <w:noProof/>
        </w:rPr>
        <w:t>mponente perjudique significativamente a los objetivos medioambientales en el sentido del artículo 17 del Reglamento (UE) 2020/852, teniendo en cuenta la descripción de las medidas y las medidas atenuantes establecidas en el plan de recuperación y resilien</w:t>
      </w:r>
      <w:r>
        <w:rPr>
          <w:noProof/>
        </w:rPr>
        <w:t>cia de conformidad con las orientaciones técnicas de DNSH (2021/C58/01).</w:t>
      </w:r>
    </w:p>
    <w:p w14:paraId="017C029B" w14:textId="77777777" w:rsidR="00F208CE" w:rsidRDefault="00513E84">
      <w:pPr>
        <w:spacing w:before="120" w:after="120"/>
        <w:jc w:val="both"/>
        <w:rPr>
          <w:rFonts w:ascii="Times New Roman" w:hAnsi="Times New Roman" w:cs="Times New Roman"/>
          <w:b/>
          <w:noProof/>
          <w:sz w:val="24"/>
          <w:u w:val="single"/>
        </w:rPr>
      </w:pPr>
      <w:r>
        <w:rPr>
          <w:rFonts w:ascii="Times New Roman" w:hAnsi="Times New Roman"/>
          <w:b/>
          <w:noProof/>
          <w:sz w:val="24"/>
          <w:u w:val="single"/>
        </w:rPr>
        <w:t xml:space="preserve">E.1. </w:t>
      </w:r>
      <w:r>
        <w:rPr>
          <w:noProof/>
        </w:rPr>
        <w:t xml:space="preserve"> </w:t>
      </w:r>
      <w:r>
        <w:rPr>
          <w:rFonts w:ascii="Times New Roman" w:hAnsi="Times New Roman"/>
          <w:b/>
          <w:noProof/>
          <w:sz w:val="24"/>
          <w:u w:val="single"/>
        </w:rPr>
        <w:t>Descripción de las reformas e inversiones para la ayuda financiera no reembolsable</w:t>
      </w:r>
    </w:p>
    <w:p w14:paraId="0D7CA2B1" w14:textId="77777777" w:rsidR="00F208CE" w:rsidRDefault="00513E84">
      <w:pPr>
        <w:pStyle w:val="P68B1DB1-Normal11"/>
        <w:spacing w:before="120" w:after="120" w:line="240" w:lineRule="auto"/>
        <w:jc w:val="both"/>
        <w:rPr>
          <w:rFonts w:cs="Times New Roman"/>
          <w:noProof/>
        </w:rPr>
      </w:pPr>
      <w:r>
        <w:rPr>
          <w:noProof/>
        </w:rPr>
        <w:t>Inversión I-2.04: «Digitalización IPSS» del Estado Federal</w:t>
      </w:r>
    </w:p>
    <w:p w14:paraId="017A247E" w14:textId="77777777" w:rsidR="00F208CE" w:rsidRDefault="00513E84">
      <w:pPr>
        <w:pStyle w:val="Text1"/>
        <w:ind w:left="0"/>
        <w:rPr>
          <w:noProof/>
        </w:rPr>
      </w:pPr>
      <w:r>
        <w:rPr>
          <w:noProof/>
        </w:rPr>
        <w:t>Esta medida tiene por objeto aceler</w:t>
      </w:r>
      <w:r>
        <w:rPr>
          <w:noProof/>
        </w:rPr>
        <w:t>ar la digitalización de las instituciones públicas de seguridad social. La ejecución de la inversión deberá estar terminada a más tardar el 31 de agosto de 2026. Consta de tres submedidas:</w:t>
      </w:r>
    </w:p>
    <w:p w14:paraId="45D699A0" w14:textId="77777777" w:rsidR="00F208CE" w:rsidRDefault="00513E84">
      <w:pPr>
        <w:pStyle w:val="P68B1DB1-Text19"/>
        <w:ind w:left="0"/>
        <w:rPr>
          <w:noProof/>
        </w:rPr>
      </w:pPr>
      <w:r>
        <w:rPr>
          <w:noProof/>
        </w:rPr>
        <w:t>Inversión I-2.04: «Digitalización IPSS; submedida 1: Plataforma dig</w:t>
      </w:r>
      <w:r>
        <w:rPr>
          <w:noProof/>
        </w:rPr>
        <w:t>ital para la interacción entre la Seguridad Social y los ciudadanos y las empresas del Estado Federal</w:t>
      </w:r>
    </w:p>
    <w:p w14:paraId="54D078E3" w14:textId="77777777" w:rsidR="00F208CE" w:rsidRDefault="00513E84">
      <w:pPr>
        <w:pStyle w:val="Text1"/>
        <w:ind w:left="0"/>
        <w:rPr>
          <w:noProof/>
        </w:rPr>
      </w:pPr>
      <w:r>
        <w:rPr>
          <w:noProof/>
        </w:rPr>
        <w:t>El objetivo de esta inversión es proporcionar un mejor acceso a los servicios de seguridad social para los ciudadanos y las empresas, incluidos los trabaj</w:t>
      </w:r>
      <w:r>
        <w:rPr>
          <w:noProof/>
        </w:rPr>
        <w:t>adores por cuenta propia, y, por otra parte, lograr mejoras en el rendimiento para las administraciones y las empresas. La inversión también tiene por objeto hacer que la seguridad social belga sea más accesible en un contexto europeo. Esta inversión permi</w:t>
      </w:r>
      <w:r>
        <w:rPr>
          <w:noProof/>
        </w:rPr>
        <w:t>tirá mejorar la comunicación y el intercambio de datos entre las instituciones de los Estados miembros, en particular en el contexto de la adquisición de derechos, la detección del fraude, la transmisión de formularios digitales europeos y el uso de un núm</w:t>
      </w:r>
      <w:r>
        <w:rPr>
          <w:noProof/>
        </w:rPr>
        <w:t>ero europeo único de identificación de los ciudadanos.</w:t>
      </w:r>
    </w:p>
    <w:p w14:paraId="5CBA7D6C" w14:textId="77777777" w:rsidR="00F208CE" w:rsidRDefault="00513E84">
      <w:pPr>
        <w:pStyle w:val="P68B1DB1-Text19"/>
        <w:ind w:left="0"/>
        <w:rPr>
          <w:noProof/>
        </w:rPr>
      </w:pPr>
      <w:r>
        <w:rPr>
          <w:noProof/>
        </w:rPr>
        <w:t>Inversión I-2.04: «Digitalización IPSS, submedida 2: Gestión de cuentas digitales de cada empresa del Estado Federal</w:t>
      </w:r>
    </w:p>
    <w:p w14:paraId="796A73B8" w14:textId="77777777" w:rsidR="00F208CE" w:rsidRDefault="00513E84">
      <w:pPr>
        <w:pStyle w:val="Text1"/>
        <w:ind w:left="0"/>
        <w:rPr>
          <w:noProof/>
        </w:rPr>
      </w:pPr>
      <w:r>
        <w:rPr>
          <w:noProof/>
        </w:rPr>
        <w:t>Esta inversión permitirá digitalizar los flujos financieros entre la seguridad socia</w:t>
      </w:r>
      <w:r>
        <w:rPr>
          <w:noProof/>
        </w:rPr>
        <w:t>l y las empresas y los posibles intermediarios financieros y proveedores de servicios. Algunas de las solicitudes de gestión de las cuentas de los empresarios datan de 1979 y son muy heterogéneas. Esto constituye un riesgo tecnológico y humano. Su revisión</w:t>
      </w:r>
      <w:r>
        <w:rPr>
          <w:noProof/>
        </w:rPr>
        <w:t xml:space="preserve"> y el establecimiento de un sistema de información integrado, eficiente, en evolución y de alta calidad son esenciales para la digitalización y la apertura de las cuentas de los empleadores.</w:t>
      </w:r>
    </w:p>
    <w:p w14:paraId="03E651BC" w14:textId="77777777" w:rsidR="00F208CE" w:rsidRDefault="00513E84">
      <w:pPr>
        <w:pStyle w:val="P68B1DB1-Text19"/>
        <w:ind w:left="0"/>
        <w:rPr>
          <w:noProof/>
        </w:rPr>
      </w:pPr>
      <w:r>
        <w:rPr>
          <w:noProof/>
        </w:rPr>
        <w:t>Inversión I-2.04: «Digitalización IPSS, submedida 3: Mejorar la c</w:t>
      </w:r>
      <w:r>
        <w:rPr>
          <w:noProof/>
        </w:rPr>
        <w:t>alidad de los datos para la toma de decisiones automatizada y proporcionar una plataforma independiente de seguridad social — INASTI del Estado Federal</w:t>
      </w:r>
    </w:p>
    <w:p w14:paraId="35DA3E63" w14:textId="77777777" w:rsidR="00F208CE" w:rsidRDefault="00513E84">
      <w:pPr>
        <w:pStyle w:val="Text1"/>
        <w:ind w:left="0"/>
        <w:rPr>
          <w:noProof/>
        </w:rPr>
      </w:pPr>
      <w:r>
        <w:rPr>
          <w:noProof/>
        </w:rPr>
        <w:t xml:space="preserve">Esta medida incluye la creación de una base de datos central por parte del </w:t>
      </w:r>
      <w:r>
        <w:rPr>
          <w:i/>
          <w:noProof/>
        </w:rPr>
        <w:t>Institut national d’assurance</w:t>
      </w:r>
      <w:r>
        <w:rPr>
          <w:i/>
          <w:noProof/>
        </w:rPr>
        <w:t>s sociales pour travailleurs indépendants</w:t>
      </w:r>
      <w:r>
        <w:rPr>
          <w:noProof/>
        </w:rPr>
        <w:t xml:space="preserve"> (INASTI), la institución de seguridad social de los trabajadores por cuenta propia. Esta base de datos tiene por objeto contener todos los datos sobre la carrera profesional, así como todos los derechos y obligacio</w:t>
      </w:r>
      <w:r>
        <w:rPr>
          <w:noProof/>
        </w:rPr>
        <w:t>nes de los trabajadores por cuenta propia. La creación de una base de datos única por cuenta propia es un requisito previo para que INASTI cree la plataforma de seguridad social para los trabajadores autónomos. A través de dicha plataforma, el suministro d</w:t>
      </w:r>
      <w:r>
        <w:rPr>
          <w:noProof/>
        </w:rPr>
        <w:t>e formularios electrónicos interactivos y la automatización de los procesos basados en las nuevas tecnologías permitirán registrar toda la información sobre seguridad social en el expediente individual de los trabajadores autónomos, que podrá ser consultad</w:t>
      </w:r>
      <w:r>
        <w:rPr>
          <w:noProof/>
        </w:rPr>
        <w:t>o inmediatamente por las partes interesadas en cualquier momento.</w:t>
      </w:r>
    </w:p>
    <w:p w14:paraId="1098326F" w14:textId="77777777" w:rsidR="00F208CE" w:rsidRDefault="00513E84">
      <w:pPr>
        <w:pStyle w:val="P68B1DB1-Text19"/>
        <w:pageBreakBefore/>
        <w:ind w:left="0"/>
        <w:rPr>
          <w:noProof/>
        </w:rPr>
      </w:pPr>
      <w:r>
        <w:rPr>
          <w:noProof/>
        </w:rPr>
        <w:t>Inversión I-2.05: «FPI de digitalización» del Estado Federal</w:t>
      </w:r>
    </w:p>
    <w:p w14:paraId="39D39754" w14:textId="7BC4D1BA" w:rsidR="00F208CE" w:rsidRDefault="00513E84">
      <w:pPr>
        <w:pStyle w:val="Text1"/>
        <w:ind w:left="0"/>
        <w:rPr>
          <w:noProof/>
        </w:rPr>
      </w:pPr>
      <w:r>
        <w:rPr>
          <w:noProof/>
        </w:rPr>
        <w:t>Esta medida tiene por objeto acelerar la digitalización de los diferentes servicios administrativos del Estado federal. La ejecuc</w:t>
      </w:r>
      <w:r>
        <w:rPr>
          <w:noProof/>
        </w:rPr>
        <w:t xml:space="preserve">ión de la inversión deberá estar terminada a más tardar el 30 de junio de 2026. Consta de 11 submedidas. </w:t>
      </w:r>
    </w:p>
    <w:p w14:paraId="0561448A" w14:textId="77777777" w:rsidR="00F208CE" w:rsidRDefault="00513E84">
      <w:pPr>
        <w:pStyle w:val="P68B1DB1-Text19"/>
        <w:ind w:left="0"/>
        <w:rPr>
          <w:noProof/>
        </w:rPr>
      </w:pPr>
      <w:r>
        <w:rPr>
          <w:noProof/>
        </w:rPr>
        <w:t>Inversión I-2.05: «Fondo de Pequeños Proyectos para la digitalización, submedida 1: Transformación digital de la justicia» del Estado Federal</w:t>
      </w:r>
    </w:p>
    <w:p w14:paraId="7F8F1F7F" w14:textId="77777777" w:rsidR="00F208CE" w:rsidRDefault="00513E84">
      <w:pPr>
        <w:pStyle w:val="Text1"/>
        <w:ind w:left="0"/>
        <w:rPr>
          <w:noProof/>
        </w:rPr>
      </w:pPr>
      <w:r>
        <w:rPr>
          <w:noProof/>
        </w:rPr>
        <w:t>Esta sub</w:t>
      </w:r>
      <w:r>
        <w:rPr>
          <w:noProof/>
        </w:rPr>
        <w:t>medida tiene por objeto aumentar el nivel general de digitalización del sistema judicial belga, lo que se espera que tenga un impacto positivo en su eficiencia global. La submedida tiene por objeto abordar diversas deficiencias detectadas, empezando por la</w:t>
      </w:r>
      <w:r>
        <w:rPr>
          <w:noProof/>
        </w:rPr>
        <w:t xml:space="preserve"> digitalización de los procesos internos. Se hará especial hincapié en las inversiones para hacer frente a las limitaciones e ineficiencias actuales mediante la mejora de la gestión de los casos y la introducción de la automatización de la recopilación de </w:t>
      </w:r>
      <w:r>
        <w:rPr>
          <w:noProof/>
        </w:rPr>
        <w:t>datos. Además, el proyecto tiene por objeto aumentar la tasa de publicación en línea de las sentencias, que actualmente es baja y es esencial para ayudar a los ciudadanos y las empresas a cumplir la ley.</w:t>
      </w:r>
    </w:p>
    <w:p w14:paraId="30B84246" w14:textId="77777777" w:rsidR="00F208CE" w:rsidRDefault="00513E84">
      <w:pPr>
        <w:pStyle w:val="P68B1DB1-Text19"/>
        <w:ind w:left="0"/>
        <w:rPr>
          <w:noProof/>
        </w:rPr>
      </w:pPr>
      <w:r>
        <w:rPr>
          <w:noProof/>
        </w:rPr>
        <w:t xml:space="preserve">Inversión I-2.05: «Fondo de Pequeños Proyectos para </w:t>
      </w:r>
      <w:r>
        <w:rPr>
          <w:noProof/>
        </w:rPr>
        <w:t>la digitalización, submedida 2: Digitalización de los procesos empresariales judiciales» del Estado Federal</w:t>
      </w:r>
    </w:p>
    <w:p w14:paraId="27D34A14" w14:textId="040A36F2" w:rsidR="00F208CE" w:rsidRDefault="00513E84">
      <w:pPr>
        <w:pStyle w:val="Text1"/>
        <w:ind w:left="0"/>
        <w:rPr>
          <w:noProof/>
        </w:rPr>
      </w:pPr>
      <w:r>
        <w:rPr>
          <w:noProof/>
        </w:rPr>
        <w:t xml:space="preserve">Esta submedida tiene por objeto responder a los retos técnicos y tecnológicos a los que se enfrenta la Policía Judicial Federal en operaciones cada </w:t>
      </w:r>
      <w:r>
        <w:rPr>
          <w:noProof/>
        </w:rPr>
        <w:t>vez más complejas. La submedida permitirá a los miembros de la policía judicial federal ganar eficacia: a) para resolver los problemas que se plantean hoy en día, como el descifrado, la 5G o la investigación en internet; b) mediante una mayor automatizació</w:t>
      </w:r>
      <w:r>
        <w:rPr>
          <w:noProof/>
        </w:rPr>
        <w:t>n de determinadas acciones y el uso de herramientas de inteligencia artificial; c) mediante una mejor gestión de los datos y una mejor comprensión de los mismos mediante la modernización de los centros forenses. La submedida incluye la adquisición de soluc</w:t>
      </w:r>
      <w:r>
        <w:rPr>
          <w:noProof/>
        </w:rPr>
        <w:t>iones de software y equipos informáticos específicos (servidores).</w:t>
      </w:r>
    </w:p>
    <w:p w14:paraId="6FCDA227" w14:textId="77777777" w:rsidR="00F208CE" w:rsidRDefault="00513E84">
      <w:pPr>
        <w:pStyle w:val="P68B1DB1-Text19"/>
        <w:ind w:left="0"/>
        <w:rPr>
          <w:noProof/>
        </w:rPr>
      </w:pPr>
      <w:r>
        <w:rPr>
          <w:noProof/>
        </w:rPr>
        <w:t>Inversión I-2.05: «Fondo de Pequeños Proyectos para la digitalización, submedida 3: Apoyo al desarrollo de herramientas digitales y al aumento de la digitalización de la agencia de comercio</w:t>
      </w:r>
      <w:r>
        <w:rPr>
          <w:noProof/>
        </w:rPr>
        <w:t xml:space="preserve"> exterior del Estado Federal</w:t>
      </w:r>
    </w:p>
    <w:p w14:paraId="3ED2978C" w14:textId="77777777" w:rsidR="00F208CE" w:rsidRDefault="00513E84">
      <w:pPr>
        <w:pStyle w:val="Text1"/>
        <w:ind w:left="0"/>
        <w:rPr>
          <w:noProof/>
        </w:rPr>
      </w:pPr>
      <w:r>
        <w:rPr>
          <w:noProof/>
        </w:rPr>
        <w:t>Esta submedida tiene por objeto apoyar el comercio mediante el desarrollo de herramientas digitales y una mayor digitalización de la Agencia de Comercio Exterior para permitir una transición moderna y digital de los servicios f</w:t>
      </w:r>
      <w:r>
        <w:rPr>
          <w:noProof/>
        </w:rPr>
        <w:t>ederales encargados de promover el comercio exterior. La submedida incluye el desarrollo de una aplicación específica y la formación correspondiente para 25 usuarios.</w:t>
      </w:r>
    </w:p>
    <w:p w14:paraId="300CA68F" w14:textId="77777777" w:rsidR="00F208CE" w:rsidRDefault="00513E84">
      <w:pPr>
        <w:pStyle w:val="P68B1DB1-Text19"/>
        <w:ind w:left="0"/>
        <w:rPr>
          <w:noProof/>
        </w:rPr>
      </w:pPr>
      <w:r>
        <w:rPr>
          <w:noProof/>
        </w:rPr>
        <w:t>Inversión I-2.05: «Fondo de Pequeños Proyectos para la digitalización, submedida 4: Gesti</w:t>
      </w:r>
      <w:r>
        <w:rPr>
          <w:noProof/>
        </w:rPr>
        <w:t>ón de crisis y seguridad» del Estado Federal</w:t>
      </w:r>
    </w:p>
    <w:p w14:paraId="705E8779" w14:textId="77777777" w:rsidR="00F208CE" w:rsidRDefault="00513E84">
      <w:pPr>
        <w:pStyle w:val="Text1"/>
        <w:ind w:left="0"/>
        <w:rPr>
          <w:noProof/>
        </w:rPr>
      </w:pPr>
      <w:r>
        <w:rPr>
          <w:noProof/>
        </w:rPr>
        <w:t>Esta submedida tiene por objeto garantizar que el Centro Nacional de Crisis cuente con la capacidad de acoger a muchos socios en circunstancias seguras y protegidas, y para que puedan conectarse a la infraestructura digital. Es necesario desarrollar una re</w:t>
      </w:r>
      <w:r>
        <w:rPr>
          <w:noProof/>
        </w:rPr>
        <w:t>d de comunicación altamente disponible y segura entre los socios de seguridad que participan en la gestión nacional de crisis para permitir la difusión de información confidencial y clasificada. A tal fin, se incluye en la submedida el desarrollo de una nu</w:t>
      </w:r>
      <w:r>
        <w:rPr>
          <w:noProof/>
        </w:rPr>
        <w:t>eva infraestructura de crisis digital, una red de comunicación segura y una plataforma de gestión de crisis.</w:t>
      </w:r>
    </w:p>
    <w:p w14:paraId="758030C1" w14:textId="77777777" w:rsidR="00F208CE" w:rsidRDefault="00513E84">
      <w:pPr>
        <w:pStyle w:val="P68B1DB1-Text19"/>
        <w:ind w:left="0"/>
        <w:rPr>
          <w:noProof/>
        </w:rPr>
      </w:pPr>
      <w:r>
        <w:rPr>
          <w:noProof/>
        </w:rPr>
        <w:t>Inversión I-2.05: «Fondo de Pequeños Proyectos para la digitalización, submedida 5: Digital Bozar» del Estado Federal</w:t>
      </w:r>
    </w:p>
    <w:p w14:paraId="51DB496F" w14:textId="77777777" w:rsidR="00F208CE" w:rsidRDefault="00513E84">
      <w:pPr>
        <w:pStyle w:val="Text1"/>
        <w:ind w:left="0"/>
        <w:rPr>
          <w:noProof/>
        </w:rPr>
      </w:pPr>
      <w:r>
        <w:rPr>
          <w:noProof/>
        </w:rPr>
        <w:t>Esta submedida tiene por obje</w:t>
      </w:r>
      <w:r>
        <w:rPr>
          <w:noProof/>
        </w:rPr>
        <w:t>to adoptar tecnologías digitales que permitan la creación de un 100 % de actos digitales (como música, exposiciones, BOZAR LAB) con el objetivo de acceder a nuevos mercados para artistas y socios culturales y aumentar el acceso a la cultura para las person</w:t>
      </w:r>
      <w:r>
        <w:rPr>
          <w:noProof/>
        </w:rPr>
        <w:t>as y grupos situados a distancia (incluso en otros países) o que se enfrentan a retos de movilidad (como las personas de edad avanzada). A tal fin, la submedida incluye un componente de infraestructura con la colocación de fibra óptica entre el Teatro Real</w:t>
      </w:r>
      <w:r>
        <w:rPr>
          <w:noProof/>
        </w:rPr>
        <w:t xml:space="preserve"> de La Monnaie y el Centro de Bellas Artes, un componente de ciberseguridad y el despliegue de actividades digitales, incluida la formación informática para el personal.</w:t>
      </w:r>
    </w:p>
    <w:p w14:paraId="649D01C3" w14:textId="77777777" w:rsidR="00F208CE" w:rsidRDefault="00513E84">
      <w:pPr>
        <w:pStyle w:val="P68B1DB1-Text19"/>
        <w:pageBreakBefore/>
        <w:ind w:left="0"/>
        <w:rPr>
          <w:noProof/>
        </w:rPr>
      </w:pPr>
      <w:r>
        <w:rPr>
          <w:noProof/>
        </w:rPr>
        <w:t>Inversión I-2.05: «Fondo de Pequeños Proyectos para la digitalización, submedida 6: Ad</w:t>
      </w:r>
      <w:r>
        <w:rPr>
          <w:noProof/>
        </w:rPr>
        <w:t>ministración digital para los ciudadanos y las empresas del Estado Federal</w:t>
      </w:r>
    </w:p>
    <w:p w14:paraId="765978E4" w14:textId="77777777" w:rsidR="00F208CE" w:rsidRDefault="00513E84">
      <w:pPr>
        <w:pStyle w:val="Text1"/>
        <w:ind w:left="0"/>
        <w:rPr>
          <w:noProof/>
        </w:rPr>
      </w:pPr>
      <w:r>
        <w:rPr>
          <w:noProof/>
        </w:rPr>
        <w:t xml:space="preserve">Esta submedida tiene por objeto poner en marcha una estrategia para la transformación radical del modelo actual de servicios administrativos conexos y aumentar la aceptación de los </w:t>
      </w:r>
      <w:r>
        <w:rPr>
          <w:noProof/>
        </w:rPr>
        <w:t>servicios públicos digitales por parte de los ciudadanos y las empresas. Prevé el desarrollo de una plataforma digital para la interacción entre el Gobierno y los ciudadanos y las empresas.</w:t>
      </w:r>
    </w:p>
    <w:p w14:paraId="4F43C2CF" w14:textId="77777777" w:rsidR="00F208CE" w:rsidRDefault="00513E84">
      <w:pPr>
        <w:pStyle w:val="P68B1DB1-Text19"/>
        <w:ind w:left="0"/>
        <w:rPr>
          <w:noProof/>
        </w:rPr>
      </w:pPr>
      <w:r>
        <w:rPr>
          <w:noProof/>
        </w:rPr>
        <w:t>Inversión I-2.05: «Fondo de Pequeños Proyectos para la digitalizac</w:t>
      </w:r>
      <w:r>
        <w:rPr>
          <w:noProof/>
        </w:rPr>
        <w:t>ión, submedida 8: Digitalización de los servicios de la AFSCA para operadores y consumidores del Estado Federal</w:t>
      </w:r>
    </w:p>
    <w:p w14:paraId="75956207" w14:textId="77777777" w:rsidR="00F208CE" w:rsidRDefault="00513E84">
      <w:pPr>
        <w:pStyle w:val="Text1"/>
        <w:ind w:left="0"/>
        <w:rPr>
          <w:noProof/>
        </w:rPr>
      </w:pPr>
      <w:r>
        <w:rPr>
          <w:noProof/>
        </w:rPr>
        <w:t>La submedida tiene por objeto contribuir a la transformación digital de la Agencia Federal para la Seguridad de la Cadena Alimentaria (AFSCA), q</w:t>
      </w:r>
      <w:r>
        <w:rPr>
          <w:noProof/>
        </w:rPr>
        <w:t>ue es responsable del control de la seguridad de la cadena alimentaria y de la calidad de los alimentos. En particular, este proyecto tiene por objeto modernizar las aplicaciones existentes e integrarlas mejor para formar un sistema coherente que garantice</w:t>
      </w:r>
      <w:r>
        <w:rPr>
          <w:noProof/>
        </w:rPr>
        <w:t xml:space="preserve"> un tratamiento rápido, eficiente y totalmente digital de los expedientes. El proyecto incluye la digitalización de los procedimientos internos, el desarrollo de dos aplicaciones, una para los operadores y otra para los consumidores y la creación de una pl</w:t>
      </w:r>
      <w:r>
        <w:rPr>
          <w:noProof/>
        </w:rPr>
        <w:t>ataforma de datos abierta.</w:t>
      </w:r>
    </w:p>
    <w:p w14:paraId="7EDE96C8" w14:textId="77777777" w:rsidR="00F208CE" w:rsidRDefault="00513E84">
      <w:pPr>
        <w:pStyle w:val="P68B1DB1-Text19"/>
        <w:ind w:left="0"/>
        <w:rPr>
          <w:noProof/>
        </w:rPr>
      </w:pPr>
      <w:r>
        <w:rPr>
          <w:noProof/>
        </w:rPr>
        <w:t>Inversión I-2.05: «Fondo de Pequeños Proyectos para la digitalización, submedida 9: Inversión en la digitalización del Fondo para Asuntos Exteriores y los servicios ofrecidos por el Fondo de Asuntos Exteriores del Estado Federal</w:t>
      </w:r>
    </w:p>
    <w:p w14:paraId="3C4B7AC1" w14:textId="77777777" w:rsidR="00F208CE" w:rsidRDefault="00513E84">
      <w:pPr>
        <w:pStyle w:val="Text1"/>
        <w:ind w:left="0"/>
        <w:rPr>
          <w:noProof/>
        </w:rPr>
      </w:pPr>
      <w:r>
        <w:rPr>
          <w:noProof/>
        </w:rPr>
        <w:t xml:space="preserve">Esta submedida tiene por objeto modernizar la administración de Asuntos Exteriores. Este proyecto incluye el desarrollo de varias aplicaciones, incluida la refundición de Belpas (las aplicaciones de pasaportes), que es necesaria a la vista de la evolución </w:t>
      </w:r>
      <w:r>
        <w:rPr>
          <w:noProof/>
        </w:rPr>
        <w:t>y modernización de pasaportes y datos biométricos. La submedida también implica el desarrollo de una nueva aplicación para la gestión de los recursos humanos, la digitalización de los registros consulares y la modernización de la red informática.</w:t>
      </w:r>
    </w:p>
    <w:p w14:paraId="36B120F2" w14:textId="77777777" w:rsidR="00F208CE" w:rsidRDefault="00513E84">
      <w:pPr>
        <w:pStyle w:val="P68B1DB1-Text19"/>
        <w:ind w:left="0"/>
        <w:rPr>
          <w:noProof/>
        </w:rPr>
      </w:pPr>
      <w:r>
        <w:rPr>
          <w:noProof/>
        </w:rPr>
        <w:t>Inversión</w:t>
      </w:r>
      <w:r>
        <w:rPr>
          <w:noProof/>
        </w:rPr>
        <w:t xml:space="preserve"> I-2.05: «Fondo de Pequeños Proyectos para la digitalización, submedida 10: Portal digital único» del Estado Federal</w:t>
      </w:r>
    </w:p>
    <w:p w14:paraId="4449ADCB" w14:textId="77777777" w:rsidR="00F208CE" w:rsidRDefault="00513E84">
      <w:pPr>
        <w:pStyle w:val="Text1"/>
        <w:ind w:left="0"/>
        <w:rPr>
          <w:noProof/>
        </w:rPr>
      </w:pPr>
      <w:r>
        <w:rPr>
          <w:noProof/>
        </w:rPr>
        <w:t>Esta submedida tiene por objeto fomentar una transformación de gran alcance del panorama administrativo belga para apoyar la recuperación y</w:t>
      </w:r>
      <w:r>
        <w:rPr>
          <w:noProof/>
        </w:rPr>
        <w:t xml:space="preserve"> aprovechar todo el potencial del mercado interior. A tal fin, se hará pleno uso de las fuentes auténticas belgas, que consisten en bases de datos en las que se conservan datos auténticos y que sirven de referencia para los datos sobre personas y hechos ju</w:t>
      </w:r>
      <w:r>
        <w:rPr>
          <w:noProof/>
        </w:rPr>
        <w:t>rídicos. Estas bases de datos permiten una simplificación, ya que los datos pueden ser reutilizados por todas las autoridades que dispongan de las autorizaciones adecuadas y ya no se solicitarán a los ciudadanos ni a las empresas, en aplicación del princip</w:t>
      </w:r>
      <w:r>
        <w:rPr>
          <w:noProof/>
        </w:rPr>
        <w:t>io de «solo una vez». Además, la submedida tiene por objeto maximizar el acceso seguro a las aplicaciones públicas en línea a través de la identificación electrónica, digitalizando las funciones administrativas relacionadas con los ciudadanos y las empresa</w:t>
      </w:r>
      <w:r>
        <w:rPr>
          <w:noProof/>
        </w:rPr>
        <w:t>s; ampliar los servicios básicos de apoyo del portal digital único a servicios de apoyo plenamente centrados en el usuario enviando preguntas de los ciudadanos y las empresas a administraciones específicas y haciendo un seguimiento de las estadísticas.</w:t>
      </w:r>
    </w:p>
    <w:p w14:paraId="599D2255" w14:textId="77777777" w:rsidR="00F208CE" w:rsidRDefault="00513E84">
      <w:pPr>
        <w:pStyle w:val="P68B1DB1-Text19"/>
        <w:ind w:left="0"/>
        <w:rPr>
          <w:noProof/>
        </w:rPr>
      </w:pPr>
      <w:r>
        <w:rPr>
          <w:noProof/>
        </w:rPr>
        <w:t>Inv</w:t>
      </w:r>
      <w:r>
        <w:rPr>
          <w:noProof/>
        </w:rPr>
        <w:t>ersión I-2.05: «Fondo de Pequeños Proyectos para la digitalización, submedida 11: Liberación de datos gubernamentales» del Estado Federal</w:t>
      </w:r>
    </w:p>
    <w:p w14:paraId="7C3AEBB2" w14:textId="731CB9E2" w:rsidR="00F208CE" w:rsidRDefault="00513E84">
      <w:pPr>
        <w:pStyle w:val="Text1"/>
        <w:ind w:left="0"/>
        <w:rPr>
          <w:noProof/>
        </w:rPr>
      </w:pPr>
      <w:r>
        <w:rPr>
          <w:noProof/>
        </w:rPr>
        <w:t>Esta submedida tiene por objeto obtener una visión más amplia de los datos disponibles de las administraciones pública</w:t>
      </w:r>
      <w:r>
        <w:rPr>
          <w:noProof/>
        </w:rPr>
        <w:t xml:space="preserve">s mediante la ampliación de un registro de fuentes auténticas, aumentar la disponibilidad y fiabilidad de los datos y facilitar el acceso a ellos. Además, esta submedida tiene por objeto aumentar la confianza en el uso correcto de los datos o maximizar su </w:t>
      </w:r>
      <w:r>
        <w:rPr>
          <w:noProof/>
        </w:rPr>
        <w:t>reutilización mediante la normalización y el uso de la inteligencia artificial. Este proyecto incluye el apoyo a la ampliación de una serie de plataformas y el desarrollo de nuevos servicios o la ampliación de servicios existentes.</w:t>
      </w:r>
    </w:p>
    <w:p w14:paraId="7B70FD2D" w14:textId="77777777" w:rsidR="00F208CE" w:rsidRDefault="00513E84">
      <w:pPr>
        <w:pStyle w:val="P68B1DB1-Text19"/>
        <w:ind w:left="0"/>
        <w:rPr>
          <w:noProof/>
        </w:rPr>
      </w:pPr>
      <w:r>
        <w:rPr>
          <w:noProof/>
        </w:rPr>
        <w:t>Inversión I-2.05: «Fondo</w:t>
      </w:r>
      <w:r>
        <w:rPr>
          <w:noProof/>
        </w:rPr>
        <w:t xml:space="preserve"> de Pequeños Proyectos para la digitalización, submedida 12: Digitalización SPF Employment» del Estado Federal</w:t>
      </w:r>
    </w:p>
    <w:p w14:paraId="38ADAEBE" w14:textId="77777777" w:rsidR="00F208CE" w:rsidRDefault="00513E84">
      <w:pPr>
        <w:pStyle w:val="Text1"/>
        <w:ind w:left="0"/>
        <w:rPr>
          <w:noProof/>
        </w:rPr>
      </w:pPr>
      <w:r>
        <w:rPr>
          <w:noProof/>
        </w:rPr>
        <w:t>Esta submedida consta de dos partes. La primera parte tiene por objeto la creación de una cuenta de formación individual digital para cada person</w:t>
      </w:r>
      <w:r>
        <w:rPr>
          <w:noProof/>
        </w:rPr>
        <w:t xml:space="preserve">a que participe en la dinámica del mercado laboral. La cuenta contendrá una serie de información, como una evaluación de las capacidades, una formación seguida y una validación formal de las competencias adquiridas. Las personas afectadas tendrán acceso a </w:t>
      </w:r>
      <w:r>
        <w:rPr>
          <w:noProof/>
        </w:rPr>
        <w:t>esta cuenta. La segunda parte tiene por objeto la creación de una base de datos para supervisar los cambios en las condiciones de trabajo. Se creará un sitio web de fácil utilización para la presentación de los datos recogidos y de los informes correspondi</w:t>
      </w:r>
      <w:r>
        <w:rPr>
          <w:noProof/>
        </w:rPr>
        <w:t>entes.</w:t>
      </w:r>
    </w:p>
    <w:p w14:paraId="7A15918D" w14:textId="77777777" w:rsidR="00F208CE" w:rsidRDefault="00513E84">
      <w:pPr>
        <w:pStyle w:val="P68B1DB1-Text19"/>
        <w:ind w:left="0"/>
        <w:rPr>
          <w:noProof/>
        </w:rPr>
      </w:pPr>
      <w:r>
        <w:rPr>
          <w:noProof/>
        </w:rPr>
        <w:t>Inversión I-2.06: «servicios de salud electrónica y datos sanitarios» del Estado federal</w:t>
      </w:r>
    </w:p>
    <w:p w14:paraId="7C9326DB" w14:textId="160F4D45" w:rsidR="00F208CE" w:rsidRDefault="00513E84">
      <w:pPr>
        <w:pStyle w:val="Text1"/>
        <w:ind w:left="0"/>
        <w:rPr>
          <w:noProof/>
        </w:rPr>
      </w:pPr>
      <w:r>
        <w:rPr>
          <w:noProof/>
        </w:rPr>
        <w:t>El objetivo de este proyecto es aumentar la calidad y la rapidez de la asistencia sanitaria mediante la digitalización de los procesos sanitarios. Además,</w:t>
      </w:r>
      <w:r>
        <w:rPr>
          <w:noProof/>
        </w:rPr>
        <w:t xml:space="preserve"> también tiene por objeto garantizar los medios administrativos y técnicos y la disponibilidad de datos sanitarios bien anonimizados y seguros. En el marco del proyecto se prevén diferentes acciones, entre ellas la ampliación de las capacidades de prescrip</w:t>
      </w:r>
      <w:r>
        <w:rPr>
          <w:noProof/>
        </w:rPr>
        <w:t>ción electrónica, la mejora de la calidad de las recetas y la reducción de costes lograda, por ejemplo, mediante el apoyo a la búsqueda de recetas o la puesta en marcha del teleseguimiento. La ejecución de la inversión deberá estar terminada a más tardar e</w:t>
      </w:r>
      <w:r>
        <w:rPr>
          <w:noProof/>
        </w:rPr>
        <w:t>l 31 de diciembre de 2025.</w:t>
      </w:r>
    </w:p>
    <w:p w14:paraId="3446A72E" w14:textId="77777777" w:rsidR="00F208CE" w:rsidRDefault="00513E84">
      <w:pPr>
        <w:pStyle w:val="P68B1DB1-Text19"/>
        <w:ind w:left="0"/>
        <w:rPr>
          <w:noProof/>
        </w:rPr>
      </w:pPr>
      <w:r>
        <w:rPr>
          <w:noProof/>
        </w:rPr>
        <w:t>Inversión I-2.07: «Digitalización de ONE» de la Comunidad Francesa</w:t>
      </w:r>
    </w:p>
    <w:p w14:paraId="2BF8A6E6" w14:textId="047C9B17" w:rsidR="00F208CE" w:rsidRDefault="00513E84">
      <w:pPr>
        <w:pStyle w:val="Text1"/>
        <w:ind w:left="0"/>
        <w:rPr>
          <w:noProof/>
        </w:rPr>
      </w:pPr>
      <w:r>
        <w:rPr>
          <w:noProof/>
        </w:rPr>
        <w:t>La medida tiene por objeto contribuir a la transformación digital de la Office de la Naissance et de l’Enfance (ONE), organismo público de referencia de la Comuni</w:t>
      </w:r>
      <w:r>
        <w:rPr>
          <w:noProof/>
        </w:rPr>
        <w:t>dad Francesa para todas las cuestiones relacionadas con la infancia, las políticas de la infancia, la protección de madres e hijos, el apoyo médico-social a la (futura) madre y al niño, el cuidado de los niños fuera de su entorno familiar y el apoyo a la p</w:t>
      </w:r>
      <w:r>
        <w:rPr>
          <w:noProof/>
        </w:rPr>
        <w:t>aternidad. La ejecución de la inversión deberá estar terminada a más tardar el 31 de diciembre de 2025.</w:t>
      </w:r>
    </w:p>
    <w:p w14:paraId="7D278A43" w14:textId="77777777" w:rsidR="00F208CE" w:rsidRDefault="00513E84">
      <w:pPr>
        <w:pStyle w:val="P68B1DB1-Text19"/>
        <w:ind w:left="0"/>
        <w:rPr>
          <w:noProof/>
        </w:rPr>
      </w:pPr>
      <w:r>
        <w:rPr>
          <w:noProof/>
        </w:rPr>
        <w:t>Inversión I-2.08: «Digitalización del sector cultural y de los medios de comunicación» de la Comunidad Francesa</w:t>
      </w:r>
    </w:p>
    <w:p w14:paraId="46689F02" w14:textId="7EEFB209" w:rsidR="00F208CE" w:rsidRDefault="00513E84">
      <w:pPr>
        <w:pStyle w:val="Text1"/>
        <w:ind w:left="0"/>
        <w:rPr>
          <w:noProof/>
        </w:rPr>
      </w:pPr>
      <w:r>
        <w:rPr>
          <w:noProof/>
        </w:rPr>
        <w:t xml:space="preserve">El objetivo de la medida es dotar a los </w:t>
      </w:r>
      <w:r>
        <w:rPr>
          <w:noProof/>
        </w:rPr>
        <w:t>medios de comunicación y a los sectores culturales francófonos belgas de instrumentos que les ayuden a digitalizar las obras audiovisuales y sonoras y aumentar la visibilidad de dichas obras. Para aumentar la visibilidad del sector cultural y de los medios</w:t>
      </w:r>
      <w:r>
        <w:rPr>
          <w:noProof/>
        </w:rPr>
        <w:t xml:space="preserve"> de comunicación francófonos belgas en las diferentes plataformas digitales, se desarrollará un conjunto de herramientas tecnológicas. La medida incluye también la digitalización de 37 obras audiovisuales y sonoras producidas en la comunidad francófona. La</w:t>
      </w:r>
      <w:r>
        <w:rPr>
          <w:noProof/>
        </w:rPr>
        <w:t xml:space="preserve"> ejecución de la inversión deberá estar terminada a más tardar el 30 de junio de 2026.</w:t>
      </w:r>
    </w:p>
    <w:p w14:paraId="36A8E778" w14:textId="4C8DFC6E" w:rsidR="00F208CE" w:rsidRDefault="00513E84">
      <w:pPr>
        <w:pStyle w:val="P68B1DB1-Text19"/>
        <w:ind w:left="0"/>
        <w:rPr>
          <w:noProof/>
        </w:rPr>
      </w:pPr>
      <w:r>
        <w:rPr>
          <w:noProof/>
        </w:rPr>
        <w:t>Inversión I-2.09: «Digitalización del Gobierno flamenco» de la Región Flamenca</w:t>
      </w:r>
    </w:p>
    <w:p w14:paraId="08C4B4F9" w14:textId="77777777" w:rsidR="00F208CE" w:rsidRDefault="00513E84">
      <w:pPr>
        <w:pStyle w:val="Text1"/>
        <w:ind w:left="0"/>
        <w:rPr>
          <w:noProof/>
        </w:rPr>
      </w:pPr>
      <w:r>
        <w:rPr>
          <w:noProof/>
        </w:rPr>
        <w:t>Esta medida tiene cuatro objetivos principales:</w:t>
      </w:r>
    </w:p>
    <w:p w14:paraId="7D5F67C8" w14:textId="64141BD1" w:rsidR="00F208CE" w:rsidRDefault="00513E84">
      <w:pPr>
        <w:pStyle w:val="Text1"/>
        <w:numPr>
          <w:ilvl w:val="0"/>
          <w:numId w:val="29"/>
        </w:numPr>
        <w:ind w:left="357" w:hanging="357"/>
        <w:rPr>
          <w:noProof/>
        </w:rPr>
      </w:pPr>
      <w:r>
        <w:rPr>
          <w:noProof/>
        </w:rPr>
        <w:t>automatizar el mayor número posible de ser</w:t>
      </w:r>
      <w:r>
        <w:rPr>
          <w:noProof/>
        </w:rPr>
        <w:t xml:space="preserve">vicios, en particular los que implican pagos e información proactiva, </w:t>
      </w:r>
    </w:p>
    <w:p w14:paraId="501D4DC1" w14:textId="77777777" w:rsidR="00F208CE" w:rsidRDefault="00513E84">
      <w:pPr>
        <w:pStyle w:val="Text1"/>
        <w:numPr>
          <w:ilvl w:val="0"/>
          <w:numId w:val="29"/>
        </w:numPr>
        <w:ind w:left="357" w:hanging="357"/>
        <w:rPr>
          <w:noProof/>
        </w:rPr>
      </w:pPr>
      <w:r>
        <w:rPr>
          <w:noProof/>
        </w:rPr>
        <w:t>permitir decisiones gubernamentales rápidas y eficaces con datos, en las que el uso de datos alimenta cada vez más las decisiones gubernamentales. A este respecto, se prevén inversiones</w:t>
      </w:r>
      <w:r>
        <w:rPr>
          <w:noProof/>
        </w:rPr>
        <w:t xml:space="preserve"> en el desarrollo de plataformas de datos de sensores, especialmente en los ámbitos de la movilidad y el medio ambiente.</w:t>
      </w:r>
    </w:p>
    <w:p w14:paraId="0F3CC6C0" w14:textId="1CFBF896" w:rsidR="00F208CE" w:rsidRDefault="00513E84">
      <w:pPr>
        <w:pStyle w:val="Text1"/>
        <w:numPr>
          <w:ilvl w:val="0"/>
          <w:numId w:val="29"/>
        </w:numPr>
        <w:ind w:left="357" w:hanging="357"/>
        <w:rPr>
          <w:noProof/>
        </w:rPr>
      </w:pPr>
      <w:r>
        <w:rPr>
          <w:noProof/>
        </w:rPr>
        <w:t xml:space="preserve">garantizar la creación de una infraestructura básica fiable mediante el refuerzo de los componentes básicos de las TIC y la prestación </w:t>
      </w:r>
      <w:r>
        <w:rPr>
          <w:noProof/>
        </w:rPr>
        <w:t>de apoyo,</w:t>
      </w:r>
    </w:p>
    <w:p w14:paraId="3020A70E" w14:textId="2E8B6727" w:rsidR="00F208CE" w:rsidRDefault="00513E84">
      <w:pPr>
        <w:pStyle w:val="Text1"/>
        <w:numPr>
          <w:ilvl w:val="0"/>
          <w:numId w:val="29"/>
        </w:numPr>
        <w:ind w:left="357" w:hanging="357"/>
        <w:rPr>
          <w:noProof/>
        </w:rPr>
      </w:pPr>
      <w:r>
        <w:rPr>
          <w:noProof/>
        </w:rPr>
        <w:t>ofrecer un lugar de trabajo híbrido a los funcionarios flamencos.</w:t>
      </w:r>
    </w:p>
    <w:p w14:paraId="6FB5862C" w14:textId="20E3468E" w:rsidR="00F208CE" w:rsidRDefault="00513E84">
      <w:pPr>
        <w:pStyle w:val="Text1"/>
        <w:ind w:left="0"/>
        <w:rPr>
          <w:noProof/>
        </w:rPr>
      </w:pPr>
      <w:r>
        <w:rPr>
          <w:noProof/>
        </w:rPr>
        <w:t xml:space="preserve">La medida incluirá 11 proyectos que, en conjunto, contribuyen a cuatro objetivos principales: 1. Hacia el servicio público a los ciudadanos, las empresas y las asociaciones; 2. 2 </w:t>
      </w:r>
      <w:r>
        <w:rPr>
          <w:noProof/>
        </w:rPr>
        <w:t>Permitir decisiones rápidas y eficaces con datos; 3. Garantizar una infraestructura básica fiable mediante el refuerzo de los componentes básicos de las TIC; y 4. Proporcionar un lugar de trabajo híbrido a los funcionarios flamencos. La ejecución de la inv</w:t>
      </w:r>
      <w:r>
        <w:rPr>
          <w:noProof/>
        </w:rPr>
        <w:t>ersión deberá estar terminada a más tardar el 30 de diciembre de 2025.</w:t>
      </w:r>
    </w:p>
    <w:p w14:paraId="6B97DE46" w14:textId="21E927C5" w:rsidR="00F208CE" w:rsidRDefault="00513E84">
      <w:pPr>
        <w:pStyle w:val="P68B1DB1-Text19"/>
        <w:numPr>
          <w:ilvl w:val="0"/>
          <w:numId w:val="29"/>
        </w:numPr>
        <w:ind w:left="357" w:hanging="357"/>
        <w:rPr>
          <w:noProof/>
        </w:rPr>
      </w:pPr>
      <w:r>
        <w:rPr>
          <w:noProof/>
        </w:rPr>
        <w:t>Inversión I-2.10: «Plataforma regional de intercambio de datos» de la Región de Bruselas-Capital</w:t>
      </w:r>
    </w:p>
    <w:p w14:paraId="2919FE4A" w14:textId="17123283" w:rsidR="00F208CE" w:rsidRDefault="00513E84">
      <w:pPr>
        <w:pStyle w:val="Text1"/>
        <w:ind w:left="0"/>
        <w:rPr>
          <w:noProof/>
        </w:rPr>
      </w:pPr>
      <w:r>
        <w:rPr>
          <w:noProof/>
        </w:rPr>
        <w:t xml:space="preserve">El objetivo de este proyecto es utilizar los datos disponibles en la Región de Bruselas </w:t>
      </w:r>
      <w:r>
        <w:rPr>
          <w:noProof/>
        </w:rPr>
        <w:t>en beneficio de los ciudadanos y las empresas de Bruselas mediante el desarrollo de una plataforma de intercambio de datos en Bruselas. En particular, la plataforma facilitará el establecimiento de «gemelos digitales» urbanos (representaciones virtuales de</w:t>
      </w:r>
      <w:r>
        <w:rPr>
          <w:noProof/>
        </w:rPr>
        <w:t xml:space="preserve"> los activos físicos de una ciudad). La ejecución de la inversión deberá estar terminada a más tardar el 31 de diciembre de 2024.</w:t>
      </w:r>
    </w:p>
    <w:p w14:paraId="653D232A" w14:textId="77777777" w:rsidR="00F208CE" w:rsidRDefault="00513E84">
      <w:pPr>
        <w:pStyle w:val="P68B1DB1-Text19"/>
        <w:pageBreakBefore/>
        <w:ind w:left="0"/>
        <w:rPr>
          <w:noProof/>
        </w:rPr>
      </w:pPr>
      <w:r>
        <w:rPr>
          <w:noProof/>
        </w:rPr>
        <w:t>Inversión I-2.11: «Digitalización de los procesos ciudadanoempresariales» de la Región de Bruselas-Capital</w:t>
      </w:r>
    </w:p>
    <w:p w14:paraId="757AEAA1" w14:textId="77777777" w:rsidR="00F208CE" w:rsidRDefault="00513E84">
      <w:pPr>
        <w:pStyle w:val="Text1"/>
        <w:ind w:left="0"/>
        <w:rPr>
          <w:noProof/>
        </w:rPr>
      </w:pPr>
      <w:r>
        <w:rPr>
          <w:noProof/>
        </w:rPr>
        <w:t>El objetivo de este</w:t>
      </w:r>
      <w:r>
        <w:rPr>
          <w:noProof/>
        </w:rPr>
        <w:t xml:space="preserve"> proyecto es abordar la creciente necesidad de simplificación administrativa y permitir que los ciudadanos y las empresas completen sus procedimientos de manera coherente, eficiente y transparente. A este respecto, cuatro proyectos contribuirán al objetivo</w:t>
      </w:r>
      <w:r>
        <w:rPr>
          <w:noProof/>
        </w:rPr>
        <w:t xml:space="preserve"> de simplificación administrativa:</w:t>
      </w:r>
    </w:p>
    <w:p w14:paraId="078823AB" w14:textId="77777777" w:rsidR="00F208CE" w:rsidRDefault="00513E84">
      <w:pPr>
        <w:pStyle w:val="Text1"/>
        <w:numPr>
          <w:ilvl w:val="0"/>
          <w:numId w:val="45"/>
        </w:numPr>
        <w:tabs>
          <w:tab w:val="left" w:pos="426"/>
        </w:tabs>
        <w:rPr>
          <w:noProof/>
        </w:rPr>
      </w:pPr>
      <w:r>
        <w:rPr>
          <w:noProof/>
        </w:rPr>
        <w:t>la puesta en marcha de una plataforma regional de Bruselas para la gestión de las relaciones con los ciudadanos (CIRM),</w:t>
      </w:r>
    </w:p>
    <w:p w14:paraId="0CCD104B" w14:textId="77777777" w:rsidR="00F208CE" w:rsidRDefault="00513E84">
      <w:pPr>
        <w:pStyle w:val="Text1"/>
        <w:numPr>
          <w:ilvl w:val="0"/>
          <w:numId w:val="45"/>
        </w:numPr>
        <w:tabs>
          <w:tab w:val="left" w:pos="426"/>
        </w:tabs>
        <w:rPr>
          <w:noProof/>
        </w:rPr>
      </w:pPr>
      <w:r>
        <w:rPr>
          <w:noProof/>
        </w:rPr>
        <w:t>la puesta en marcha de una plataforma para la digitalización de los procedimientos de concesión de pe</w:t>
      </w:r>
      <w:r>
        <w:rPr>
          <w:noProof/>
        </w:rPr>
        <w:t>rmisos de planificación,</w:t>
      </w:r>
    </w:p>
    <w:p w14:paraId="31F6D76D" w14:textId="77777777" w:rsidR="00F208CE" w:rsidRDefault="00513E84">
      <w:pPr>
        <w:pStyle w:val="Text1"/>
        <w:numPr>
          <w:ilvl w:val="0"/>
          <w:numId w:val="45"/>
        </w:numPr>
        <w:tabs>
          <w:tab w:val="left" w:pos="426"/>
        </w:tabs>
        <w:rPr>
          <w:noProof/>
        </w:rPr>
      </w:pPr>
      <w:r>
        <w:rPr>
          <w:noProof/>
        </w:rPr>
        <w:t xml:space="preserve">la puesta en marcha de una plataforma para la digitalización de los procedimientos de información urbana y los archivos urbanos. Este proyecto irá acompañado de las reformas y ajustes necesarios para su correcta ejecución. </w:t>
      </w:r>
    </w:p>
    <w:p w14:paraId="65B343B1" w14:textId="77777777" w:rsidR="00F208CE" w:rsidRDefault="00513E84">
      <w:pPr>
        <w:pStyle w:val="Text1"/>
        <w:numPr>
          <w:ilvl w:val="0"/>
          <w:numId w:val="45"/>
        </w:numPr>
        <w:tabs>
          <w:tab w:val="left" w:pos="426"/>
        </w:tabs>
        <w:rPr>
          <w:noProof/>
        </w:rPr>
      </w:pPr>
      <w:r>
        <w:rPr>
          <w:noProof/>
        </w:rPr>
        <w:t>la pues</w:t>
      </w:r>
      <w:r>
        <w:rPr>
          <w:noProof/>
        </w:rPr>
        <w:t>ta en marcha de una plataforma para la digitalización de los procedimientos de concesión de permisos medioambientales.</w:t>
      </w:r>
    </w:p>
    <w:p w14:paraId="2938C800" w14:textId="77777777" w:rsidR="00F208CE" w:rsidRDefault="00513E84">
      <w:pPr>
        <w:pStyle w:val="Text1"/>
        <w:ind w:left="0"/>
        <w:rPr>
          <w:noProof/>
        </w:rPr>
      </w:pPr>
      <w:r>
        <w:rPr>
          <w:noProof/>
        </w:rPr>
        <w:t>La ejecución de la inversión deberá estar terminada a más tardar el 31 de diciembre de 2025.</w:t>
      </w:r>
    </w:p>
    <w:p w14:paraId="7317BFCC" w14:textId="605F6810" w:rsidR="00F208CE" w:rsidRDefault="00513E84">
      <w:pPr>
        <w:pStyle w:val="P68B1DB1-Text19"/>
        <w:ind w:left="0"/>
        <w:rPr>
          <w:noProof/>
        </w:rPr>
      </w:pPr>
      <w:r>
        <w:rPr>
          <w:noProof/>
        </w:rPr>
        <w:t>Reforma R-2.01: «Simplificación de los proce</w:t>
      </w:r>
      <w:r>
        <w:rPr>
          <w:noProof/>
        </w:rPr>
        <w:t>dimientos administrativos: administración electrónica para las empresas, simplificación de los procedimientos administrativos» del Estado Federal</w:t>
      </w:r>
    </w:p>
    <w:p w14:paraId="55471228" w14:textId="6920B67D" w:rsidR="00F208CE" w:rsidRDefault="00513E84">
      <w:pPr>
        <w:pStyle w:val="Text1"/>
        <w:ind w:left="0"/>
        <w:rPr>
          <w:noProof/>
        </w:rPr>
      </w:pPr>
      <w:r>
        <w:rPr>
          <w:noProof/>
        </w:rPr>
        <w:t>Esta reforma tiene por objeto la simplificación administrativa, en particular mediante la plena digitalización</w:t>
      </w:r>
      <w:r>
        <w:rPr>
          <w:noProof/>
        </w:rPr>
        <w:t xml:space="preserve"> de los procedimientos para la creación, modificación y disolución de actividades empresariales y personas jurídicas. En particular, entrará en vigor un acuerdo de cooperación que incluya medidas que permitan la creación, modificación y disolución de activ</w:t>
      </w:r>
      <w:r>
        <w:rPr>
          <w:noProof/>
        </w:rPr>
        <w:t>idades empresariales en formato electrónico completo. El nuevo sistema digital introducido por el acuerdo de cooperación, que abarca tres formularios electrónicos para la creación, modificación y disolución de actividades empresariales, será un canal admin</w:t>
      </w:r>
      <w:r>
        <w:rPr>
          <w:noProof/>
        </w:rPr>
        <w:t>istrativo alternativo que proporcionará una alternativa simplificada a los formularios existentes. Además, entrarán en vigor las leyes y los reales decretos que permitan gradualmente la creación, modificación y disolución en línea de personas jurídicas par</w:t>
      </w:r>
      <w:r>
        <w:rPr>
          <w:noProof/>
        </w:rPr>
        <w:t>a todas las formas jurídicas a través de notarios o a través de Just-Act. La aplicación de la reforma se completará a más tardar el 31 de diciembre de 2023.</w:t>
      </w:r>
    </w:p>
    <w:p w14:paraId="22905B7B" w14:textId="77777777" w:rsidR="00F208CE" w:rsidRDefault="00513E84">
      <w:pPr>
        <w:pStyle w:val="P68B1DB1-Text19"/>
        <w:ind w:left="0"/>
        <w:rPr>
          <w:noProof/>
        </w:rPr>
      </w:pPr>
      <w:r>
        <w:rPr>
          <w:noProof/>
        </w:rPr>
        <w:t>Reforma R-2.02: «Administración electrónica: Procedimiento de licitación» del Estado Federal</w:t>
      </w:r>
    </w:p>
    <w:p w14:paraId="6485D315" w14:textId="77777777" w:rsidR="00F208CE" w:rsidRDefault="00513E84">
      <w:pPr>
        <w:pStyle w:val="Text1"/>
        <w:ind w:left="0"/>
        <w:rPr>
          <w:noProof/>
        </w:rPr>
        <w:sectPr w:rsidR="00F208CE" w:rsidSect="00022287">
          <w:headerReference w:type="even" r:id="rId50"/>
          <w:headerReference w:type="default" r:id="rId51"/>
          <w:footerReference w:type="even" r:id="rId52"/>
          <w:footerReference w:type="default" r:id="rId53"/>
          <w:headerReference w:type="first" r:id="rId54"/>
          <w:footerReference w:type="first" r:id="rId55"/>
          <w:pgSz w:w="11907" w:h="16839"/>
          <w:pgMar w:top="1134" w:right="1134" w:bottom="1134" w:left="1134" w:header="567" w:footer="567" w:gutter="0"/>
          <w:cols w:space="720"/>
          <w:docGrid w:linePitch="360"/>
        </w:sectPr>
      </w:pPr>
      <w:r>
        <w:rPr>
          <w:noProof/>
        </w:rPr>
        <w:t>Esta reforma consiste en un conjunto coherente de medidas para ampliar el uso de la contratación pública electrónica, incluido un nuevo Real Decreto, que adaptará el marco reglamentario federal para llev</w:t>
      </w:r>
      <w:r>
        <w:rPr>
          <w:noProof/>
        </w:rPr>
        <w:t>ar a cabo los procedimientos de licitación con el fin de facilitar el uso de la nueva y mejorada plataforma de administración electrónica. La aplicación de la reforma se completará a más tardar el 31 de diciembre de 2024.</w:t>
      </w:r>
    </w:p>
    <w:p w14:paraId="28B98CCE" w14:textId="77777777" w:rsidR="00F208CE" w:rsidRDefault="00513E84">
      <w:pPr>
        <w:pStyle w:val="Text1"/>
        <w:ind w:left="0"/>
        <w:rPr>
          <w:b/>
          <w:noProof/>
          <w:u w:val="single"/>
        </w:rPr>
      </w:pPr>
      <w:r>
        <w:rPr>
          <w:b/>
          <w:noProof/>
          <w:u w:val="single"/>
        </w:rPr>
        <w:t xml:space="preserve">E.2. </w:t>
      </w:r>
      <w:r>
        <w:rPr>
          <w:noProof/>
        </w:rPr>
        <w:t xml:space="preserve"> </w:t>
      </w:r>
      <w:r>
        <w:rPr>
          <w:b/>
          <w:noProof/>
          <w:u w:val="single"/>
        </w:rPr>
        <w:t>Hitos, metas, indicadores y calendario para el seguimiento y la ejecución de la ayuda financiera no reembolsable</w:t>
      </w:r>
    </w:p>
    <w:tbl>
      <w:tblPr>
        <w:tblW w:w="15339" w:type="dxa"/>
        <w:tblInd w:w="-318" w:type="dxa"/>
        <w:tblLayout w:type="fixed"/>
        <w:tblLook w:val="04A0" w:firstRow="1" w:lastRow="0" w:firstColumn="1" w:lastColumn="0" w:noHBand="0" w:noVBand="1"/>
      </w:tblPr>
      <w:tblGrid>
        <w:gridCol w:w="667"/>
        <w:gridCol w:w="1631"/>
        <w:gridCol w:w="1134"/>
        <w:gridCol w:w="1701"/>
        <w:gridCol w:w="1701"/>
        <w:gridCol w:w="1559"/>
        <w:gridCol w:w="992"/>
        <w:gridCol w:w="851"/>
        <w:gridCol w:w="992"/>
        <w:gridCol w:w="709"/>
        <w:gridCol w:w="3402"/>
      </w:tblGrid>
      <w:tr w:rsidR="00F208CE" w14:paraId="1B42ADCD" w14:textId="77777777">
        <w:trPr>
          <w:trHeight w:val="927"/>
          <w:tblHeader/>
        </w:trPr>
        <w:tc>
          <w:tcPr>
            <w:tcW w:w="66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BFC576" w14:textId="5AB36C15" w:rsidR="00F208CE" w:rsidRDefault="00513E84">
            <w:pPr>
              <w:pStyle w:val="P68B1DB1-Normal7"/>
              <w:spacing w:after="0"/>
              <w:jc w:val="center"/>
              <w:rPr>
                <w:rFonts w:eastAsia="Times New Roman" w:cs="Times New Roman"/>
                <w:noProof/>
              </w:rPr>
            </w:pPr>
            <w:r>
              <w:rPr>
                <w:noProof/>
              </w:rPr>
              <w:t>SeqNb.</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072B04"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0A08B3" w14:textId="77777777" w:rsidR="00F208CE" w:rsidRDefault="00513E84">
            <w:pPr>
              <w:pStyle w:val="P68B1DB1-Normal7"/>
              <w:spacing w:after="0"/>
              <w:jc w:val="center"/>
              <w:rPr>
                <w:rFonts w:eastAsia="Times New Roman" w:cs="Times New Roman"/>
                <w:noProof/>
              </w:rPr>
            </w:pPr>
            <w:r>
              <w:rPr>
                <w:noProof/>
              </w:rPr>
              <w:t>Hito/Objetivo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FCA979" w14:textId="77777777" w:rsidR="00F208CE" w:rsidRDefault="00513E84">
            <w:pPr>
              <w:pStyle w:val="P68B1DB1-Normal7"/>
              <w:spacing w:after="0"/>
              <w:jc w:val="center"/>
              <w:rPr>
                <w:rFonts w:eastAsia="Times New Roman" w:cs="Times New Roman"/>
                <w:noProof/>
              </w:rPr>
            </w:pPr>
            <w:r>
              <w:rPr>
                <w:noProof/>
              </w:rPr>
              <w:t>Nombre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FE56C2"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2753151D"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 xml:space="preserve">(para </w:t>
            </w:r>
            <w:r>
              <w:rPr>
                <w:rFonts w:ascii="Times New Roman" w:hAnsi="Times New Roman"/>
                <w:b/>
                <w:noProof/>
                <w:sz w:val="20"/>
              </w:rPr>
              <w:t>los objetivos)</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395DBBB3"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F6846A"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573092C2" w14:textId="77777777">
        <w:trPr>
          <w:trHeight w:val="1013"/>
        </w:trPr>
        <w:tc>
          <w:tcPr>
            <w:tcW w:w="667" w:type="dxa"/>
            <w:vMerge/>
            <w:tcBorders>
              <w:left w:val="single" w:sz="4" w:space="0" w:color="auto"/>
              <w:right w:val="single" w:sz="4" w:space="0" w:color="auto"/>
            </w:tcBorders>
            <w:vAlign w:val="center"/>
            <w:hideMark/>
          </w:tcPr>
          <w:p w14:paraId="68125C66" w14:textId="77777777" w:rsidR="00F208CE" w:rsidRDefault="00F208CE">
            <w:pPr>
              <w:spacing w:after="0"/>
              <w:rPr>
                <w:rFonts w:ascii="Times New Roman" w:eastAsia="Times New Roman" w:hAnsi="Times New Roman" w:cs="Times New Roman"/>
                <w:b/>
                <w:noProof/>
              </w:rPr>
            </w:pPr>
          </w:p>
        </w:tc>
        <w:tc>
          <w:tcPr>
            <w:tcW w:w="1631" w:type="dxa"/>
            <w:vMerge/>
            <w:tcBorders>
              <w:left w:val="single" w:sz="4" w:space="0" w:color="auto"/>
              <w:right w:val="single" w:sz="4" w:space="0" w:color="auto"/>
            </w:tcBorders>
            <w:vAlign w:val="center"/>
            <w:hideMark/>
          </w:tcPr>
          <w:p w14:paraId="236FA779" w14:textId="77777777" w:rsidR="00F208CE" w:rsidRDefault="00F208CE">
            <w:pPr>
              <w:spacing w:after="0"/>
              <w:rPr>
                <w:rFonts w:ascii="Times New Roman" w:eastAsia="Times New Roman" w:hAnsi="Times New Roman" w:cs="Times New Roman"/>
                <w:b/>
                <w:noProof/>
              </w:rPr>
            </w:pPr>
          </w:p>
        </w:tc>
        <w:tc>
          <w:tcPr>
            <w:tcW w:w="1134" w:type="dxa"/>
            <w:vMerge/>
            <w:tcBorders>
              <w:left w:val="single" w:sz="4" w:space="0" w:color="auto"/>
              <w:right w:val="single" w:sz="4" w:space="0" w:color="auto"/>
            </w:tcBorders>
            <w:vAlign w:val="center"/>
            <w:hideMark/>
          </w:tcPr>
          <w:p w14:paraId="0D788E73" w14:textId="77777777" w:rsidR="00F208CE" w:rsidRDefault="00F208CE">
            <w:pPr>
              <w:spacing w:after="0"/>
              <w:rPr>
                <w:rFonts w:ascii="Times New Roman" w:eastAsia="Times New Roman" w:hAnsi="Times New Roman" w:cs="Times New Roman"/>
                <w:b/>
                <w:noProof/>
              </w:rPr>
            </w:pPr>
          </w:p>
        </w:tc>
        <w:tc>
          <w:tcPr>
            <w:tcW w:w="1701" w:type="dxa"/>
            <w:vMerge/>
            <w:tcBorders>
              <w:left w:val="single" w:sz="4" w:space="0" w:color="auto"/>
              <w:right w:val="single" w:sz="4" w:space="0" w:color="auto"/>
            </w:tcBorders>
            <w:vAlign w:val="center"/>
            <w:hideMark/>
          </w:tcPr>
          <w:p w14:paraId="64FD7BCF" w14:textId="77777777" w:rsidR="00F208CE" w:rsidRDefault="00F208CE">
            <w:pPr>
              <w:spacing w:after="0"/>
              <w:rPr>
                <w:rFonts w:ascii="Times New Roman" w:eastAsia="Times New Roman" w:hAnsi="Times New Roman" w:cs="Times New Roman"/>
                <w:b/>
                <w:noProof/>
              </w:rPr>
            </w:pPr>
          </w:p>
        </w:tc>
        <w:tc>
          <w:tcPr>
            <w:tcW w:w="1701" w:type="dxa"/>
            <w:vMerge/>
            <w:tcBorders>
              <w:left w:val="single" w:sz="4" w:space="0" w:color="auto"/>
            </w:tcBorders>
            <w:vAlign w:val="center"/>
            <w:hideMark/>
          </w:tcPr>
          <w:p w14:paraId="6B83B094" w14:textId="77777777" w:rsidR="00F208CE" w:rsidRDefault="00F208CE">
            <w:pPr>
              <w:spacing w:after="0"/>
              <w:rPr>
                <w:rFonts w:ascii="Times New Roman" w:eastAsia="Times New Roman" w:hAnsi="Times New Roman" w:cs="Times New Roman"/>
                <w:b/>
                <w:noProof/>
              </w:rPr>
            </w:pPr>
          </w:p>
        </w:tc>
        <w:tc>
          <w:tcPr>
            <w:tcW w:w="155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61A0BB0" w14:textId="77777777" w:rsidR="00F208CE" w:rsidRDefault="00513E84">
            <w:pPr>
              <w:pStyle w:val="P68B1DB1-Normal7"/>
              <w:spacing w:after="0"/>
              <w:jc w:val="center"/>
              <w:rPr>
                <w:rFonts w:eastAsia="Times New Roman" w:cs="Times New Roman"/>
                <w:noProof/>
              </w:rPr>
            </w:pPr>
            <w:r>
              <w:rPr>
                <w:noProof/>
              </w:rPr>
              <w:t>Unidad de medida</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203F2466" w14:textId="77777777" w:rsidR="00F208CE" w:rsidRDefault="00513E84">
            <w:pPr>
              <w:pStyle w:val="P68B1DB1-Normal7"/>
              <w:spacing w:after="0"/>
              <w:jc w:val="center"/>
              <w:rPr>
                <w:rFonts w:eastAsia="Times New Roman" w:cs="Times New Roman"/>
                <w:noProof/>
              </w:rPr>
            </w:pPr>
            <w:r>
              <w:rPr>
                <w:noProof/>
              </w:rPr>
              <w:t xml:space="preserve">Basal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31641F25" w14:textId="77777777" w:rsidR="00F208CE" w:rsidRDefault="00513E84">
            <w:pPr>
              <w:pStyle w:val="P68B1DB1-Normal7"/>
              <w:spacing w:after="0"/>
              <w:jc w:val="center"/>
              <w:rPr>
                <w:rFonts w:eastAsia="Times New Roman" w:cs="Times New Roman"/>
                <w:noProof/>
              </w:rPr>
            </w:pPr>
            <w:r>
              <w:rPr>
                <w:noProof/>
              </w:rPr>
              <w:t xml:space="preserve">Meta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690B89DB" w14:textId="77777777" w:rsidR="00F208CE" w:rsidRDefault="00513E84">
            <w:pPr>
              <w:pStyle w:val="P68B1DB1-Normal7"/>
              <w:spacing w:after="0"/>
              <w:jc w:val="center"/>
              <w:rPr>
                <w:rFonts w:eastAsia="Times New Roman" w:cs="Times New Roman"/>
                <w:noProof/>
              </w:rPr>
            </w:pPr>
            <w:r>
              <w:rPr>
                <w:noProof/>
              </w:rPr>
              <w:t>Trimestre</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7AB49855" w14:textId="77777777" w:rsidR="00F208CE" w:rsidRDefault="00513E84">
            <w:pPr>
              <w:pStyle w:val="P68B1DB1-Normal7"/>
              <w:spacing w:after="0"/>
              <w:jc w:val="center"/>
              <w:rPr>
                <w:rFonts w:eastAsia="Times New Roman" w:cs="Times New Roman"/>
                <w:noProof/>
              </w:rPr>
            </w:pPr>
            <w:r>
              <w:rPr>
                <w:noProof/>
              </w:rPr>
              <w:t>Año</w:t>
            </w:r>
          </w:p>
        </w:tc>
        <w:tc>
          <w:tcPr>
            <w:tcW w:w="3402" w:type="dxa"/>
            <w:vMerge/>
            <w:tcBorders>
              <w:right w:val="single" w:sz="4" w:space="0" w:color="auto"/>
            </w:tcBorders>
            <w:vAlign w:val="center"/>
            <w:hideMark/>
          </w:tcPr>
          <w:p w14:paraId="7D44E5CB" w14:textId="77777777" w:rsidR="00F208CE" w:rsidRDefault="00F208CE">
            <w:pPr>
              <w:spacing w:after="0"/>
              <w:rPr>
                <w:rFonts w:ascii="Times New Roman" w:eastAsia="Times New Roman" w:hAnsi="Times New Roman" w:cs="Times New Roman"/>
                <w:b/>
                <w:noProof/>
              </w:rPr>
            </w:pPr>
          </w:p>
        </w:tc>
      </w:tr>
      <w:tr w:rsidR="00F208CE" w14:paraId="24D86FF1"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7AF99C" w14:textId="77777777" w:rsidR="00F208CE" w:rsidRDefault="00513E84">
            <w:pPr>
              <w:pStyle w:val="P68B1DB1-Normal8"/>
              <w:spacing w:after="0"/>
              <w:jc w:val="center"/>
              <w:rPr>
                <w:rFonts w:eastAsia="Times New Roman" w:cs="Times New Roman"/>
                <w:noProof/>
              </w:rPr>
            </w:pPr>
            <w:r>
              <w:rPr>
                <w:noProof/>
              </w:rPr>
              <w:t>51</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71C6CD68" w14:textId="77777777" w:rsidR="00F208CE" w:rsidRDefault="00513E84">
            <w:pPr>
              <w:pStyle w:val="P68B1DB1-Normal8"/>
              <w:spacing w:after="0"/>
              <w:rPr>
                <w:rFonts w:eastAsia="Times New Roman" w:cs="Times New Roman"/>
                <w:noProof/>
              </w:rPr>
            </w:pPr>
            <w:r>
              <w:rPr>
                <w:noProof/>
              </w:rPr>
              <w:t>Digitalización IPSS (I-2.04) (submedida 2)</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2C2F2CF" w14:textId="4BBC11BA" w:rsidR="00F208CE" w:rsidRDefault="00513E84">
            <w:pPr>
              <w:pStyle w:val="P68B1DB1-Normal8"/>
              <w:spacing w:after="0"/>
              <w:rPr>
                <w:rFonts w:eastAsia="Times New Roman" w:cs="Times New Roman"/>
                <w:noProof/>
              </w:rPr>
            </w:pPr>
            <w:r>
              <w:rPr>
                <w:noProof/>
              </w:rPr>
              <w:t>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BE9DBEC" w14:textId="77777777" w:rsidR="00F208CE" w:rsidRDefault="00513E84">
            <w:pPr>
              <w:pStyle w:val="P68B1DB1-Normal8"/>
              <w:spacing w:after="0"/>
              <w:rPr>
                <w:rFonts w:eastAsia="Times New Roman" w:cs="Times New Roman"/>
                <w:noProof/>
              </w:rPr>
            </w:pPr>
            <w:r>
              <w:rPr>
                <w:noProof/>
              </w:rPr>
              <w:t xml:space="preserve">Todas las comunicaciones del Instituto Público de la Seguridad </w:t>
            </w:r>
            <w:r>
              <w:rPr>
                <w:noProof/>
              </w:rPr>
              <w:t>Social (IPSS) son digitales y</w:t>
            </w:r>
          </w:p>
          <w:p w14:paraId="15A6B5CB" w14:textId="77777777" w:rsidR="00F208CE" w:rsidRDefault="00513E84">
            <w:pPr>
              <w:pStyle w:val="P68B1DB1-Normal8"/>
              <w:spacing w:after="0"/>
              <w:rPr>
                <w:rFonts w:eastAsia="Times New Roman" w:cs="Times New Roman"/>
                <w:noProof/>
              </w:rPr>
            </w:pPr>
            <w:r>
              <w:rPr>
                <w:noProof/>
              </w:rPr>
              <w:t>los datos se centralizan/consolidan</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798E40B" w14:textId="77777777" w:rsidR="00F208CE" w:rsidRDefault="00F208CE">
            <w:pPr>
              <w:spacing w:after="0"/>
              <w:rPr>
                <w:rFonts w:ascii="Times New Roman" w:eastAsia="Times New Roman" w:hAnsi="Times New Roman" w:cs="Times New Roman"/>
                <w:noProof/>
                <w:color w:val="006100"/>
              </w:rPr>
            </w:pP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7F7155C8" w14:textId="77777777" w:rsidR="00F208CE" w:rsidRDefault="00513E84">
            <w:pPr>
              <w:pStyle w:val="P68B1DB1-Normal8"/>
              <w:spacing w:after="0"/>
              <w:jc w:val="center"/>
              <w:rPr>
                <w:rFonts w:eastAsia="Times New Roman" w:cs="Times New Roman"/>
                <w:noProof/>
              </w:rPr>
            </w:pPr>
            <w:r>
              <w:rPr>
                <w:noProof/>
              </w:rPr>
              <w:t>%</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9F4C70D" w14:textId="77777777" w:rsidR="00F208CE" w:rsidRDefault="00513E84">
            <w:pPr>
              <w:pStyle w:val="P68B1DB1-Normal8"/>
              <w:spacing w:after="0"/>
              <w:jc w:val="center"/>
              <w:rPr>
                <w:rFonts w:eastAsia="Times New Roman" w:cs="Times New Roman"/>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7E851F0D" w14:textId="77777777" w:rsidR="00F208CE" w:rsidRDefault="00513E84">
            <w:pPr>
              <w:pStyle w:val="P68B1DB1-Normal8"/>
              <w:spacing w:after="0"/>
              <w:jc w:val="center"/>
              <w:rPr>
                <w:rFonts w:eastAsia="Times New Roman" w:cs="Times New Roman"/>
                <w:noProof/>
              </w:rPr>
            </w:pPr>
            <w:r>
              <w:rPr>
                <w:noProof/>
              </w:rPr>
              <w:t>100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405340D"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6AABA27" w14:textId="77777777" w:rsidR="00F208CE" w:rsidRDefault="00513E84">
            <w:pPr>
              <w:pStyle w:val="P68B1DB1-Normal8"/>
              <w:spacing w:after="0"/>
              <w:jc w:val="center"/>
              <w:rPr>
                <w:rFonts w:eastAsia="Times New Roman" w:cs="Times New Roman"/>
                <w:noProof/>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3EB4456E" w14:textId="77777777" w:rsidR="00F208CE" w:rsidRDefault="00513E84">
            <w:pPr>
              <w:pStyle w:val="P68B1DB1-Normal8"/>
              <w:spacing w:after="0"/>
              <w:rPr>
                <w:rFonts w:eastAsia="Times New Roman" w:cs="Times New Roman"/>
                <w:noProof/>
              </w:rPr>
            </w:pPr>
            <w:r>
              <w:rPr>
                <w:noProof/>
              </w:rPr>
              <w:t>Se digitaliza el 100 % de la comunicación entre el Instituto Público de la Seguridad Social (IPSS) y los empleadores en términos de facturación/pago. El sist</w:t>
            </w:r>
            <w:r>
              <w:rPr>
                <w:noProof/>
              </w:rPr>
              <w:t>ema de facturación de la Oficina Nacional de la Seguridad Social (RSZ/ONSS) está integrado en la red paneuropea de contratación pública en línea (PEPPOL).</w:t>
            </w:r>
          </w:p>
        </w:tc>
      </w:tr>
      <w:tr w:rsidR="00F208CE" w14:paraId="35F632E2"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4B485E" w14:textId="77777777" w:rsidR="00F208CE" w:rsidRDefault="00513E84">
            <w:pPr>
              <w:pStyle w:val="P68B1DB1-Normal8"/>
              <w:spacing w:after="0"/>
              <w:jc w:val="center"/>
              <w:rPr>
                <w:rFonts w:eastAsia="Times New Roman" w:cs="Times New Roman"/>
                <w:noProof/>
              </w:rPr>
            </w:pPr>
            <w:r>
              <w:rPr>
                <w:noProof/>
              </w:rPr>
              <w:t>52</w:t>
            </w:r>
          </w:p>
        </w:tc>
        <w:tc>
          <w:tcPr>
            <w:tcW w:w="163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0C9E58" w14:textId="7A264E53" w:rsidR="00F208CE" w:rsidRDefault="00513E84">
            <w:pPr>
              <w:pStyle w:val="P68B1DB1-Normal8"/>
              <w:spacing w:after="0"/>
              <w:rPr>
                <w:rFonts w:eastAsia="Times New Roman" w:cs="Times New Roman"/>
                <w:noProof/>
              </w:rPr>
            </w:pPr>
            <w:r>
              <w:rPr>
                <w:noProof/>
              </w:rPr>
              <w:t>Digitalización IPSS (I-2.04) (submedida 1)</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235A14" w14:textId="4D832816"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438F60" w14:textId="77777777" w:rsidR="00F208CE" w:rsidRDefault="00513E84">
            <w:pPr>
              <w:pStyle w:val="P68B1DB1-Normal8"/>
              <w:spacing w:after="0"/>
              <w:rPr>
                <w:rFonts w:eastAsia="Times New Roman" w:cs="Times New Roman"/>
                <w:noProof/>
              </w:rPr>
            </w:pPr>
            <w:r>
              <w:rPr>
                <w:noProof/>
              </w:rPr>
              <w:t>Solución digital disponible — interfaz web (IPSS)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E0351D" w14:textId="13F30F7B" w:rsidR="00F208CE" w:rsidRDefault="00513E84">
            <w:pPr>
              <w:pStyle w:val="P68B1DB1-Normal8"/>
              <w:spacing w:after="0"/>
              <w:rPr>
                <w:rFonts w:eastAsia="Times New Roman" w:cs="Times New Roman"/>
                <w:noProof/>
              </w:rPr>
            </w:pPr>
            <w:r>
              <w:rPr>
                <w:noProof/>
              </w:rPr>
              <w:t>La</w:t>
            </w:r>
            <w:r>
              <w:rPr>
                <w:noProof/>
              </w:rPr>
              <w:t xml:space="preserve"> versión final de la interfaz web del IPSS está operativa</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6247D8"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6AE6AF"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0B0C5"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2A76AB" w14:textId="77777777" w:rsidR="00F208CE" w:rsidRDefault="00513E84">
            <w:pPr>
              <w:pStyle w:val="P68B1DB1-Normal8"/>
              <w:spacing w:after="0"/>
              <w:jc w:val="center"/>
              <w:rPr>
                <w:rFonts w:eastAsia="Times New Roman" w:cs="Times New Roman"/>
                <w:noProof/>
              </w:rPr>
            </w:pPr>
            <w:r>
              <w:rPr>
                <w:noProof/>
              </w:rPr>
              <w:t>TERCER TRIMESTRE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1756B0" w14:textId="77777777" w:rsidR="00F208CE" w:rsidRDefault="00513E84">
            <w:pPr>
              <w:pStyle w:val="P68B1DB1-Normal8"/>
              <w:spacing w:after="0"/>
              <w:jc w:val="center"/>
              <w:rPr>
                <w:rFonts w:eastAsia="Times New Roman" w:cs="Times New Roman"/>
                <w:noProof/>
              </w:rPr>
            </w:pPr>
            <w:r>
              <w:rPr>
                <w:noProof/>
              </w:rPr>
              <w:t>2026</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8656C3E" w14:textId="77777777" w:rsidR="00F208CE" w:rsidRDefault="00513E84">
            <w:pPr>
              <w:pStyle w:val="P68B1DB1-Normal8"/>
              <w:spacing w:after="0"/>
              <w:rPr>
                <w:rFonts w:eastAsia="Times New Roman" w:cs="Times New Roman"/>
                <w:noProof/>
              </w:rPr>
            </w:pPr>
            <w:r>
              <w:rPr>
                <w:noProof/>
              </w:rPr>
              <w:t xml:space="preserve">Las interfaces finales de gestión de derechos de usuario para las comunicaciones del Instituto Público de Seguridad Social (IPSS) están disponibles. Los socios, las </w:t>
            </w:r>
            <w:r>
              <w:rPr>
                <w:noProof/>
              </w:rPr>
              <w:t xml:space="preserve">empresas y los ciudadanos tienen interfaces nuevas y eficientes para gestionar sus declaraciones y comunicaciones con la seguridad social. Los canales de comunicación se han automatizado y modernizado. Existen herramientas de gestión para todas las nuevas </w:t>
            </w:r>
            <w:r>
              <w:rPr>
                <w:noProof/>
              </w:rPr>
              <w:t>aplicaciones desarrolladas para gestionar los derechos de los usuarios y el acceso, para registrar nuevos empleadores y para declarar relaciones nuevas o actualizadas entre la seguridad social y un empleador o empleados, lo que permite un mantenimiento fác</w:t>
            </w:r>
            <w:r>
              <w:rPr>
                <w:noProof/>
              </w:rPr>
              <w:t>il y facilita la evolución futura. Las partes interesadas tienen acceso a sus datos, que pueden consultarse y están abiertos. La nueva plataforma es plenamente operativa, moderna, mantenible y escalable. La infraestructura está disponible para apoyar todas</w:t>
            </w:r>
            <w:r>
              <w:rPr>
                <w:noProof/>
              </w:rPr>
              <w:t xml:space="preserve"> las nuevas solicitudes de inscripción de nuevos empleadores y para declarar relaciones nuevas o actualizadas entre la seguridad social y un empleador/empleado.</w:t>
            </w:r>
          </w:p>
        </w:tc>
      </w:tr>
      <w:tr w:rsidR="00F208CE" w14:paraId="08427E43"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0ACFF5" w14:textId="77777777" w:rsidR="00F208CE" w:rsidRDefault="00513E84">
            <w:pPr>
              <w:pStyle w:val="P68B1DB1-Normal8"/>
              <w:spacing w:after="0"/>
              <w:jc w:val="center"/>
              <w:rPr>
                <w:rFonts w:eastAsia="Times New Roman" w:cs="Times New Roman"/>
                <w:noProof/>
              </w:rPr>
            </w:pPr>
            <w:r>
              <w:rPr>
                <w:noProof/>
              </w:rPr>
              <w:t>53</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56D8CB42" w14:textId="77777777" w:rsidR="00F208CE" w:rsidRDefault="00513E84">
            <w:pPr>
              <w:pStyle w:val="P68B1DB1-Normal8"/>
              <w:spacing w:after="0"/>
              <w:rPr>
                <w:rFonts w:eastAsia="Times New Roman" w:cs="Times New Roman"/>
                <w:noProof/>
              </w:rPr>
            </w:pPr>
            <w:r>
              <w:rPr>
                <w:noProof/>
              </w:rPr>
              <w:t>Digitalización IPSS (I-2.04)</w:t>
            </w:r>
          </w:p>
          <w:p w14:paraId="09FFBCA6" w14:textId="210DD889" w:rsidR="00F208CE" w:rsidRDefault="00513E84">
            <w:pPr>
              <w:pStyle w:val="P68B1DB1-Normal8"/>
              <w:spacing w:after="0"/>
              <w:rPr>
                <w:rFonts w:eastAsia="Times New Roman" w:cs="Times New Roman"/>
                <w:noProof/>
              </w:rPr>
            </w:pPr>
            <w:r>
              <w:rPr>
                <w:noProof/>
              </w:rPr>
              <w:t>(submedida 3)</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2F4D2E5" w14:textId="66597829"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54B6392" w14:textId="77777777" w:rsidR="00F208CE" w:rsidRDefault="00513E84">
            <w:pPr>
              <w:pStyle w:val="P68B1DB1-Normal8"/>
              <w:spacing w:after="0"/>
              <w:rPr>
                <w:rFonts w:eastAsia="Times New Roman" w:cs="Times New Roman"/>
                <w:noProof/>
              </w:rPr>
            </w:pPr>
            <w:r>
              <w:rPr>
                <w:noProof/>
              </w:rPr>
              <w:t xml:space="preserve">Solución digital disponible — Plataforma </w:t>
            </w:r>
            <w:r>
              <w:rPr>
                <w:noProof/>
              </w:rPr>
              <w:t>interactiva (IPSS)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837C3B5" w14:textId="77777777" w:rsidR="00F208CE" w:rsidRDefault="00513E84">
            <w:pPr>
              <w:pStyle w:val="P68B1DB1-Normal8"/>
              <w:spacing w:after="0"/>
              <w:rPr>
                <w:rFonts w:eastAsia="Times New Roman" w:cs="Times New Roman"/>
                <w:noProof/>
              </w:rPr>
            </w:pPr>
            <w:r>
              <w:rPr>
                <w:noProof/>
              </w:rPr>
              <w:t>La plataforma interactiva para autónomos es plenamente operativa.</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E5BF7B5"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93AA561"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09E77726"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FD2986B"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1D2DE969" w14:textId="77777777" w:rsidR="00F208CE" w:rsidRDefault="00513E84">
            <w:pPr>
              <w:pStyle w:val="P68B1DB1-Normal8"/>
              <w:spacing w:after="0"/>
              <w:jc w:val="center"/>
              <w:rPr>
                <w:rFonts w:eastAsia="Times New Roman" w:cs="Times New Roman"/>
                <w:noProof/>
              </w:rPr>
            </w:pPr>
            <w:r>
              <w:rPr>
                <w:noProof/>
              </w:rPr>
              <w:t>2026</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5601EE4" w14:textId="77777777" w:rsidR="00F208CE" w:rsidRDefault="00513E84">
            <w:pPr>
              <w:pStyle w:val="P68B1DB1-Normal8"/>
              <w:spacing w:after="0"/>
              <w:rPr>
                <w:rFonts w:eastAsia="Times New Roman" w:cs="Times New Roman"/>
                <w:noProof/>
              </w:rPr>
            </w:pPr>
            <w:r>
              <w:rPr>
                <w:noProof/>
              </w:rPr>
              <w:t>Una plataforma interactiva del Instituto Público de la Seguridad Social (IPSS) para autónomos es plenamente operativa y prevé lo siguiente:</w:t>
            </w:r>
          </w:p>
          <w:p w14:paraId="538DB7B7" w14:textId="77777777" w:rsidR="00F208CE" w:rsidRDefault="00513E84">
            <w:pPr>
              <w:pStyle w:val="P68B1DB1-ListParagraph10"/>
              <w:numPr>
                <w:ilvl w:val="0"/>
                <w:numId w:val="30"/>
              </w:numPr>
              <w:spacing w:after="0"/>
              <w:rPr>
                <w:rFonts w:eastAsia="Times New Roman" w:cs="Times New Roman"/>
                <w:noProof/>
              </w:rPr>
            </w:pPr>
            <w:r>
              <w:rPr>
                <w:noProof/>
              </w:rPr>
              <w:t>form</w:t>
            </w:r>
            <w:r>
              <w:rPr>
                <w:noProof/>
              </w:rPr>
              <w:t xml:space="preserve">ularios electrónicos interactivos y automatización de procesos, como el derecho de transición y las exenciones a las que tienen derecho los trabajadores por cuenta propia. </w:t>
            </w:r>
          </w:p>
          <w:p w14:paraId="7ECDCBBB" w14:textId="77777777" w:rsidR="00F208CE" w:rsidRDefault="00513E84">
            <w:pPr>
              <w:pStyle w:val="P68B1DB1-ListParagraph10"/>
              <w:numPr>
                <w:ilvl w:val="0"/>
                <w:numId w:val="30"/>
              </w:numPr>
              <w:spacing w:after="0"/>
              <w:rPr>
                <w:rFonts w:eastAsia="Times New Roman" w:cs="Times New Roman"/>
                <w:noProof/>
              </w:rPr>
            </w:pPr>
            <w:r>
              <w:rPr>
                <w:noProof/>
              </w:rPr>
              <w:t>Toda la información relativa a la seguridad social se registra en el expediente «in</w:t>
            </w:r>
            <w:r>
              <w:rPr>
                <w:noProof/>
              </w:rPr>
              <w:t>dividual» del trabajador por cuenta propia, que puede ser consultado inmediatamente en cualquier momento por las partes implicadas.</w:t>
            </w:r>
          </w:p>
          <w:p w14:paraId="380DC67C" w14:textId="77777777" w:rsidR="00F208CE" w:rsidRDefault="00513E84">
            <w:pPr>
              <w:pStyle w:val="P68B1DB1-ListParagraph10"/>
              <w:numPr>
                <w:ilvl w:val="0"/>
                <w:numId w:val="30"/>
              </w:numPr>
              <w:spacing w:after="0"/>
              <w:rPr>
                <w:rFonts w:eastAsia="Times New Roman" w:cs="Times New Roman"/>
                <w:noProof/>
              </w:rPr>
            </w:pPr>
            <w:r>
              <w:rPr>
                <w:noProof/>
              </w:rPr>
              <w:t>La plataforma permite automatizar los procesos, acelerar la comunicación de las decisiones y conceder automáticamente derech</w:t>
            </w:r>
            <w:r>
              <w:rPr>
                <w:noProof/>
              </w:rPr>
              <w:t>os derivados.</w:t>
            </w:r>
          </w:p>
          <w:p w14:paraId="03845F23" w14:textId="77777777" w:rsidR="00F208CE" w:rsidRDefault="00513E84">
            <w:pPr>
              <w:pStyle w:val="P68B1DB1-ListParagraph10"/>
              <w:numPr>
                <w:ilvl w:val="0"/>
                <w:numId w:val="30"/>
              </w:numPr>
              <w:spacing w:after="0"/>
              <w:rPr>
                <w:rFonts w:eastAsia="Times New Roman" w:cs="Times New Roman"/>
                <w:noProof/>
              </w:rPr>
            </w:pPr>
            <w:r>
              <w:rPr>
                <w:noProof/>
              </w:rPr>
              <w:t xml:space="preserve">La plataforma está conectada a otras instituciones, como la Oficina Nacional de la Seguridad Social (NSSO) y el Instituto Nacional del Seguro de Enfermedad e Invalidez (NIHDI) o plataformas, y permite intercambios con otros países del sector </w:t>
            </w:r>
            <w:r>
              <w:rPr>
                <w:noProof/>
              </w:rPr>
              <w:t>de la seguridad social.</w:t>
            </w:r>
          </w:p>
        </w:tc>
      </w:tr>
      <w:tr w:rsidR="00F208CE" w14:paraId="62B4AABD"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27AD2" w14:textId="77777777" w:rsidR="00F208CE" w:rsidRDefault="00513E84">
            <w:pPr>
              <w:pStyle w:val="P68B1DB1-Normal8"/>
              <w:spacing w:after="0"/>
              <w:jc w:val="center"/>
              <w:rPr>
                <w:rFonts w:eastAsia="Times New Roman" w:cs="Times New Roman"/>
                <w:noProof/>
              </w:rPr>
            </w:pPr>
            <w:r>
              <w:rPr>
                <w:noProof/>
              </w:rPr>
              <w:t>54</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665ECA1D" w14:textId="2705C755" w:rsidR="00F208CE" w:rsidRDefault="00513E84">
            <w:pPr>
              <w:pStyle w:val="P68B1DB1-Normal8"/>
              <w:spacing w:after="0"/>
              <w:rPr>
                <w:rFonts w:eastAsia="Times New Roman" w:cs="Times New Roman"/>
                <w:noProof/>
              </w:rPr>
            </w:pPr>
            <w:r>
              <w:rPr>
                <w:noProof/>
              </w:rPr>
              <w:t>Fondo para pequeños proyectos de digitalización (I-2.05) (submedida: 2, 3, 4, 5, 6, 8, 9, 11 y 12)</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D7CB63E" w14:textId="4D1B2584"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4683E18" w14:textId="77777777" w:rsidR="00F208CE" w:rsidRDefault="00513E84">
            <w:pPr>
              <w:pStyle w:val="P68B1DB1-Normal8"/>
              <w:spacing w:after="0"/>
              <w:rPr>
                <w:rFonts w:eastAsia="Times New Roman" w:cs="Times New Roman"/>
                <w:noProof/>
              </w:rPr>
            </w:pPr>
            <w:r>
              <w:rPr>
                <w:noProof/>
              </w:rPr>
              <w:t xml:space="preserve">Se definen los requisitos </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E22E2D3" w14:textId="79AA6843" w:rsidR="00F208CE" w:rsidRDefault="00513E84">
            <w:pPr>
              <w:pStyle w:val="P68B1DB1-Normal8"/>
              <w:spacing w:after="0"/>
              <w:rPr>
                <w:rFonts w:eastAsia="Times New Roman" w:cs="Times New Roman"/>
                <w:noProof/>
              </w:rPr>
            </w:pPr>
            <w:r>
              <w:rPr>
                <w:noProof/>
              </w:rPr>
              <w:t>Se definen y aprueban los requisitos para las diferentes submedidas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1B64BD21"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2B853DD"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7475F397"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C0ECB6F" w14:textId="77777777" w:rsidR="00F208CE" w:rsidRDefault="00513E84">
            <w:pPr>
              <w:pStyle w:val="P68B1DB1-Normal8"/>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0E9F6188" w14:textId="77777777" w:rsidR="00F208CE" w:rsidRDefault="00513E84">
            <w:pPr>
              <w:pStyle w:val="P68B1DB1-Normal8"/>
              <w:spacing w:after="0"/>
              <w:jc w:val="center"/>
              <w:rPr>
                <w:rFonts w:eastAsia="Times New Roman" w:cs="Times New Roman"/>
                <w:noProof/>
              </w:rPr>
            </w:pPr>
            <w:r>
              <w:rPr>
                <w:noProof/>
              </w:rPr>
              <w:t>2022</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136D49CB" w14:textId="196ED312" w:rsidR="00F208CE" w:rsidRDefault="00513E84">
            <w:pPr>
              <w:pStyle w:val="P68B1DB1-Normal8"/>
              <w:spacing w:after="0"/>
              <w:rPr>
                <w:rFonts w:eastAsia="Times New Roman" w:cs="Times New Roman"/>
                <w:noProof/>
              </w:rPr>
            </w:pPr>
            <w:r>
              <w:rPr>
                <w:noProof/>
              </w:rPr>
              <w:t>Los requisitos de las submedidas 2, 3, 4, 5, 6, 8, 9, 11 y 12 son definidos por las administraciones competentes y aprobados por el Ministerio competente.</w:t>
            </w:r>
          </w:p>
        </w:tc>
      </w:tr>
      <w:tr w:rsidR="00F208CE" w14:paraId="6640DA12"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070521" w14:textId="77777777" w:rsidR="00F208CE" w:rsidRDefault="00513E84">
            <w:pPr>
              <w:pStyle w:val="P68B1DB1-Normal8"/>
              <w:spacing w:after="0"/>
              <w:jc w:val="center"/>
              <w:rPr>
                <w:rFonts w:eastAsia="Times New Roman" w:cs="Times New Roman"/>
                <w:noProof/>
              </w:rPr>
            </w:pPr>
            <w:r>
              <w:rPr>
                <w:noProof/>
              </w:rPr>
              <w:t>55</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505C8F1D" w14:textId="3B6AAB81" w:rsidR="00F208CE" w:rsidRDefault="00513E84">
            <w:pPr>
              <w:pStyle w:val="P68B1DB1-Normal8"/>
              <w:spacing w:after="0"/>
              <w:rPr>
                <w:rFonts w:eastAsia="Times New Roman" w:cs="Times New Roman"/>
                <w:noProof/>
              </w:rPr>
            </w:pPr>
            <w:r>
              <w:rPr>
                <w:noProof/>
              </w:rPr>
              <w:t xml:space="preserve">Fondo para pequeños proyectos de digitalización (I-2.05) (submedida: 2, 3, 4, 5, 6, 8, 9, 11 y </w:t>
            </w:r>
            <w:r>
              <w:rPr>
                <w:noProof/>
              </w:rPr>
              <w:t>12)</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09EB3A5C" w14:textId="7E1ECD67"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02A8156" w14:textId="77777777" w:rsidR="00F208CE" w:rsidRDefault="00513E84">
            <w:pPr>
              <w:pStyle w:val="P68B1DB1-Normal8"/>
              <w:spacing w:after="0"/>
              <w:rPr>
                <w:rFonts w:eastAsia="Times New Roman" w:cs="Times New Roman"/>
                <w:noProof/>
              </w:rPr>
            </w:pPr>
            <w:r>
              <w:rPr>
                <w:noProof/>
              </w:rPr>
              <w:t>Los proyectos se han completado y el resultado es operativo</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9B096A3" w14:textId="3EF7B231" w:rsidR="00F208CE" w:rsidRDefault="00513E84">
            <w:pPr>
              <w:pStyle w:val="P68B1DB1-Normal8"/>
              <w:spacing w:after="0"/>
              <w:rPr>
                <w:rFonts w:eastAsia="Times New Roman" w:cs="Times New Roman"/>
                <w:noProof/>
              </w:rPr>
            </w:pPr>
            <w:r>
              <w:rPr>
                <w:noProof/>
              </w:rPr>
              <w:t>Los proyectos están finalizados y operativos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68FAF40"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1430164"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32993CAF"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BB9DA05"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3EDC07D" w14:textId="77777777" w:rsidR="00F208CE" w:rsidRDefault="00513E84">
            <w:pPr>
              <w:pStyle w:val="P68B1DB1-Normal8"/>
              <w:spacing w:after="0"/>
              <w:jc w:val="center"/>
              <w:rPr>
                <w:rFonts w:eastAsia="Times New Roman" w:cs="Times New Roman"/>
                <w:noProof/>
              </w:rPr>
            </w:pPr>
            <w:r>
              <w:rPr>
                <w:noProof/>
              </w:rPr>
              <w:t>2026</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32FE70F9" w14:textId="231F1E5C" w:rsidR="00F208CE" w:rsidRDefault="00513E84">
            <w:pPr>
              <w:pStyle w:val="P68B1DB1-Normal8"/>
              <w:spacing w:after="0"/>
              <w:rPr>
                <w:rFonts w:eastAsia="Times New Roman" w:cs="Times New Roman"/>
                <w:noProof/>
              </w:rPr>
            </w:pPr>
            <w:r>
              <w:rPr>
                <w:noProof/>
              </w:rPr>
              <w:t xml:space="preserve">Los proyectos correspondientes a las submedidas 2, 3, 4, 5, 6, 8, 9, 11 y 12 están finalizados y operativos. Se han </w:t>
            </w:r>
            <w:r>
              <w:rPr>
                <w:noProof/>
              </w:rPr>
              <w:t>pagado 74 800 000 EUR.</w:t>
            </w:r>
          </w:p>
        </w:tc>
      </w:tr>
      <w:tr w:rsidR="00F208CE" w14:paraId="42EAEEA9"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FAC7AB" w14:textId="77777777" w:rsidR="00F208CE" w:rsidRDefault="00513E84">
            <w:pPr>
              <w:pStyle w:val="P68B1DB1-Normal8"/>
              <w:spacing w:after="0"/>
              <w:jc w:val="center"/>
              <w:rPr>
                <w:rFonts w:eastAsia="Times New Roman" w:cs="Times New Roman"/>
                <w:noProof/>
              </w:rPr>
            </w:pPr>
            <w:r>
              <w:rPr>
                <w:noProof/>
              </w:rPr>
              <w:t>56</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0FCAD0E1" w14:textId="77777777" w:rsidR="00F208CE" w:rsidRDefault="00513E84">
            <w:pPr>
              <w:pStyle w:val="P68B1DB1-Normal8"/>
              <w:spacing w:after="0"/>
              <w:rPr>
                <w:rFonts w:eastAsia="Times New Roman" w:cs="Times New Roman"/>
                <w:noProof/>
              </w:rPr>
            </w:pPr>
            <w:r>
              <w:rPr>
                <w:noProof/>
              </w:rPr>
              <w:t>Fondo para pequeños proyectos de digitalización (I-2.05)</w:t>
            </w:r>
          </w:p>
          <w:p w14:paraId="72BBEE79" w14:textId="77777777" w:rsidR="00F208CE" w:rsidRDefault="00513E84">
            <w:pPr>
              <w:pStyle w:val="P68B1DB1-Normal8"/>
              <w:spacing w:after="0"/>
              <w:rPr>
                <w:rFonts w:eastAsia="Times New Roman" w:cs="Times New Roman"/>
                <w:noProof/>
              </w:rPr>
            </w:pPr>
            <w:r>
              <w:rPr>
                <w:noProof/>
              </w:rPr>
              <w:t>(Submedida 1: Transformación digital de la justicia)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EB894A4" w14:textId="0C5AF857"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A2B14A4" w14:textId="77777777" w:rsidR="00F208CE" w:rsidRDefault="00513E84">
            <w:pPr>
              <w:pStyle w:val="P68B1DB1-Normal8"/>
              <w:spacing w:after="0"/>
              <w:rPr>
                <w:rFonts w:eastAsia="Times New Roman" w:cs="Times New Roman"/>
                <w:noProof/>
              </w:rPr>
            </w:pPr>
            <w:r>
              <w:rPr>
                <w:noProof/>
              </w:rPr>
              <w:t>Gestión de proyectos en vigor para la transformación digital de la justicia tras la adopción de un decreto</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1C3D934" w14:textId="77777777" w:rsidR="00F208CE" w:rsidRDefault="00513E84">
            <w:pPr>
              <w:pStyle w:val="P68B1DB1-Normal8"/>
              <w:spacing w:after="0"/>
              <w:rPr>
                <w:rFonts w:eastAsia="Times New Roman" w:cs="Times New Roman"/>
                <w:noProof/>
              </w:rPr>
            </w:pPr>
            <w:r>
              <w:rPr>
                <w:noProof/>
              </w:rPr>
              <w:t>Adopción del Decreto ministerial de una oficina de gestión de programas, que creó la transformación digital de la justicia</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1708306"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45F3C92"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14A37A25"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E918D65"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10EA3F20" w14:textId="77777777" w:rsidR="00F208CE" w:rsidRDefault="00513E84">
            <w:pPr>
              <w:pStyle w:val="P68B1DB1-Normal8"/>
              <w:spacing w:after="0"/>
              <w:jc w:val="center"/>
              <w:rPr>
                <w:rFonts w:eastAsia="Times New Roman" w:cs="Times New Roman"/>
                <w:noProof/>
              </w:rPr>
            </w:pPr>
            <w:r>
              <w:rPr>
                <w:noProof/>
              </w:rPr>
              <w:t>2021</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5846387" w14:textId="77777777" w:rsidR="00F208CE" w:rsidRDefault="00513E84">
            <w:pPr>
              <w:pStyle w:val="P68B1DB1-Normal8"/>
              <w:spacing w:after="0"/>
              <w:rPr>
                <w:rFonts w:eastAsia="Times New Roman" w:cs="Times New Roman"/>
                <w:noProof/>
              </w:rPr>
            </w:pPr>
            <w:r>
              <w:rPr>
                <w:noProof/>
              </w:rPr>
              <w:t xml:space="preserve">Adopción de un decreto ministerial por el ministro de Justicia para crear una oficina de gestión de </w:t>
            </w:r>
            <w:r>
              <w:rPr>
                <w:noProof/>
              </w:rPr>
              <w:t>programas con una estructura de gobernanza clara para digitalizar la justicia del SPF. Esto incluye una definición clara de las tareas y competencias y disposiciones claras para las diferentes partes que participarán en la transformación digital.</w:t>
            </w:r>
          </w:p>
        </w:tc>
      </w:tr>
      <w:tr w:rsidR="00F208CE" w14:paraId="3869A00A"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D2A136" w14:textId="77777777" w:rsidR="00F208CE" w:rsidRDefault="00513E84">
            <w:pPr>
              <w:pStyle w:val="P68B1DB1-Normal8"/>
              <w:spacing w:after="0"/>
              <w:jc w:val="center"/>
              <w:rPr>
                <w:rFonts w:eastAsia="Times New Roman" w:cs="Times New Roman"/>
                <w:noProof/>
              </w:rPr>
            </w:pPr>
            <w:r>
              <w:rPr>
                <w:noProof/>
              </w:rPr>
              <w:t>57</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307F69F6" w14:textId="77777777" w:rsidR="00F208CE" w:rsidRDefault="00513E84">
            <w:pPr>
              <w:pStyle w:val="P68B1DB1-Normal8"/>
              <w:spacing w:after="0"/>
              <w:rPr>
                <w:rFonts w:eastAsia="Times New Roman" w:cs="Times New Roman"/>
                <w:noProof/>
              </w:rPr>
            </w:pPr>
            <w:r>
              <w:rPr>
                <w:noProof/>
              </w:rPr>
              <w:t>Fondo</w:t>
            </w:r>
            <w:r>
              <w:rPr>
                <w:noProof/>
              </w:rPr>
              <w:t xml:space="preserve"> para pequeños proyectos de digitalización (I-2.05)</w:t>
            </w:r>
          </w:p>
          <w:p w14:paraId="2310D7F0" w14:textId="77777777" w:rsidR="00F208CE" w:rsidRDefault="00513E84">
            <w:pPr>
              <w:pStyle w:val="P68B1DB1-Normal8"/>
              <w:spacing w:after="0"/>
              <w:rPr>
                <w:rFonts w:eastAsia="Times New Roman" w:cs="Times New Roman"/>
                <w:noProof/>
              </w:rPr>
            </w:pPr>
            <w:r>
              <w:rPr>
                <w:noProof/>
              </w:rPr>
              <w:t>(Submedida 1: Transformación digital de la justicia)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838D64C" w14:textId="6E0382B7"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781FFB9" w14:textId="4BA40F6A" w:rsidR="00F208CE" w:rsidRDefault="00513E84">
            <w:pPr>
              <w:pStyle w:val="P68B1DB1-Normal8"/>
              <w:spacing w:after="0"/>
              <w:rPr>
                <w:rFonts w:eastAsia="Times New Roman" w:cs="Times New Roman"/>
                <w:noProof/>
              </w:rPr>
            </w:pPr>
            <w:r>
              <w:rPr>
                <w:noProof/>
              </w:rPr>
              <w:t>Publicación del portal en línea Just-on-Web</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13C1513" w14:textId="6FF01FFC" w:rsidR="00F208CE" w:rsidRDefault="00513E84">
            <w:pPr>
              <w:pStyle w:val="P68B1DB1-Normal8"/>
              <w:spacing w:after="0"/>
              <w:rPr>
                <w:rFonts w:eastAsia="Times New Roman" w:cs="Times New Roman"/>
                <w:noProof/>
              </w:rPr>
            </w:pPr>
            <w:r>
              <w:rPr>
                <w:noProof/>
              </w:rPr>
              <w:t>Se pone en línea el portal básico Just-on-Web.</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90174F0"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7EFD88E"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0753905D"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BD5EBEB"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48C86FAF" w14:textId="77777777" w:rsidR="00F208CE" w:rsidRDefault="00513E84">
            <w:pPr>
              <w:pStyle w:val="P68B1DB1-Normal8"/>
              <w:spacing w:after="0"/>
              <w:jc w:val="center"/>
              <w:rPr>
                <w:rFonts w:eastAsia="Times New Roman" w:cs="Times New Roman"/>
                <w:noProof/>
              </w:rPr>
            </w:pPr>
            <w:r>
              <w:rPr>
                <w:noProof/>
              </w:rPr>
              <w:t>2022</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4C717A32" w14:textId="391D56A5" w:rsidR="00F208CE" w:rsidRDefault="00513E84">
            <w:pPr>
              <w:pStyle w:val="P68B1DB1-Normal8"/>
              <w:spacing w:after="0"/>
              <w:rPr>
                <w:rFonts w:eastAsia="Times New Roman" w:cs="Times New Roman"/>
                <w:noProof/>
              </w:rPr>
            </w:pPr>
            <w:r>
              <w:rPr>
                <w:noProof/>
              </w:rPr>
              <w:t xml:space="preserve">Se pone en línea el portal básico Just-on-Web. Just-on-Web será el portal web «One Stop», en el que los particulares, las empresas, los abogados y las autoridades públicas podrán acceder a los servicios de justicia y a la información. En una fase inicial, </w:t>
            </w:r>
            <w:r>
              <w:rPr>
                <w:noProof/>
              </w:rPr>
              <w:t>el portal Just-on-Web ofrecerá un número limitado de servicios, como la presentación de documentos procesales en un caso, la consulta de asuntos penales en relación con delitos sexuales, la consulta y el pago de multas de tráfico, la consulta de actos pers</w:t>
            </w:r>
            <w:r>
              <w:rPr>
                <w:noProof/>
              </w:rPr>
              <w:t>onales oficiales (como el matrimonio o la adopción) y el inicio de un asunto sobre la protección de las personas.</w:t>
            </w:r>
          </w:p>
        </w:tc>
      </w:tr>
      <w:tr w:rsidR="00F208CE" w14:paraId="4204F73D"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2D6B3C" w14:textId="77777777" w:rsidR="00F208CE" w:rsidRDefault="00513E84">
            <w:pPr>
              <w:pStyle w:val="P68B1DB1-Normal8"/>
              <w:spacing w:after="0"/>
              <w:jc w:val="center"/>
              <w:rPr>
                <w:rFonts w:eastAsia="Times New Roman" w:cs="Times New Roman"/>
                <w:noProof/>
              </w:rPr>
            </w:pPr>
            <w:r>
              <w:rPr>
                <w:noProof/>
              </w:rPr>
              <w:t>58</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3477C134" w14:textId="77777777" w:rsidR="00F208CE" w:rsidRDefault="00513E84">
            <w:pPr>
              <w:pStyle w:val="P68B1DB1-Normal8"/>
              <w:spacing w:after="0"/>
              <w:rPr>
                <w:rFonts w:eastAsia="Times New Roman" w:cs="Times New Roman"/>
                <w:noProof/>
              </w:rPr>
            </w:pPr>
            <w:r>
              <w:rPr>
                <w:noProof/>
              </w:rPr>
              <w:t>Fondo para pequeños proyectos de digitalización (I-2.05)</w:t>
            </w:r>
          </w:p>
          <w:p w14:paraId="713BAAA6" w14:textId="77777777" w:rsidR="00F208CE" w:rsidRDefault="00513E84">
            <w:pPr>
              <w:pStyle w:val="P68B1DB1-Normal8"/>
              <w:spacing w:after="0"/>
              <w:rPr>
                <w:rFonts w:eastAsia="Times New Roman" w:cs="Times New Roman"/>
                <w:noProof/>
              </w:rPr>
            </w:pPr>
            <w:r>
              <w:rPr>
                <w:noProof/>
              </w:rPr>
              <w:t>(Submedida 1: Transformación digital de la justicia)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90E9C71" w14:textId="3BC53D5A"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0945186" w14:textId="77777777" w:rsidR="00F208CE" w:rsidRDefault="00513E84">
            <w:pPr>
              <w:pStyle w:val="P68B1DB1-Normal8"/>
              <w:spacing w:after="0"/>
              <w:rPr>
                <w:rFonts w:eastAsia="Times New Roman" w:cs="Times New Roman"/>
                <w:noProof/>
              </w:rPr>
            </w:pPr>
            <w:r>
              <w:rPr>
                <w:noProof/>
              </w:rPr>
              <w:t xml:space="preserve">Centralización interna de </w:t>
            </w:r>
            <w:r>
              <w:rPr>
                <w:noProof/>
              </w:rPr>
              <w:t>las resoluciones judiciales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5085D8B" w14:textId="3263E2C8" w:rsidR="00F208CE" w:rsidRDefault="00513E84">
            <w:pPr>
              <w:pStyle w:val="P68B1DB1-Normal8"/>
              <w:spacing w:after="0"/>
              <w:rPr>
                <w:rFonts w:eastAsia="Times New Roman" w:cs="Times New Roman"/>
                <w:noProof/>
              </w:rPr>
            </w:pPr>
            <w:r>
              <w:rPr>
                <w:noProof/>
              </w:rPr>
              <w:t>Los veredictos judiciales están disponibles para consulta a través del portal Just-on-Web.</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1CF96B80"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79DC459"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6A8262AC"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710403F"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357D699C" w14:textId="77777777" w:rsidR="00F208CE" w:rsidRDefault="00513E84">
            <w:pPr>
              <w:pStyle w:val="P68B1DB1-Normal8"/>
              <w:spacing w:after="0"/>
              <w:jc w:val="center"/>
              <w:rPr>
                <w:rFonts w:eastAsia="Times New Roman" w:cs="Times New Roman"/>
                <w:noProof/>
              </w:rPr>
            </w:pPr>
            <w:r>
              <w:rPr>
                <w:noProof/>
              </w:rPr>
              <w:t>2023</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27494C68" w14:textId="41995061" w:rsidR="00F208CE" w:rsidRDefault="00513E84">
            <w:pPr>
              <w:pStyle w:val="P68B1DB1-Normal8"/>
              <w:spacing w:after="0"/>
              <w:rPr>
                <w:rFonts w:eastAsia="Times New Roman" w:cs="Times New Roman"/>
                <w:noProof/>
              </w:rPr>
            </w:pPr>
            <w:r>
              <w:rPr>
                <w:noProof/>
              </w:rPr>
              <w:t>Los nuevos veredictos judiciales pertinentes de los tribunales de primera instancia (incluidos los jueces de p</w:t>
            </w:r>
            <w:r>
              <w:rPr>
                <w:noProof/>
              </w:rPr>
              <w:t>az y los tribunales policiales) y los tribunales de apelación se centralizarán internamente. Un algoritmo de seudonimización totalmente automatizado convertirá esta fuente de datos centralizada en una versión publicable que cumpla la normativa en materia d</w:t>
            </w:r>
            <w:r>
              <w:rPr>
                <w:noProof/>
              </w:rPr>
              <w:t>e privacidad. El 50 % de la cantidad total de sentencias judiciales dictadas a partir de la entrada en vigor de la ley por la que se crea el registro central está disponible para consulta a través del portal Just-on-Web.</w:t>
            </w:r>
          </w:p>
        </w:tc>
      </w:tr>
      <w:tr w:rsidR="00F208CE" w14:paraId="5A62E0EF"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8DC79C" w14:textId="77777777" w:rsidR="00F208CE" w:rsidRDefault="00513E84">
            <w:pPr>
              <w:pStyle w:val="P68B1DB1-Normal8"/>
              <w:spacing w:after="0"/>
              <w:jc w:val="center"/>
              <w:rPr>
                <w:rFonts w:eastAsia="Times New Roman" w:cs="Times New Roman"/>
                <w:noProof/>
              </w:rPr>
            </w:pPr>
            <w:r>
              <w:rPr>
                <w:noProof/>
              </w:rPr>
              <w:t>59</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012F8D75" w14:textId="77777777" w:rsidR="00F208CE" w:rsidRDefault="00513E84">
            <w:pPr>
              <w:pStyle w:val="P68B1DB1-Normal8"/>
              <w:spacing w:after="0"/>
              <w:rPr>
                <w:rFonts w:eastAsia="Times New Roman" w:cs="Times New Roman"/>
                <w:noProof/>
              </w:rPr>
            </w:pPr>
            <w:r>
              <w:rPr>
                <w:noProof/>
              </w:rPr>
              <w:t xml:space="preserve">Fondo para pequeños proyectos </w:t>
            </w:r>
            <w:r>
              <w:rPr>
                <w:noProof/>
              </w:rPr>
              <w:t>de digitalización (I-2.05)</w:t>
            </w:r>
          </w:p>
          <w:p w14:paraId="1852768E" w14:textId="77777777" w:rsidR="00F208CE" w:rsidRDefault="00513E84">
            <w:pPr>
              <w:pStyle w:val="P68B1DB1-Normal8"/>
              <w:spacing w:after="0"/>
              <w:rPr>
                <w:rFonts w:eastAsia="Times New Roman" w:cs="Times New Roman"/>
                <w:noProof/>
              </w:rPr>
            </w:pPr>
            <w:r>
              <w:rPr>
                <w:noProof/>
              </w:rPr>
              <w:t xml:space="preserve">(Submedida 1: Transformación digital de la justicia)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E9AF024" w14:textId="705DCAFF"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8FB7028" w14:textId="77777777" w:rsidR="00F208CE" w:rsidRDefault="00513E84">
            <w:pPr>
              <w:pStyle w:val="P68B1DB1-Normal8"/>
              <w:spacing w:after="0"/>
              <w:rPr>
                <w:rFonts w:eastAsia="Times New Roman" w:cs="Times New Roman"/>
                <w:noProof/>
              </w:rPr>
            </w:pPr>
            <w:r>
              <w:rPr>
                <w:noProof/>
              </w:rPr>
              <w:t>Base de datos para la recogida de datos en tiempo real</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10A6CE9" w14:textId="16FEB2E5" w:rsidR="00F208CE" w:rsidRDefault="00513E84">
            <w:pPr>
              <w:pStyle w:val="P68B1DB1-Normal8"/>
              <w:spacing w:after="0"/>
              <w:rPr>
                <w:rFonts w:eastAsia="Times New Roman" w:cs="Times New Roman"/>
                <w:noProof/>
              </w:rPr>
            </w:pPr>
            <w:r>
              <w:rPr>
                <w:noProof/>
              </w:rPr>
              <w:t xml:space="preserve">Está operativa una base de datos para la recogida de datos en tiempo real sobre el progreso de los procedimientos </w:t>
            </w:r>
            <w:r>
              <w:rPr>
                <w:noProof/>
              </w:rPr>
              <w:t>judiciales.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7800F594"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7DA2989"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67784B41"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CEBD854"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4ED6CE94" w14:textId="77777777" w:rsidR="00F208CE" w:rsidRDefault="00513E84">
            <w:pPr>
              <w:pStyle w:val="P68B1DB1-Normal8"/>
              <w:spacing w:after="0"/>
              <w:jc w:val="center"/>
              <w:rPr>
                <w:rFonts w:eastAsia="Times New Roman" w:cs="Times New Roman"/>
                <w:noProof/>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21BFE939" w14:textId="77777777" w:rsidR="00F208CE" w:rsidRDefault="00513E84">
            <w:pPr>
              <w:pStyle w:val="P68B1DB1-Normal8"/>
              <w:spacing w:after="0"/>
              <w:rPr>
                <w:rFonts w:eastAsia="Times New Roman" w:cs="Times New Roman"/>
                <w:noProof/>
              </w:rPr>
            </w:pPr>
            <w:r>
              <w:rPr>
                <w:noProof/>
              </w:rPr>
              <w:t>Está operativa una base de datos para la recogida de datos en tiempo real sobre el desarrollo de los procedimientos judiciales. Los datos publicados abarcarán el número de asuntos nuevos, el número de asuntos concluid</w:t>
            </w:r>
            <w:r>
              <w:rPr>
                <w:noProof/>
              </w:rPr>
              <w:t>os, los asuntos pendientes y el plazo medio, tanto en asuntos civiles como en asuntos mercantiles y penales.</w:t>
            </w:r>
          </w:p>
        </w:tc>
      </w:tr>
      <w:tr w:rsidR="00F208CE" w14:paraId="271495FD"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C17A1" w14:textId="77777777" w:rsidR="00F208CE" w:rsidRDefault="00513E84">
            <w:pPr>
              <w:pStyle w:val="P68B1DB1-Normal8"/>
              <w:spacing w:after="0"/>
              <w:jc w:val="center"/>
              <w:rPr>
                <w:rFonts w:eastAsia="Times New Roman" w:cs="Times New Roman"/>
                <w:noProof/>
              </w:rPr>
            </w:pPr>
            <w:r>
              <w:rPr>
                <w:noProof/>
              </w:rPr>
              <w:t>60</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4E03370E" w14:textId="77777777" w:rsidR="00F208CE" w:rsidRDefault="00513E84">
            <w:pPr>
              <w:pStyle w:val="P68B1DB1-Normal8"/>
              <w:spacing w:after="0"/>
              <w:rPr>
                <w:rFonts w:eastAsia="Times New Roman" w:cs="Times New Roman"/>
                <w:noProof/>
              </w:rPr>
            </w:pPr>
            <w:r>
              <w:rPr>
                <w:noProof/>
              </w:rPr>
              <w:t>Fondo para pequeños proyectos de digitalización (I-2.05)</w:t>
            </w:r>
          </w:p>
          <w:p w14:paraId="6C63FD6F" w14:textId="77777777" w:rsidR="00F208CE" w:rsidRDefault="00513E84">
            <w:pPr>
              <w:pStyle w:val="P68B1DB1-Normal8"/>
              <w:spacing w:after="0"/>
              <w:rPr>
                <w:rFonts w:eastAsia="Times New Roman" w:cs="Times New Roman"/>
                <w:noProof/>
              </w:rPr>
            </w:pPr>
            <w:r>
              <w:rPr>
                <w:noProof/>
              </w:rPr>
              <w:t xml:space="preserve">(Submedida 1: Transformación digital de la justicia)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2FE7400" w14:textId="0A9D2210"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6B4F467" w14:textId="77777777" w:rsidR="00F208CE" w:rsidRDefault="00513E84">
            <w:pPr>
              <w:pStyle w:val="P68B1DB1-Normal8"/>
              <w:spacing w:after="0"/>
              <w:rPr>
                <w:rFonts w:eastAsia="Times New Roman" w:cs="Times New Roman"/>
                <w:noProof/>
              </w:rPr>
            </w:pPr>
            <w:r>
              <w:rPr>
                <w:noProof/>
              </w:rPr>
              <w:t xml:space="preserve">Nuevo sistema de gestión de </w:t>
            </w:r>
            <w:r>
              <w:rPr>
                <w:noProof/>
              </w:rPr>
              <w:t>casos para siete entidades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710C312" w14:textId="77777777" w:rsidR="00F208CE" w:rsidRDefault="00513E84">
            <w:pPr>
              <w:pStyle w:val="P68B1DB1-Normal8"/>
              <w:spacing w:after="0"/>
              <w:rPr>
                <w:rFonts w:eastAsia="Times New Roman" w:cs="Times New Roman"/>
                <w:noProof/>
              </w:rPr>
            </w:pPr>
            <w:r>
              <w:rPr>
                <w:noProof/>
              </w:rPr>
              <w:t>Se desarrollará y desplegará un nuevo sistema de gestión de casos para siete entidades.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9187776"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AABAF41"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776F0BBB"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A21EAD5"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023AEEC9" w14:textId="77777777" w:rsidR="00F208CE" w:rsidRDefault="00513E84">
            <w:pPr>
              <w:pStyle w:val="P68B1DB1-Normal8"/>
              <w:spacing w:after="0"/>
              <w:jc w:val="center"/>
              <w:rPr>
                <w:rFonts w:eastAsia="Times New Roman" w:cs="Times New Roman"/>
                <w:noProof/>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29E73CCF" w14:textId="77777777" w:rsidR="00F208CE" w:rsidRDefault="00513E84">
            <w:pPr>
              <w:pStyle w:val="P68B1DB1-Normal13"/>
              <w:spacing w:after="0"/>
              <w:rPr>
                <w:rFonts w:eastAsia="Times New Roman" w:cs="Times New Roman"/>
                <w:noProof/>
                <w:color w:val="006100"/>
              </w:rPr>
            </w:pPr>
            <w:r>
              <w:rPr>
                <w:noProof/>
                <w:color w:val="006100"/>
              </w:rPr>
              <w:t>Se desarrollará e implantará un nuevo sistema de gestión</w:t>
            </w:r>
            <w:r>
              <w:rPr>
                <w:noProof/>
              </w:rPr>
              <w:t xml:space="preserve"> de casos </w:t>
            </w:r>
            <w:r>
              <w:rPr>
                <w:noProof/>
                <w:color w:val="006100"/>
              </w:rPr>
              <w:t>para siete entidades que utilicen un sistema de gestión de expedientes obsoleto, a fin de que el sistema judicial sea más eficiente centrándose en una digitalización de gran alcance, lo que permitirá procesar los expedientes con mayor rapidez y en mayor ca</w:t>
            </w:r>
            <w:r>
              <w:rPr>
                <w:noProof/>
                <w:color w:val="006100"/>
              </w:rPr>
              <w:t>ntidad que en la actualidad. La elección de las entidades se hará en consulta con la Junta de Tribunales y Tribunales, el Colegio del Ministerio Público, el Colegio del Tribunal de Casación y el Comité Director de las TIC, pero en principio se dará priorid</w:t>
            </w:r>
            <w:r>
              <w:rPr>
                <w:noProof/>
                <w:color w:val="006100"/>
              </w:rPr>
              <w:t>ad a las entidades que no estén incluidas en el contrato Mammouth at Central Hosting (MaCH) Phase 2.</w:t>
            </w:r>
          </w:p>
        </w:tc>
      </w:tr>
      <w:tr w:rsidR="00F208CE" w14:paraId="4458EB82"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CACBA6" w14:textId="77777777" w:rsidR="00F208CE" w:rsidRDefault="00513E84">
            <w:pPr>
              <w:pStyle w:val="P68B1DB1-Normal8"/>
              <w:spacing w:after="0"/>
              <w:jc w:val="center"/>
              <w:rPr>
                <w:rFonts w:eastAsia="Times New Roman" w:cs="Times New Roman"/>
                <w:noProof/>
              </w:rPr>
            </w:pPr>
            <w:r>
              <w:rPr>
                <w:noProof/>
              </w:rPr>
              <w:t>61</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0DF376C0" w14:textId="77777777" w:rsidR="00F208CE" w:rsidRDefault="00513E84">
            <w:pPr>
              <w:pStyle w:val="P68B1DB1-Normal8"/>
              <w:spacing w:after="0"/>
              <w:rPr>
                <w:rFonts w:eastAsia="Times New Roman" w:cs="Times New Roman"/>
                <w:noProof/>
              </w:rPr>
            </w:pPr>
            <w:r>
              <w:rPr>
                <w:noProof/>
              </w:rPr>
              <w:t>Fondo para pequeños proyectos de digitalización (I-2.05)</w:t>
            </w:r>
          </w:p>
          <w:p w14:paraId="501F5640" w14:textId="77777777" w:rsidR="00F208CE" w:rsidRDefault="00513E84">
            <w:pPr>
              <w:pStyle w:val="P68B1DB1-Normal8"/>
              <w:spacing w:after="0"/>
              <w:rPr>
                <w:rFonts w:eastAsia="Times New Roman" w:cs="Times New Roman"/>
                <w:noProof/>
              </w:rPr>
            </w:pPr>
            <w:r>
              <w:rPr>
                <w:noProof/>
              </w:rPr>
              <w:t>(Submedida 10: Portal digital único)</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D3CBF6C" w14:textId="3E395EC2"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E887AD5" w14:textId="77777777" w:rsidR="00F208CE" w:rsidRDefault="00513E84">
            <w:pPr>
              <w:pStyle w:val="P68B1DB1-Normal8"/>
              <w:spacing w:after="0"/>
              <w:rPr>
                <w:rFonts w:eastAsia="Times New Roman" w:cs="Times New Roman"/>
                <w:noProof/>
              </w:rPr>
            </w:pPr>
            <w:r>
              <w:rPr>
                <w:noProof/>
              </w:rPr>
              <w:t>Se desarrolla la interfaz frontal</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4DD2D19" w14:textId="77777777" w:rsidR="00F208CE" w:rsidRDefault="00513E84">
            <w:pPr>
              <w:pStyle w:val="P68B1DB1-Normal8"/>
              <w:spacing w:after="0"/>
              <w:rPr>
                <w:rFonts w:eastAsia="Times New Roman" w:cs="Times New Roman"/>
                <w:noProof/>
              </w:rPr>
            </w:pPr>
            <w:r>
              <w:rPr>
                <w:noProof/>
              </w:rPr>
              <w:t xml:space="preserve">Se ha desarrollado, </w:t>
            </w:r>
            <w:r>
              <w:rPr>
                <w:noProof/>
              </w:rPr>
              <w:t>probado y validado un anverso plenamente conforme con solo una sola vez para 10 ámbitos de actividad.</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417EB54"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4ABC7C9"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2D1C54CB"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2EDC35E"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66CBBE5" w14:textId="4421A90C" w:rsidR="00F208CE" w:rsidRDefault="00513E84">
            <w:pPr>
              <w:spacing w:after="0"/>
              <w:jc w:val="center"/>
              <w:rPr>
                <w:rFonts w:ascii="Times New Roman" w:eastAsia="Times New Roman" w:hAnsi="Times New Roman" w:cs="Times New Roman"/>
                <w:noProof/>
                <w:color w:val="006100"/>
              </w:rPr>
            </w:pPr>
            <w:r>
              <w:rPr>
                <w:rFonts w:ascii="Times New Roman" w:hAnsi="Times New Roman"/>
                <w:noProof/>
                <w:color w:val="006100"/>
                <w:sz w:val="20"/>
              </w:rPr>
              <w:t>2025</w:t>
            </w:r>
            <w:r>
              <w:rPr>
                <w:rStyle w:val="FootnoteReference"/>
                <w:rFonts w:ascii="Times New Roman" w:eastAsia="Times New Roman" w:hAnsi="Times New Roman" w:cs="Times New Roman"/>
                <w:noProof/>
                <w:color w:val="006100"/>
              </w:rPr>
              <w:footnoteReference w:id="6"/>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74713CB8" w14:textId="7CB0CBF8" w:rsidR="00F208CE" w:rsidRDefault="00513E84">
            <w:pPr>
              <w:pStyle w:val="P68B1DB1-Normal8"/>
              <w:spacing w:after="120"/>
              <w:rPr>
                <w:rFonts w:eastAsia="Times New Roman" w:cs="Times New Roman"/>
                <w:noProof/>
              </w:rPr>
            </w:pPr>
            <w:r>
              <w:rPr>
                <w:noProof/>
              </w:rPr>
              <w:t>Para 10 ámbitos (registro civil, registro de población, seguridad social (empleados), seguridad social (empleadores), registro</w:t>
            </w:r>
            <w:r>
              <w:rPr>
                <w:noProof/>
              </w:rPr>
              <w:t xml:space="preserve"> de vehículos de motor, cualificaciones profesionales, entidades jurídicas, creación de una empresa, modificación de una empresa, cierre de una empresa) se ha desarrollado, probado y validado plenamente una ventanilla única. El sistema garantizará el cumpl</w:t>
            </w:r>
            <w:r>
              <w:rPr>
                <w:noProof/>
              </w:rPr>
              <w:t>imiento del Reglamento eIDAS (identificación electrónica, autenticación y servicios de confianza) y estará plenamente centrado en el usuario aplicando plenamente el principio de «no falta de puerta».</w:t>
            </w:r>
          </w:p>
          <w:p w14:paraId="482B689B" w14:textId="77777777" w:rsidR="00F208CE" w:rsidRDefault="00513E84">
            <w:pPr>
              <w:pStyle w:val="P68B1DB1-Normal8"/>
              <w:spacing w:after="0"/>
              <w:rPr>
                <w:rFonts w:eastAsia="Times New Roman" w:cs="Times New Roman"/>
                <w:noProof/>
              </w:rPr>
            </w:pPr>
            <w:r>
              <w:rPr>
                <w:noProof/>
              </w:rPr>
              <w:t>El principio de «no falta de puerta» en este contexto si</w:t>
            </w:r>
            <w:r>
              <w:rPr>
                <w:noProof/>
              </w:rPr>
              <w:t>gnifica que el usuario final (ciudadano o empresario) debe poder ponerse en contacto con los servicios de asistencia con independencia de su punto de entrada, ya sea «tu Europa» o «Bélgica», un portal regional, un punto de entrada local o cualquier servici</w:t>
            </w:r>
            <w:r>
              <w:rPr>
                <w:noProof/>
              </w:rPr>
              <w:t>o público, independientemente del dispositivo que utilice (como teléfono móvil, tableta, ordenador portátil) e independientemente del objeto de su pregunta. La lógica administrativa que subyace al punto de entrada, a nivel administrativo, garantizará que l</w:t>
            </w:r>
            <w:r>
              <w:rPr>
                <w:noProof/>
              </w:rPr>
              <w:t>a pregunta del usuario final llegue al servicio adecuado sin que el usuario final tenga que preguntarse qué administración es responsable de cada tema.</w:t>
            </w:r>
          </w:p>
        </w:tc>
      </w:tr>
      <w:tr w:rsidR="00F208CE" w14:paraId="3850DC9E"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4FB4F8" w14:textId="77777777" w:rsidR="00F208CE" w:rsidRDefault="00513E84">
            <w:pPr>
              <w:pStyle w:val="P68B1DB1-Normal8"/>
              <w:spacing w:after="0"/>
              <w:jc w:val="center"/>
              <w:rPr>
                <w:rFonts w:eastAsia="Times New Roman" w:cs="Times New Roman"/>
                <w:noProof/>
              </w:rPr>
            </w:pPr>
            <w:r>
              <w:rPr>
                <w:noProof/>
              </w:rPr>
              <w:t>62</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66DE404B" w14:textId="77777777" w:rsidR="00F208CE" w:rsidRDefault="00513E84">
            <w:pPr>
              <w:pStyle w:val="P68B1DB1-Normal8"/>
              <w:spacing w:after="0"/>
              <w:rPr>
                <w:rFonts w:eastAsia="Times New Roman" w:cs="Times New Roman"/>
                <w:noProof/>
              </w:rPr>
            </w:pPr>
            <w:r>
              <w:rPr>
                <w:noProof/>
              </w:rPr>
              <w:t>servicios de salud electrónica y datos sanitarios (I-2.06)</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75571E8" w14:textId="5E2DAB32"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3FFCA5E" w14:textId="77777777" w:rsidR="00F208CE" w:rsidRDefault="00513E84">
            <w:pPr>
              <w:pStyle w:val="P68B1DB1-Normal8"/>
              <w:spacing w:after="0"/>
              <w:rPr>
                <w:rFonts w:eastAsia="Times New Roman" w:cs="Times New Roman"/>
                <w:noProof/>
              </w:rPr>
            </w:pPr>
            <w:r>
              <w:rPr>
                <w:noProof/>
              </w:rPr>
              <w:t xml:space="preserve">Entrada en vigor de la ley por la que </w:t>
            </w:r>
            <w:r>
              <w:rPr>
                <w:noProof/>
              </w:rPr>
              <w:t>se crea la Autoridad de Datos Sanitarios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7034002" w14:textId="77777777" w:rsidR="00F208CE" w:rsidRDefault="00513E84">
            <w:pPr>
              <w:pStyle w:val="P68B1DB1-Normal8"/>
              <w:spacing w:after="0"/>
              <w:rPr>
                <w:rFonts w:eastAsia="Times New Roman" w:cs="Times New Roman"/>
                <w:noProof/>
              </w:rPr>
            </w:pPr>
            <w:r>
              <w:rPr>
                <w:noProof/>
              </w:rPr>
              <w:t>Disposición de la ley que indica la entrada en vigor de la ley</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2BB479F"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5B76FC3"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09474CE2"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F5D20B1" w14:textId="77777777" w:rsidR="00F208CE" w:rsidRDefault="00513E84">
            <w:pPr>
              <w:pStyle w:val="P68B1DB1-Normal8"/>
              <w:spacing w:after="0"/>
              <w:jc w:val="center"/>
              <w:rPr>
                <w:rFonts w:eastAsia="Times New Roman" w:cs="Times New Roman"/>
                <w:noProof/>
              </w:rPr>
            </w:pPr>
            <w:r>
              <w:rPr>
                <w:noProof/>
              </w:rPr>
              <w:t>TERCER TRIMESTRE 1</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02BBEEB0" w14:textId="77777777" w:rsidR="00F208CE" w:rsidRDefault="00513E84">
            <w:pPr>
              <w:pStyle w:val="P68B1DB1-Normal8"/>
              <w:spacing w:after="0"/>
              <w:jc w:val="center"/>
              <w:rPr>
                <w:rFonts w:eastAsia="Times New Roman" w:cs="Times New Roman"/>
                <w:noProof/>
              </w:rPr>
            </w:pPr>
            <w:r>
              <w:rPr>
                <w:noProof/>
              </w:rPr>
              <w:t>2022</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7EC074E1" w14:textId="332ED0E1" w:rsidR="00F208CE" w:rsidRDefault="00513E84">
            <w:pPr>
              <w:pStyle w:val="P68B1DB1-Normal8"/>
              <w:spacing w:after="0"/>
              <w:rPr>
                <w:rFonts w:eastAsia="Times New Roman" w:cs="Times New Roman"/>
                <w:noProof/>
              </w:rPr>
            </w:pPr>
            <w:r>
              <w:rPr>
                <w:noProof/>
              </w:rPr>
              <w:t xml:space="preserve">Entrada en vigor de la ley por la que se crea la Autoridad de Datos Sanitarios, en la que se definen, en particular, la función y las responsabilidades de la Autoridad. </w:t>
            </w:r>
          </w:p>
        </w:tc>
      </w:tr>
      <w:tr w:rsidR="00F208CE" w14:paraId="1AC0FE97"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2C7424" w14:textId="77777777" w:rsidR="00F208CE" w:rsidRDefault="00513E84">
            <w:pPr>
              <w:pStyle w:val="P68B1DB1-Normal8"/>
              <w:spacing w:after="0"/>
              <w:jc w:val="center"/>
              <w:rPr>
                <w:rFonts w:eastAsia="Times New Roman" w:cs="Times New Roman"/>
                <w:noProof/>
              </w:rPr>
            </w:pPr>
            <w:r>
              <w:rPr>
                <w:noProof/>
              </w:rPr>
              <w:t>63</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71703B47" w14:textId="77777777" w:rsidR="00F208CE" w:rsidRDefault="00513E84">
            <w:pPr>
              <w:pStyle w:val="P68B1DB1-Normal8"/>
              <w:spacing w:after="0"/>
              <w:rPr>
                <w:rFonts w:eastAsia="Times New Roman" w:cs="Times New Roman"/>
                <w:noProof/>
              </w:rPr>
            </w:pPr>
            <w:r>
              <w:rPr>
                <w:noProof/>
              </w:rPr>
              <w:t>servicios de salud electrónica y datos sanitarios (I-2.06)</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99F0774" w14:textId="0A1FE459"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4EDE64C" w14:textId="261024A7" w:rsidR="00F208CE" w:rsidRDefault="00513E84">
            <w:pPr>
              <w:pStyle w:val="P68B1DB1-Normal8"/>
              <w:spacing w:after="0"/>
              <w:rPr>
                <w:rFonts w:eastAsia="Times New Roman" w:cs="Times New Roman"/>
                <w:noProof/>
              </w:rPr>
            </w:pPr>
            <w:r>
              <w:rPr>
                <w:noProof/>
              </w:rPr>
              <w:t xml:space="preserve">Requisitos para los </w:t>
            </w:r>
            <w:r>
              <w:rPr>
                <w:noProof/>
              </w:rPr>
              <w:t>subproyectos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5A8E6E0" w14:textId="3BFC2398" w:rsidR="00F208CE" w:rsidRDefault="00513E84">
            <w:pPr>
              <w:pStyle w:val="P68B1DB1-Normal8"/>
              <w:spacing w:after="0"/>
              <w:rPr>
                <w:rFonts w:eastAsia="Times New Roman" w:cs="Times New Roman"/>
                <w:noProof/>
              </w:rPr>
            </w:pPr>
            <w:r>
              <w:rPr>
                <w:noProof/>
              </w:rPr>
              <w:t>Definición de los requisitos para los subproyectos de salud electrónica</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BADDD1F"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8089527"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6C4EB70E"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2D195A4"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5D666A4D" w14:textId="77777777" w:rsidR="00F208CE" w:rsidRDefault="00513E84">
            <w:pPr>
              <w:pStyle w:val="P68B1DB1-Normal8"/>
              <w:spacing w:after="0"/>
              <w:jc w:val="center"/>
              <w:rPr>
                <w:rFonts w:eastAsia="Times New Roman" w:cs="Times New Roman"/>
                <w:noProof/>
              </w:rPr>
            </w:pPr>
            <w:r>
              <w:rPr>
                <w:noProof/>
              </w:rPr>
              <w:t>2022</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3D08EEE1" w14:textId="52EE5BCE" w:rsidR="00F208CE" w:rsidRDefault="00513E84">
            <w:pPr>
              <w:pStyle w:val="P68B1DB1-Normal8"/>
              <w:spacing w:after="0"/>
              <w:rPr>
                <w:rFonts w:eastAsia="Times New Roman" w:cs="Times New Roman"/>
                <w:noProof/>
              </w:rPr>
            </w:pPr>
            <w:r>
              <w:rPr>
                <w:noProof/>
              </w:rPr>
              <w:t>Se definen los requisitos para los diferentes subproyectos de salud electrónica.</w:t>
            </w:r>
          </w:p>
        </w:tc>
      </w:tr>
      <w:tr w:rsidR="00F208CE" w14:paraId="5626D644"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F399F4" w14:textId="77777777" w:rsidR="00F208CE" w:rsidRDefault="00513E84">
            <w:pPr>
              <w:pStyle w:val="P68B1DB1-Normal8"/>
              <w:spacing w:after="0"/>
              <w:jc w:val="center"/>
              <w:rPr>
                <w:rFonts w:eastAsia="Times New Roman" w:cs="Times New Roman"/>
                <w:noProof/>
              </w:rPr>
            </w:pPr>
            <w:r>
              <w:rPr>
                <w:noProof/>
              </w:rPr>
              <w:t>64</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34662133" w14:textId="77777777" w:rsidR="00F208CE" w:rsidRDefault="00513E84">
            <w:pPr>
              <w:pStyle w:val="P68B1DB1-Normal8"/>
              <w:spacing w:after="0"/>
              <w:rPr>
                <w:rFonts w:eastAsia="Times New Roman" w:cs="Times New Roman"/>
                <w:noProof/>
              </w:rPr>
            </w:pPr>
            <w:r>
              <w:rPr>
                <w:noProof/>
              </w:rPr>
              <w:t>servicios de salud electrónica y datos sanitarios (I-2.06)</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D14693C" w14:textId="168DBF7B"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315F61F" w14:textId="77777777" w:rsidR="00F208CE" w:rsidRDefault="00513E84">
            <w:pPr>
              <w:pStyle w:val="P68B1DB1-Normal8"/>
              <w:spacing w:after="0"/>
              <w:rPr>
                <w:rFonts w:eastAsia="Times New Roman" w:cs="Times New Roman"/>
                <w:noProof/>
              </w:rPr>
            </w:pPr>
            <w:r>
              <w:rPr>
                <w:noProof/>
              </w:rPr>
              <w:t>Pleno despliegue del proyecto</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C8FB624" w14:textId="77777777" w:rsidR="00F208CE" w:rsidRDefault="00513E84">
            <w:pPr>
              <w:pStyle w:val="P68B1DB1-Normal8"/>
              <w:spacing w:after="0"/>
              <w:rPr>
                <w:rFonts w:eastAsia="Times New Roman" w:cs="Times New Roman"/>
                <w:noProof/>
              </w:rPr>
            </w:pPr>
            <w:r>
              <w:rPr>
                <w:noProof/>
              </w:rPr>
              <w:t>Finalización con éxito de los distintos subproyectos de salud electrónica</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504B435E"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2644124"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0B23F3AC"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D47CF0B"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46DED6BA" w14:textId="77777777" w:rsidR="00F208CE" w:rsidRDefault="00513E84">
            <w:pPr>
              <w:pStyle w:val="P68B1DB1-Normal8"/>
              <w:spacing w:after="0"/>
              <w:jc w:val="center"/>
              <w:rPr>
                <w:rFonts w:eastAsia="Times New Roman" w:cs="Times New Roman"/>
                <w:noProof/>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DE06F9D" w14:textId="77777777" w:rsidR="00F208CE" w:rsidRDefault="00513E84">
            <w:pPr>
              <w:pStyle w:val="P68B1DB1-Normal8"/>
              <w:spacing w:after="0"/>
              <w:rPr>
                <w:rFonts w:eastAsia="Times New Roman" w:cs="Times New Roman"/>
                <w:noProof/>
              </w:rPr>
            </w:pPr>
            <w:r>
              <w:rPr>
                <w:noProof/>
              </w:rPr>
              <w:t xml:space="preserve">Todos los subproyectos relacionados con los servicios de salud electrónica y los datos sanitarios dieron lugar a servicios </w:t>
            </w:r>
            <w:r>
              <w:rPr>
                <w:noProof/>
              </w:rPr>
              <w:t>y capacidades plenamente operativos e integrados.</w:t>
            </w:r>
          </w:p>
        </w:tc>
      </w:tr>
      <w:tr w:rsidR="00F208CE" w14:paraId="654CEF42"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F6CED6" w14:textId="77777777" w:rsidR="00F208CE" w:rsidRDefault="00513E84">
            <w:pPr>
              <w:pStyle w:val="P68B1DB1-Normal8"/>
              <w:spacing w:after="0"/>
              <w:jc w:val="center"/>
              <w:rPr>
                <w:rFonts w:eastAsia="Times New Roman" w:cs="Times New Roman"/>
                <w:noProof/>
              </w:rPr>
            </w:pPr>
            <w:r>
              <w:rPr>
                <w:noProof/>
              </w:rPr>
              <w:t>65</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5969C34E" w14:textId="77777777" w:rsidR="00F208CE" w:rsidRDefault="00513E84">
            <w:pPr>
              <w:pStyle w:val="P68B1DB1-Normal8"/>
              <w:spacing w:after="0"/>
              <w:rPr>
                <w:rFonts w:eastAsia="Times New Roman" w:cs="Times New Roman"/>
                <w:noProof/>
              </w:rPr>
            </w:pPr>
            <w:r>
              <w:rPr>
                <w:noProof/>
              </w:rPr>
              <w:t>Digitalización de ONE (I-2.07)</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9765FD3" w14:textId="293C292E"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D470F59" w14:textId="77777777" w:rsidR="00F208CE" w:rsidRDefault="00513E84">
            <w:pPr>
              <w:pStyle w:val="P68B1DB1-Normal8"/>
              <w:spacing w:after="0"/>
              <w:rPr>
                <w:rFonts w:eastAsia="Times New Roman" w:cs="Times New Roman"/>
                <w:noProof/>
              </w:rPr>
            </w:pPr>
            <w:r>
              <w:rPr>
                <w:noProof/>
              </w:rPr>
              <w:t>Entrada en funcionamiento de nuevas plataformas digitales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A24A02D" w14:textId="77777777" w:rsidR="00F208CE" w:rsidRDefault="00513E84">
            <w:pPr>
              <w:pStyle w:val="P68B1DB1-Normal8"/>
              <w:spacing w:after="0"/>
              <w:rPr>
                <w:rFonts w:eastAsia="Times New Roman" w:cs="Times New Roman"/>
                <w:strike/>
                <w:noProof/>
              </w:rPr>
            </w:pPr>
            <w:r>
              <w:rPr>
                <w:noProof/>
              </w:rPr>
              <w:t>Se han creado plataformas digitales que están a disposición de todos los usuarios.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A21A5D4"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7E39ACC"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31B6435A"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84292DC"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D08E07B" w14:textId="77777777" w:rsidR="00F208CE" w:rsidRDefault="00513E84">
            <w:pPr>
              <w:pStyle w:val="P68B1DB1-Normal8"/>
              <w:spacing w:after="0"/>
              <w:jc w:val="center"/>
              <w:rPr>
                <w:rFonts w:eastAsia="Times New Roman" w:cs="Times New Roman"/>
                <w:noProof/>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898B15E" w14:textId="77777777" w:rsidR="00F208CE" w:rsidRDefault="00513E84">
            <w:pPr>
              <w:pStyle w:val="P68B1DB1-Normal13"/>
              <w:spacing w:after="0"/>
              <w:rPr>
                <w:rFonts w:eastAsia="Times New Roman" w:cs="Times New Roman"/>
                <w:noProof/>
                <w:color w:val="006100"/>
              </w:rPr>
            </w:pPr>
            <w:r>
              <w:rPr>
                <w:noProof/>
                <w:color w:val="006100"/>
              </w:rPr>
              <w:t>Las plataformas digitales se crearán</w:t>
            </w:r>
            <w:r>
              <w:rPr>
                <w:noProof/>
              </w:rPr>
              <w:t xml:space="preserve"> </w:t>
            </w:r>
            <w:r>
              <w:rPr>
                <w:noProof/>
                <w:color w:val="006100"/>
              </w:rPr>
              <w:t>y estarán a disposición de todos los usuarios. Esto incluye las plataformas siguientes:</w:t>
            </w:r>
          </w:p>
          <w:p w14:paraId="64D91F2A" w14:textId="77777777" w:rsidR="00F208CE" w:rsidRDefault="00513E84">
            <w:pPr>
              <w:pStyle w:val="P68B1DB1-Normal8"/>
              <w:spacing w:after="0"/>
              <w:rPr>
                <w:rFonts w:eastAsia="Times New Roman" w:cs="Times New Roman"/>
                <w:noProof/>
              </w:rPr>
            </w:pPr>
            <w:r>
              <w:rPr>
                <w:noProof/>
              </w:rPr>
              <w:t xml:space="preserve">YO: Plataforma beneficiaria, cuyo objetivo es proporcionar a los beneficiarios, de manera segura y privada, información pertinente </w:t>
            </w:r>
            <w:r>
              <w:rPr>
                <w:noProof/>
              </w:rPr>
              <w:t>y específica en función de sus necesidades y de su situación (principio de «segmentación»).</w:t>
            </w:r>
          </w:p>
          <w:p w14:paraId="788D7B0D" w14:textId="77777777" w:rsidR="00F208CE" w:rsidRDefault="00513E84">
            <w:pPr>
              <w:pStyle w:val="P68B1DB1-Normal8"/>
              <w:spacing w:after="0"/>
              <w:rPr>
                <w:rFonts w:eastAsia="Times New Roman" w:cs="Times New Roman"/>
                <w:noProof/>
              </w:rPr>
            </w:pPr>
            <w:r>
              <w:rPr>
                <w:noProof/>
              </w:rPr>
              <w:t>PRO: Plataforma profesional, cuyo objetivo es proporcionar a los profesionales del cuidado de los niños las herramientas para gestionar los distintos procesos empre</w:t>
            </w:r>
            <w:r>
              <w:rPr>
                <w:noProof/>
              </w:rPr>
              <w:t>sariales, así como la información que apoyará su desarrollo, y las interacciones con la ONE.</w:t>
            </w:r>
          </w:p>
          <w:p w14:paraId="05F363EB" w14:textId="0C2EEA57" w:rsidR="00F208CE" w:rsidRDefault="00513E84">
            <w:pPr>
              <w:pStyle w:val="P68B1DB1-Normal8"/>
              <w:spacing w:after="0"/>
              <w:rPr>
                <w:rFonts w:eastAsia="Times New Roman" w:cs="Times New Roman"/>
                <w:strike/>
                <w:noProof/>
              </w:rPr>
            </w:pPr>
            <w:r>
              <w:rPr>
                <w:noProof/>
              </w:rPr>
              <w:t>OFICINA: Agentes de plataforma, destinados a ONE agentes y que reúne todas las aplicaciones de gestión de procesos empresariales, servicios de apoyo, ayudas a la t</w:t>
            </w:r>
            <w:r>
              <w:rPr>
                <w:noProof/>
              </w:rPr>
              <w:t>oma de decisiones, cuadros de indicadores e información pertinente. Es uno de los componentes del lugar de trabajo digital.</w:t>
            </w:r>
          </w:p>
        </w:tc>
      </w:tr>
      <w:tr w:rsidR="00F208CE" w14:paraId="24DE7289"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839C5B" w14:textId="77777777" w:rsidR="00F208CE" w:rsidRDefault="00513E84">
            <w:pPr>
              <w:pStyle w:val="P68B1DB1-Normal8"/>
              <w:spacing w:after="0"/>
              <w:jc w:val="center"/>
              <w:rPr>
                <w:rFonts w:eastAsia="Times New Roman" w:cs="Times New Roman"/>
                <w:noProof/>
              </w:rPr>
            </w:pPr>
            <w:r>
              <w:rPr>
                <w:noProof/>
              </w:rPr>
              <w:t>66</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7B121FAE" w14:textId="77777777" w:rsidR="00F208CE" w:rsidRDefault="00513E84">
            <w:pPr>
              <w:pStyle w:val="P68B1DB1-Normal8"/>
              <w:spacing w:after="0"/>
              <w:rPr>
                <w:rFonts w:eastAsia="Times New Roman" w:cs="Times New Roman"/>
                <w:noProof/>
              </w:rPr>
            </w:pPr>
            <w:r>
              <w:rPr>
                <w:noProof/>
              </w:rPr>
              <w:t>Digitalización del sector cultural y de los medios de comunicación (I-2.08)</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01564123" w14:textId="7285311E" w:rsidR="00F208CE" w:rsidRDefault="00513E84">
            <w:pPr>
              <w:pStyle w:val="P68B1DB1-Normal8"/>
              <w:spacing w:after="0"/>
              <w:rPr>
                <w:rFonts w:eastAsia="Times New Roman" w:cs="Times New Roman"/>
                <w:noProof/>
              </w:rPr>
            </w:pPr>
            <w:r>
              <w:rPr>
                <w:noProof/>
              </w:rPr>
              <w:t>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50D96FB" w14:textId="77777777" w:rsidR="00F208CE" w:rsidRDefault="00513E84">
            <w:pPr>
              <w:pStyle w:val="P68B1DB1-Normal8"/>
              <w:spacing w:after="0"/>
              <w:rPr>
                <w:rFonts w:eastAsia="Times New Roman" w:cs="Times New Roman"/>
                <w:noProof/>
              </w:rPr>
            </w:pPr>
            <w:r>
              <w:rPr>
                <w:noProof/>
              </w:rPr>
              <w:t xml:space="preserve">Finalización de proyectos de obras audiovisuales y audio digitalizadas y mejoradas </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5660F06" w14:textId="77777777" w:rsidR="00F208CE" w:rsidRDefault="00F208CE">
            <w:pPr>
              <w:spacing w:after="0"/>
              <w:rPr>
                <w:rFonts w:ascii="Times New Roman" w:eastAsia="Times New Roman" w:hAnsi="Times New Roman" w:cs="Times New Roman"/>
                <w:noProof/>
                <w:color w:val="006100"/>
              </w:rPr>
            </w:pP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75B3770" w14:textId="77777777" w:rsidR="00F208CE" w:rsidRDefault="00513E84">
            <w:pPr>
              <w:pStyle w:val="P68B1DB1-Normal8"/>
              <w:spacing w:after="0"/>
              <w:jc w:val="center"/>
              <w:rPr>
                <w:rFonts w:eastAsia="Times New Roman" w:cs="Times New Roman"/>
                <w:noProof/>
              </w:rPr>
            </w:pPr>
            <w:r>
              <w:rPr>
                <w:noProof/>
              </w:rPr>
              <w:t>Finalización de los proyectos</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116AB0DC" w14:textId="77777777" w:rsidR="00F208CE" w:rsidRDefault="00513E84">
            <w:pPr>
              <w:pStyle w:val="P68B1DB1-Normal8"/>
              <w:spacing w:after="0"/>
              <w:jc w:val="center"/>
              <w:rPr>
                <w:rFonts w:eastAsia="Times New Roman" w:cs="Times New Roman"/>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450FB459" w14:textId="7EE0BDBB" w:rsidR="00F208CE" w:rsidRDefault="00513E84">
            <w:pPr>
              <w:pStyle w:val="P68B1DB1-Normal8"/>
              <w:spacing w:after="0"/>
              <w:jc w:val="center"/>
              <w:rPr>
                <w:rFonts w:eastAsia="Times New Roman" w:cs="Times New Roman"/>
                <w:noProof/>
              </w:rPr>
            </w:pPr>
            <w:r>
              <w:rPr>
                <w:noProof/>
              </w:rPr>
              <w:t>37</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6869EAA"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75819B8C" w14:textId="77777777" w:rsidR="00F208CE" w:rsidRDefault="00513E84">
            <w:pPr>
              <w:pStyle w:val="P68B1DB1-Normal8"/>
              <w:spacing w:after="0"/>
              <w:jc w:val="center"/>
              <w:rPr>
                <w:rFonts w:eastAsia="Times New Roman" w:cs="Times New Roman"/>
                <w:noProof/>
              </w:rPr>
            </w:pPr>
            <w:r>
              <w:rPr>
                <w:noProof/>
              </w:rPr>
              <w:t>2026</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839481E" w14:textId="0EDB9CA2" w:rsidR="00F208CE" w:rsidRDefault="00513E84">
            <w:pPr>
              <w:pStyle w:val="P68B1DB1-Normal8"/>
              <w:spacing w:after="0"/>
              <w:rPr>
                <w:rFonts w:eastAsia="Times New Roman" w:cs="Times New Roman"/>
                <w:noProof/>
              </w:rPr>
            </w:pPr>
            <w:r>
              <w:rPr>
                <w:noProof/>
              </w:rPr>
              <w:t xml:space="preserve">Finalización completa de 37 proyectos pertenecientes a las siguientes categorías: </w:t>
            </w:r>
          </w:p>
          <w:p w14:paraId="18905CED" w14:textId="77777777" w:rsidR="00F208CE" w:rsidRDefault="00513E84">
            <w:pPr>
              <w:pStyle w:val="P68B1DB1-ListParagraph10"/>
              <w:numPr>
                <w:ilvl w:val="0"/>
                <w:numId w:val="28"/>
              </w:numPr>
              <w:spacing w:after="0"/>
              <w:rPr>
                <w:rFonts w:eastAsia="Times New Roman" w:cs="Times New Roman"/>
                <w:noProof/>
              </w:rPr>
            </w:pPr>
            <w:r>
              <w:rPr>
                <w:noProof/>
              </w:rPr>
              <w:t xml:space="preserve"> obras audiovisuales y sonoras digitalizadas y mejoradas: 30 proyectos </w:t>
            </w:r>
          </w:p>
          <w:p w14:paraId="7549A226" w14:textId="1A14A355" w:rsidR="00F208CE" w:rsidRDefault="00513E84">
            <w:pPr>
              <w:pStyle w:val="P68B1DB1-ListParagraph10"/>
              <w:numPr>
                <w:ilvl w:val="0"/>
                <w:numId w:val="28"/>
              </w:numPr>
              <w:spacing w:after="0"/>
              <w:rPr>
                <w:rFonts w:eastAsia="Times New Roman" w:cs="Times New Roman"/>
                <w:noProof/>
                <w:sz w:val="20"/>
              </w:rPr>
            </w:pPr>
            <w:r>
              <w:rPr>
                <w:noProof/>
              </w:rPr>
              <w:t>creación de obras digitales nativas: 7 proyectos</w:t>
            </w:r>
          </w:p>
        </w:tc>
      </w:tr>
      <w:tr w:rsidR="00F208CE" w14:paraId="3AFC4F1A"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DCA673" w14:textId="77777777" w:rsidR="00F208CE" w:rsidRDefault="00513E84">
            <w:pPr>
              <w:pStyle w:val="P68B1DB1-Normal8"/>
              <w:spacing w:after="0"/>
              <w:jc w:val="center"/>
              <w:rPr>
                <w:rFonts w:eastAsia="Times New Roman" w:cs="Times New Roman"/>
                <w:noProof/>
              </w:rPr>
            </w:pPr>
            <w:r>
              <w:rPr>
                <w:noProof/>
              </w:rPr>
              <w:t>67</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1FEA317E" w14:textId="77777777" w:rsidR="00F208CE" w:rsidRDefault="00513E84">
            <w:pPr>
              <w:pStyle w:val="P68B1DB1-Normal8"/>
              <w:spacing w:after="0"/>
              <w:rPr>
                <w:rFonts w:eastAsia="Times New Roman" w:cs="Times New Roman"/>
                <w:noProof/>
              </w:rPr>
            </w:pPr>
            <w:r>
              <w:rPr>
                <w:noProof/>
              </w:rPr>
              <w:t>Digitalización del sector cultural y de los medios de comunicación (I-2.08)</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6796C96" w14:textId="235197EC" w:rsidR="00F208CE" w:rsidRDefault="00513E84">
            <w:pPr>
              <w:pStyle w:val="P68B1DB1-Normal8"/>
              <w:spacing w:after="0"/>
              <w:rPr>
                <w:rFonts w:eastAsia="Times New Roman" w:cs="Times New Roman"/>
                <w:noProof/>
              </w:rPr>
            </w:pPr>
            <w:r>
              <w:rPr>
                <w:noProof/>
              </w:rPr>
              <w:t>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B47B114" w14:textId="24CABB5D" w:rsidR="00F208CE" w:rsidRDefault="00513E84">
            <w:pPr>
              <w:pStyle w:val="P68B1DB1-Normal8"/>
              <w:spacing w:after="0"/>
              <w:rPr>
                <w:rFonts w:eastAsia="Times New Roman" w:cs="Times New Roman"/>
                <w:noProof/>
              </w:rPr>
            </w:pPr>
            <w:r>
              <w:rPr>
                <w:noProof/>
              </w:rPr>
              <w:t>Integración de herramientas tecnológicas por parte de</w:t>
            </w:r>
            <w:r>
              <w:rPr>
                <w:noProof/>
              </w:rPr>
              <w:t xml:space="preserve"> operadores piloto culturales y mediáticos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8610608" w14:textId="77777777" w:rsidR="00F208CE" w:rsidRDefault="00F208CE">
            <w:pPr>
              <w:spacing w:after="0"/>
              <w:rPr>
                <w:rFonts w:ascii="Times New Roman" w:eastAsia="Times New Roman" w:hAnsi="Times New Roman" w:cs="Times New Roman"/>
                <w:noProof/>
                <w:color w:val="006100"/>
              </w:rPr>
            </w:pP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D3162D5" w14:textId="10829D34" w:rsidR="00F208CE" w:rsidRDefault="00513E84">
            <w:pPr>
              <w:pStyle w:val="P68B1DB1-Normal8"/>
              <w:spacing w:after="0"/>
              <w:jc w:val="center"/>
              <w:rPr>
                <w:rFonts w:eastAsia="Times New Roman" w:cs="Times New Roman"/>
                <w:noProof/>
              </w:rPr>
            </w:pPr>
            <w:r>
              <w:rPr>
                <w:noProof/>
              </w:rPr>
              <w:t>Número de operadores</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AA95E05" w14:textId="77777777" w:rsidR="00F208CE" w:rsidRDefault="00513E84">
            <w:pPr>
              <w:pStyle w:val="P68B1DB1-Normal8"/>
              <w:spacing w:after="0"/>
              <w:jc w:val="center"/>
              <w:rPr>
                <w:rFonts w:eastAsia="Times New Roman" w:cs="Times New Roman"/>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3E88BB16" w14:textId="7DD59320" w:rsidR="00F208CE" w:rsidRDefault="00513E84">
            <w:pPr>
              <w:pStyle w:val="P68B1DB1-Normal8"/>
              <w:spacing w:after="0"/>
              <w:jc w:val="center"/>
              <w:rPr>
                <w:rFonts w:eastAsia="Times New Roman" w:cs="Times New Roman"/>
                <w:noProof/>
              </w:rPr>
            </w:pPr>
            <w:r>
              <w:rPr>
                <w:noProof/>
              </w:rPr>
              <w:t>5</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1E7E0998" w14:textId="77777777" w:rsidR="00F208CE" w:rsidRDefault="00513E84">
            <w:pPr>
              <w:pStyle w:val="P68B1DB1-Normal8"/>
              <w:spacing w:after="0"/>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442D473" w14:textId="77777777" w:rsidR="00F208CE" w:rsidRDefault="00513E84">
            <w:pPr>
              <w:pStyle w:val="P68B1DB1-Normal8"/>
              <w:spacing w:after="0"/>
              <w:jc w:val="center"/>
              <w:rPr>
                <w:rFonts w:eastAsia="Times New Roman" w:cs="Times New Roman"/>
                <w:noProof/>
              </w:rPr>
            </w:pPr>
            <w:r>
              <w:rPr>
                <w:noProof/>
              </w:rPr>
              <w:t>2026</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72DD1D83" w14:textId="057A3E85" w:rsidR="00F208CE" w:rsidRDefault="00513E84">
            <w:pPr>
              <w:pStyle w:val="P68B1DB1-Normal8"/>
              <w:spacing w:after="120"/>
              <w:rPr>
                <w:rFonts w:eastAsia="Times New Roman" w:cs="Times New Roman"/>
                <w:noProof/>
              </w:rPr>
            </w:pPr>
            <w:r>
              <w:rPr>
                <w:noProof/>
              </w:rPr>
              <w:t xml:space="preserve">Integración de herramientas tecnológicas desarrolladas con al menos dos operadores piloto de medios de comunicación (que reúnan actividades de prensa, radio, </w:t>
            </w:r>
            <w:r>
              <w:rPr>
                <w:noProof/>
              </w:rPr>
              <w:t>televisión y digitales) y al menos tres operadores culturales piloto (que incluyan al menos dos disciplinas diferentes).</w:t>
            </w:r>
          </w:p>
          <w:p w14:paraId="1DC21DC2" w14:textId="11BA1A12" w:rsidR="00F208CE" w:rsidRDefault="00513E84">
            <w:pPr>
              <w:pStyle w:val="P68B1DB1-Normal8"/>
              <w:spacing w:after="0"/>
              <w:rPr>
                <w:rFonts w:eastAsia="Times New Roman" w:cs="Times New Roman"/>
                <w:noProof/>
              </w:rPr>
            </w:pPr>
            <w:r>
              <w:rPr>
                <w:noProof/>
              </w:rPr>
              <w:t>Las herramientas tecnológicas se desarrollarán en «código abierto» y se pondrán a disposición de forma gratuita en el marco de una lice</w:t>
            </w:r>
            <w:r>
              <w:rPr>
                <w:noProof/>
              </w:rPr>
              <w:t>ncia «Creative commons».</w:t>
            </w:r>
          </w:p>
        </w:tc>
      </w:tr>
      <w:tr w:rsidR="00F208CE" w14:paraId="0E209A9C"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73780D" w14:textId="77777777" w:rsidR="00F208CE" w:rsidRDefault="00513E84">
            <w:pPr>
              <w:pStyle w:val="P68B1DB1-Normal8"/>
              <w:spacing w:after="0"/>
              <w:jc w:val="center"/>
              <w:rPr>
                <w:rFonts w:eastAsia="Times New Roman" w:cs="Times New Roman"/>
                <w:noProof/>
              </w:rPr>
            </w:pPr>
            <w:r>
              <w:rPr>
                <w:noProof/>
              </w:rPr>
              <w:t>68</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74D1823B" w14:textId="2B86CE93" w:rsidR="00F208CE" w:rsidRDefault="00513E84">
            <w:pPr>
              <w:pStyle w:val="P68B1DB1-Normal8"/>
              <w:spacing w:after="0"/>
              <w:rPr>
                <w:rFonts w:eastAsia="Times New Roman" w:cs="Times New Roman"/>
                <w:noProof/>
              </w:rPr>
            </w:pPr>
            <w:r>
              <w:rPr>
                <w:noProof/>
              </w:rPr>
              <w:t>Digitalización del Gobierno flamenco (I-2.09)</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47E06D9" w14:textId="70439076"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1D97E96" w14:textId="7114F0B7" w:rsidR="00F208CE" w:rsidRDefault="00513E84">
            <w:pPr>
              <w:pStyle w:val="P68B1DB1-Normal8"/>
              <w:spacing w:after="0"/>
              <w:rPr>
                <w:rFonts w:eastAsia="Times New Roman" w:cs="Times New Roman"/>
                <w:noProof/>
              </w:rPr>
            </w:pPr>
            <w:r>
              <w:rPr>
                <w:noProof/>
              </w:rPr>
              <w:t>Aprobación de la ayuda a 11 proyectos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FDA0C78" w14:textId="476A9827" w:rsidR="00F208CE" w:rsidRDefault="00513E84">
            <w:pPr>
              <w:pStyle w:val="P68B1DB1-Normal8"/>
              <w:spacing w:after="0"/>
              <w:rPr>
                <w:rFonts w:eastAsia="Times New Roman" w:cs="Times New Roman"/>
                <w:noProof/>
              </w:rPr>
            </w:pPr>
            <w:r>
              <w:rPr>
                <w:noProof/>
              </w:rPr>
              <w:t>Al menos una decisión por la que se aprueba la ayuda para cada uno de los 11 proyectos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B1D387A"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B0C74D7"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67EB31BF"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4E05DD4"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E7C6801" w14:textId="77777777" w:rsidR="00F208CE" w:rsidRDefault="00513E84">
            <w:pPr>
              <w:pStyle w:val="P68B1DB1-Normal8"/>
              <w:spacing w:after="0"/>
              <w:jc w:val="center"/>
              <w:rPr>
                <w:rFonts w:eastAsia="Times New Roman" w:cs="Times New Roman"/>
                <w:noProof/>
              </w:rPr>
            </w:pPr>
            <w:r>
              <w:rPr>
                <w:noProof/>
              </w:rPr>
              <w:t>2022</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35AECDF9" w14:textId="78B46350" w:rsidR="00F208CE" w:rsidRDefault="00513E84">
            <w:pPr>
              <w:pStyle w:val="P68B1DB1-Normal8"/>
              <w:spacing w:after="0"/>
              <w:rPr>
                <w:rFonts w:eastAsia="Times New Roman" w:cs="Times New Roman"/>
                <w:noProof/>
              </w:rPr>
            </w:pPr>
            <w:r>
              <w:rPr>
                <w:noProof/>
              </w:rPr>
              <w:t xml:space="preserve">El Gobierno flamenco o la </w:t>
            </w:r>
            <w:r>
              <w:rPr>
                <w:noProof/>
              </w:rPr>
              <w:t>entidad correspondiente aprobará el apoyo a 11 proyectos que contribuyen conjuntamente a cuatro objetivos principales: 1. Hacia un servicio público para los ciudadanos, las empresas y las asociaciones; 2. 2 Permitir decisiones rápidas y eficaces con datos;</w:t>
            </w:r>
            <w:r>
              <w:rPr>
                <w:noProof/>
              </w:rPr>
              <w:t xml:space="preserve"> 3. Garantizar una infraestructura básica fiable mediante el refuerzo de los componentes básicos de las TIC; y 4. Proporcionar un lugar de trabajo híbrido a los funcionarios flamencos.</w:t>
            </w:r>
          </w:p>
        </w:tc>
      </w:tr>
      <w:tr w:rsidR="00F208CE" w14:paraId="2CDC5A26"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D7FB49" w14:textId="77777777" w:rsidR="00F208CE" w:rsidRDefault="00513E84">
            <w:pPr>
              <w:pStyle w:val="P68B1DB1-Normal8"/>
              <w:spacing w:after="0"/>
              <w:jc w:val="center"/>
              <w:rPr>
                <w:rFonts w:eastAsia="Times New Roman" w:cs="Times New Roman"/>
                <w:noProof/>
              </w:rPr>
            </w:pPr>
            <w:r>
              <w:rPr>
                <w:noProof/>
              </w:rPr>
              <w:t>69</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5FCFE43A" w14:textId="527E5C63" w:rsidR="00F208CE" w:rsidRDefault="00513E84">
            <w:pPr>
              <w:pStyle w:val="P68B1DB1-Normal8"/>
              <w:spacing w:after="0"/>
              <w:rPr>
                <w:rFonts w:eastAsia="Times New Roman" w:cs="Times New Roman"/>
                <w:noProof/>
              </w:rPr>
            </w:pPr>
            <w:r>
              <w:rPr>
                <w:noProof/>
              </w:rPr>
              <w:t>Digitalización del Gobierno flamenco (I-2.09)</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5737490" w14:textId="04BCC0AA"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94B9CF0" w14:textId="0BE60254" w:rsidR="00F208CE" w:rsidRDefault="00513E84">
            <w:pPr>
              <w:pStyle w:val="P68B1DB1-Normal8"/>
              <w:spacing w:after="0"/>
              <w:rPr>
                <w:rFonts w:eastAsia="Times New Roman" w:cs="Times New Roman"/>
                <w:noProof/>
              </w:rPr>
            </w:pPr>
            <w:r>
              <w:rPr>
                <w:noProof/>
              </w:rPr>
              <w:t>Finalización de los</w:t>
            </w:r>
            <w:r>
              <w:rPr>
                <w:noProof/>
              </w:rPr>
              <w:t xml:space="preserve"> proyectos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4D0A137" w14:textId="11F404BE" w:rsidR="00F208CE" w:rsidRDefault="00513E84">
            <w:pPr>
              <w:pStyle w:val="P68B1DB1-Normal8"/>
              <w:spacing w:after="0"/>
              <w:rPr>
                <w:rFonts w:eastAsia="Times New Roman" w:cs="Times New Roman"/>
                <w:noProof/>
              </w:rPr>
            </w:pPr>
            <w:r>
              <w:rPr>
                <w:noProof/>
              </w:rPr>
              <w:t>Se han completado 11 proyectos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2C5A8E7"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3ED6B4D"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263A4A75"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5472A0C"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3624C309" w14:textId="77777777" w:rsidR="00F208CE" w:rsidRDefault="00513E84">
            <w:pPr>
              <w:pStyle w:val="P68B1DB1-Normal8"/>
              <w:spacing w:after="0"/>
              <w:jc w:val="center"/>
              <w:rPr>
                <w:rFonts w:eastAsia="Times New Roman" w:cs="Times New Roman"/>
                <w:noProof/>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3B5AFE58" w14:textId="0821C69B" w:rsidR="00F208CE" w:rsidRDefault="00513E84">
            <w:pPr>
              <w:pStyle w:val="P68B1DB1-Normal8"/>
              <w:spacing w:after="0"/>
              <w:rPr>
                <w:rFonts w:eastAsia="Times New Roman" w:cs="Times New Roman"/>
                <w:noProof/>
              </w:rPr>
            </w:pPr>
            <w:r>
              <w:rPr>
                <w:noProof/>
              </w:rPr>
              <w:t xml:space="preserve">11 proyectos en el marco del hito 68, que contribuyen conjuntamente a cuatro objetivos principales: 1. Hacia el servicio público a los ciudadanos, las empresas y las asociaciones; 2. 2 </w:t>
            </w:r>
            <w:r>
              <w:rPr>
                <w:noProof/>
              </w:rPr>
              <w:t>Permitir decisiones rápidas y eficaces con datos; 3. Garantizar una infraestructura básica fiable mediante el refuerzo de los componentes básicos de las TIC; y 4. Se ha completado la creación de un lugar de trabajo híbrido para los funcionarios flamencos.</w:t>
            </w:r>
          </w:p>
        </w:tc>
      </w:tr>
      <w:tr w:rsidR="00F208CE" w14:paraId="74D41866"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7B3807" w14:textId="77777777" w:rsidR="00F208CE" w:rsidRDefault="00513E84">
            <w:pPr>
              <w:pStyle w:val="P68B1DB1-Normal8"/>
              <w:spacing w:after="0"/>
              <w:jc w:val="center"/>
              <w:rPr>
                <w:rFonts w:eastAsia="Times New Roman" w:cs="Times New Roman"/>
                <w:noProof/>
              </w:rPr>
            </w:pPr>
            <w:r>
              <w:rPr>
                <w:noProof/>
              </w:rPr>
              <w:t>70</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3E211E50" w14:textId="77777777" w:rsidR="00F208CE" w:rsidRDefault="00513E84">
            <w:pPr>
              <w:pStyle w:val="P68B1DB1-Normal8"/>
              <w:spacing w:after="0"/>
              <w:rPr>
                <w:rFonts w:eastAsia="Times New Roman" w:cs="Times New Roman"/>
                <w:noProof/>
              </w:rPr>
            </w:pPr>
            <w:r>
              <w:rPr>
                <w:noProof/>
              </w:rPr>
              <w:t>Plataforma regional de intercambio de datos (I-2.10)</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794BEA1" w14:textId="1D9626B4"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061D89E" w14:textId="77777777" w:rsidR="00F208CE" w:rsidRDefault="00513E84">
            <w:pPr>
              <w:pStyle w:val="P68B1DB1-Normal8"/>
              <w:spacing w:after="0"/>
              <w:rPr>
                <w:rFonts w:eastAsia="Times New Roman" w:cs="Times New Roman"/>
                <w:noProof/>
              </w:rPr>
            </w:pPr>
            <w:r>
              <w:rPr>
                <w:noProof/>
              </w:rPr>
              <w:t>Adjudicación del contrato público</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4BFECBC" w14:textId="77777777" w:rsidR="00F208CE" w:rsidRDefault="00513E84">
            <w:pPr>
              <w:pStyle w:val="P68B1DB1-Normal8"/>
              <w:spacing w:after="0"/>
              <w:rPr>
                <w:rFonts w:eastAsia="Times New Roman" w:cs="Times New Roman"/>
                <w:noProof/>
              </w:rPr>
            </w:pPr>
            <w:r>
              <w:rPr>
                <w:noProof/>
              </w:rPr>
              <w:t>Se publicará un documento de la orden de misión.</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51E998C6"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996D1C7"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79FA7DB4"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19B56E5C"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0577E96" w14:textId="77777777" w:rsidR="00F208CE" w:rsidRDefault="00513E84">
            <w:pPr>
              <w:pStyle w:val="P68B1DB1-Normal8"/>
              <w:spacing w:after="0"/>
              <w:jc w:val="center"/>
              <w:rPr>
                <w:rFonts w:eastAsia="Times New Roman" w:cs="Times New Roman"/>
                <w:noProof/>
              </w:rPr>
            </w:pPr>
            <w:r>
              <w:rPr>
                <w:noProof/>
              </w:rPr>
              <w:t>2021</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17A01F0E" w14:textId="77777777" w:rsidR="00F208CE" w:rsidRDefault="00513E84">
            <w:pPr>
              <w:pStyle w:val="P68B1DB1-Normal8"/>
              <w:spacing w:after="0"/>
              <w:rPr>
                <w:rFonts w:eastAsia="Times New Roman" w:cs="Times New Roman"/>
                <w:noProof/>
              </w:rPr>
            </w:pPr>
            <w:r>
              <w:rPr>
                <w:noProof/>
              </w:rPr>
              <w:t>Se publicará un documento de orden de misión en el que se expongan los requisitos de alto nivel de la solución para una plataforma de intercambio de datos, así como la distribución de funciones entre el Centro Regional de Informática de Bruselas (BRIC) y l</w:t>
            </w:r>
            <w:r>
              <w:rPr>
                <w:noProof/>
              </w:rPr>
              <w:t>os subcontratistas, así como las necesidades en términos de gobernanza de datos y gobernanza requeridas para la plataforma.</w:t>
            </w:r>
          </w:p>
        </w:tc>
      </w:tr>
      <w:tr w:rsidR="00F208CE" w14:paraId="3A0F89A9"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B909BA" w14:textId="77777777" w:rsidR="00F208CE" w:rsidRDefault="00513E84">
            <w:pPr>
              <w:pStyle w:val="P68B1DB1-Normal8"/>
              <w:spacing w:after="0"/>
              <w:jc w:val="center"/>
              <w:rPr>
                <w:rFonts w:eastAsia="Times New Roman" w:cs="Times New Roman"/>
                <w:noProof/>
              </w:rPr>
            </w:pPr>
            <w:r>
              <w:rPr>
                <w:noProof/>
              </w:rPr>
              <w:t>71</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60B6E408" w14:textId="77777777" w:rsidR="00F208CE" w:rsidRDefault="00513E84">
            <w:pPr>
              <w:pStyle w:val="P68B1DB1-Normal8"/>
              <w:spacing w:after="0"/>
              <w:rPr>
                <w:rFonts w:eastAsia="Times New Roman" w:cs="Times New Roman"/>
                <w:noProof/>
              </w:rPr>
            </w:pPr>
            <w:r>
              <w:rPr>
                <w:noProof/>
              </w:rPr>
              <w:t>Plataforma regional de intercambio de datos (I-2.10)</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3570156" w14:textId="4DD22413" w:rsidR="00F208CE" w:rsidRDefault="00513E84">
            <w:pPr>
              <w:pStyle w:val="P68B1DB1-Normal8"/>
              <w:spacing w:after="0"/>
              <w:rPr>
                <w:rFonts w:eastAsia="Times New Roman" w:cs="Times New Roman"/>
                <w:noProof/>
              </w:rPr>
            </w:pPr>
            <w:r>
              <w:rPr>
                <w:noProof/>
              </w:rPr>
              <w:t>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BDB38CE" w14:textId="77777777" w:rsidR="00F208CE" w:rsidRDefault="00513E84">
            <w:pPr>
              <w:pStyle w:val="P68B1DB1-Normal8"/>
              <w:spacing w:after="0"/>
              <w:rPr>
                <w:rFonts w:eastAsia="Times New Roman" w:cs="Times New Roman"/>
                <w:noProof/>
              </w:rPr>
            </w:pPr>
            <w:r>
              <w:rPr>
                <w:noProof/>
              </w:rPr>
              <w:t xml:space="preserve">10 administraciones públicas reciben apoyo para el despliegue de </w:t>
            </w:r>
            <w:r>
              <w:rPr>
                <w:noProof/>
              </w:rPr>
              <w:t>proyectos en la plataforma de datos regionales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41EF447" w14:textId="77777777" w:rsidR="00F208CE" w:rsidRDefault="00F208CE">
            <w:pPr>
              <w:spacing w:after="0"/>
              <w:rPr>
                <w:rFonts w:ascii="Times New Roman" w:eastAsia="Times New Roman" w:hAnsi="Times New Roman" w:cs="Times New Roman"/>
                <w:noProof/>
                <w:color w:val="006100"/>
              </w:rPr>
            </w:pP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728E1F88" w14:textId="77777777" w:rsidR="00F208CE" w:rsidRDefault="00513E84">
            <w:pPr>
              <w:pStyle w:val="P68B1DB1-Normal14"/>
              <w:spacing w:after="0"/>
              <w:jc w:val="center"/>
              <w:rPr>
                <w:rFonts w:eastAsia="Times New Roman" w:cs="Times New Roman"/>
                <w:noProof/>
              </w:rPr>
            </w:pPr>
            <w:r>
              <w:rPr>
                <w:noProof/>
              </w:rPr>
              <w:t>Administraciones públicas</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15C9925" w14:textId="77777777" w:rsidR="00F208CE" w:rsidRDefault="00513E84">
            <w:pPr>
              <w:pStyle w:val="P68B1DB1-Normal8"/>
              <w:spacing w:after="0"/>
              <w:jc w:val="center"/>
              <w:rPr>
                <w:rFonts w:eastAsia="Times New Roman" w:cs="Times New Roman"/>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686BFA47" w14:textId="77777777" w:rsidR="00F208CE" w:rsidRDefault="00513E84">
            <w:pPr>
              <w:pStyle w:val="P68B1DB1-Normal8"/>
              <w:spacing w:after="0"/>
              <w:jc w:val="center"/>
              <w:rPr>
                <w:rFonts w:eastAsia="Times New Roman" w:cs="Times New Roman"/>
                <w:noProof/>
              </w:rPr>
            </w:pPr>
            <w:r>
              <w:rPr>
                <w:noProof/>
              </w:rPr>
              <w:t>10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116D6DD5"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2E1B3768" w14:textId="77777777" w:rsidR="00F208CE" w:rsidRDefault="00513E84">
            <w:pPr>
              <w:pStyle w:val="P68B1DB1-Normal8"/>
              <w:spacing w:after="0"/>
              <w:jc w:val="center"/>
              <w:rPr>
                <w:rFonts w:eastAsia="Times New Roman" w:cs="Times New Roman"/>
                <w:noProof/>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5295F01" w14:textId="77777777" w:rsidR="00F208CE" w:rsidRDefault="00513E84">
            <w:pPr>
              <w:pStyle w:val="P68B1DB1-Normal8"/>
              <w:spacing w:after="0"/>
              <w:rPr>
                <w:rFonts w:eastAsia="Times New Roman" w:cs="Times New Roman"/>
                <w:noProof/>
              </w:rPr>
            </w:pPr>
            <w:r>
              <w:rPr>
                <w:noProof/>
              </w:rPr>
              <w:t xml:space="preserve">Se apoya a una serie de diez administraciones públicas para el desarrollo de proyectos en la nueva plataforma regional de intercambio de datos de la </w:t>
            </w:r>
            <w:r>
              <w:rPr>
                <w:noProof/>
              </w:rPr>
              <w:t>Región de Bruselas. El apoyo consistirá en el desarrollo de la integración de datos y el análisis de datos, pero también en la asignación de recursos específicos del Centro Regional de Informática de Bruselas (BRIC) para ayudar a las administraciones públi</w:t>
            </w:r>
            <w:r>
              <w:rPr>
                <w:noProof/>
              </w:rPr>
              <w:t>cas en sus proyectos, como especialistas en datos y analistas de datos.</w:t>
            </w:r>
          </w:p>
          <w:p w14:paraId="7F2E9B7A" w14:textId="59BF9549" w:rsidR="00F208CE" w:rsidRDefault="00513E84">
            <w:pPr>
              <w:pStyle w:val="P68B1DB1-Normal8"/>
              <w:spacing w:after="0"/>
              <w:rPr>
                <w:rFonts w:eastAsia="Times New Roman" w:cs="Times New Roman"/>
                <w:noProof/>
              </w:rPr>
            </w:pPr>
            <w:r>
              <w:rPr>
                <w:noProof/>
              </w:rPr>
              <w:t>Las administraciones públicas se seleccionarán entre las administraciones más importantes de la región en las que se haya determinado que es necesario intercambiar datos y en las que a</w:t>
            </w:r>
            <w:r>
              <w:rPr>
                <w:noProof/>
              </w:rPr>
              <w:t>portará valor añadido a la región de Bruselas.</w:t>
            </w:r>
          </w:p>
        </w:tc>
      </w:tr>
      <w:tr w:rsidR="00F208CE" w14:paraId="732663C2"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20F96E" w14:textId="77777777" w:rsidR="00F208CE" w:rsidRDefault="00513E84">
            <w:pPr>
              <w:pStyle w:val="P68B1DB1-Normal8"/>
              <w:spacing w:after="0"/>
              <w:jc w:val="center"/>
              <w:rPr>
                <w:rFonts w:eastAsia="Times New Roman" w:cs="Times New Roman"/>
                <w:noProof/>
              </w:rPr>
            </w:pPr>
            <w:r>
              <w:rPr>
                <w:noProof/>
              </w:rPr>
              <w:t>72</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690DAD0D" w14:textId="77777777" w:rsidR="00F208CE" w:rsidRDefault="00513E84">
            <w:pPr>
              <w:pStyle w:val="P68B1DB1-Normal8"/>
              <w:spacing w:after="0"/>
              <w:rPr>
                <w:rFonts w:eastAsia="Times New Roman" w:cs="Times New Roman"/>
                <w:noProof/>
              </w:rPr>
            </w:pPr>
            <w:r>
              <w:rPr>
                <w:noProof/>
              </w:rPr>
              <w:t>Digitalización de los procesos de los ciudadanos y las empresas (I-2.11)</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CB4BF7D" w14:textId="36050366"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D22F5B3" w14:textId="77777777" w:rsidR="00F208CE" w:rsidRDefault="00513E84">
            <w:pPr>
              <w:pStyle w:val="P68B1DB1-Normal8"/>
              <w:spacing w:after="0"/>
              <w:rPr>
                <w:rFonts w:eastAsia="Times New Roman" w:cs="Times New Roman"/>
                <w:noProof/>
              </w:rPr>
            </w:pPr>
            <w:r>
              <w:rPr>
                <w:noProof/>
              </w:rPr>
              <w:t>Entrada en funcionamiento de nuevas plataformas digitales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138C551" w14:textId="156A9FBB" w:rsidR="00F208CE" w:rsidRDefault="00513E84">
            <w:pPr>
              <w:pStyle w:val="P68B1DB1-Normal8"/>
              <w:spacing w:after="0"/>
              <w:rPr>
                <w:rFonts w:eastAsia="Times New Roman" w:cs="Times New Roman"/>
                <w:noProof/>
              </w:rPr>
            </w:pPr>
            <w:r>
              <w:rPr>
                <w:noProof/>
              </w:rPr>
              <w:t xml:space="preserve">En la región de Bruselas está operativa una nueva plataforma (CRM) que </w:t>
            </w:r>
            <w:r>
              <w:rPr>
                <w:noProof/>
              </w:rPr>
              <w:t>facilita la interacción entre la administración y los ciudadanos/empresas y entre las administraciones.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9F6A6D8"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66B6DF4"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72662066"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2F5E56F"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3E6FC13F" w14:textId="77777777" w:rsidR="00F208CE" w:rsidRDefault="00513E84">
            <w:pPr>
              <w:pStyle w:val="P68B1DB1-Normal8"/>
              <w:spacing w:after="0"/>
              <w:jc w:val="center"/>
              <w:rPr>
                <w:rFonts w:eastAsia="Times New Roman" w:cs="Times New Roman"/>
                <w:noProof/>
              </w:rPr>
            </w:pPr>
            <w:r>
              <w:rPr>
                <w:noProof/>
              </w:rPr>
              <w:t>2021</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0555345" w14:textId="25CF09EE" w:rsidR="00F208CE" w:rsidRDefault="00513E84">
            <w:pPr>
              <w:pStyle w:val="P68B1DB1-Normal8"/>
              <w:spacing w:after="0"/>
              <w:rPr>
                <w:rFonts w:eastAsia="Times New Roman" w:cs="Times New Roman"/>
                <w:noProof/>
              </w:rPr>
            </w:pPr>
            <w:r>
              <w:rPr>
                <w:noProof/>
              </w:rPr>
              <w:t>En la Región de Bruselas está operativa una nueva plataforma que facilita la interacción entre la administración y los ciudad</w:t>
            </w:r>
            <w:r>
              <w:rPr>
                <w:noProof/>
              </w:rPr>
              <w:t>anos/empresas y entre administraciones.</w:t>
            </w:r>
          </w:p>
          <w:p w14:paraId="44685F8C" w14:textId="77777777" w:rsidR="00F208CE" w:rsidRDefault="00513E84">
            <w:pPr>
              <w:pStyle w:val="P68B1DB1-Normal8"/>
              <w:spacing w:after="0"/>
              <w:rPr>
                <w:rFonts w:eastAsia="Times New Roman" w:cs="Times New Roman"/>
                <w:noProof/>
              </w:rPr>
            </w:pPr>
            <w:r>
              <w:rPr>
                <w:noProof/>
              </w:rPr>
              <w:t xml:space="preserve">La plataforma de fundación CRM estará disponible para el desarrollo de proyectos CRM específicos en la región de Bruselas. El objetivo es desplegar para finales de 2024 16 proyectos repartidos entre administraciones </w:t>
            </w:r>
            <w:r>
              <w:rPr>
                <w:noProof/>
              </w:rPr>
              <w:t>regionales o locales (Parking.Brussels, Hub.Brussels, Bruxelles Economie y Emploi).</w:t>
            </w:r>
          </w:p>
        </w:tc>
      </w:tr>
      <w:tr w:rsidR="00F208CE" w14:paraId="330C8FC5"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CE0AE1" w14:textId="77777777" w:rsidR="00F208CE" w:rsidRDefault="00513E84">
            <w:pPr>
              <w:pStyle w:val="P68B1DB1-Normal8"/>
              <w:spacing w:after="0"/>
              <w:jc w:val="center"/>
              <w:rPr>
                <w:rFonts w:eastAsia="Times New Roman" w:cs="Times New Roman"/>
                <w:noProof/>
              </w:rPr>
            </w:pPr>
            <w:r>
              <w:rPr>
                <w:noProof/>
              </w:rPr>
              <w:t>73</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558427E3" w14:textId="77777777" w:rsidR="00F208CE" w:rsidRDefault="00513E84">
            <w:pPr>
              <w:pStyle w:val="P68B1DB1-Normal8"/>
              <w:spacing w:after="0"/>
              <w:rPr>
                <w:rFonts w:eastAsia="Times New Roman" w:cs="Times New Roman"/>
                <w:noProof/>
              </w:rPr>
            </w:pPr>
            <w:r>
              <w:rPr>
                <w:noProof/>
              </w:rPr>
              <w:t>Digitalización de los procesos de los ciudadanos y las empresas (I-2.11)</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9FB1A9D" w14:textId="728B5B70" w:rsidR="00F208CE" w:rsidRDefault="00513E84">
            <w:pPr>
              <w:pStyle w:val="P68B1DB1-Normal8"/>
              <w:spacing w:after="0"/>
              <w:rPr>
                <w:rFonts w:eastAsia="Times New Roman" w:cs="Times New Roman"/>
                <w:noProof/>
              </w:rPr>
            </w:pPr>
            <w:r>
              <w:rPr>
                <w:noProof/>
              </w:rPr>
              <w:t>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138C922" w14:textId="77777777" w:rsidR="00F208CE" w:rsidRDefault="00513E84">
            <w:pPr>
              <w:pStyle w:val="P68B1DB1-Normal8"/>
              <w:spacing w:after="0"/>
              <w:rPr>
                <w:rFonts w:eastAsia="Times New Roman" w:cs="Times New Roman"/>
                <w:noProof/>
              </w:rPr>
            </w:pPr>
            <w:r>
              <w:rPr>
                <w:noProof/>
              </w:rPr>
              <w:t xml:space="preserve">Entrada en funcionamiento de 3 plataformas en línea (permiso de urbanismo, información </w:t>
            </w:r>
            <w:r>
              <w:rPr>
                <w:noProof/>
              </w:rPr>
              <w:t>urbanística y permiso medioambiental)</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A88FDDC" w14:textId="58C83DE9" w:rsidR="00F208CE" w:rsidRDefault="00F208CE">
            <w:pPr>
              <w:spacing w:after="0"/>
              <w:rPr>
                <w:rFonts w:ascii="Times New Roman" w:eastAsia="Times New Roman" w:hAnsi="Times New Roman" w:cs="Times New Roman"/>
                <w:noProof/>
                <w:color w:val="006100"/>
              </w:rPr>
            </w:pP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47FB8F7" w14:textId="77777777" w:rsidR="00F208CE" w:rsidRDefault="00513E84">
            <w:pPr>
              <w:pStyle w:val="P68B1DB1-Normal8"/>
              <w:spacing w:after="0"/>
              <w:jc w:val="center"/>
              <w:rPr>
                <w:rFonts w:eastAsia="Times New Roman" w:cs="Times New Roman"/>
                <w:noProof/>
              </w:rPr>
            </w:pPr>
            <w:r>
              <w:rPr>
                <w:noProof/>
              </w:rPr>
              <w:t>Plataformas digitales</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2E79F9E" w14:textId="77777777" w:rsidR="00F208CE" w:rsidRDefault="00513E84">
            <w:pPr>
              <w:pStyle w:val="P68B1DB1-Normal8"/>
              <w:spacing w:after="0"/>
              <w:jc w:val="center"/>
              <w:rPr>
                <w:rFonts w:eastAsia="Times New Roman" w:cs="Times New Roman"/>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2AE3399B" w14:textId="77777777" w:rsidR="00F208CE" w:rsidRDefault="00513E84">
            <w:pPr>
              <w:pStyle w:val="P68B1DB1-Normal8"/>
              <w:spacing w:after="0"/>
              <w:jc w:val="center"/>
              <w:rPr>
                <w:rFonts w:eastAsia="Times New Roman" w:cs="Times New Roman"/>
                <w:noProof/>
              </w:rPr>
            </w:pPr>
            <w:r>
              <w:rPr>
                <w:noProof/>
              </w:rPr>
              <w:t>3</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A25B48A"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438C0C0B" w14:textId="77777777" w:rsidR="00F208CE" w:rsidRDefault="00513E84">
            <w:pPr>
              <w:pStyle w:val="P68B1DB1-Normal8"/>
              <w:spacing w:after="0"/>
              <w:jc w:val="center"/>
              <w:rPr>
                <w:rFonts w:eastAsia="Times New Roman" w:cs="Times New Roman"/>
                <w:noProof/>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EB6C9C6" w14:textId="519F18CC" w:rsidR="00F208CE" w:rsidRDefault="00513E84">
            <w:pPr>
              <w:pStyle w:val="P68B1DB1-Normal8"/>
              <w:spacing w:after="120"/>
              <w:rPr>
                <w:rFonts w:eastAsia="Times New Roman" w:cs="Times New Roman"/>
                <w:noProof/>
              </w:rPr>
            </w:pPr>
            <w:r>
              <w:rPr>
                <w:noProof/>
              </w:rPr>
              <w:t xml:space="preserve">En la Región de Bruselas están operativas tres plataformas digitales, respectivamente, para permisos de planificación urbana, información sobre planificación urbana y </w:t>
            </w:r>
            <w:r>
              <w:rPr>
                <w:noProof/>
              </w:rPr>
              <w:t>permisos medioambientales.</w:t>
            </w:r>
          </w:p>
          <w:p w14:paraId="26147653" w14:textId="77777777" w:rsidR="00F208CE" w:rsidRDefault="00513E84">
            <w:pPr>
              <w:pStyle w:val="P68B1DB1-Normal8"/>
              <w:spacing w:after="120"/>
              <w:rPr>
                <w:rFonts w:eastAsia="Times New Roman" w:cs="Times New Roman"/>
                <w:noProof/>
              </w:rPr>
            </w:pPr>
            <w:r>
              <w:rPr>
                <w:noProof/>
              </w:rPr>
              <w:t>La plataforma para la digitalización de los permisos de obras permitirá a los ciudadanos y las empresas presentar digitalmente su solicitud para los distintos tipos de permisos de construcción, podrá hacer un seguimiento en línea</w:t>
            </w:r>
            <w:r>
              <w:rPr>
                <w:noProof/>
              </w:rPr>
              <w:t xml:space="preserve"> de la situación de sus permisos, intercambiar digitalmente los documentos requeridos y seguir el proceso de entrega de los mismos. </w:t>
            </w:r>
          </w:p>
          <w:p w14:paraId="3CAF6C3E" w14:textId="77777777" w:rsidR="00F208CE" w:rsidRDefault="00513E84">
            <w:pPr>
              <w:pStyle w:val="P68B1DB1-Normal8"/>
              <w:spacing w:after="120"/>
              <w:rPr>
                <w:rFonts w:eastAsia="Times New Roman" w:cs="Times New Roman"/>
                <w:noProof/>
              </w:rPr>
            </w:pPr>
            <w:r>
              <w:rPr>
                <w:noProof/>
              </w:rPr>
              <w:t>La plataforma para la digitalización de la información sobre planificación urbana ofrecerá servicios para gestionar las sol</w:t>
            </w:r>
            <w:r>
              <w:rPr>
                <w:noProof/>
              </w:rPr>
              <w:t xml:space="preserve">icitudes y el seguimiento de la información de planificación urbana, integrando a terceros (como agencias inmobiliarias, notarios). Ofrecerá servicios para digitalizar los archivos de planificación urbana sobre la base de normas. </w:t>
            </w:r>
          </w:p>
          <w:p w14:paraId="77DEA27D" w14:textId="77777777" w:rsidR="00F208CE" w:rsidRDefault="00513E84">
            <w:pPr>
              <w:pStyle w:val="P68B1DB1-Normal8"/>
              <w:spacing w:after="0"/>
              <w:rPr>
                <w:rFonts w:eastAsia="Times New Roman" w:cs="Times New Roman"/>
                <w:noProof/>
              </w:rPr>
            </w:pPr>
            <w:r>
              <w:rPr>
                <w:noProof/>
              </w:rPr>
              <w:t>La plataforma para la dig</w:t>
            </w:r>
            <w:r>
              <w:rPr>
                <w:noProof/>
              </w:rPr>
              <w:t>italización de los permisos medioambientales permitirá a los ciudadanos y las empresas presentar solicitudes para los diferentes tipos de permisos medioambientales, en particular: permisos normales, clases, extensiones, permisos específicos, permisos mixto</w:t>
            </w:r>
            <w:r>
              <w:rPr>
                <w:noProof/>
              </w:rPr>
              <w:t>s. La plataforma también integrará todas las fases del procedimiento desde la solicitud de complementos, la modificación de la solicitud hasta la entrega del permiso.</w:t>
            </w:r>
          </w:p>
        </w:tc>
      </w:tr>
      <w:tr w:rsidR="00F208CE" w14:paraId="5185E5E7"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D1D4FC" w14:textId="29566EBF" w:rsidR="00F208CE" w:rsidRDefault="00513E84">
            <w:pPr>
              <w:pStyle w:val="P68B1DB1-Normal8"/>
              <w:spacing w:after="0"/>
              <w:jc w:val="center"/>
              <w:rPr>
                <w:rFonts w:eastAsia="Times New Roman" w:cs="Times New Roman"/>
                <w:noProof/>
              </w:rPr>
            </w:pPr>
            <w:r>
              <w:rPr>
                <w:noProof/>
              </w:rPr>
              <w:t>77</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57E4AE0C" w14:textId="77777777" w:rsidR="00F208CE" w:rsidRDefault="00513E84">
            <w:pPr>
              <w:pStyle w:val="P68B1DB1-Normal8"/>
              <w:spacing w:after="0"/>
              <w:rPr>
                <w:rFonts w:eastAsia="Times New Roman" w:cs="Times New Roman"/>
                <w:noProof/>
              </w:rPr>
            </w:pPr>
            <w:r>
              <w:rPr>
                <w:noProof/>
              </w:rPr>
              <w:t>Simplificación de los procedimientos administrativos (R-2.01)</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AF5EEC7" w14:textId="0CE80B99"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7D64220" w14:textId="77777777" w:rsidR="00F208CE" w:rsidRDefault="00513E84">
            <w:pPr>
              <w:pStyle w:val="P68B1DB1-Normal8"/>
              <w:spacing w:after="0"/>
              <w:rPr>
                <w:rFonts w:eastAsia="Times New Roman" w:cs="Times New Roman"/>
                <w:noProof/>
              </w:rPr>
            </w:pPr>
            <w:r>
              <w:rPr>
                <w:noProof/>
              </w:rPr>
              <w:t xml:space="preserve">Entrada en vigor de </w:t>
            </w:r>
            <w:r>
              <w:rPr>
                <w:noProof/>
              </w:rPr>
              <w:t>medidas para simplificar la creación en línea de empresas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EE310A2" w14:textId="1D5F26EB" w:rsidR="00F208CE" w:rsidRDefault="00513E84">
            <w:pPr>
              <w:pStyle w:val="P68B1DB1-Normal8"/>
              <w:spacing w:after="0"/>
              <w:rPr>
                <w:rFonts w:eastAsia="Times New Roman" w:cs="Times New Roman"/>
                <w:noProof/>
              </w:rPr>
            </w:pPr>
            <w:r>
              <w:rPr>
                <w:noProof/>
              </w:rPr>
              <w:t xml:space="preserve">Publicación en el Moniteur belge del último acto legislativo relativo al acuerdo de cooperación, incluidas las medidas para permitir la creación, modificación y disolución de actividades </w:t>
            </w:r>
            <w:r>
              <w:rPr>
                <w:noProof/>
              </w:rPr>
              <w:t>empresariales en formato electrónico completo. Disposiciones que indican la entrada en vigor de las leyes y los reales decretos que permiten gradualmente la creación, modificación y disolución en línea de personas jurídicas para todas las formas jurídicas</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801CC6E"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80C4691"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19FC01C5"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3DC94EA"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7049D79B" w14:textId="77777777" w:rsidR="00F208CE" w:rsidRDefault="00513E84">
            <w:pPr>
              <w:pStyle w:val="P68B1DB1-Normal8"/>
              <w:spacing w:after="0"/>
              <w:jc w:val="center"/>
              <w:rPr>
                <w:rFonts w:eastAsia="Times New Roman" w:cs="Times New Roman"/>
                <w:noProof/>
              </w:rPr>
            </w:pPr>
            <w:r>
              <w:rPr>
                <w:noProof/>
              </w:rPr>
              <w:t>2023</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1AA3B240" w14:textId="2C4CBA41" w:rsidR="00F208CE" w:rsidRDefault="00513E84">
            <w:pPr>
              <w:pStyle w:val="P68B1DB1-Normal8"/>
              <w:spacing w:after="0"/>
              <w:rPr>
                <w:rFonts w:eastAsia="Times New Roman" w:cs="Times New Roman"/>
                <w:noProof/>
              </w:rPr>
            </w:pPr>
            <w:r>
              <w:rPr>
                <w:noProof/>
              </w:rPr>
              <w:t>Entrada en vigor del acuerdo de cooperación entre el Gobierno federal y las entidades federadas, incluidas medidas para permitir la creación, modificación y disolución de actividades empresariales en formato electrónico completo.</w:t>
            </w:r>
            <w:r>
              <w:rPr>
                <w:noProof/>
              </w:rPr>
              <w:t xml:space="preserve"> El nuevo sistema digital introducido por el acuerdo de cooperación, que abarca tres formularios electrónicos para la creación, modificación y disolución de actividades empresariales, será un canal administrativo alternativo que proporcionará una alternati</w:t>
            </w:r>
            <w:r>
              <w:rPr>
                <w:noProof/>
              </w:rPr>
              <w:t xml:space="preserve">va simplificada a los formularios existentes. </w:t>
            </w:r>
          </w:p>
          <w:p w14:paraId="6C4FEEB7" w14:textId="2F51026D" w:rsidR="00F208CE" w:rsidRDefault="00513E84">
            <w:pPr>
              <w:pStyle w:val="P68B1DB1-Normal8"/>
              <w:spacing w:after="0"/>
              <w:rPr>
                <w:rFonts w:eastAsia="Times New Roman" w:cs="Times New Roman"/>
                <w:noProof/>
              </w:rPr>
            </w:pPr>
            <w:r>
              <w:rPr>
                <w:noProof/>
              </w:rPr>
              <w:t>Entrada en vigor de las disposiciones legislativas que permiten gradualmente la creación, modificación y disolución en línea de personas jurídicas para todas las formas jurídicas a través de notarios o a travé</w:t>
            </w:r>
            <w:r>
              <w:rPr>
                <w:noProof/>
              </w:rPr>
              <w:t xml:space="preserve">s de Just-Act. </w:t>
            </w:r>
          </w:p>
        </w:tc>
      </w:tr>
      <w:tr w:rsidR="00F208CE" w14:paraId="778F6901"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D1BFD6" w14:textId="77777777" w:rsidR="00F208CE" w:rsidRDefault="00513E84">
            <w:pPr>
              <w:pStyle w:val="P68B1DB1-Normal8"/>
              <w:spacing w:after="0"/>
              <w:jc w:val="center"/>
              <w:rPr>
                <w:rFonts w:eastAsia="Times New Roman" w:cs="Times New Roman"/>
                <w:noProof/>
              </w:rPr>
            </w:pPr>
            <w:r>
              <w:rPr>
                <w:noProof/>
              </w:rPr>
              <w:t>78</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41B94451" w14:textId="77777777" w:rsidR="00F208CE" w:rsidRDefault="00513E84">
            <w:pPr>
              <w:pStyle w:val="P68B1DB1-Normal8"/>
              <w:spacing w:after="0"/>
              <w:rPr>
                <w:rFonts w:eastAsia="Times New Roman" w:cs="Times New Roman"/>
                <w:noProof/>
              </w:rPr>
            </w:pPr>
            <w:r>
              <w:rPr>
                <w:noProof/>
              </w:rPr>
              <w:t>Administración electrónica: procedimiento de licitación (R-2.02)</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B7EAD84" w14:textId="59FF2C78"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5D395D7" w14:textId="77777777" w:rsidR="00F208CE" w:rsidRDefault="00513E84">
            <w:pPr>
              <w:pStyle w:val="P68B1DB1-Normal8"/>
              <w:spacing w:after="0"/>
              <w:rPr>
                <w:rFonts w:eastAsia="Times New Roman" w:cs="Times New Roman"/>
                <w:noProof/>
              </w:rPr>
            </w:pPr>
            <w:r>
              <w:rPr>
                <w:noProof/>
              </w:rPr>
              <w:t>Entrada en vigor de un nuevo contexto normativo</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12840BB" w14:textId="77777777" w:rsidR="00F208CE" w:rsidRDefault="00513E84">
            <w:pPr>
              <w:pStyle w:val="P68B1DB1-Normal8"/>
              <w:spacing w:after="0"/>
              <w:rPr>
                <w:rFonts w:eastAsia="Times New Roman" w:cs="Times New Roman"/>
                <w:noProof/>
              </w:rPr>
            </w:pPr>
            <w:r>
              <w:rPr>
                <w:noProof/>
              </w:rPr>
              <w:t>Disposición legal que indica la entrada en vigor del nuevo Real Decreto</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604827CA"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B2B52C3"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5812EFA2"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9801029"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70F8EDD3" w14:textId="77777777" w:rsidR="00F208CE" w:rsidRDefault="00513E84">
            <w:pPr>
              <w:pStyle w:val="P68B1DB1-Normal8"/>
              <w:spacing w:after="0"/>
              <w:jc w:val="center"/>
              <w:rPr>
                <w:rFonts w:eastAsia="Times New Roman" w:cs="Times New Roman"/>
                <w:noProof/>
              </w:rPr>
            </w:pPr>
            <w:r>
              <w:rPr>
                <w:noProof/>
              </w:rPr>
              <w:t>2022</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18C8BE4D" w14:textId="77777777" w:rsidR="00F208CE" w:rsidRDefault="00513E84">
            <w:pPr>
              <w:pStyle w:val="P68B1DB1-Normal8"/>
              <w:spacing w:after="0"/>
              <w:rPr>
                <w:rFonts w:eastAsia="Times New Roman" w:cs="Times New Roman"/>
                <w:noProof/>
              </w:rPr>
            </w:pPr>
            <w:r>
              <w:rPr>
                <w:noProof/>
              </w:rPr>
              <w:t xml:space="preserve">Entrada en vigor de un nuevo Real Decreto que adapta el marco normativo federal para llevar a cabo los procedimientos de licitación con el fin de facilitar el uso de la nueva y mejorada plataforma de administración electrónica.  </w:t>
            </w:r>
          </w:p>
          <w:p w14:paraId="6839532E" w14:textId="77777777" w:rsidR="00F208CE" w:rsidRDefault="00513E84">
            <w:pPr>
              <w:pStyle w:val="P68B1DB1-Normal8"/>
              <w:spacing w:after="0"/>
              <w:rPr>
                <w:rFonts w:eastAsia="Times New Roman" w:cs="Times New Roman"/>
                <w:noProof/>
              </w:rPr>
            </w:pPr>
            <w:r>
              <w:rPr>
                <w:noProof/>
              </w:rPr>
              <w:t>El nuevo Real Decreto tien</w:t>
            </w:r>
            <w:r>
              <w:rPr>
                <w:noProof/>
              </w:rPr>
              <w:t>e por objeto:</w:t>
            </w:r>
          </w:p>
          <w:p w14:paraId="7A39094A" w14:textId="16E55609" w:rsidR="00F208CE" w:rsidRDefault="00513E84">
            <w:pPr>
              <w:pStyle w:val="P68B1DB1-ListParagraph10"/>
              <w:numPr>
                <w:ilvl w:val="0"/>
                <w:numId w:val="24"/>
              </w:numPr>
              <w:spacing w:after="0"/>
              <w:rPr>
                <w:rFonts w:eastAsia="Times New Roman" w:cs="Times New Roman"/>
                <w:noProof/>
              </w:rPr>
            </w:pPr>
            <w:r>
              <w:rPr>
                <w:noProof/>
              </w:rPr>
              <w:t>Alineación de los participantes en la política federal de contratación pública para mejorar la tasa de penetración de la contratación pública conjunta federal;</w:t>
            </w:r>
          </w:p>
          <w:p w14:paraId="79264634" w14:textId="77224C8A" w:rsidR="00F208CE" w:rsidRDefault="00513E84">
            <w:pPr>
              <w:pStyle w:val="P68B1DB1-ListParagraph10"/>
              <w:numPr>
                <w:ilvl w:val="0"/>
                <w:numId w:val="24"/>
              </w:numPr>
              <w:spacing w:after="0"/>
              <w:rPr>
                <w:rFonts w:eastAsia="Times New Roman" w:cs="Times New Roman"/>
                <w:noProof/>
              </w:rPr>
            </w:pPr>
            <w:r>
              <w:rPr>
                <w:noProof/>
              </w:rPr>
              <w:t>Adopta una hoja de ruta común: respuesta a objetivos más específicos en términos d</w:t>
            </w:r>
            <w:r>
              <w:rPr>
                <w:noProof/>
              </w:rPr>
              <w:t>e desarrollo sostenible y acceso a las pymes;</w:t>
            </w:r>
          </w:p>
          <w:p w14:paraId="4C602F80" w14:textId="77777777" w:rsidR="00F208CE" w:rsidRDefault="00513E84">
            <w:pPr>
              <w:pStyle w:val="P68B1DB1-ListParagraph10"/>
              <w:numPr>
                <w:ilvl w:val="0"/>
                <w:numId w:val="24"/>
              </w:numPr>
              <w:spacing w:after="0"/>
              <w:rPr>
                <w:rFonts w:eastAsia="Times New Roman" w:cs="Times New Roman"/>
                <w:noProof/>
              </w:rPr>
            </w:pPr>
            <w:r>
              <w:rPr>
                <w:noProof/>
              </w:rPr>
              <w:t>Desarrollo de estrategias de compra por segmentos de compra con planes de categoría.</w:t>
            </w:r>
          </w:p>
          <w:p w14:paraId="210B3005" w14:textId="77777777" w:rsidR="00F208CE" w:rsidRDefault="00513E84">
            <w:pPr>
              <w:pStyle w:val="P68B1DB1-ListParagraph10"/>
              <w:numPr>
                <w:ilvl w:val="0"/>
                <w:numId w:val="24"/>
              </w:numPr>
              <w:spacing w:after="0"/>
              <w:rPr>
                <w:rFonts w:eastAsia="Times New Roman" w:cs="Times New Roman"/>
                <w:noProof/>
              </w:rPr>
            </w:pPr>
            <w:r>
              <w:rPr>
                <w:noProof/>
              </w:rPr>
              <w:t>Refuerzo del papel del centro federal de compras del SPF Bosa.</w:t>
            </w:r>
          </w:p>
          <w:p w14:paraId="453E0695" w14:textId="77777777" w:rsidR="00F208CE" w:rsidRDefault="00513E84">
            <w:pPr>
              <w:pStyle w:val="P68B1DB1-ListParagraph10"/>
              <w:numPr>
                <w:ilvl w:val="0"/>
                <w:numId w:val="24"/>
              </w:numPr>
              <w:spacing w:after="0"/>
              <w:rPr>
                <w:rFonts w:eastAsia="Times New Roman" w:cs="Times New Roman"/>
                <w:noProof/>
              </w:rPr>
            </w:pPr>
            <w:r>
              <w:rPr>
                <w:noProof/>
              </w:rPr>
              <w:t xml:space="preserve">Completar la simplificación administrativa y la normalización </w:t>
            </w:r>
            <w:r>
              <w:rPr>
                <w:noProof/>
              </w:rPr>
              <w:t>de los procesos, en particular con vistas a satisfacer las necesidades de los participantes federales.</w:t>
            </w:r>
          </w:p>
        </w:tc>
      </w:tr>
      <w:tr w:rsidR="00F208CE" w14:paraId="50DBC6CB" w14:textId="77777777">
        <w:trPr>
          <w:trHeight w:val="309"/>
        </w:trPr>
        <w:tc>
          <w:tcPr>
            <w:tcW w:w="6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BC3443" w14:textId="77777777" w:rsidR="00F208CE" w:rsidRDefault="00513E84">
            <w:pPr>
              <w:pStyle w:val="P68B1DB1-Normal8"/>
              <w:spacing w:after="0"/>
              <w:jc w:val="center"/>
              <w:rPr>
                <w:rFonts w:eastAsia="Times New Roman" w:cs="Times New Roman"/>
                <w:noProof/>
              </w:rPr>
            </w:pPr>
            <w:r>
              <w:rPr>
                <w:noProof/>
              </w:rPr>
              <w:t>79</w:t>
            </w:r>
          </w:p>
        </w:tc>
        <w:tc>
          <w:tcPr>
            <w:tcW w:w="1631" w:type="dxa"/>
            <w:tcBorders>
              <w:top w:val="single" w:sz="4" w:space="0" w:color="auto"/>
              <w:left w:val="nil"/>
              <w:bottom w:val="single" w:sz="4" w:space="0" w:color="auto"/>
              <w:right w:val="single" w:sz="4" w:space="0" w:color="auto"/>
            </w:tcBorders>
            <w:shd w:val="clear" w:color="auto" w:fill="C6EFCE"/>
            <w:noWrap/>
            <w:vAlign w:val="center"/>
          </w:tcPr>
          <w:p w14:paraId="762DD391" w14:textId="77777777" w:rsidR="00F208CE" w:rsidRDefault="00513E84">
            <w:pPr>
              <w:pStyle w:val="P68B1DB1-Normal8"/>
              <w:spacing w:after="0"/>
              <w:rPr>
                <w:rFonts w:eastAsia="Times New Roman" w:cs="Times New Roman"/>
                <w:noProof/>
              </w:rPr>
            </w:pPr>
            <w:r>
              <w:rPr>
                <w:noProof/>
              </w:rPr>
              <w:t>Administración electrónica: procedimiento de licitación (R-2.02)</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71A4AB9" w14:textId="34CD0A81"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6B18E86" w14:textId="77777777" w:rsidR="00F208CE" w:rsidRDefault="00513E84">
            <w:pPr>
              <w:pStyle w:val="P68B1DB1-Normal8"/>
              <w:spacing w:after="0"/>
              <w:rPr>
                <w:rFonts w:eastAsia="Times New Roman" w:cs="Times New Roman"/>
                <w:noProof/>
              </w:rPr>
            </w:pPr>
            <w:r>
              <w:rPr>
                <w:noProof/>
              </w:rPr>
              <w:t>Aplicación de la nueva herramienta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4B57310" w14:textId="77777777" w:rsidR="00F208CE" w:rsidRDefault="00513E84">
            <w:pPr>
              <w:pStyle w:val="P68B1DB1-Normal8"/>
              <w:spacing w:after="0"/>
              <w:rPr>
                <w:rFonts w:eastAsia="Times New Roman" w:cs="Times New Roman"/>
                <w:noProof/>
              </w:rPr>
            </w:pPr>
            <w:r>
              <w:rPr>
                <w:noProof/>
              </w:rPr>
              <w:t xml:space="preserve">Está operativa una nueva plataforma de </w:t>
            </w:r>
            <w:r>
              <w:rPr>
                <w:noProof/>
              </w:rPr>
              <w:t>contratación pública electrónica</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00BF21F"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55469C7" w14:textId="77777777" w:rsidR="00F208CE" w:rsidRDefault="00F208CE">
            <w:pPr>
              <w:spacing w:after="0"/>
              <w:jc w:val="center"/>
              <w:rPr>
                <w:rFonts w:ascii="Times New Roman" w:eastAsia="Times New Roman" w:hAnsi="Times New Roman" w:cs="Times New Roman"/>
                <w:noProof/>
                <w:color w:val="006100"/>
              </w:rPr>
            </w:pP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326ABAF4"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392FD4E"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790C6AEE" w14:textId="77777777" w:rsidR="00F208CE" w:rsidRDefault="00513E84">
            <w:pPr>
              <w:pStyle w:val="P68B1DB1-Normal8"/>
              <w:spacing w:after="0"/>
              <w:jc w:val="center"/>
              <w:rPr>
                <w:rFonts w:eastAsia="Times New Roman" w:cs="Times New Roman"/>
                <w:noProof/>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C6F253E" w14:textId="77777777" w:rsidR="00F208CE" w:rsidRDefault="00513E84">
            <w:pPr>
              <w:pStyle w:val="P68B1DB1-Normal8"/>
              <w:spacing w:after="120"/>
              <w:rPr>
                <w:rFonts w:eastAsia="Times New Roman" w:cs="Times New Roman"/>
                <w:noProof/>
              </w:rPr>
            </w:pPr>
            <w:r>
              <w:rPr>
                <w:noProof/>
              </w:rPr>
              <w:t>Está operativa una nueva plataforma de contratación pública electrónica. La nueva plataforma proporcionará datos en tiempo real sobre contratación pública en todo el país.</w:t>
            </w:r>
          </w:p>
          <w:p w14:paraId="0CB32D41" w14:textId="79DF4FF4" w:rsidR="00F208CE" w:rsidRDefault="00513E84">
            <w:pPr>
              <w:pStyle w:val="P68B1DB1-Normal8"/>
              <w:spacing w:after="0"/>
              <w:rPr>
                <w:rFonts w:eastAsia="Times New Roman" w:cs="Times New Roman"/>
                <w:noProof/>
              </w:rPr>
            </w:pPr>
            <w:r>
              <w:rPr>
                <w:noProof/>
              </w:rPr>
              <w:t>La nueva plataforma mejo</w:t>
            </w:r>
            <w:r>
              <w:rPr>
                <w:noProof/>
              </w:rPr>
              <w:t>rada constará, como mínimo, de los siguientes módulos: Flujos internos de aprobación con firmas digitales que eliminan las aprobaciones en papel, modelo de motor que aumenta la coherencia y reduce los errores, presentación mediante cuestionarios estructura</w:t>
            </w:r>
            <w:r>
              <w:rPr>
                <w:noProof/>
              </w:rPr>
              <w:t>dos que reducen la complejidad y los errores durante la presentación y aceleran el proceso de evaluación, una lista de comprobación similar a la de los compradores que les orienta hacia una contratación de servicios y bienes mejor y más coherente. La nueva</w:t>
            </w:r>
            <w:r>
              <w:rPr>
                <w:noProof/>
              </w:rPr>
              <w:t xml:space="preserve"> plataforma proporcionará datos en tiempo real sobre contratación pública en todo el país y preverá posibilidades de interconexión con las herramientas de facturación del presupuesto federal. Durante el proyecto, las decisiones sobre posibles funcionalidad</w:t>
            </w:r>
            <w:r>
              <w:rPr>
                <w:noProof/>
              </w:rPr>
              <w:t>es adicionales se tomarán teniendo en cuenta el rendimiento previsto de la inversión para las organizaciones federales clientes de la plataforma.</w:t>
            </w:r>
          </w:p>
        </w:tc>
      </w:tr>
    </w:tbl>
    <w:p w14:paraId="5CA800BE" w14:textId="77777777" w:rsidR="00F208CE" w:rsidRDefault="00F208CE">
      <w:pPr>
        <w:rPr>
          <w:rFonts w:ascii="Times New Roman" w:hAnsi="Times New Roman" w:cs="Times New Roman"/>
          <w:noProof/>
        </w:rPr>
        <w:sectPr w:rsidR="00F208CE" w:rsidSect="007F56C3">
          <w:headerReference w:type="default" r:id="rId56"/>
          <w:footerReference w:type="default" r:id="rId57"/>
          <w:pgSz w:w="16839" w:h="11907" w:orient="landscape"/>
          <w:pgMar w:top="1134" w:right="1134" w:bottom="1134" w:left="1134" w:header="567" w:footer="567" w:gutter="0"/>
          <w:cols w:space="720"/>
          <w:docGrid w:linePitch="360"/>
        </w:sectPr>
      </w:pPr>
    </w:p>
    <w:p w14:paraId="34315D21" w14:textId="26978BAB" w:rsidR="00F208CE" w:rsidRDefault="00513E84">
      <w:pPr>
        <w:spacing w:before="120" w:after="120"/>
        <w:jc w:val="both"/>
        <w:rPr>
          <w:rFonts w:ascii="Times New Roman" w:eastAsia="Times New Roman" w:hAnsi="Times New Roman" w:cs="Times New Roman"/>
          <w:b/>
          <w:smallCaps/>
          <w:noProof/>
          <w:u w:val="single"/>
        </w:rPr>
      </w:pPr>
      <w:r>
        <w:rPr>
          <w:rFonts w:ascii="Times New Roman" w:hAnsi="Times New Roman"/>
          <w:b/>
          <w:noProof/>
          <w:u w:val="single"/>
        </w:rPr>
        <w:t xml:space="preserve">E.3. </w:t>
      </w:r>
      <w:r>
        <w:rPr>
          <w:noProof/>
        </w:rPr>
        <w:t xml:space="preserve"> </w:t>
      </w:r>
      <w:r>
        <w:rPr>
          <w:rFonts w:ascii="Times New Roman" w:hAnsi="Times New Roman"/>
          <w:b/>
          <w:noProof/>
          <w:u w:val="single"/>
        </w:rPr>
        <w:t>Descripción de las reformas e inversiones que</w:t>
      </w:r>
      <w:r>
        <w:rPr>
          <w:rFonts w:ascii="Times New Roman" w:hAnsi="Times New Roman"/>
          <w:b/>
          <w:noProof/>
          <w:u w:val="single"/>
        </w:rPr>
        <w:t xml:space="preserve"> pueden acogerse a las ayudas en forma de préstamo</w:t>
      </w:r>
    </w:p>
    <w:p w14:paraId="64CE883D" w14:textId="070B2D5E" w:rsidR="00F208CE" w:rsidRDefault="00513E84">
      <w:pPr>
        <w:pStyle w:val="P68B1DB1-Text19"/>
        <w:ind w:left="0"/>
        <w:rPr>
          <w:noProof/>
        </w:rPr>
      </w:pPr>
      <w:r>
        <w:rPr>
          <w:noProof/>
        </w:rPr>
        <w:t>Inversión I-2.05 bis: «Fondo para pequeños proyectos de digitalización: Digitalización de los procesos de gestión del asilo y la inmigración» del Estado Federal</w:t>
      </w:r>
    </w:p>
    <w:p w14:paraId="2E0D319B" w14:textId="77777777" w:rsidR="00F208CE" w:rsidRDefault="00513E84">
      <w:pPr>
        <w:pStyle w:val="Text1"/>
        <w:ind w:left="0"/>
        <w:rPr>
          <w:noProof/>
        </w:rPr>
        <w:sectPr w:rsidR="00F208CE" w:rsidSect="007F56C3">
          <w:headerReference w:type="even" r:id="rId58"/>
          <w:headerReference w:type="default" r:id="rId59"/>
          <w:footerReference w:type="even" r:id="rId60"/>
          <w:footerReference w:type="default" r:id="rId61"/>
          <w:headerReference w:type="first" r:id="rId62"/>
          <w:footerReference w:type="first" r:id="rId63"/>
          <w:pgSz w:w="11907" w:h="16839"/>
          <w:pgMar w:top="1134" w:right="1134" w:bottom="1134" w:left="1134" w:header="567" w:footer="567" w:gutter="0"/>
          <w:cols w:space="720"/>
          <w:docGrid w:linePitch="360"/>
        </w:sectPr>
      </w:pPr>
      <w:r>
        <w:rPr>
          <w:noProof/>
        </w:rPr>
        <w:t xml:space="preserve">Esta submedida tiene por objeto modernizar la infraestructura digital para permitir una integración mejor y controlada con oficinas internas y públicas, modernizando y desarrollando servicios de migración centrados en la experiencia </w:t>
      </w:r>
      <w:r>
        <w:rPr>
          <w:noProof/>
        </w:rPr>
        <w:t>de los usuarios; normalizar y garantizar el intercambio mutuo de datos y documentos. El proyecto incluye la creación de una plataforma de integración digital, una base de datos de cruces para extranjeros y el desarrollo de un almacén de datos, que permitir</w:t>
      </w:r>
      <w:r>
        <w:rPr>
          <w:noProof/>
        </w:rPr>
        <w:t>á generar, almacenar, estructurar y combinar datos y estadísticas relacionados con la migración. La implementación de la medida estará terminada a más tardar el 30 de junio de 2026.</w:t>
      </w:r>
    </w:p>
    <w:p w14:paraId="15CFC5CA" w14:textId="799B44CC" w:rsidR="00F208CE" w:rsidRDefault="00513E84">
      <w:pPr>
        <w:spacing w:before="120" w:after="120"/>
        <w:jc w:val="both"/>
        <w:rPr>
          <w:rFonts w:ascii="Times New Roman" w:eastAsia="Times New Roman" w:hAnsi="Times New Roman" w:cs="Times New Roman"/>
          <w:b/>
          <w:smallCaps/>
          <w:noProof/>
          <w:u w:val="single"/>
        </w:rPr>
      </w:pPr>
      <w:r>
        <w:rPr>
          <w:rFonts w:ascii="Times New Roman" w:hAnsi="Times New Roman"/>
          <w:b/>
          <w:noProof/>
          <w:sz w:val="24"/>
          <w:u w:val="single"/>
        </w:rPr>
        <w:t>E</w:t>
      </w:r>
      <w:r>
        <w:rPr>
          <w:rFonts w:ascii="Times New Roman" w:hAnsi="Times New Roman"/>
          <w:b/>
          <w:noProof/>
          <w:u w:val="single"/>
        </w:rPr>
        <w:t>.4.</w:t>
      </w:r>
      <w:r>
        <w:rPr>
          <w:noProof/>
        </w:rPr>
        <w:tab/>
      </w:r>
      <w:r>
        <w:rPr>
          <w:rFonts w:ascii="Times New Roman" w:hAnsi="Times New Roman"/>
          <w:b/>
          <w:noProof/>
          <w:u w:val="single"/>
        </w:rPr>
        <w:t>Hitos, objetivos, indicadores y calendario de seguimiento y ejecución</w:t>
      </w:r>
      <w:r>
        <w:rPr>
          <w:rFonts w:ascii="Times New Roman" w:hAnsi="Times New Roman"/>
          <w:b/>
          <w:noProof/>
          <w:u w:val="single"/>
        </w:rPr>
        <w:t xml:space="preserve"> relativos a las ayudas en forma de préstamo</w:t>
      </w:r>
    </w:p>
    <w:tbl>
      <w:tblPr>
        <w:tblW w:w="155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701"/>
        <w:gridCol w:w="1134"/>
        <w:gridCol w:w="1559"/>
        <w:gridCol w:w="1559"/>
        <w:gridCol w:w="992"/>
        <w:gridCol w:w="1029"/>
        <w:gridCol w:w="720"/>
        <w:gridCol w:w="960"/>
        <w:gridCol w:w="720"/>
        <w:gridCol w:w="4389"/>
      </w:tblGrid>
      <w:tr w:rsidR="00F208CE" w14:paraId="68B63E3D" w14:textId="77777777">
        <w:trPr>
          <w:trHeight w:val="927"/>
        </w:trPr>
        <w:tc>
          <w:tcPr>
            <w:tcW w:w="739" w:type="dxa"/>
            <w:vMerge w:val="restart"/>
            <w:shd w:val="clear" w:color="auto" w:fill="BDD7EE"/>
            <w:vAlign w:val="center"/>
            <w:hideMark/>
          </w:tcPr>
          <w:p w14:paraId="75984220" w14:textId="571097D9"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Código</w:t>
            </w:r>
            <w:r>
              <w:rPr>
                <w:noProof/>
              </w:rPr>
              <w:t xml:space="preserve">  </w:t>
            </w:r>
            <w:r>
              <w:rPr>
                <w:noProof/>
              </w:rPr>
              <w:br/>
            </w:r>
            <w:r>
              <w:rPr>
                <w:rFonts w:ascii="Times New Roman" w:hAnsi="Times New Roman"/>
                <w:b/>
                <w:noProof/>
                <w:sz w:val="20"/>
              </w:rPr>
              <w:t>N.B.:</w:t>
            </w:r>
          </w:p>
        </w:tc>
        <w:tc>
          <w:tcPr>
            <w:tcW w:w="1701" w:type="dxa"/>
            <w:vMerge w:val="restart"/>
            <w:shd w:val="clear" w:color="auto" w:fill="BDD7EE"/>
            <w:vAlign w:val="center"/>
            <w:hideMark/>
          </w:tcPr>
          <w:p w14:paraId="6D2DC66D"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34" w:type="dxa"/>
            <w:vMerge w:val="restart"/>
            <w:shd w:val="clear" w:color="auto" w:fill="BDD7EE"/>
            <w:vAlign w:val="center"/>
            <w:hideMark/>
          </w:tcPr>
          <w:p w14:paraId="102226BB" w14:textId="77777777" w:rsidR="00F208CE" w:rsidRDefault="00513E84">
            <w:pPr>
              <w:pStyle w:val="P68B1DB1-Normal7"/>
              <w:spacing w:after="0"/>
              <w:jc w:val="center"/>
              <w:rPr>
                <w:rFonts w:eastAsia="Times New Roman" w:cs="Times New Roman"/>
                <w:noProof/>
              </w:rPr>
            </w:pPr>
            <w:r>
              <w:rPr>
                <w:noProof/>
              </w:rPr>
              <w:t>Hito/Objetivo</w:t>
            </w:r>
          </w:p>
        </w:tc>
        <w:tc>
          <w:tcPr>
            <w:tcW w:w="1559" w:type="dxa"/>
            <w:vMerge w:val="restart"/>
            <w:shd w:val="clear" w:color="auto" w:fill="BDD7EE"/>
            <w:vAlign w:val="center"/>
            <w:hideMark/>
          </w:tcPr>
          <w:p w14:paraId="09349367" w14:textId="77777777" w:rsidR="00F208CE" w:rsidRDefault="00513E84">
            <w:pPr>
              <w:pStyle w:val="P68B1DB1-Normal7"/>
              <w:spacing w:after="0"/>
              <w:jc w:val="center"/>
              <w:rPr>
                <w:rFonts w:eastAsia="Times New Roman" w:cs="Times New Roman"/>
                <w:noProof/>
              </w:rPr>
            </w:pPr>
            <w:r>
              <w:rPr>
                <w:noProof/>
              </w:rPr>
              <w:t>Nombre</w:t>
            </w:r>
          </w:p>
        </w:tc>
        <w:tc>
          <w:tcPr>
            <w:tcW w:w="1559" w:type="dxa"/>
            <w:vMerge w:val="restart"/>
            <w:shd w:val="clear" w:color="auto" w:fill="BDD7EE"/>
            <w:vAlign w:val="center"/>
            <w:hideMark/>
          </w:tcPr>
          <w:p w14:paraId="41078420"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741" w:type="dxa"/>
            <w:gridSpan w:val="3"/>
            <w:shd w:val="clear" w:color="auto" w:fill="BDD7EE"/>
            <w:vAlign w:val="center"/>
            <w:hideMark/>
          </w:tcPr>
          <w:p w14:paraId="586491D2"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680" w:type="dxa"/>
            <w:gridSpan w:val="2"/>
            <w:shd w:val="clear" w:color="auto" w:fill="BDD7EE"/>
            <w:vAlign w:val="center"/>
            <w:hideMark/>
          </w:tcPr>
          <w:p w14:paraId="253B0918"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4389" w:type="dxa"/>
            <w:vMerge w:val="restart"/>
            <w:shd w:val="clear" w:color="auto" w:fill="BDD7EE"/>
            <w:vAlign w:val="center"/>
            <w:hideMark/>
          </w:tcPr>
          <w:p w14:paraId="64D8B575"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17583E88" w14:textId="77777777">
        <w:trPr>
          <w:trHeight w:val="1013"/>
        </w:trPr>
        <w:tc>
          <w:tcPr>
            <w:tcW w:w="739" w:type="dxa"/>
            <w:vMerge/>
            <w:vAlign w:val="center"/>
            <w:hideMark/>
          </w:tcPr>
          <w:p w14:paraId="327EAA37" w14:textId="77777777" w:rsidR="00F208CE" w:rsidRDefault="00F208CE">
            <w:pPr>
              <w:spacing w:after="0"/>
              <w:rPr>
                <w:rFonts w:ascii="Times New Roman" w:eastAsia="Times New Roman" w:hAnsi="Times New Roman" w:cs="Times New Roman"/>
                <w:b/>
                <w:noProof/>
              </w:rPr>
            </w:pPr>
          </w:p>
        </w:tc>
        <w:tc>
          <w:tcPr>
            <w:tcW w:w="1701" w:type="dxa"/>
            <w:vMerge/>
            <w:vAlign w:val="center"/>
            <w:hideMark/>
          </w:tcPr>
          <w:p w14:paraId="4054C3B7" w14:textId="77777777" w:rsidR="00F208CE" w:rsidRDefault="00F208CE">
            <w:pPr>
              <w:spacing w:after="0"/>
              <w:rPr>
                <w:rFonts w:ascii="Times New Roman" w:eastAsia="Times New Roman" w:hAnsi="Times New Roman" w:cs="Times New Roman"/>
                <w:b/>
                <w:noProof/>
              </w:rPr>
            </w:pPr>
          </w:p>
        </w:tc>
        <w:tc>
          <w:tcPr>
            <w:tcW w:w="1134" w:type="dxa"/>
            <w:vMerge/>
            <w:vAlign w:val="center"/>
            <w:hideMark/>
          </w:tcPr>
          <w:p w14:paraId="0EE5251E" w14:textId="77777777" w:rsidR="00F208CE" w:rsidRDefault="00F208CE">
            <w:pPr>
              <w:spacing w:after="0"/>
              <w:rPr>
                <w:rFonts w:ascii="Times New Roman" w:eastAsia="Times New Roman" w:hAnsi="Times New Roman" w:cs="Times New Roman"/>
                <w:b/>
                <w:noProof/>
              </w:rPr>
            </w:pPr>
          </w:p>
        </w:tc>
        <w:tc>
          <w:tcPr>
            <w:tcW w:w="1559" w:type="dxa"/>
            <w:vMerge/>
            <w:vAlign w:val="center"/>
            <w:hideMark/>
          </w:tcPr>
          <w:p w14:paraId="07CD9704" w14:textId="77777777" w:rsidR="00F208CE" w:rsidRDefault="00F208CE">
            <w:pPr>
              <w:spacing w:after="0"/>
              <w:rPr>
                <w:rFonts w:ascii="Times New Roman" w:eastAsia="Times New Roman" w:hAnsi="Times New Roman" w:cs="Times New Roman"/>
                <w:b/>
                <w:noProof/>
              </w:rPr>
            </w:pPr>
          </w:p>
        </w:tc>
        <w:tc>
          <w:tcPr>
            <w:tcW w:w="1559" w:type="dxa"/>
            <w:vMerge/>
            <w:vAlign w:val="center"/>
            <w:hideMark/>
          </w:tcPr>
          <w:p w14:paraId="752720E2" w14:textId="77777777" w:rsidR="00F208CE" w:rsidRDefault="00F208CE">
            <w:pPr>
              <w:spacing w:after="0"/>
              <w:rPr>
                <w:rFonts w:ascii="Times New Roman" w:eastAsia="Times New Roman" w:hAnsi="Times New Roman" w:cs="Times New Roman"/>
                <w:b/>
                <w:noProof/>
              </w:rPr>
            </w:pPr>
          </w:p>
        </w:tc>
        <w:tc>
          <w:tcPr>
            <w:tcW w:w="992" w:type="dxa"/>
            <w:shd w:val="clear" w:color="auto" w:fill="BDD7EE"/>
            <w:vAlign w:val="center"/>
            <w:hideMark/>
          </w:tcPr>
          <w:p w14:paraId="79257349" w14:textId="77777777" w:rsidR="00F208CE" w:rsidRDefault="00513E84">
            <w:pPr>
              <w:pStyle w:val="P68B1DB1-Normal7"/>
              <w:spacing w:after="0"/>
              <w:jc w:val="center"/>
              <w:rPr>
                <w:rFonts w:eastAsia="Times New Roman" w:cs="Times New Roman"/>
                <w:noProof/>
              </w:rPr>
            </w:pPr>
            <w:r>
              <w:rPr>
                <w:noProof/>
              </w:rPr>
              <w:t>Unidad de medida</w:t>
            </w:r>
          </w:p>
        </w:tc>
        <w:tc>
          <w:tcPr>
            <w:tcW w:w="1029" w:type="dxa"/>
            <w:shd w:val="clear" w:color="auto" w:fill="BDD7EE"/>
            <w:vAlign w:val="center"/>
            <w:hideMark/>
          </w:tcPr>
          <w:p w14:paraId="2CC4BB05" w14:textId="77777777" w:rsidR="00F208CE" w:rsidRDefault="00513E84">
            <w:pPr>
              <w:pStyle w:val="P68B1DB1-Normal7"/>
              <w:spacing w:after="0"/>
              <w:jc w:val="center"/>
              <w:rPr>
                <w:rFonts w:eastAsia="Times New Roman" w:cs="Times New Roman"/>
                <w:noProof/>
              </w:rPr>
            </w:pPr>
            <w:r>
              <w:rPr>
                <w:noProof/>
              </w:rPr>
              <w:t xml:space="preserve">Basal </w:t>
            </w:r>
          </w:p>
        </w:tc>
        <w:tc>
          <w:tcPr>
            <w:tcW w:w="720" w:type="dxa"/>
            <w:shd w:val="clear" w:color="auto" w:fill="BDD7EE"/>
            <w:vAlign w:val="center"/>
            <w:hideMark/>
          </w:tcPr>
          <w:p w14:paraId="12478044" w14:textId="0C684B8C" w:rsidR="00F208CE" w:rsidRDefault="00513E84">
            <w:pPr>
              <w:pStyle w:val="P68B1DB1-Normal7"/>
              <w:spacing w:after="0"/>
              <w:jc w:val="center"/>
              <w:rPr>
                <w:rFonts w:eastAsia="Times New Roman" w:cs="Times New Roman"/>
                <w:noProof/>
              </w:rPr>
            </w:pPr>
            <w:r>
              <w:rPr>
                <w:noProof/>
              </w:rPr>
              <w:t>Meta</w:t>
            </w:r>
          </w:p>
        </w:tc>
        <w:tc>
          <w:tcPr>
            <w:tcW w:w="960" w:type="dxa"/>
            <w:shd w:val="clear" w:color="auto" w:fill="BDD7EE"/>
            <w:vAlign w:val="center"/>
            <w:hideMark/>
          </w:tcPr>
          <w:p w14:paraId="5C107530" w14:textId="77777777" w:rsidR="00F208CE" w:rsidRDefault="00513E84">
            <w:pPr>
              <w:pStyle w:val="P68B1DB1-Normal7"/>
              <w:spacing w:after="0"/>
              <w:jc w:val="center"/>
              <w:rPr>
                <w:rFonts w:eastAsia="Times New Roman" w:cs="Times New Roman"/>
                <w:noProof/>
              </w:rPr>
            </w:pPr>
            <w:r>
              <w:rPr>
                <w:noProof/>
              </w:rPr>
              <w:t>Trimestre</w:t>
            </w:r>
          </w:p>
        </w:tc>
        <w:tc>
          <w:tcPr>
            <w:tcW w:w="720" w:type="dxa"/>
            <w:shd w:val="clear" w:color="auto" w:fill="BDD7EE"/>
            <w:vAlign w:val="center"/>
            <w:hideMark/>
          </w:tcPr>
          <w:p w14:paraId="7E6C8D06" w14:textId="77777777" w:rsidR="00F208CE" w:rsidRDefault="00513E84">
            <w:pPr>
              <w:pStyle w:val="P68B1DB1-Normal7"/>
              <w:spacing w:after="0"/>
              <w:jc w:val="center"/>
              <w:rPr>
                <w:rFonts w:eastAsia="Times New Roman" w:cs="Times New Roman"/>
                <w:noProof/>
              </w:rPr>
            </w:pPr>
            <w:r>
              <w:rPr>
                <w:noProof/>
              </w:rPr>
              <w:t>Año</w:t>
            </w:r>
          </w:p>
        </w:tc>
        <w:tc>
          <w:tcPr>
            <w:tcW w:w="4389" w:type="dxa"/>
            <w:vMerge/>
            <w:vAlign w:val="center"/>
            <w:hideMark/>
          </w:tcPr>
          <w:p w14:paraId="256B102C" w14:textId="77777777" w:rsidR="00F208CE" w:rsidRDefault="00F208CE">
            <w:pPr>
              <w:spacing w:after="0"/>
              <w:rPr>
                <w:rFonts w:ascii="Times New Roman" w:eastAsia="Times New Roman" w:hAnsi="Times New Roman" w:cs="Times New Roman"/>
                <w:b/>
                <w:noProof/>
              </w:rPr>
            </w:pPr>
          </w:p>
        </w:tc>
      </w:tr>
      <w:tr w:rsidR="00F208CE" w14:paraId="30AE7A75" w14:textId="77777777">
        <w:trPr>
          <w:trHeight w:val="309"/>
        </w:trPr>
        <w:tc>
          <w:tcPr>
            <w:tcW w:w="73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639304" w14:textId="34B91F7C" w:rsidR="00F208CE" w:rsidRDefault="00513E84">
            <w:pPr>
              <w:pStyle w:val="P68B1DB1-Normal8"/>
              <w:spacing w:after="0"/>
              <w:jc w:val="center"/>
              <w:rPr>
                <w:rFonts w:eastAsia="Times New Roman" w:cs="Times New Roman"/>
                <w:noProof/>
              </w:rPr>
            </w:pPr>
            <w:r>
              <w:rPr>
                <w:noProof/>
              </w:rPr>
              <w:t>54b</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0BCF5B" w14:textId="52D82E03" w:rsidR="00F208CE" w:rsidRDefault="00513E84">
            <w:pPr>
              <w:pStyle w:val="P68B1DB1-Normal8"/>
              <w:spacing w:after="0"/>
              <w:rPr>
                <w:rFonts w:eastAsia="Times New Roman" w:cs="Times New Roman"/>
                <w:noProof/>
              </w:rPr>
            </w:pPr>
            <w:r>
              <w:rPr>
                <w:noProof/>
              </w:rPr>
              <w:t>Fondo para pequeños proyectos de digitalización (I-2.05 bis)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1E93CC" w14:textId="2C9054E9" w:rsidR="00F208CE" w:rsidRDefault="00513E84">
            <w:pPr>
              <w:pStyle w:val="P68B1DB1-Normal8"/>
              <w:spacing w:after="0"/>
              <w:rPr>
                <w:rFonts w:eastAsia="Times New Roman"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18ECB8" w14:textId="77777777" w:rsidR="00F208CE" w:rsidRDefault="00513E84">
            <w:pPr>
              <w:pStyle w:val="P68B1DB1-Normal8"/>
              <w:spacing w:after="0"/>
              <w:rPr>
                <w:rFonts w:eastAsia="Times New Roman" w:cs="Times New Roman"/>
                <w:noProof/>
              </w:rPr>
            </w:pPr>
            <w:r>
              <w:rPr>
                <w:noProof/>
              </w:rPr>
              <w:t>Se definen los requisitos</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3E5976" w14:textId="4A6A1224" w:rsidR="00F208CE" w:rsidRDefault="00513E84">
            <w:pPr>
              <w:pStyle w:val="P68B1DB1-Normal8"/>
              <w:spacing w:after="0"/>
              <w:rPr>
                <w:rFonts w:eastAsia="Times New Roman" w:cs="Times New Roman"/>
                <w:noProof/>
              </w:rPr>
            </w:pPr>
            <w:r>
              <w:rPr>
                <w:noProof/>
              </w:rPr>
              <w:t>Se definen y aprueban los requisitos</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FADF34" w14:textId="77777777" w:rsidR="00F208CE" w:rsidRDefault="00F208CE">
            <w:pPr>
              <w:spacing w:after="0"/>
              <w:jc w:val="center"/>
              <w:rPr>
                <w:rFonts w:ascii="Times New Roman" w:eastAsia="Times New Roman" w:hAnsi="Times New Roman" w:cs="Times New Roman"/>
                <w:noProof/>
                <w:color w:val="006100"/>
              </w:rPr>
            </w:pPr>
          </w:p>
        </w:tc>
        <w:tc>
          <w:tcPr>
            <w:tcW w:w="10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51B7D7"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0686CD" w14:textId="77777777" w:rsidR="00F208CE" w:rsidRDefault="00F208CE">
            <w:pPr>
              <w:spacing w:after="0"/>
              <w:jc w:val="center"/>
              <w:rPr>
                <w:rFonts w:ascii="Times New Roman" w:eastAsia="Times New Roman" w:hAnsi="Times New Roman" w:cs="Times New Roman"/>
                <w:noProof/>
                <w:color w:val="006100"/>
              </w:rPr>
            </w:pPr>
          </w:p>
        </w:tc>
        <w:tc>
          <w:tcPr>
            <w:tcW w:w="9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6E3C32" w14:textId="77777777" w:rsidR="00F208CE" w:rsidRDefault="00513E84">
            <w:pPr>
              <w:pStyle w:val="P68B1DB1-Normal8"/>
              <w:spacing w:after="0"/>
              <w:rPr>
                <w:rFonts w:eastAsia="Times New Roman" w:cs="Times New Roman"/>
                <w:noProof/>
              </w:rPr>
            </w:pPr>
            <w:r>
              <w:rPr>
                <w:noProof/>
              </w:rPr>
              <w:t>TERCER TRIMESTRE 2</w:t>
            </w:r>
          </w:p>
        </w:tc>
        <w:tc>
          <w:tcPr>
            <w:tcW w:w="72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07F5D8" w14:textId="77777777" w:rsidR="00F208CE" w:rsidRDefault="00513E84">
            <w:pPr>
              <w:pStyle w:val="P68B1DB1-Normal8"/>
              <w:spacing w:after="0"/>
              <w:jc w:val="center"/>
              <w:rPr>
                <w:rFonts w:eastAsia="Times New Roman" w:cs="Times New Roman"/>
                <w:noProof/>
              </w:rPr>
            </w:pPr>
            <w:r>
              <w:rPr>
                <w:noProof/>
              </w:rPr>
              <w:t>2022</w:t>
            </w:r>
          </w:p>
        </w:tc>
        <w:tc>
          <w:tcPr>
            <w:tcW w:w="438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1DC22A" w14:textId="6246BBE1" w:rsidR="00F208CE" w:rsidRDefault="00513E84">
            <w:pPr>
              <w:pStyle w:val="P68B1DB1-Normal8"/>
              <w:spacing w:after="0"/>
              <w:rPr>
                <w:rFonts w:eastAsia="Times New Roman" w:cs="Times New Roman"/>
                <w:noProof/>
              </w:rPr>
            </w:pPr>
            <w:r>
              <w:rPr>
                <w:noProof/>
              </w:rPr>
              <w:t xml:space="preserve">Los </w:t>
            </w:r>
            <w:r>
              <w:rPr>
                <w:noProof/>
              </w:rPr>
              <w:t>requisitos son definidos por las administraciones competentes y aprobados por el Ministerio competente.</w:t>
            </w:r>
          </w:p>
        </w:tc>
      </w:tr>
      <w:tr w:rsidR="00F208CE" w14:paraId="68A33433" w14:textId="77777777">
        <w:trPr>
          <w:trHeight w:val="309"/>
        </w:trPr>
        <w:tc>
          <w:tcPr>
            <w:tcW w:w="73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9CB2FF" w14:textId="054AB09D" w:rsidR="00F208CE" w:rsidRDefault="00513E84">
            <w:pPr>
              <w:pStyle w:val="P68B1DB1-Normal8"/>
              <w:spacing w:after="0"/>
              <w:jc w:val="center"/>
              <w:rPr>
                <w:rFonts w:eastAsia="Times New Roman" w:cs="Times New Roman"/>
                <w:noProof/>
              </w:rPr>
            </w:pPr>
            <w:r>
              <w:rPr>
                <w:noProof/>
              </w:rPr>
              <w:t>55b</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8BA7F9" w14:textId="4EA2878C" w:rsidR="00F208CE" w:rsidRDefault="00513E84">
            <w:pPr>
              <w:pStyle w:val="P68B1DB1-Normal8"/>
              <w:spacing w:after="0"/>
              <w:rPr>
                <w:rFonts w:eastAsia="Times New Roman" w:cs="Times New Roman"/>
                <w:noProof/>
              </w:rPr>
            </w:pPr>
            <w:r>
              <w:rPr>
                <w:noProof/>
              </w:rPr>
              <w:t>Fondo para pequeños proyectos de digitalización (I-2.05 bis)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4BDDAB" w14:textId="48310967" w:rsidR="00F208CE" w:rsidRDefault="00513E84">
            <w:pPr>
              <w:pStyle w:val="P68B1DB1-Normal8"/>
              <w:spacing w:after="0"/>
              <w:rPr>
                <w:rFonts w:eastAsia="Times New Roman"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83CDE6" w14:textId="6E593CE8" w:rsidR="00F208CE" w:rsidRDefault="00513E84">
            <w:pPr>
              <w:pStyle w:val="P68B1DB1-Normal8"/>
              <w:spacing w:after="0"/>
              <w:rPr>
                <w:rFonts w:eastAsia="Times New Roman" w:cs="Times New Roman"/>
                <w:noProof/>
              </w:rPr>
            </w:pPr>
            <w:r>
              <w:rPr>
                <w:noProof/>
              </w:rPr>
              <w:t>El proyecto se ha completado y los resultados están operativos</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7ED628" w14:textId="77777777" w:rsidR="00F208CE" w:rsidRDefault="00513E84">
            <w:pPr>
              <w:pStyle w:val="P68B1DB1-Normal8"/>
              <w:spacing w:after="0"/>
              <w:rPr>
                <w:rFonts w:eastAsia="Times New Roman" w:cs="Times New Roman"/>
                <w:noProof/>
              </w:rPr>
            </w:pPr>
            <w:r>
              <w:rPr>
                <w:noProof/>
              </w:rPr>
              <w:t xml:space="preserve">El proyecto se ha </w:t>
            </w:r>
            <w:r>
              <w:rPr>
                <w:noProof/>
              </w:rPr>
              <w:t>completado y está operativo</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EAA20F" w14:textId="77777777" w:rsidR="00F208CE" w:rsidRDefault="00F208CE">
            <w:pPr>
              <w:spacing w:after="0"/>
              <w:jc w:val="center"/>
              <w:rPr>
                <w:rFonts w:ascii="Times New Roman" w:eastAsia="Times New Roman" w:hAnsi="Times New Roman" w:cs="Times New Roman"/>
                <w:noProof/>
                <w:color w:val="006100"/>
              </w:rPr>
            </w:pPr>
          </w:p>
        </w:tc>
        <w:tc>
          <w:tcPr>
            <w:tcW w:w="10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57F803"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D24768" w14:textId="77777777" w:rsidR="00F208CE" w:rsidRDefault="00F208CE">
            <w:pPr>
              <w:spacing w:after="0"/>
              <w:jc w:val="center"/>
              <w:rPr>
                <w:rFonts w:ascii="Times New Roman" w:eastAsia="Times New Roman" w:hAnsi="Times New Roman" w:cs="Times New Roman"/>
                <w:noProof/>
                <w:color w:val="006100"/>
              </w:rPr>
            </w:pPr>
          </w:p>
        </w:tc>
        <w:tc>
          <w:tcPr>
            <w:tcW w:w="9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0A4317" w14:textId="77777777" w:rsidR="00F208CE" w:rsidRDefault="00513E84">
            <w:pPr>
              <w:pStyle w:val="P68B1DB1-Normal8"/>
              <w:spacing w:after="0"/>
              <w:rPr>
                <w:rFonts w:eastAsia="Times New Roman" w:cs="Times New Roman"/>
                <w:noProof/>
              </w:rPr>
            </w:pPr>
            <w:r>
              <w:rPr>
                <w:noProof/>
              </w:rPr>
              <w:t>TERCER TRIMESTRE 2</w:t>
            </w:r>
          </w:p>
        </w:tc>
        <w:tc>
          <w:tcPr>
            <w:tcW w:w="72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BC88D2" w14:textId="77777777" w:rsidR="00F208CE" w:rsidRDefault="00513E84">
            <w:pPr>
              <w:pStyle w:val="P68B1DB1-Normal8"/>
              <w:spacing w:after="0"/>
              <w:jc w:val="center"/>
              <w:rPr>
                <w:rFonts w:eastAsia="Times New Roman" w:cs="Times New Roman"/>
                <w:noProof/>
              </w:rPr>
            </w:pPr>
            <w:r>
              <w:rPr>
                <w:noProof/>
              </w:rPr>
              <w:t>2026</w:t>
            </w:r>
          </w:p>
        </w:tc>
        <w:tc>
          <w:tcPr>
            <w:tcW w:w="438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E8FF9E" w14:textId="4FDDAE98" w:rsidR="00F208CE" w:rsidRDefault="00513E84">
            <w:pPr>
              <w:pStyle w:val="P68B1DB1-Normal8"/>
              <w:spacing w:after="0"/>
              <w:rPr>
                <w:rFonts w:eastAsia="Times New Roman" w:cs="Times New Roman"/>
                <w:noProof/>
              </w:rPr>
            </w:pPr>
            <w:r>
              <w:rPr>
                <w:noProof/>
              </w:rPr>
              <w:t>El proyecto se ha completado y está operativo. Se han pagado 17 700 000 EUR.</w:t>
            </w:r>
          </w:p>
        </w:tc>
      </w:tr>
    </w:tbl>
    <w:p w14:paraId="0FE9F193" w14:textId="77777777" w:rsidR="00F208CE" w:rsidRDefault="00F208CE">
      <w:pPr>
        <w:pStyle w:val="Text1"/>
        <w:ind w:left="0"/>
        <w:rPr>
          <w:noProof/>
        </w:rPr>
      </w:pPr>
    </w:p>
    <w:p w14:paraId="24FE9E54" w14:textId="77777777" w:rsidR="00F208CE" w:rsidRDefault="00F208CE">
      <w:pPr>
        <w:pStyle w:val="Text1"/>
        <w:ind w:left="0"/>
        <w:rPr>
          <w:noProof/>
        </w:rPr>
      </w:pPr>
    </w:p>
    <w:p w14:paraId="76D7A99B" w14:textId="6A60F75D" w:rsidR="00F208CE" w:rsidRDefault="00F208CE">
      <w:pPr>
        <w:pStyle w:val="Text1"/>
        <w:rPr>
          <w:noProof/>
        </w:rPr>
        <w:sectPr w:rsidR="00F208CE" w:rsidSect="007F56C3">
          <w:headerReference w:type="even" r:id="rId64"/>
          <w:headerReference w:type="default" r:id="rId65"/>
          <w:footerReference w:type="even" r:id="rId66"/>
          <w:footerReference w:type="default" r:id="rId67"/>
          <w:headerReference w:type="first" r:id="rId68"/>
          <w:footerReference w:type="first" r:id="rId69"/>
          <w:pgSz w:w="16839" w:h="11907" w:orient="landscape"/>
          <w:pgMar w:top="1134" w:right="1134" w:bottom="1134" w:left="1134" w:header="567" w:footer="567" w:gutter="0"/>
          <w:cols w:space="720"/>
          <w:docGrid w:linePitch="360"/>
        </w:sectPr>
      </w:pPr>
    </w:p>
    <w:p w14:paraId="4A929A57" w14:textId="77777777" w:rsidR="00F208CE" w:rsidRDefault="00513E84">
      <w:pPr>
        <w:pStyle w:val="ManualHeading1"/>
        <w:spacing w:before="120"/>
        <w:ind w:left="0" w:firstLine="0"/>
        <w:rPr>
          <w:noProof/>
        </w:rPr>
      </w:pPr>
      <w:r>
        <w:rPr>
          <w:noProof/>
        </w:rPr>
        <w:t>F. COMPONENTE 2.3: Fibra óptica, 5G y nuevas tecnologías</w:t>
      </w:r>
    </w:p>
    <w:p w14:paraId="7537DF55" w14:textId="77777777" w:rsidR="00F208CE" w:rsidRDefault="00513E84">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Este componente del plan belga de recuperación y resiliencia contiene </w:t>
      </w:r>
      <w:r>
        <w:rPr>
          <w:rStyle w:val="normaltextrun"/>
          <w:rFonts w:ascii="Times New Roman" w:hAnsi="Times New Roman"/>
          <w:noProof/>
          <w:sz w:val="24"/>
          <w:bdr w:val="none" w:sz="0" w:space="0" w:color="auto" w:frame="1"/>
        </w:rPr>
        <w:t>reformas e inversiones relacionadas con la 5G, la infraestructura de conectividad de muy alta capacidad y la inteligencia artificial («IA»), que se espera que aporten elementos esenciale</w:t>
      </w:r>
      <w:r>
        <w:rPr>
          <w:rStyle w:val="normaltextrun"/>
          <w:rFonts w:ascii="Times New Roman" w:hAnsi="Times New Roman"/>
          <w:noProof/>
          <w:sz w:val="24"/>
          <w:bdr w:val="none" w:sz="0" w:space="0" w:color="auto" w:frame="1"/>
        </w:rPr>
        <w:t>s para la transición digital en Bélgica.</w:t>
      </w:r>
    </w:p>
    <w:p w14:paraId="7B7FB703"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2020.3, en la medida en que pide que se centren las inversiones en la transición digital, en particular en infraestructuras digitales, como</w:t>
      </w:r>
      <w:r>
        <w:rPr>
          <w:noProof/>
        </w:rPr>
        <w:t xml:space="preserve"> las redes 5G y gigabit, y en la recomendación específica por país n.º 2019.3, en la medida en que pide que las políticas económicas relacionadas con la inversión se centren en la investigación y la innovación sostenibles, en particular en el ámbito de la </w:t>
      </w:r>
      <w:r>
        <w:rPr>
          <w:noProof/>
        </w:rPr>
        <w:t>digitalización, teniendo en cuenta las diferencias regionales.</w:t>
      </w:r>
    </w:p>
    <w:p w14:paraId="6D9CE719" w14:textId="77777777" w:rsidR="00F208CE" w:rsidRDefault="00513E84">
      <w:pPr>
        <w:pStyle w:val="P68B1DB1-Normal1"/>
        <w:spacing w:before="120" w:after="120" w:line="240" w:lineRule="auto"/>
        <w:jc w:val="both"/>
        <w:rPr>
          <w:rFonts w:cs="Times New Roman"/>
          <w:noProof/>
        </w:rPr>
      </w:pPr>
      <w:r>
        <w:rPr>
          <w:noProof/>
        </w:rPr>
        <w:t xml:space="preserve">Se espera que ninguna medida de este componente perjudique significativamente a los objetivos medioambientales en el sentido del artículo 17 del Reglamento (UE) 2020/852, teniendo en cuenta la </w:t>
      </w:r>
      <w:r>
        <w:rPr>
          <w:noProof/>
        </w:rPr>
        <w:t>descripción de las medidas y las medidas atenuantes establecidas en el plan de recuperación y resiliencia de conformidad con las orientaciones técnicas de DNSH (2021/C58/01).</w:t>
      </w:r>
    </w:p>
    <w:p w14:paraId="375A9169" w14:textId="77777777" w:rsidR="00F208CE" w:rsidRDefault="00513E84">
      <w:pPr>
        <w:spacing w:before="120" w:after="120"/>
        <w:jc w:val="both"/>
        <w:rPr>
          <w:rFonts w:ascii="Times New Roman" w:hAnsi="Times New Roman" w:cs="Times New Roman"/>
          <w:b/>
          <w:noProof/>
          <w:sz w:val="24"/>
          <w:u w:val="single"/>
        </w:rPr>
      </w:pPr>
      <w:r>
        <w:rPr>
          <w:rFonts w:ascii="Times New Roman" w:hAnsi="Times New Roman"/>
          <w:b/>
          <w:noProof/>
          <w:sz w:val="24"/>
          <w:u w:val="single"/>
        </w:rPr>
        <w:t xml:space="preserve">F.1. </w:t>
      </w:r>
      <w:r>
        <w:rPr>
          <w:noProof/>
        </w:rPr>
        <w:t xml:space="preserve"> </w:t>
      </w:r>
      <w:r>
        <w:rPr>
          <w:rFonts w:ascii="Times New Roman" w:hAnsi="Times New Roman"/>
          <w:b/>
          <w:noProof/>
          <w:sz w:val="24"/>
          <w:u w:val="single"/>
        </w:rPr>
        <w:t>Descripción de las reformas e inversiones para la ayuda financiera no reemb</w:t>
      </w:r>
      <w:r>
        <w:rPr>
          <w:rFonts w:ascii="Times New Roman" w:hAnsi="Times New Roman"/>
          <w:b/>
          <w:noProof/>
          <w:sz w:val="24"/>
          <w:u w:val="single"/>
        </w:rPr>
        <w:t>olsable</w:t>
      </w:r>
    </w:p>
    <w:p w14:paraId="28892F34" w14:textId="316F1196" w:rsidR="00F208CE" w:rsidRDefault="00513E84">
      <w:pPr>
        <w:pStyle w:val="P68B1DB1-Text19"/>
        <w:ind w:left="0"/>
        <w:rPr>
          <w:noProof/>
        </w:rPr>
      </w:pPr>
      <w:r>
        <w:rPr>
          <w:noProof/>
        </w:rPr>
        <w:t>Inversión I-2.13: «Cobertura de zonas blancas mediante el desarrollo de redes de fibra óptica de muy alta velocidad» de la Comunidad Germanófona</w:t>
      </w:r>
    </w:p>
    <w:p w14:paraId="31E4B15D" w14:textId="0D9AF6A2" w:rsidR="00F208CE" w:rsidRDefault="00513E84">
      <w:pPr>
        <w:pStyle w:val="Text1"/>
        <w:ind w:left="0"/>
        <w:rPr>
          <w:noProof/>
        </w:rPr>
      </w:pPr>
      <w:r>
        <w:rPr>
          <w:noProof/>
        </w:rPr>
        <w:t>La inversión tiene por objeto promover la disponibilidad de fibra en Bélgica. Esta medida consiste en i</w:t>
      </w:r>
      <w:r>
        <w:rPr>
          <w:noProof/>
        </w:rPr>
        <w:t>nversiones a través de una empresa en participación en el despliegue de fibra que abarca todo el territorio de la Comunidad germanófona, una zona en la que dicha inversión no se considera comercialmente viable. La ejecución de la inversión deberá estar ter</w:t>
      </w:r>
      <w:r>
        <w:rPr>
          <w:noProof/>
        </w:rPr>
        <w:t>minada a más tardar el 30 de junio de 2026.</w:t>
      </w:r>
    </w:p>
    <w:p w14:paraId="2D74FD99" w14:textId="738CF16E" w:rsidR="00F208CE" w:rsidRDefault="00513E84">
      <w:pPr>
        <w:pStyle w:val="P68B1DB1-Text19"/>
        <w:ind w:left="0"/>
        <w:rPr>
          <w:noProof/>
        </w:rPr>
      </w:pPr>
      <w:r>
        <w:rPr>
          <w:noProof/>
        </w:rPr>
        <w:t>Inversión I-2.14: «Desarrollo de un instituto de IA para utilizar esta tecnología para hacer frente a los retos sociales» de la Región de Bruselas-Capital</w:t>
      </w:r>
    </w:p>
    <w:p w14:paraId="7C31B4FD" w14:textId="4F0B5F6E" w:rsidR="00F208CE" w:rsidRDefault="00513E84">
      <w:pPr>
        <w:pStyle w:val="Text1"/>
        <w:ind w:left="0"/>
        <w:rPr>
          <w:noProof/>
        </w:rPr>
      </w:pPr>
      <w:r>
        <w:rPr>
          <w:noProof/>
        </w:rPr>
        <w:t xml:space="preserve">Esta inversión promoverá el uso de la IA en ámbitos como </w:t>
      </w:r>
      <w:r>
        <w:rPr>
          <w:noProof/>
        </w:rPr>
        <w:t>la salud y el bienestar, el medio ambiente, la movilidad, la energía y los medios de comunicación y la democracia. La IA para el Instituto del Bien Común de Bruselas (FARI) promoverá el desarrollo de soluciones de IA en colaboración con el mundo académico,</w:t>
      </w:r>
      <w:r>
        <w:rPr>
          <w:noProof/>
        </w:rPr>
        <w:t xml:space="preserve"> las empresas, la elaboración de políticas y los ciudadanos. También incluirá un laboratorio de pruebas y experiencia de IA que muestre tecnologías impulsadas por la IA para sensibilizar al público en general y a la industria (incluida una dimensión de for</w:t>
      </w:r>
      <w:r>
        <w:rPr>
          <w:noProof/>
        </w:rPr>
        <w:t>mación). Los servicios ofrecidos por la IA para el Instituto del Bien Común incluyen el doble</w:t>
      </w:r>
      <w:r>
        <w:rPr>
          <w:noProof/>
        </w:rPr>
        <w:footnoteReference w:id="7"/>
      </w:r>
      <w:r>
        <w:rPr>
          <w:noProof/>
        </w:rPr>
        <w:t xml:space="preserve"> apoyo digital a escala de la ciudad a las autoridades locales en la planificación urbana y la participación ciudadana. La ejecución de la inversión deberá estar </w:t>
      </w:r>
      <w:r>
        <w:rPr>
          <w:noProof/>
        </w:rPr>
        <w:t>terminada a más tardar el 31 de diciembre de 2024.</w:t>
      </w:r>
    </w:p>
    <w:p w14:paraId="19F94905" w14:textId="3B99FD6C" w:rsidR="00F208CE" w:rsidRDefault="00513E84">
      <w:pPr>
        <w:pStyle w:val="P68B1DB1-Text19"/>
        <w:ind w:left="0"/>
        <w:rPr>
          <w:noProof/>
        </w:rPr>
      </w:pPr>
      <w:r>
        <w:rPr>
          <w:noProof/>
        </w:rPr>
        <w:t>Inversión I-2.15: «Mejora de la conectividad de los 35 parques empresariales de Valonia» de la Región Valona</w:t>
      </w:r>
    </w:p>
    <w:p w14:paraId="0C97718F" w14:textId="16CCA6CD" w:rsidR="00F208CE" w:rsidRDefault="00513E84">
      <w:pPr>
        <w:pStyle w:val="Text1"/>
        <w:tabs>
          <w:tab w:val="left" w:pos="426"/>
        </w:tabs>
        <w:ind w:left="0"/>
        <w:rPr>
          <w:noProof/>
        </w:rPr>
      </w:pPr>
      <w:r>
        <w:rPr>
          <w:noProof/>
        </w:rPr>
        <w:t>Esta inversión desplegará fibra en 35 parques empresariales públicos en la Región Valona</w:t>
      </w:r>
      <w:r>
        <w:rPr>
          <w:rStyle w:val="normaltextrun"/>
          <w:noProof/>
          <w:shd w:val="clear" w:color="auto" w:fill="FFFFFF"/>
        </w:rPr>
        <w:t xml:space="preserve"> por la </w:t>
      </w:r>
      <w:r>
        <w:rPr>
          <w:rStyle w:val="normaltextrun"/>
          <w:noProof/>
          <w:shd w:val="clear" w:color="auto" w:fill="FFFFFF"/>
        </w:rPr>
        <w:t>empresa de financiación de infraestructuras de la región valona Sofico</w:t>
      </w:r>
      <w:r>
        <w:rPr>
          <w:noProof/>
        </w:rPr>
        <w:t xml:space="preserve">, </w:t>
      </w:r>
      <w:r>
        <w:rPr>
          <w:rStyle w:val="normaltextrun"/>
          <w:noProof/>
          <w:shd w:val="clear" w:color="auto" w:fill="FFFFFF"/>
        </w:rPr>
        <w:t>cuando dichas inversiones no se consideren comercialmente viables, con el fin de lograr una cobertura de fibra del 100 % para todos los parques empresariales públicos de la Región Valo</w:t>
      </w:r>
      <w:r>
        <w:rPr>
          <w:rStyle w:val="normaltextrun"/>
          <w:noProof/>
          <w:shd w:val="clear" w:color="auto" w:fill="FFFFFF"/>
        </w:rPr>
        <w:t>na («conectividad de fibra para 35 parques empresariales»)</w:t>
      </w:r>
      <w:r>
        <w:rPr>
          <w:noProof/>
        </w:rPr>
        <w:t>. La ejecución de la inversión deberá estar terminada a más tardar el 30 de junio de 2026.</w:t>
      </w:r>
    </w:p>
    <w:p w14:paraId="28EC3A0A" w14:textId="21F8C447" w:rsidR="00F208CE" w:rsidRDefault="00513E84">
      <w:pPr>
        <w:pStyle w:val="P68B1DB1-Text19"/>
        <w:ind w:left="0"/>
        <w:rPr>
          <w:noProof/>
        </w:rPr>
      </w:pPr>
      <w:r>
        <w:rPr>
          <w:noProof/>
        </w:rPr>
        <w:t>Reforma R-2.03: «Introducción de 5G — Plan nacional de banda ancha fija y móvil — nivel federal y regional»</w:t>
      </w:r>
    </w:p>
    <w:p w14:paraId="72FC9A03" w14:textId="77777777" w:rsidR="00F208CE" w:rsidRDefault="00513E84">
      <w:pPr>
        <w:pStyle w:val="Text1"/>
        <w:ind w:left="0"/>
        <w:rPr>
          <w:noProof/>
        </w:rPr>
      </w:pPr>
      <w:r>
        <w:rPr>
          <w:noProof/>
        </w:rPr>
        <w:t>Esta medida consiste en reformas tanto a nivel federal como regional que se espera eliminen los cuellos de botella, incluidos los obstáculos reglamentarios, para el despliegue de la 5G y para el despliegue de infraestructuras de conectividad ultrarrápida,</w:t>
      </w:r>
      <w:r>
        <w:rPr>
          <w:noProof/>
        </w:rPr>
        <w:t xml:space="preserve"> como la fibra. A nivel federal, la Ley 5G y los Reales Decretos de asignación de bandas espectrales pioneras de la UE entrarán en vigor a más tardar el 1 de enero de 2022. La subasta del espectro 5G se completará a más tardar el 30 de junio de 2022. </w:t>
      </w:r>
    </w:p>
    <w:p w14:paraId="097B693A" w14:textId="5FAD6358" w:rsidR="00F208CE" w:rsidRDefault="00513E84">
      <w:pPr>
        <w:pStyle w:val="Text1"/>
        <w:ind w:left="0"/>
        <w:rPr>
          <w:rFonts w:eastAsia="Times New Roman"/>
          <w:noProof/>
        </w:rPr>
      </w:pPr>
      <w:r>
        <w:rPr>
          <w:noProof/>
        </w:rPr>
        <w:t>Adem</w:t>
      </w:r>
      <w:r>
        <w:rPr>
          <w:noProof/>
        </w:rPr>
        <w:t>ás, las tres regiones deben revisar las normas de radiación, lo que permitirá un despliegue eficaz del espectro 5G. Las normas regionales revisadas entrarán en vigor a más tardar el 31 de marzo de 2022.</w:t>
      </w:r>
    </w:p>
    <w:p w14:paraId="05F5037C" w14:textId="77777777" w:rsidR="00F208CE" w:rsidRDefault="00513E84">
      <w:pPr>
        <w:pStyle w:val="Text1"/>
        <w:ind w:left="0"/>
        <w:rPr>
          <w:rFonts w:eastAsia="Times New Roman"/>
          <w:noProof/>
        </w:rPr>
        <w:sectPr w:rsidR="00F208CE" w:rsidSect="0092644D">
          <w:headerReference w:type="even" r:id="rId70"/>
          <w:headerReference w:type="default" r:id="rId71"/>
          <w:footerReference w:type="even" r:id="rId72"/>
          <w:footerReference w:type="default" r:id="rId73"/>
          <w:headerReference w:type="first" r:id="rId74"/>
          <w:footerReference w:type="first" r:id="rId75"/>
          <w:pgSz w:w="11907" w:h="16839"/>
          <w:pgMar w:top="1134" w:right="1134" w:bottom="1134" w:left="1134" w:header="567" w:footer="567" w:gutter="0"/>
          <w:cols w:space="720"/>
          <w:docGrid w:linePitch="360"/>
        </w:sectPr>
      </w:pPr>
      <w:r>
        <w:rPr>
          <w:noProof/>
        </w:rPr>
        <w:t>Bélgica también aplicará la caja de herramientas de conectividad, que debe contener las mejores prácticas en materia de conectividad para reducir el coste del despliegue de las redes de comunicaciones electrónicas y para un acceso ef</w:t>
      </w:r>
      <w:r>
        <w:rPr>
          <w:noProof/>
        </w:rPr>
        <w:t xml:space="preserve">iciente al espectro radioeléctrico 5G adaptado a Bélgica. Esto incluirá una hoja de ruta nacional para </w:t>
      </w:r>
      <w:r>
        <w:rPr>
          <w:rStyle w:val="normaltextrun"/>
          <w:noProof/>
          <w:shd w:val="clear" w:color="auto" w:fill="FFFFFF"/>
        </w:rPr>
        <w:t>simplificar los procedimientos de concesión de licencias y permisos pertinentes para el despliegue de redes 5G y de muy alta capacidad, como la fibra</w:t>
      </w:r>
      <w:r>
        <w:rPr>
          <w:noProof/>
        </w:rPr>
        <w:t xml:space="preserve">. A </w:t>
      </w:r>
      <w:r>
        <w:rPr>
          <w:noProof/>
        </w:rPr>
        <w:t>más tardar el 30 de junio de 2022 se publicará un informe sobre el estado de aplicación de la caja de herramientas de conectividad.</w:t>
      </w:r>
    </w:p>
    <w:p w14:paraId="4F5676E1" w14:textId="77777777" w:rsidR="00F208CE" w:rsidRDefault="00513E84">
      <w:pPr>
        <w:pStyle w:val="Text1"/>
        <w:ind w:left="0"/>
        <w:rPr>
          <w:b/>
          <w:noProof/>
          <w:u w:val="single"/>
        </w:rPr>
      </w:pPr>
      <w:r>
        <w:rPr>
          <w:b/>
          <w:noProof/>
          <w:u w:val="single"/>
        </w:rPr>
        <w:t xml:space="preserve">F.2. </w:t>
      </w:r>
      <w:r>
        <w:rPr>
          <w:noProof/>
        </w:rPr>
        <w:t xml:space="preserve"> </w:t>
      </w:r>
      <w:r>
        <w:rPr>
          <w:b/>
          <w:noProof/>
          <w:u w:val="single"/>
        </w:rPr>
        <w:t>Hitos, metas, indicadores y calendario para el seguimiento y la ejecución de la ayuda financiera no reembolsable</w:t>
      </w:r>
    </w:p>
    <w:tbl>
      <w:tblPr>
        <w:tblW w:w="15588" w:type="dxa"/>
        <w:jc w:val="center"/>
        <w:tblLayout w:type="fixed"/>
        <w:tblLook w:val="04A0" w:firstRow="1" w:lastRow="0" w:firstColumn="1" w:lastColumn="0" w:noHBand="0" w:noVBand="1"/>
      </w:tblPr>
      <w:tblGrid>
        <w:gridCol w:w="715"/>
        <w:gridCol w:w="2115"/>
        <w:gridCol w:w="993"/>
        <w:gridCol w:w="1701"/>
        <w:gridCol w:w="1842"/>
        <w:gridCol w:w="1418"/>
        <w:gridCol w:w="1134"/>
        <w:gridCol w:w="992"/>
        <w:gridCol w:w="992"/>
        <w:gridCol w:w="709"/>
        <w:gridCol w:w="2977"/>
      </w:tblGrid>
      <w:tr w:rsidR="00F208CE" w14:paraId="6507148F" w14:textId="77777777">
        <w:trPr>
          <w:trHeight w:val="927"/>
          <w:tblHeader/>
          <w:jc w:val="center"/>
        </w:trPr>
        <w:tc>
          <w:tcPr>
            <w:tcW w:w="7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E411A4" w14:textId="09FCCAA7" w:rsidR="00F208CE" w:rsidRDefault="00513E84">
            <w:pPr>
              <w:pStyle w:val="P68B1DB1-Normal15"/>
              <w:spacing w:after="0"/>
              <w:jc w:val="center"/>
              <w:rPr>
                <w:rFonts w:eastAsia="Times New Roman" w:cs="Times New Roman"/>
                <w:noProof/>
              </w:rPr>
            </w:pPr>
            <w:r>
              <w:rPr>
                <w:noProof/>
              </w:rPr>
              <w:t>Códig</w:t>
            </w:r>
            <w:r>
              <w:rPr>
                <w:noProof/>
              </w:rPr>
              <w:t>o N.B.:</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858597"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62B080" w14:textId="77777777" w:rsidR="00F208CE" w:rsidRDefault="00513E84">
            <w:pPr>
              <w:pStyle w:val="P68B1DB1-Normal15"/>
              <w:spacing w:after="0"/>
              <w:jc w:val="center"/>
              <w:rPr>
                <w:rFonts w:eastAsia="Times New Roman" w:cs="Times New Roman"/>
                <w:noProof/>
              </w:rPr>
            </w:pPr>
            <w:r>
              <w:rPr>
                <w:noProof/>
              </w:rPr>
              <w:t>Hito/Objetivo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19CC49" w14:textId="77777777" w:rsidR="00F208CE" w:rsidRDefault="00513E84">
            <w:pPr>
              <w:pStyle w:val="P68B1DB1-Normal15"/>
              <w:spacing w:after="0"/>
              <w:jc w:val="center"/>
              <w:rPr>
                <w:rFonts w:eastAsia="Times New Roman" w:cs="Times New Roman"/>
                <w:noProof/>
              </w:rPr>
            </w:pPr>
            <w:r>
              <w:rPr>
                <w:noProof/>
              </w:rPr>
              <w:t>Nombre</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BEBF52"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54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6BE8C79"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671FD612"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6461C1"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3CF5C453" w14:textId="77777777">
        <w:trPr>
          <w:trHeight w:val="1013"/>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BAC9DEB" w14:textId="77777777" w:rsidR="00F208CE" w:rsidRDefault="00F208CE">
            <w:pPr>
              <w:spacing w:after="0"/>
              <w:rPr>
                <w:rFonts w:ascii="Times New Roman" w:eastAsia="Times New Roman" w:hAnsi="Times New Roman" w:cs="Times New Roman"/>
                <w:b/>
                <w:noProof/>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14:paraId="083336C3" w14:textId="77777777" w:rsidR="00F208CE" w:rsidRDefault="00F208CE">
            <w:pPr>
              <w:spacing w:after="0"/>
              <w:rPr>
                <w:rFonts w:ascii="Times New Roman" w:eastAsia="Times New Roman" w:hAnsi="Times New Roman" w:cs="Times New Roman"/>
                <w:b/>
                <w:noProof/>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C88A04" w14:textId="77777777" w:rsidR="00F208CE" w:rsidRDefault="00F208CE">
            <w:pPr>
              <w:spacing w:after="0"/>
              <w:rPr>
                <w:rFonts w:ascii="Times New Roman" w:eastAsia="Times New Roman" w:hAnsi="Times New Roman" w:cs="Times New Roman"/>
                <w:b/>
                <w:noProof/>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63979E" w14:textId="77777777" w:rsidR="00F208CE" w:rsidRDefault="00F208CE">
            <w:pPr>
              <w:spacing w:after="0"/>
              <w:rPr>
                <w:rFonts w:ascii="Times New Roman" w:eastAsia="Times New Roman" w:hAnsi="Times New Roman" w:cs="Times New Roman"/>
                <w:b/>
                <w:noProof/>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BC4BE8" w14:textId="77777777" w:rsidR="00F208CE" w:rsidRDefault="00F208CE">
            <w:pPr>
              <w:spacing w:after="0"/>
              <w:rPr>
                <w:rFonts w:ascii="Times New Roman" w:eastAsia="Times New Roman" w:hAnsi="Times New Roman" w:cs="Times New Roman"/>
                <w:b/>
                <w:noProof/>
              </w:rPr>
            </w:pPr>
          </w:p>
        </w:tc>
        <w:tc>
          <w:tcPr>
            <w:tcW w:w="14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0B8F65F" w14:textId="77777777" w:rsidR="00F208CE" w:rsidRDefault="00513E84">
            <w:pPr>
              <w:pStyle w:val="P68B1DB1-Normal15"/>
              <w:spacing w:after="0"/>
              <w:jc w:val="center"/>
              <w:rPr>
                <w:rFonts w:eastAsia="Times New Roman" w:cs="Times New Roman"/>
                <w:noProof/>
              </w:rPr>
            </w:pPr>
            <w:r>
              <w:rPr>
                <w:noProof/>
              </w:rPr>
              <w:t>Unidad de medida</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42D0745A" w14:textId="77777777" w:rsidR="00F208CE" w:rsidRDefault="00513E84">
            <w:pPr>
              <w:pStyle w:val="P68B1DB1-Normal15"/>
              <w:spacing w:after="0"/>
              <w:jc w:val="center"/>
              <w:rPr>
                <w:rFonts w:eastAsia="Times New Roman" w:cs="Times New Roman"/>
                <w:noProof/>
              </w:rPr>
            </w:pPr>
            <w:r>
              <w:rPr>
                <w:noProof/>
              </w:rPr>
              <w:t xml:space="preserve">Basal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520C725E" w14:textId="77777777" w:rsidR="00F208CE" w:rsidRDefault="00513E84">
            <w:pPr>
              <w:pStyle w:val="P68B1DB1-Normal15"/>
              <w:spacing w:after="0"/>
              <w:jc w:val="center"/>
              <w:rPr>
                <w:rFonts w:eastAsia="Times New Roman" w:cs="Times New Roman"/>
                <w:noProof/>
              </w:rPr>
            </w:pPr>
            <w:r>
              <w:rPr>
                <w:noProof/>
              </w:rPr>
              <w:t xml:space="preserve">Meta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428C598A" w14:textId="77777777" w:rsidR="00F208CE" w:rsidRDefault="00513E84">
            <w:pPr>
              <w:pStyle w:val="P68B1DB1-Normal15"/>
              <w:spacing w:after="0"/>
              <w:jc w:val="center"/>
              <w:rPr>
                <w:rFonts w:eastAsia="Times New Roman" w:cs="Times New Roman"/>
                <w:noProof/>
              </w:rPr>
            </w:pPr>
            <w:r>
              <w:rPr>
                <w:noProof/>
              </w:rPr>
              <w:t>Trimestre</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1D53D15C" w14:textId="77777777" w:rsidR="00F208CE" w:rsidRDefault="00513E84">
            <w:pPr>
              <w:pStyle w:val="P68B1DB1-Normal15"/>
              <w:spacing w:after="0"/>
              <w:jc w:val="center"/>
              <w:rPr>
                <w:rFonts w:eastAsia="Times New Roman" w:cs="Times New Roman"/>
                <w:noProof/>
              </w:rPr>
            </w:pPr>
            <w:r>
              <w:rPr>
                <w:noProof/>
              </w:rPr>
              <w:t>Año</w:t>
            </w:r>
          </w:p>
        </w:tc>
        <w:tc>
          <w:tcPr>
            <w:tcW w:w="2977" w:type="dxa"/>
            <w:vMerge/>
            <w:tcBorders>
              <w:top w:val="single" w:sz="4" w:space="0" w:color="auto"/>
              <w:bottom w:val="single" w:sz="4" w:space="0" w:color="auto"/>
              <w:right w:val="single" w:sz="4" w:space="0" w:color="auto"/>
            </w:tcBorders>
            <w:vAlign w:val="center"/>
            <w:hideMark/>
          </w:tcPr>
          <w:p w14:paraId="3393822D" w14:textId="77777777" w:rsidR="00F208CE" w:rsidRDefault="00F208CE">
            <w:pPr>
              <w:spacing w:after="0"/>
              <w:rPr>
                <w:rFonts w:ascii="Times New Roman" w:eastAsia="Times New Roman" w:hAnsi="Times New Roman" w:cs="Times New Roman"/>
                <w:b/>
                <w:noProof/>
              </w:rPr>
            </w:pPr>
          </w:p>
        </w:tc>
      </w:tr>
      <w:tr w:rsidR="00F208CE" w14:paraId="5AC1C8C6" w14:textId="77777777">
        <w:trPr>
          <w:trHeight w:val="309"/>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B798509" w14:textId="77777777" w:rsidR="00F208CE" w:rsidRDefault="00513E84">
            <w:pPr>
              <w:pStyle w:val="P68B1DB1-Normal8"/>
              <w:spacing w:after="0"/>
              <w:jc w:val="center"/>
              <w:rPr>
                <w:rFonts w:eastAsia="Times New Roman" w:cs="Times New Roman"/>
                <w:noProof/>
              </w:rPr>
            </w:pPr>
            <w:r>
              <w:rPr>
                <w:noProof/>
              </w:rPr>
              <w:t>80</w:t>
            </w:r>
          </w:p>
        </w:tc>
        <w:tc>
          <w:tcPr>
            <w:tcW w:w="2115" w:type="dxa"/>
            <w:tcBorders>
              <w:top w:val="single" w:sz="4" w:space="0" w:color="auto"/>
              <w:left w:val="nil"/>
              <w:bottom w:val="single" w:sz="4" w:space="0" w:color="auto"/>
              <w:right w:val="single" w:sz="4" w:space="0" w:color="auto"/>
            </w:tcBorders>
            <w:shd w:val="clear" w:color="auto" w:fill="C6EFCE"/>
            <w:noWrap/>
            <w:vAlign w:val="center"/>
            <w:hideMark/>
          </w:tcPr>
          <w:p w14:paraId="3FF17ECA" w14:textId="77777777" w:rsidR="00F208CE" w:rsidRDefault="00513E84">
            <w:pPr>
              <w:pStyle w:val="P68B1DB1-Normal8"/>
              <w:spacing w:after="0"/>
              <w:rPr>
                <w:rFonts w:eastAsia="Times New Roman" w:cs="Times New Roman"/>
                <w:noProof/>
              </w:rPr>
            </w:pPr>
            <w:r>
              <w:rPr>
                <w:noProof/>
              </w:rPr>
              <w:t>Cobertura de zonas blancas mediante el desarrollo de redes de fibra óptica de muy alta velocidad (I-2.13)</w:t>
            </w:r>
          </w:p>
        </w:tc>
        <w:tc>
          <w:tcPr>
            <w:tcW w:w="993" w:type="dxa"/>
            <w:tcBorders>
              <w:top w:val="single" w:sz="4" w:space="0" w:color="auto"/>
              <w:left w:val="nil"/>
              <w:bottom w:val="single" w:sz="4" w:space="0" w:color="auto"/>
              <w:right w:val="single" w:sz="4" w:space="0" w:color="auto"/>
            </w:tcBorders>
            <w:shd w:val="clear" w:color="auto" w:fill="C6EFCE"/>
            <w:noWrap/>
            <w:vAlign w:val="center"/>
            <w:hideMark/>
          </w:tcPr>
          <w:p w14:paraId="2E99E107" w14:textId="234FECA0" w:rsidR="00F208CE" w:rsidRDefault="00513E84">
            <w:pPr>
              <w:pStyle w:val="P68B1DB1-Normal8"/>
              <w:spacing w:after="0"/>
              <w:rPr>
                <w:rFonts w:eastAsia="Times New Roman" w:cs="Times New Roman"/>
                <w:noProof/>
              </w:rPr>
            </w:pPr>
            <w:r>
              <w:rPr>
                <w:noProof/>
              </w:rPr>
              <w:t>T</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605A949F" w14:textId="77777777" w:rsidR="00F208CE" w:rsidRDefault="00513E84">
            <w:pPr>
              <w:pStyle w:val="P68B1DB1-Normal8"/>
              <w:spacing w:after="0"/>
              <w:rPr>
                <w:rFonts w:eastAsia="Times New Roman" w:cs="Times New Roman"/>
                <w:noProof/>
              </w:rPr>
            </w:pPr>
            <w:r>
              <w:rPr>
                <w:noProof/>
              </w:rPr>
              <w:t>Cobertura</w:t>
            </w:r>
          </w:p>
        </w:tc>
        <w:tc>
          <w:tcPr>
            <w:tcW w:w="1842" w:type="dxa"/>
            <w:tcBorders>
              <w:top w:val="single" w:sz="4" w:space="0" w:color="auto"/>
              <w:left w:val="nil"/>
              <w:bottom w:val="single" w:sz="4" w:space="0" w:color="auto"/>
              <w:right w:val="single" w:sz="4" w:space="0" w:color="auto"/>
            </w:tcBorders>
            <w:shd w:val="clear" w:color="auto" w:fill="C6EFCE"/>
            <w:noWrap/>
            <w:vAlign w:val="bottom"/>
            <w:hideMark/>
          </w:tcPr>
          <w:p w14:paraId="0E0471C1" w14:textId="77777777" w:rsidR="00F208CE" w:rsidRDefault="00F208CE">
            <w:pPr>
              <w:spacing w:after="0"/>
              <w:rPr>
                <w:rFonts w:ascii="Times New Roman" w:eastAsia="Times New Roman" w:hAnsi="Times New Roman" w:cs="Times New Roman"/>
                <w:noProof/>
                <w:color w:val="006100"/>
              </w:rPr>
            </w:pPr>
          </w:p>
        </w:tc>
        <w:tc>
          <w:tcPr>
            <w:tcW w:w="1418" w:type="dxa"/>
            <w:tcBorders>
              <w:top w:val="nil"/>
              <w:left w:val="nil"/>
              <w:bottom w:val="single" w:sz="4" w:space="0" w:color="auto"/>
              <w:right w:val="single" w:sz="4" w:space="0" w:color="auto"/>
            </w:tcBorders>
            <w:shd w:val="clear" w:color="auto" w:fill="C6EFCE"/>
            <w:noWrap/>
            <w:vAlign w:val="center"/>
          </w:tcPr>
          <w:p w14:paraId="5B8CB25B" w14:textId="77777777" w:rsidR="00F208CE" w:rsidRDefault="00513E84">
            <w:pPr>
              <w:pStyle w:val="P68B1DB1-Normal8"/>
              <w:spacing w:after="0"/>
              <w:rPr>
                <w:rFonts w:eastAsia="Times New Roman" w:cs="Times New Roman"/>
                <w:noProof/>
              </w:rPr>
            </w:pPr>
            <w:r>
              <w:rPr>
                <w:noProof/>
              </w:rPr>
              <w:t>% (porcentaje)</w:t>
            </w:r>
          </w:p>
        </w:tc>
        <w:tc>
          <w:tcPr>
            <w:tcW w:w="1134" w:type="dxa"/>
            <w:tcBorders>
              <w:top w:val="nil"/>
              <w:left w:val="nil"/>
              <w:bottom w:val="single" w:sz="4" w:space="0" w:color="auto"/>
              <w:right w:val="single" w:sz="4" w:space="0" w:color="auto"/>
            </w:tcBorders>
            <w:shd w:val="clear" w:color="auto" w:fill="C6EFCE"/>
            <w:noWrap/>
            <w:vAlign w:val="center"/>
          </w:tcPr>
          <w:p w14:paraId="3FA34492" w14:textId="77777777" w:rsidR="00F208CE" w:rsidRDefault="00513E84">
            <w:pPr>
              <w:pStyle w:val="P68B1DB1-Normal8"/>
              <w:spacing w:after="0"/>
              <w:jc w:val="right"/>
              <w:rPr>
                <w:rFonts w:eastAsia="Times New Roman"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758A6403" w14:textId="77777777" w:rsidR="00F208CE" w:rsidRDefault="00513E84">
            <w:pPr>
              <w:pStyle w:val="P68B1DB1-Normal8"/>
              <w:spacing w:after="0"/>
              <w:jc w:val="right"/>
              <w:rPr>
                <w:rFonts w:eastAsia="Times New Roman" w:cs="Times New Roman"/>
                <w:noProof/>
              </w:rPr>
            </w:pPr>
            <w:r>
              <w:rPr>
                <w:noProof/>
              </w:rPr>
              <w:t>20</w:t>
            </w:r>
          </w:p>
        </w:tc>
        <w:tc>
          <w:tcPr>
            <w:tcW w:w="992" w:type="dxa"/>
            <w:tcBorders>
              <w:top w:val="nil"/>
              <w:left w:val="nil"/>
              <w:bottom w:val="single" w:sz="4" w:space="0" w:color="auto"/>
              <w:right w:val="single" w:sz="4" w:space="0" w:color="auto"/>
            </w:tcBorders>
            <w:shd w:val="clear" w:color="auto" w:fill="C6EFCE"/>
            <w:noWrap/>
            <w:vAlign w:val="center"/>
            <w:hideMark/>
          </w:tcPr>
          <w:p w14:paraId="592BB229"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nil"/>
              <w:left w:val="nil"/>
              <w:bottom w:val="single" w:sz="4" w:space="0" w:color="auto"/>
              <w:right w:val="single" w:sz="4" w:space="0" w:color="auto"/>
            </w:tcBorders>
            <w:shd w:val="clear" w:color="auto" w:fill="C6EFCE"/>
            <w:noWrap/>
            <w:vAlign w:val="center"/>
            <w:hideMark/>
          </w:tcPr>
          <w:p w14:paraId="7C5EBE76" w14:textId="77777777" w:rsidR="00F208CE" w:rsidRDefault="00513E84">
            <w:pPr>
              <w:pStyle w:val="P68B1DB1-Normal8"/>
              <w:spacing w:after="0"/>
              <w:jc w:val="center"/>
              <w:rPr>
                <w:rFonts w:eastAsia="Times New Roman" w:cs="Times New Roman"/>
                <w:noProof/>
              </w:rPr>
            </w:pPr>
            <w:r>
              <w:rPr>
                <w:noProof/>
              </w:rPr>
              <w:t>2026</w:t>
            </w:r>
          </w:p>
        </w:tc>
        <w:tc>
          <w:tcPr>
            <w:tcW w:w="2977" w:type="dxa"/>
            <w:tcBorders>
              <w:top w:val="single" w:sz="4" w:space="0" w:color="auto"/>
              <w:left w:val="nil"/>
              <w:bottom w:val="single" w:sz="4" w:space="0" w:color="auto"/>
              <w:right w:val="single" w:sz="4" w:space="0" w:color="auto"/>
            </w:tcBorders>
            <w:shd w:val="clear" w:color="auto" w:fill="C6EFCE"/>
            <w:noWrap/>
            <w:vAlign w:val="center"/>
          </w:tcPr>
          <w:p w14:paraId="59BDA077" w14:textId="3968D1B6" w:rsidR="00F208CE" w:rsidRDefault="00513E84">
            <w:pPr>
              <w:pStyle w:val="P68B1DB1-Normal8"/>
              <w:spacing w:after="0"/>
              <w:rPr>
                <w:rFonts w:eastAsia="Times New Roman" w:cs="Times New Roman"/>
                <w:noProof/>
              </w:rPr>
            </w:pPr>
            <w:r>
              <w:rPr>
                <w:noProof/>
              </w:rPr>
              <w:t xml:space="preserve">El 20 % de los hogares (7 400 viviendas) de la Comunidad </w:t>
            </w:r>
            <w:r>
              <w:rPr>
                <w:noProof/>
              </w:rPr>
              <w:t>Germanófona en zonas de fibra blanca tienen acceso a redes de fibra fija de muy alta capacidad.</w:t>
            </w:r>
          </w:p>
        </w:tc>
      </w:tr>
      <w:tr w:rsidR="00F208CE" w14:paraId="46E141BA" w14:textId="77777777">
        <w:trPr>
          <w:trHeight w:val="309"/>
          <w:jc w:val="center"/>
        </w:trPr>
        <w:tc>
          <w:tcPr>
            <w:tcW w:w="715" w:type="dxa"/>
            <w:tcBorders>
              <w:top w:val="nil"/>
              <w:left w:val="single" w:sz="4" w:space="0" w:color="auto"/>
              <w:bottom w:val="single" w:sz="4" w:space="0" w:color="auto"/>
              <w:right w:val="single" w:sz="4" w:space="0" w:color="auto"/>
            </w:tcBorders>
            <w:shd w:val="clear" w:color="auto" w:fill="C6EFCE"/>
            <w:noWrap/>
            <w:vAlign w:val="center"/>
            <w:hideMark/>
          </w:tcPr>
          <w:p w14:paraId="57404213" w14:textId="77777777" w:rsidR="00F208CE" w:rsidRDefault="00513E84">
            <w:pPr>
              <w:pStyle w:val="P68B1DB1-Normal8"/>
              <w:spacing w:after="0"/>
              <w:jc w:val="center"/>
              <w:rPr>
                <w:rFonts w:eastAsia="Times New Roman" w:cs="Times New Roman"/>
                <w:noProof/>
              </w:rPr>
            </w:pPr>
            <w:r>
              <w:rPr>
                <w:noProof/>
              </w:rPr>
              <w:t>81</w:t>
            </w:r>
          </w:p>
        </w:tc>
        <w:tc>
          <w:tcPr>
            <w:tcW w:w="2115" w:type="dxa"/>
            <w:tcBorders>
              <w:top w:val="nil"/>
              <w:left w:val="nil"/>
              <w:bottom w:val="single" w:sz="4" w:space="0" w:color="auto"/>
              <w:right w:val="single" w:sz="4" w:space="0" w:color="auto"/>
            </w:tcBorders>
            <w:shd w:val="clear" w:color="auto" w:fill="C6EFCE"/>
            <w:noWrap/>
            <w:vAlign w:val="center"/>
            <w:hideMark/>
          </w:tcPr>
          <w:p w14:paraId="5733AD31" w14:textId="77777777" w:rsidR="00F208CE" w:rsidRDefault="00513E84">
            <w:pPr>
              <w:pStyle w:val="P68B1DB1-Normal8"/>
              <w:spacing w:after="0"/>
              <w:rPr>
                <w:rFonts w:eastAsia="Times New Roman" w:cs="Times New Roman"/>
                <w:noProof/>
              </w:rPr>
            </w:pPr>
            <w:r>
              <w:rPr>
                <w:noProof/>
              </w:rPr>
              <w:t>Desarrollo de un instituto de IA para utilizar esta tecnología para hacer frente a los retos sociales (I-2.14)</w:t>
            </w:r>
          </w:p>
        </w:tc>
        <w:tc>
          <w:tcPr>
            <w:tcW w:w="993" w:type="dxa"/>
            <w:tcBorders>
              <w:top w:val="nil"/>
              <w:left w:val="nil"/>
              <w:bottom w:val="single" w:sz="4" w:space="0" w:color="auto"/>
              <w:right w:val="single" w:sz="4" w:space="0" w:color="auto"/>
            </w:tcBorders>
            <w:shd w:val="clear" w:color="auto" w:fill="C6EFCE"/>
            <w:noWrap/>
            <w:vAlign w:val="center"/>
          </w:tcPr>
          <w:p w14:paraId="748805EB" w14:textId="262F71E7" w:rsidR="00F208CE" w:rsidRDefault="00513E84">
            <w:pPr>
              <w:pStyle w:val="P68B1DB1-Normal8"/>
              <w:spacing w:after="0"/>
              <w:rPr>
                <w:rFonts w:eastAsia="Times New Roman" w:cs="Times New Roman"/>
                <w:noProof/>
              </w:rPr>
            </w:pPr>
            <w:r>
              <w:rPr>
                <w:noProof/>
              </w:rPr>
              <w:t>M</w:t>
            </w:r>
          </w:p>
        </w:tc>
        <w:tc>
          <w:tcPr>
            <w:tcW w:w="1701" w:type="dxa"/>
            <w:tcBorders>
              <w:top w:val="nil"/>
              <w:left w:val="nil"/>
              <w:bottom w:val="single" w:sz="4" w:space="0" w:color="auto"/>
              <w:right w:val="single" w:sz="4" w:space="0" w:color="auto"/>
            </w:tcBorders>
            <w:shd w:val="clear" w:color="auto" w:fill="C6EFCE"/>
            <w:noWrap/>
            <w:vAlign w:val="center"/>
          </w:tcPr>
          <w:p w14:paraId="2157EF66" w14:textId="77777777" w:rsidR="00F208CE" w:rsidRDefault="00513E84">
            <w:pPr>
              <w:pStyle w:val="P68B1DB1-Normal8"/>
              <w:spacing w:after="0"/>
              <w:rPr>
                <w:rFonts w:eastAsia="Times New Roman" w:cs="Times New Roman"/>
                <w:noProof/>
              </w:rPr>
            </w:pPr>
            <w:r>
              <w:rPr>
                <w:noProof/>
              </w:rPr>
              <w:t xml:space="preserve">Finalización de proyectos piloto por parte </w:t>
            </w:r>
            <w:r>
              <w:rPr>
                <w:noProof/>
              </w:rPr>
              <w:t>de la IA para el Instituto del Bien Común</w:t>
            </w:r>
          </w:p>
        </w:tc>
        <w:tc>
          <w:tcPr>
            <w:tcW w:w="1842" w:type="dxa"/>
            <w:tcBorders>
              <w:top w:val="nil"/>
              <w:left w:val="nil"/>
              <w:bottom w:val="single" w:sz="4" w:space="0" w:color="auto"/>
              <w:right w:val="single" w:sz="4" w:space="0" w:color="auto"/>
            </w:tcBorders>
            <w:shd w:val="clear" w:color="auto" w:fill="C6EFCE"/>
            <w:noWrap/>
            <w:vAlign w:val="center"/>
          </w:tcPr>
          <w:p w14:paraId="4587EC9A" w14:textId="77777777" w:rsidR="00F208CE" w:rsidRDefault="00513E84">
            <w:pPr>
              <w:pStyle w:val="P68B1DB1-Normal8"/>
              <w:spacing w:after="0"/>
              <w:rPr>
                <w:rFonts w:eastAsia="Times New Roman" w:cs="Times New Roman"/>
                <w:noProof/>
              </w:rPr>
            </w:pPr>
            <w:r>
              <w:rPr>
                <w:noProof/>
              </w:rPr>
              <w:t xml:space="preserve">Informe final aprobado sobre proyectos piloto por la IA para el Instituto del Bien Común </w:t>
            </w:r>
          </w:p>
        </w:tc>
        <w:tc>
          <w:tcPr>
            <w:tcW w:w="1418" w:type="dxa"/>
            <w:tcBorders>
              <w:top w:val="nil"/>
              <w:left w:val="nil"/>
              <w:bottom w:val="single" w:sz="4" w:space="0" w:color="auto"/>
              <w:right w:val="single" w:sz="4" w:space="0" w:color="auto"/>
            </w:tcBorders>
            <w:shd w:val="clear" w:color="auto" w:fill="C6EFCE"/>
            <w:noWrap/>
            <w:vAlign w:val="center"/>
          </w:tcPr>
          <w:p w14:paraId="0A8CB3E7" w14:textId="77777777" w:rsidR="00F208CE" w:rsidRDefault="00F208CE">
            <w:pPr>
              <w:spacing w:after="0"/>
              <w:rPr>
                <w:rFonts w:ascii="Times New Roman" w:eastAsia="Times New Roman" w:hAnsi="Times New Roman" w:cs="Times New Roman"/>
                <w:noProof/>
                <w:color w:val="006100"/>
              </w:rPr>
            </w:pPr>
          </w:p>
        </w:tc>
        <w:tc>
          <w:tcPr>
            <w:tcW w:w="1134" w:type="dxa"/>
            <w:tcBorders>
              <w:top w:val="nil"/>
              <w:left w:val="nil"/>
              <w:bottom w:val="single" w:sz="4" w:space="0" w:color="auto"/>
              <w:right w:val="single" w:sz="4" w:space="0" w:color="auto"/>
            </w:tcBorders>
            <w:shd w:val="clear" w:color="auto" w:fill="C6EFCE"/>
            <w:noWrap/>
            <w:vAlign w:val="center"/>
          </w:tcPr>
          <w:p w14:paraId="52DE643B"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38B817EE"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097ADFE7"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nil"/>
              <w:left w:val="nil"/>
              <w:bottom w:val="single" w:sz="4" w:space="0" w:color="auto"/>
              <w:right w:val="single" w:sz="4" w:space="0" w:color="auto"/>
            </w:tcBorders>
            <w:shd w:val="clear" w:color="auto" w:fill="C6EFCE"/>
            <w:noWrap/>
            <w:vAlign w:val="center"/>
          </w:tcPr>
          <w:p w14:paraId="49EC5D9C" w14:textId="77777777" w:rsidR="00F208CE" w:rsidRDefault="00513E84">
            <w:pPr>
              <w:pStyle w:val="P68B1DB1-Normal8"/>
              <w:spacing w:after="0"/>
              <w:jc w:val="center"/>
              <w:rPr>
                <w:rFonts w:eastAsia="Times New Roman" w:cs="Times New Roman"/>
                <w:noProof/>
              </w:rPr>
            </w:pPr>
            <w:r>
              <w:rPr>
                <w:noProof/>
              </w:rPr>
              <w:t>2022</w:t>
            </w:r>
          </w:p>
        </w:tc>
        <w:tc>
          <w:tcPr>
            <w:tcW w:w="2977" w:type="dxa"/>
            <w:tcBorders>
              <w:top w:val="nil"/>
              <w:left w:val="nil"/>
              <w:bottom w:val="single" w:sz="4" w:space="0" w:color="auto"/>
              <w:right w:val="single" w:sz="4" w:space="0" w:color="auto"/>
            </w:tcBorders>
            <w:shd w:val="clear" w:color="auto" w:fill="C6EFCE"/>
            <w:noWrap/>
            <w:vAlign w:val="center"/>
          </w:tcPr>
          <w:p w14:paraId="0BD00876" w14:textId="77777777" w:rsidR="00F208CE" w:rsidRDefault="00513E84">
            <w:pPr>
              <w:pStyle w:val="P68B1DB1-Normal8"/>
              <w:spacing w:after="0"/>
              <w:rPr>
                <w:rFonts w:eastAsia="Times New Roman" w:cs="Times New Roman"/>
                <w:noProof/>
              </w:rPr>
            </w:pPr>
            <w:r>
              <w:rPr>
                <w:noProof/>
              </w:rPr>
              <w:t>Se completaron cuatro proyectos piloto de IA para el Instituto del Bien Común, que ofrecían servi</w:t>
            </w:r>
            <w:r>
              <w:rPr>
                <w:noProof/>
              </w:rPr>
              <w:t>cios de apoyo (como formación, desarrollo de pruebas de conceptos de soluciones de software) a organizaciones con fines lucrativos o sin ánimo de lucro u organizaciones públicas en ámbitos como la educación en inteligencia artificial, la asistencia sanitar</w:t>
            </w:r>
            <w:r>
              <w:rPr>
                <w:noProof/>
              </w:rPr>
              <w:t>ia y el empleo en la Región de Bruselas.</w:t>
            </w:r>
          </w:p>
        </w:tc>
      </w:tr>
      <w:tr w:rsidR="00F208CE" w14:paraId="5976ECD3" w14:textId="77777777">
        <w:trPr>
          <w:trHeight w:val="309"/>
          <w:jc w:val="center"/>
        </w:trPr>
        <w:tc>
          <w:tcPr>
            <w:tcW w:w="715" w:type="dxa"/>
            <w:tcBorders>
              <w:top w:val="nil"/>
              <w:left w:val="single" w:sz="4" w:space="0" w:color="auto"/>
              <w:bottom w:val="single" w:sz="4" w:space="0" w:color="auto"/>
              <w:right w:val="single" w:sz="4" w:space="0" w:color="auto"/>
            </w:tcBorders>
            <w:shd w:val="clear" w:color="auto" w:fill="C6EFCE"/>
            <w:noWrap/>
            <w:vAlign w:val="center"/>
          </w:tcPr>
          <w:p w14:paraId="4AA35283" w14:textId="77777777" w:rsidR="00F208CE" w:rsidRDefault="00513E84">
            <w:pPr>
              <w:pStyle w:val="P68B1DB1-Normal8"/>
              <w:spacing w:after="0"/>
              <w:jc w:val="center"/>
              <w:rPr>
                <w:rFonts w:eastAsia="Times New Roman" w:cs="Times New Roman"/>
                <w:noProof/>
              </w:rPr>
            </w:pPr>
            <w:r>
              <w:rPr>
                <w:noProof/>
              </w:rPr>
              <w:t>82</w:t>
            </w:r>
          </w:p>
        </w:tc>
        <w:tc>
          <w:tcPr>
            <w:tcW w:w="2115" w:type="dxa"/>
            <w:tcBorders>
              <w:top w:val="nil"/>
              <w:left w:val="nil"/>
              <w:bottom w:val="single" w:sz="4" w:space="0" w:color="auto"/>
              <w:right w:val="single" w:sz="4" w:space="0" w:color="auto"/>
            </w:tcBorders>
            <w:shd w:val="clear" w:color="auto" w:fill="C6EFCE"/>
            <w:noWrap/>
            <w:vAlign w:val="center"/>
          </w:tcPr>
          <w:p w14:paraId="76A1528A" w14:textId="77777777" w:rsidR="00F208CE" w:rsidRDefault="00513E84">
            <w:pPr>
              <w:pStyle w:val="P68B1DB1-Normal8"/>
              <w:spacing w:after="0"/>
              <w:rPr>
                <w:rFonts w:eastAsia="Times New Roman" w:cs="Times New Roman"/>
                <w:noProof/>
              </w:rPr>
            </w:pPr>
            <w:r>
              <w:rPr>
                <w:noProof/>
              </w:rPr>
              <w:t>Desarrollo de un instituto de IA para utilizar esta tecnología para hacer frente a los retos sociales (I-2.14)</w:t>
            </w:r>
          </w:p>
        </w:tc>
        <w:tc>
          <w:tcPr>
            <w:tcW w:w="993" w:type="dxa"/>
            <w:tcBorders>
              <w:top w:val="nil"/>
              <w:left w:val="nil"/>
              <w:bottom w:val="single" w:sz="4" w:space="0" w:color="auto"/>
              <w:right w:val="single" w:sz="4" w:space="0" w:color="auto"/>
            </w:tcBorders>
            <w:shd w:val="clear" w:color="auto" w:fill="C6EFCE"/>
            <w:noWrap/>
            <w:vAlign w:val="center"/>
          </w:tcPr>
          <w:p w14:paraId="25E86801" w14:textId="7A6412E0" w:rsidR="00F208CE" w:rsidRDefault="00513E84">
            <w:pPr>
              <w:pStyle w:val="P68B1DB1-Normal8"/>
              <w:spacing w:after="0"/>
              <w:rPr>
                <w:rFonts w:eastAsia="Times New Roman" w:cs="Times New Roman"/>
                <w:noProof/>
              </w:rPr>
            </w:pPr>
            <w:r>
              <w:rPr>
                <w:noProof/>
              </w:rPr>
              <w:t>M</w:t>
            </w:r>
          </w:p>
        </w:tc>
        <w:tc>
          <w:tcPr>
            <w:tcW w:w="1701" w:type="dxa"/>
            <w:tcBorders>
              <w:top w:val="nil"/>
              <w:left w:val="nil"/>
              <w:bottom w:val="single" w:sz="4" w:space="0" w:color="auto"/>
              <w:right w:val="single" w:sz="4" w:space="0" w:color="auto"/>
            </w:tcBorders>
            <w:shd w:val="clear" w:color="auto" w:fill="C6EFCE"/>
            <w:noWrap/>
            <w:vAlign w:val="center"/>
          </w:tcPr>
          <w:p w14:paraId="5FEAA92E" w14:textId="77777777" w:rsidR="00F208CE" w:rsidRDefault="00513E84">
            <w:pPr>
              <w:pStyle w:val="P68B1DB1-Normal8"/>
              <w:spacing w:after="0"/>
              <w:rPr>
                <w:rFonts w:eastAsia="Times New Roman" w:cs="Times New Roman"/>
                <w:noProof/>
              </w:rPr>
            </w:pPr>
            <w:r>
              <w:rPr>
                <w:noProof/>
              </w:rPr>
              <w:t>Equipo de expertos creado en el marco de la IA para el Instituto del Bien Común</w:t>
            </w:r>
          </w:p>
        </w:tc>
        <w:tc>
          <w:tcPr>
            <w:tcW w:w="1842" w:type="dxa"/>
            <w:tcBorders>
              <w:top w:val="nil"/>
              <w:left w:val="nil"/>
              <w:bottom w:val="single" w:sz="4" w:space="0" w:color="auto"/>
              <w:right w:val="single" w:sz="4" w:space="0" w:color="auto"/>
            </w:tcBorders>
            <w:shd w:val="clear" w:color="auto" w:fill="C6EFCE"/>
            <w:noWrap/>
            <w:vAlign w:val="center"/>
          </w:tcPr>
          <w:p w14:paraId="48693A1A" w14:textId="77777777" w:rsidR="00F208CE" w:rsidRDefault="00513E84">
            <w:pPr>
              <w:pStyle w:val="P68B1DB1-Normal8"/>
              <w:spacing w:after="0"/>
              <w:rPr>
                <w:rFonts w:eastAsia="Times New Roman" w:cs="Times New Roman"/>
                <w:noProof/>
              </w:rPr>
            </w:pPr>
            <w:r>
              <w:rPr>
                <w:noProof/>
              </w:rPr>
              <w:t xml:space="preserve">Equipo </w:t>
            </w:r>
            <w:r>
              <w:rPr>
                <w:noProof/>
              </w:rPr>
              <w:t>multidisciplinar de expertos en inteligencia artificial y robótica de datos creado en el marco de la IA para el Instituto del Bien Común</w:t>
            </w:r>
          </w:p>
        </w:tc>
        <w:tc>
          <w:tcPr>
            <w:tcW w:w="1418" w:type="dxa"/>
            <w:tcBorders>
              <w:top w:val="nil"/>
              <w:left w:val="nil"/>
              <w:bottom w:val="single" w:sz="4" w:space="0" w:color="auto"/>
              <w:right w:val="single" w:sz="4" w:space="0" w:color="auto"/>
            </w:tcBorders>
            <w:shd w:val="clear" w:color="auto" w:fill="C6EFCE"/>
            <w:noWrap/>
            <w:vAlign w:val="center"/>
          </w:tcPr>
          <w:p w14:paraId="07E6E2F9" w14:textId="77777777" w:rsidR="00F208CE" w:rsidRDefault="00F208CE">
            <w:pPr>
              <w:spacing w:after="0"/>
              <w:rPr>
                <w:rFonts w:ascii="Times New Roman" w:eastAsia="Times New Roman" w:hAnsi="Times New Roman" w:cs="Times New Roman"/>
                <w:noProof/>
                <w:color w:val="006100"/>
              </w:rPr>
            </w:pPr>
          </w:p>
        </w:tc>
        <w:tc>
          <w:tcPr>
            <w:tcW w:w="1134" w:type="dxa"/>
            <w:tcBorders>
              <w:top w:val="nil"/>
              <w:left w:val="nil"/>
              <w:bottom w:val="single" w:sz="4" w:space="0" w:color="auto"/>
              <w:right w:val="single" w:sz="4" w:space="0" w:color="auto"/>
            </w:tcBorders>
            <w:shd w:val="clear" w:color="auto" w:fill="C6EFCE"/>
            <w:noWrap/>
            <w:vAlign w:val="center"/>
          </w:tcPr>
          <w:p w14:paraId="3F9E10AC"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2DF26263" w14:textId="77777777"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46B549E1"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33E01561" w14:textId="77777777" w:rsidR="00F208CE" w:rsidRDefault="00513E84">
            <w:pPr>
              <w:pStyle w:val="P68B1DB1-Normal8"/>
              <w:spacing w:after="0"/>
              <w:jc w:val="center"/>
              <w:rPr>
                <w:rFonts w:eastAsia="Times New Roman" w:cs="Times New Roman"/>
                <w:noProof/>
              </w:rPr>
            </w:pPr>
            <w:r>
              <w:rPr>
                <w:noProof/>
              </w:rPr>
              <w:t>2023</w:t>
            </w:r>
          </w:p>
        </w:tc>
        <w:tc>
          <w:tcPr>
            <w:tcW w:w="2977" w:type="dxa"/>
            <w:tcBorders>
              <w:top w:val="nil"/>
              <w:left w:val="nil"/>
              <w:bottom w:val="single" w:sz="4" w:space="0" w:color="auto"/>
              <w:right w:val="single" w:sz="4" w:space="0" w:color="auto"/>
            </w:tcBorders>
            <w:shd w:val="clear" w:color="auto" w:fill="C6EFCE"/>
            <w:noWrap/>
            <w:vAlign w:val="center"/>
          </w:tcPr>
          <w:p w14:paraId="36A0FF82" w14:textId="77777777" w:rsidR="00F208CE" w:rsidRDefault="00513E84">
            <w:pPr>
              <w:pStyle w:val="P68B1DB1-Normal8"/>
              <w:spacing w:after="0"/>
              <w:rPr>
                <w:rFonts w:eastAsia="Times New Roman" w:cs="Times New Roman"/>
                <w:noProof/>
              </w:rPr>
            </w:pPr>
            <w:r>
              <w:rPr>
                <w:noProof/>
              </w:rPr>
              <w:t>Se crea un equipo multidisciplinar de expertos en inteligencia artificial y robótica de dato</w:t>
            </w:r>
            <w:r>
              <w:rPr>
                <w:noProof/>
              </w:rPr>
              <w:t>s dentro de la IA para el Instituto del Bien Común, que estará preparado para apoyar los servicios públicos prestados por la Región de Bruselas-Capital y para la transición digital de esta región.</w:t>
            </w:r>
          </w:p>
        </w:tc>
      </w:tr>
      <w:tr w:rsidR="00F208CE" w14:paraId="00850065" w14:textId="77777777">
        <w:trPr>
          <w:trHeight w:val="309"/>
          <w:jc w:val="center"/>
        </w:trPr>
        <w:tc>
          <w:tcPr>
            <w:tcW w:w="715" w:type="dxa"/>
            <w:tcBorders>
              <w:top w:val="nil"/>
              <w:left w:val="single" w:sz="4" w:space="0" w:color="auto"/>
              <w:bottom w:val="single" w:sz="4" w:space="0" w:color="auto"/>
              <w:right w:val="single" w:sz="4" w:space="0" w:color="auto"/>
            </w:tcBorders>
            <w:shd w:val="clear" w:color="auto" w:fill="C6EFCE"/>
            <w:noWrap/>
            <w:vAlign w:val="center"/>
          </w:tcPr>
          <w:p w14:paraId="4268493F" w14:textId="77777777" w:rsidR="00F208CE" w:rsidRDefault="00513E84">
            <w:pPr>
              <w:pStyle w:val="P68B1DB1-Normal8"/>
              <w:spacing w:after="0"/>
              <w:jc w:val="center"/>
              <w:rPr>
                <w:rFonts w:eastAsia="Times New Roman" w:cs="Times New Roman"/>
                <w:noProof/>
              </w:rPr>
            </w:pPr>
            <w:r>
              <w:rPr>
                <w:noProof/>
              </w:rPr>
              <w:t>83</w:t>
            </w:r>
          </w:p>
        </w:tc>
        <w:tc>
          <w:tcPr>
            <w:tcW w:w="2115" w:type="dxa"/>
            <w:tcBorders>
              <w:top w:val="nil"/>
              <w:left w:val="nil"/>
              <w:bottom w:val="single" w:sz="4" w:space="0" w:color="auto"/>
              <w:right w:val="single" w:sz="4" w:space="0" w:color="auto"/>
            </w:tcBorders>
            <w:shd w:val="clear" w:color="auto" w:fill="C6EFCE"/>
            <w:noWrap/>
            <w:vAlign w:val="center"/>
          </w:tcPr>
          <w:p w14:paraId="35CED39F" w14:textId="77777777" w:rsidR="00F208CE" w:rsidRDefault="00513E84">
            <w:pPr>
              <w:pStyle w:val="P68B1DB1-Normal8"/>
              <w:spacing w:after="0"/>
              <w:rPr>
                <w:rFonts w:eastAsia="Times New Roman" w:cs="Times New Roman"/>
                <w:noProof/>
              </w:rPr>
            </w:pPr>
            <w:r>
              <w:rPr>
                <w:noProof/>
              </w:rPr>
              <w:t xml:space="preserve">Desarrollo de un instituto de IA para utilizar esta </w:t>
            </w:r>
            <w:r>
              <w:rPr>
                <w:noProof/>
              </w:rPr>
              <w:t>tecnología para hacer frente a los retos sociales (I-2.14)</w:t>
            </w:r>
          </w:p>
        </w:tc>
        <w:tc>
          <w:tcPr>
            <w:tcW w:w="993" w:type="dxa"/>
            <w:tcBorders>
              <w:top w:val="nil"/>
              <w:left w:val="nil"/>
              <w:bottom w:val="single" w:sz="4" w:space="0" w:color="auto"/>
              <w:right w:val="single" w:sz="4" w:space="0" w:color="auto"/>
            </w:tcBorders>
            <w:shd w:val="clear" w:color="auto" w:fill="C6EFCE"/>
            <w:noWrap/>
            <w:vAlign w:val="center"/>
          </w:tcPr>
          <w:p w14:paraId="5A995D84" w14:textId="163580CA" w:rsidR="00F208CE" w:rsidRDefault="00513E84">
            <w:pPr>
              <w:pStyle w:val="P68B1DB1-Normal8"/>
              <w:spacing w:after="0"/>
              <w:rPr>
                <w:rFonts w:eastAsia="Times New Roman" w:cs="Times New Roman"/>
                <w:noProof/>
              </w:rPr>
            </w:pPr>
            <w:r>
              <w:rPr>
                <w:noProof/>
              </w:rPr>
              <w:t>T</w:t>
            </w:r>
          </w:p>
        </w:tc>
        <w:tc>
          <w:tcPr>
            <w:tcW w:w="1701" w:type="dxa"/>
            <w:tcBorders>
              <w:top w:val="nil"/>
              <w:left w:val="nil"/>
              <w:bottom w:val="single" w:sz="4" w:space="0" w:color="auto"/>
              <w:right w:val="single" w:sz="4" w:space="0" w:color="auto"/>
            </w:tcBorders>
            <w:shd w:val="clear" w:color="auto" w:fill="C6EFCE"/>
            <w:noWrap/>
            <w:vAlign w:val="center"/>
          </w:tcPr>
          <w:p w14:paraId="48A57A3A" w14:textId="77777777" w:rsidR="00F208CE" w:rsidRDefault="00513E84">
            <w:pPr>
              <w:pStyle w:val="P68B1DB1-Normal8"/>
              <w:spacing w:after="0"/>
              <w:rPr>
                <w:rFonts w:eastAsia="Times New Roman" w:cs="Times New Roman"/>
                <w:noProof/>
              </w:rPr>
            </w:pPr>
            <w:r>
              <w:rPr>
                <w:noProof/>
              </w:rPr>
              <w:t>Servicios de IA prestados por el Instituto del Bien Común</w:t>
            </w:r>
          </w:p>
        </w:tc>
        <w:tc>
          <w:tcPr>
            <w:tcW w:w="1842" w:type="dxa"/>
            <w:tcBorders>
              <w:top w:val="nil"/>
              <w:left w:val="nil"/>
              <w:bottom w:val="single" w:sz="4" w:space="0" w:color="auto"/>
              <w:right w:val="single" w:sz="4" w:space="0" w:color="auto"/>
            </w:tcBorders>
            <w:shd w:val="clear" w:color="auto" w:fill="C6EFCE"/>
            <w:noWrap/>
            <w:vAlign w:val="center"/>
          </w:tcPr>
          <w:p w14:paraId="0F4EE4C8" w14:textId="77777777" w:rsidR="00F208CE" w:rsidRDefault="00F208CE">
            <w:pPr>
              <w:spacing w:after="0"/>
              <w:rPr>
                <w:rFonts w:ascii="Times New Roman" w:eastAsia="Times New Roman" w:hAnsi="Times New Roman" w:cs="Times New Roman"/>
                <w:noProof/>
                <w:color w:val="006100"/>
              </w:rPr>
            </w:pPr>
          </w:p>
        </w:tc>
        <w:tc>
          <w:tcPr>
            <w:tcW w:w="1418" w:type="dxa"/>
            <w:tcBorders>
              <w:top w:val="nil"/>
              <w:left w:val="nil"/>
              <w:bottom w:val="single" w:sz="4" w:space="0" w:color="auto"/>
              <w:right w:val="single" w:sz="4" w:space="0" w:color="auto"/>
            </w:tcBorders>
            <w:shd w:val="clear" w:color="auto" w:fill="C6EFCE"/>
            <w:noWrap/>
            <w:vAlign w:val="center"/>
          </w:tcPr>
          <w:p w14:paraId="60AB7ABC" w14:textId="77777777" w:rsidR="00F208CE" w:rsidRDefault="00513E84">
            <w:pPr>
              <w:pStyle w:val="P68B1DB1-Normal8"/>
              <w:spacing w:after="0"/>
              <w:rPr>
                <w:rFonts w:eastAsia="Times New Roman" w:cs="Times New Roman"/>
                <w:noProof/>
              </w:rPr>
            </w:pPr>
            <w:r>
              <w:rPr>
                <w:noProof/>
              </w:rPr>
              <w:t>Número</w:t>
            </w:r>
          </w:p>
        </w:tc>
        <w:tc>
          <w:tcPr>
            <w:tcW w:w="1134" w:type="dxa"/>
            <w:tcBorders>
              <w:top w:val="nil"/>
              <w:left w:val="nil"/>
              <w:bottom w:val="single" w:sz="4" w:space="0" w:color="auto"/>
              <w:right w:val="single" w:sz="4" w:space="0" w:color="auto"/>
            </w:tcBorders>
            <w:shd w:val="clear" w:color="auto" w:fill="C6EFCE"/>
            <w:noWrap/>
            <w:vAlign w:val="center"/>
          </w:tcPr>
          <w:p w14:paraId="2D907356" w14:textId="77777777" w:rsidR="00F208CE" w:rsidRDefault="00513E84">
            <w:pPr>
              <w:pStyle w:val="P68B1DB1-Normal8"/>
              <w:spacing w:after="0"/>
              <w:rPr>
                <w:rFonts w:eastAsia="Times New Roman"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19A57972" w14:textId="77777777" w:rsidR="00F208CE" w:rsidRDefault="00513E84">
            <w:pPr>
              <w:pStyle w:val="P68B1DB1-Normal8"/>
              <w:spacing w:after="0"/>
              <w:rPr>
                <w:rFonts w:eastAsia="Times New Roman" w:cs="Times New Roman"/>
                <w:noProof/>
              </w:rPr>
            </w:pPr>
            <w:r>
              <w:rPr>
                <w:noProof/>
              </w:rPr>
              <w:t>3</w:t>
            </w:r>
          </w:p>
        </w:tc>
        <w:tc>
          <w:tcPr>
            <w:tcW w:w="992" w:type="dxa"/>
            <w:tcBorders>
              <w:top w:val="nil"/>
              <w:left w:val="nil"/>
              <w:bottom w:val="single" w:sz="4" w:space="0" w:color="auto"/>
              <w:right w:val="single" w:sz="4" w:space="0" w:color="auto"/>
            </w:tcBorders>
            <w:shd w:val="clear" w:color="auto" w:fill="C6EFCE"/>
            <w:noWrap/>
            <w:vAlign w:val="center"/>
          </w:tcPr>
          <w:p w14:paraId="7C30BDA9"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74E905E3" w14:textId="77777777" w:rsidR="00F208CE" w:rsidRDefault="00513E84">
            <w:pPr>
              <w:pStyle w:val="P68B1DB1-Normal8"/>
              <w:spacing w:after="0"/>
              <w:jc w:val="center"/>
              <w:rPr>
                <w:rFonts w:eastAsia="Times New Roman" w:cs="Times New Roman"/>
                <w:noProof/>
              </w:rPr>
            </w:pPr>
            <w:r>
              <w:rPr>
                <w:noProof/>
              </w:rPr>
              <w:t>2024</w:t>
            </w:r>
          </w:p>
        </w:tc>
        <w:tc>
          <w:tcPr>
            <w:tcW w:w="2977" w:type="dxa"/>
            <w:tcBorders>
              <w:top w:val="nil"/>
              <w:left w:val="nil"/>
              <w:bottom w:val="single" w:sz="4" w:space="0" w:color="auto"/>
              <w:right w:val="single" w:sz="4" w:space="0" w:color="auto"/>
            </w:tcBorders>
            <w:shd w:val="clear" w:color="auto" w:fill="C6EFCE"/>
            <w:noWrap/>
            <w:vAlign w:val="center"/>
          </w:tcPr>
          <w:p w14:paraId="2A93BB4B" w14:textId="77777777" w:rsidR="00F208CE" w:rsidRDefault="00513E84">
            <w:pPr>
              <w:pStyle w:val="P68B1DB1-Normal8"/>
              <w:spacing w:after="0"/>
              <w:rPr>
                <w:rFonts w:eastAsia="Times New Roman" w:cs="Times New Roman"/>
                <w:noProof/>
              </w:rPr>
            </w:pPr>
            <w:r>
              <w:rPr>
                <w:noProof/>
              </w:rPr>
              <w:t xml:space="preserve">Tres servicios de IA prestados por el Instituto del Bien Común a las autoridades locales, es decir, </w:t>
            </w:r>
            <w:r>
              <w:rPr>
                <w:noProof/>
              </w:rPr>
              <w:t>apoyo digital doble, formación y actividades de asesoramiento relacionadas con los servicios a los ciudadanos (como el compromiso).</w:t>
            </w:r>
          </w:p>
        </w:tc>
      </w:tr>
      <w:tr w:rsidR="00F208CE" w14:paraId="10A71E4D" w14:textId="77777777">
        <w:trPr>
          <w:trHeight w:val="309"/>
          <w:jc w:val="center"/>
        </w:trPr>
        <w:tc>
          <w:tcPr>
            <w:tcW w:w="715" w:type="dxa"/>
            <w:tcBorders>
              <w:top w:val="nil"/>
              <w:left w:val="single" w:sz="4" w:space="0" w:color="auto"/>
              <w:bottom w:val="single" w:sz="4" w:space="0" w:color="auto"/>
              <w:right w:val="single" w:sz="4" w:space="0" w:color="auto"/>
            </w:tcBorders>
            <w:shd w:val="clear" w:color="auto" w:fill="C6EFCE"/>
            <w:noWrap/>
            <w:vAlign w:val="center"/>
          </w:tcPr>
          <w:p w14:paraId="096CD57F" w14:textId="77777777" w:rsidR="00F208CE" w:rsidRDefault="00513E84">
            <w:pPr>
              <w:pStyle w:val="P68B1DB1-Normal8"/>
              <w:spacing w:after="0"/>
              <w:jc w:val="center"/>
              <w:rPr>
                <w:rFonts w:eastAsia="Times New Roman" w:cs="Times New Roman"/>
                <w:noProof/>
              </w:rPr>
            </w:pPr>
            <w:r>
              <w:rPr>
                <w:noProof/>
              </w:rPr>
              <w:t>84</w:t>
            </w:r>
          </w:p>
        </w:tc>
        <w:tc>
          <w:tcPr>
            <w:tcW w:w="2115" w:type="dxa"/>
            <w:tcBorders>
              <w:top w:val="nil"/>
              <w:left w:val="nil"/>
              <w:bottom w:val="single" w:sz="4" w:space="0" w:color="auto"/>
              <w:right w:val="single" w:sz="4" w:space="0" w:color="auto"/>
            </w:tcBorders>
            <w:shd w:val="clear" w:color="auto" w:fill="C6EFCE"/>
            <w:noWrap/>
            <w:vAlign w:val="center"/>
          </w:tcPr>
          <w:p w14:paraId="2F472276" w14:textId="748D6BF0" w:rsidR="00F208CE" w:rsidRDefault="00513E84">
            <w:pPr>
              <w:pStyle w:val="P68B1DB1-Normal8"/>
              <w:spacing w:after="0"/>
              <w:rPr>
                <w:rFonts w:eastAsia="Times New Roman" w:cs="Times New Roman"/>
                <w:noProof/>
              </w:rPr>
            </w:pPr>
            <w:r>
              <w:rPr>
                <w:noProof/>
              </w:rPr>
              <w:t>Mejora de la conectividad de 35 parques empresariales en Valonia (I-2.15)</w:t>
            </w:r>
          </w:p>
        </w:tc>
        <w:tc>
          <w:tcPr>
            <w:tcW w:w="993" w:type="dxa"/>
            <w:tcBorders>
              <w:top w:val="nil"/>
              <w:left w:val="nil"/>
              <w:bottom w:val="single" w:sz="4" w:space="0" w:color="auto"/>
              <w:right w:val="single" w:sz="4" w:space="0" w:color="auto"/>
            </w:tcBorders>
            <w:shd w:val="clear" w:color="auto" w:fill="C6EFCE"/>
            <w:noWrap/>
            <w:vAlign w:val="center"/>
          </w:tcPr>
          <w:p w14:paraId="5701C61F" w14:textId="263F6F9F" w:rsidR="00F208CE" w:rsidRDefault="00513E84">
            <w:pPr>
              <w:pStyle w:val="P68B1DB1-Normal8"/>
              <w:spacing w:after="0"/>
              <w:rPr>
                <w:rFonts w:eastAsia="Times New Roman" w:cs="Times New Roman"/>
                <w:noProof/>
              </w:rPr>
            </w:pPr>
            <w:r>
              <w:rPr>
                <w:noProof/>
              </w:rPr>
              <w:t>T</w:t>
            </w:r>
          </w:p>
        </w:tc>
        <w:tc>
          <w:tcPr>
            <w:tcW w:w="1701" w:type="dxa"/>
            <w:tcBorders>
              <w:top w:val="nil"/>
              <w:left w:val="nil"/>
              <w:bottom w:val="single" w:sz="4" w:space="0" w:color="auto"/>
              <w:right w:val="single" w:sz="4" w:space="0" w:color="auto"/>
            </w:tcBorders>
            <w:shd w:val="clear" w:color="auto" w:fill="C6EFCE"/>
            <w:noWrap/>
            <w:vAlign w:val="center"/>
          </w:tcPr>
          <w:p w14:paraId="7A1A6CC3" w14:textId="44D64275" w:rsidR="00F208CE" w:rsidRDefault="00513E84">
            <w:pPr>
              <w:pStyle w:val="P68B1DB1-Normal8"/>
              <w:spacing w:after="0"/>
              <w:rPr>
                <w:rFonts w:eastAsia="Times New Roman" w:cs="Times New Roman"/>
                <w:noProof/>
              </w:rPr>
            </w:pPr>
            <w:r>
              <w:rPr>
                <w:noProof/>
              </w:rPr>
              <w:t>Conectividad de fibra para 35 parques</w:t>
            </w:r>
            <w:r>
              <w:rPr>
                <w:noProof/>
              </w:rPr>
              <w:t xml:space="preserve"> empresariales</w:t>
            </w:r>
          </w:p>
        </w:tc>
        <w:tc>
          <w:tcPr>
            <w:tcW w:w="1842" w:type="dxa"/>
            <w:tcBorders>
              <w:top w:val="nil"/>
              <w:left w:val="nil"/>
              <w:bottom w:val="single" w:sz="4" w:space="0" w:color="auto"/>
              <w:right w:val="single" w:sz="4" w:space="0" w:color="auto"/>
            </w:tcBorders>
            <w:shd w:val="clear" w:color="auto" w:fill="C6EFCE"/>
            <w:noWrap/>
            <w:vAlign w:val="center"/>
          </w:tcPr>
          <w:p w14:paraId="62CB60BC" w14:textId="77777777" w:rsidR="00F208CE" w:rsidRDefault="00F208CE">
            <w:pPr>
              <w:spacing w:after="0"/>
              <w:rPr>
                <w:rFonts w:ascii="Times New Roman" w:eastAsia="Times New Roman" w:hAnsi="Times New Roman" w:cs="Times New Roman"/>
                <w:noProof/>
                <w:color w:val="006100"/>
              </w:rPr>
            </w:pPr>
          </w:p>
        </w:tc>
        <w:tc>
          <w:tcPr>
            <w:tcW w:w="1418" w:type="dxa"/>
            <w:tcBorders>
              <w:top w:val="nil"/>
              <w:left w:val="nil"/>
              <w:bottom w:val="single" w:sz="4" w:space="0" w:color="auto"/>
              <w:right w:val="single" w:sz="4" w:space="0" w:color="auto"/>
            </w:tcBorders>
            <w:shd w:val="clear" w:color="auto" w:fill="C6EFCE"/>
            <w:noWrap/>
            <w:vAlign w:val="center"/>
          </w:tcPr>
          <w:p w14:paraId="2F4AFBB7" w14:textId="77777777" w:rsidR="00F208CE" w:rsidRDefault="00513E84">
            <w:pPr>
              <w:pStyle w:val="P68B1DB1-Normal8"/>
              <w:spacing w:after="0"/>
              <w:rPr>
                <w:rFonts w:eastAsia="Times New Roman" w:cs="Times New Roman"/>
                <w:noProof/>
              </w:rPr>
            </w:pPr>
            <w:r>
              <w:rPr>
                <w:noProof/>
              </w:rPr>
              <w:t>Número</w:t>
            </w:r>
          </w:p>
        </w:tc>
        <w:tc>
          <w:tcPr>
            <w:tcW w:w="1134" w:type="dxa"/>
            <w:tcBorders>
              <w:top w:val="nil"/>
              <w:left w:val="nil"/>
              <w:bottom w:val="single" w:sz="4" w:space="0" w:color="auto"/>
              <w:right w:val="single" w:sz="4" w:space="0" w:color="auto"/>
            </w:tcBorders>
            <w:shd w:val="clear" w:color="auto" w:fill="C6EFCE"/>
            <w:noWrap/>
            <w:vAlign w:val="center"/>
          </w:tcPr>
          <w:p w14:paraId="6AA77923" w14:textId="77777777" w:rsidR="00F208CE" w:rsidRDefault="00513E84">
            <w:pPr>
              <w:pStyle w:val="P68B1DB1-Normal8"/>
              <w:spacing w:after="0"/>
              <w:rPr>
                <w:rFonts w:eastAsia="Times New Roman"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35DF35DE" w14:textId="77777777" w:rsidR="00F208CE" w:rsidRDefault="00513E84">
            <w:pPr>
              <w:pStyle w:val="P68B1DB1-Normal8"/>
              <w:spacing w:after="0"/>
              <w:rPr>
                <w:rFonts w:eastAsia="Times New Roman" w:cs="Times New Roman"/>
                <w:noProof/>
              </w:rPr>
            </w:pPr>
            <w:r>
              <w:rPr>
                <w:noProof/>
              </w:rPr>
              <w:t>35</w:t>
            </w:r>
          </w:p>
        </w:tc>
        <w:tc>
          <w:tcPr>
            <w:tcW w:w="992" w:type="dxa"/>
            <w:tcBorders>
              <w:top w:val="nil"/>
              <w:left w:val="nil"/>
              <w:bottom w:val="single" w:sz="4" w:space="0" w:color="auto"/>
              <w:right w:val="single" w:sz="4" w:space="0" w:color="auto"/>
            </w:tcBorders>
            <w:shd w:val="clear" w:color="auto" w:fill="C6EFCE"/>
            <w:noWrap/>
            <w:vAlign w:val="center"/>
          </w:tcPr>
          <w:p w14:paraId="4F224CAE"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71E4908A" w14:textId="77777777" w:rsidR="00F208CE" w:rsidRDefault="00513E84">
            <w:pPr>
              <w:pStyle w:val="P68B1DB1-Normal8"/>
              <w:spacing w:after="0"/>
              <w:jc w:val="center"/>
              <w:rPr>
                <w:rFonts w:eastAsia="Times New Roman" w:cs="Times New Roman"/>
                <w:noProof/>
              </w:rPr>
            </w:pPr>
            <w:r>
              <w:rPr>
                <w:noProof/>
              </w:rPr>
              <w:t>2025</w:t>
            </w:r>
          </w:p>
        </w:tc>
        <w:tc>
          <w:tcPr>
            <w:tcW w:w="2977" w:type="dxa"/>
            <w:tcBorders>
              <w:top w:val="nil"/>
              <w:left w:val="nil"/>
              <w:bottom w:val="single" w:sz="4" w:space="0" w:color="auto"/>
              <w:right w:val="single" w:sz="4" w:space="0" w:color="auto"/>
            </w:tcBorders>
            <w:shd w:val="clear" w:color="auto" w:fill="C6EFCE"/>
            <w:noWrap/>
            <w:vAlign w:val="center"/>
          </w:tcPr>
          <w:p w14:paraId="6889FC76" w14:textId="77777777" w:rsidR="00F208CE" w:rsidRDefault="00513E84">
            <w:pPr>
              <w:pStyle w:val="P68B1DB1-Normal8"/>
              <w:spacing w:after="0"/>
              <w:rPr>
                <w:rFonts w:eastAsia="Times New Roman" w:cs="Times New Roman"/>
                <w:noProof/>
              </w:rPr>
            </w:pPr>
            <w:r>
              <w:rPr>
                <w:noProof/>
              </w:rPr>
              <w:t>35 parques empresariales regionales públicos de Valonia tienen acceso a redes fijas de fibra de vidrio de muy alta capacidad.</w:t>
            </w:r>
          </w:p>
        </w:tc>
      </w:tr>
      <w:tr w:rsidR="00F208CE" w14:paraId="408F66A6" w14:textId="77777777">
        <w:trPr>
          <w:trHeight w:val="309"/>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250C7C" w14:textId="77777777" w:rsidR="00F208CE" w:rsidRDefault="00513E84">
            <w:pPr>
              <w:pStyle w:val="P68B1DB1-Normal8"/>
              <w:spacing w:after="0"/>
              <w:jc w:val="center"/>
              <w:rPr>
                <w:rFonts w:eastAsia="Times New Roman" w:cs="Times New Roman"/>
                <w:noProof/>
              </w:rPr>
            </w:pPr>
            <w:r>
              <w:rPr>
                <w:noProof/>
              </w:rPr>
              <w:t>89</w:t>
            </w:r>
          </w:p>
        </w:tc>
        <w:tc>
          <w:tcPr>
            <w:tcW w:w="2115" w:type="dxa"/>
            <w:tcBorders>
              <w:top w:val="single" w:sz="4" w:space="0" w:color="auto"/>
              <w:left w:val="nil"/>
              <w:bottom w:val="single" w:sz="4" w:space="0" w:color="auto"/>
              <w:right w:val="single" w:sz="4" w:space="0" w:color="auto"/>
            </w:tcBorders>
            <w:shd w:val="clear" w:color="auto" w:fill="C6EFCE"/>
            <w:noWrap/>
            <w:vAlign w:val="center"/>
          </w:tcPr>
          <w:p w14:paraId="1B5CB77B" w14:textId="77777777" w:rsidR="00F208CE" w:rsidRDefault="00513E84">
            <w:pPr>
              <w:pStyle w:val="P68B1DB1-Normal8"/>
              <w:spacing w:after="0"/>
              <w:rPr>
                <w:rFonts w:eastAsia="Times New Roman" w:cs="Times New Roman"/>
                <w:noProof/>
              </w:rPr>
            </w:pPr>
            <w:r>
              <w:rPr>
                <w:noProof/>
              </w:rPr>
              <w:t>Introducción de la 5G — Plan nacional de banda ancha fija y móvil (R-2.03)</w:t>
            </w:r>
          </w:p>
        </w:tc>
        <w:tc>
          <w:tcPr>
            <w:tcW w:w="993" w:type="dxa"/>
            <w:tcBorders>
              <w:top w:val="single" w:sz="4" w:space="0" w:color="auto"/>
              <w:left w:val="nil"/>
              <w:bottom w:val="single" w:sz="4" w:space="0" w:color="auto"/>
              <w:right w:val="single" w:sz="4" w:space="0" w:color="auto"/>
            </w:tcBorders>
            <w:shd w:val="clear" w:color="auto" w:fill="C6EFCE"/>
            <w:noWrap/>
            <w:vAlign w:val="center"/>
          </w:tcPr>
          <w:p w14:paraId="4EF7B9A2" w14:textId="48D517AA" w:rsidR="00F208CE" w:rsidRDefault="00513E84">
            <w:pPr>
              <w:pStyle w:val="P68B1DB1-Normal8"/>
              <w:spacing w:after="0"/>
              <w:rPr>
                <w:rFonts w:eastAsia="Times New Roman" w:cs="Times New Roman"/>
                <w:noProof/>
                <w:highlight w:val="yellow"/>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0994E6D" w14:textId="3F15DD44" w:rsidR="00F208CE" w:rsidRDefault="00513E84">
            <w:pPr>
              <w:pStyle w:val="P68B1DB1-Normal8"/>
              <w:spacing w:after="0"/>
              <w:rPr>
                <w:rFonts w:eastAsia="Times New Roman" w:cs="Times New Roman"/>
                <w:noProof/>
              </w:rPr>
            </w:pPr>
            <w:r>
              <w:rPr>
                <w:noProof/>
              </w:rPr>
              <w:t>Caja de herramientas de conectividad de la UE</w:t>
            </w:r>
          </w:p>
        </w:tc>
        <w:tc>
          <w:tcPr>
            <w:tcW w:w="1842" w:type="dxa"/>
            <w:tcBorders>
              <w:top w:val="single" w:sz="4" w:space="0" w:color="auto"/>
              <w:left w:val="nil"/>
              <w:bottom w:val="single" w:sz="4" w:space="0" w:color="auto"/>
              <w:right w:val="single" w:sz="4" w:space="0" w:color="auto"/>
            </w:tcBorders>
            <w:shd w:val="clear" w:color="auto" w:fill="C6EFCE"/>
            <w:noWrap/>
            <w:vAlign w:val="center"/>
          </w:tcPr>
          <w:p w14:paraId="64626584" w14:textId="77777777" w:rsidR="00F208CE" w:rsidRDefault="00513E84">
            <w:pPr>
              <w:pStyle w:val="P68B1DB1-Normal8"/>
              <w:spacing w:after="0"/>
              <w:rPr>
                <w:rFonts w:eastAsia="Times New Roman" w:cs="Times New Roman"/>
                <w:noProof/>
              </w:rPr>
            </w:pPr>
            <w:r>
              <w:rPr>
                <w:noProof/>
              </w:rPr>
              <w:t>Aplicación de la caja de herramientas de conectividad de la UE, incluida la hoja de ruta</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DDD6274" w14:textId="77777777" w:rsidR="00F208CE" w:rsidRDefault="00F208CE">
            <w:pPr>
              <w:spacing w:after="0"/>
              <w:rPr>
                <w:rFonts w:ascii="Times New Roman" w:eastAsia="Times New Roman" w:hAnsi="Times New Roman" w:cs="Times New Roman"/>
                <w:noProof/>
                <w:color w:val="00610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116CC64"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2ABE06A"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16CCEBF2"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4E84678D" w14:textId="77777777" w:rsidR="00F208CE" w:rsidRDefault="00513E84">
            <w:pPr>
              <w:pStyle w:val="P68B1DB1-Normal8"/>
              <w:spacing w:after="0"/>
              <w:jc w:val="center"/>
              <w:rPr>
                <w:rFonts w:eastAsia="Times New Roman" w:cs="Times New Roman"/>
                <w:noProof/>
              </w:rPr>
            </w:pPr>
            <w:r>
              <w:rPr>
                <w:noProof/>
              </w:rPr>
              <w:t>2021</w:t>
            </w:r>
          </w:p>
        </w:tc>
        <w:tc>
          <w:tcPr>
            <w:tcW w:w="2977" w:type="dxa"/>
            <w:tcBorders>
              <w:top w:val="single" w:sz="4" w:space="0" w:color="auto"/>
              <w:left w:val="nil"/>
              <w:bottom w:val="single" w:sz="4" w:space="0" w:color="auto"/>
              <w:right w:val="single" w:sz="4" w:space="0" w:color="auto"/>
            </w:tcBorders>
            <w:shd w:val="clear" w:color="auto" w:fill="C6EFCE"/>
            <w:noWrap/>
            <w:vAlign w:val="center"/>
          </w:tcPr>
          <w:p w14:paraId="48856563" w14:textId="77777777" w:rsidR="00F208CE" w:rsidRDefault="00513E84">
            <w:pPr>
              <w:pStyle w:val="P68B1DB1-Normal8"/>
              <w:spacing w:after="0"/>
              <w:rPr>
                <w:rFonts w:eastAsia="Times New Roman" w:cs="Times New Roman"/>
                <w:noProof/>
              </w:rPr>
            </w:pPr>
            <w:r>
              <w:rPr>
                <w:noProof/>
              </w:rPr>
              <w:t xml:space="preserve">Plan para aplicar las mejores prácticas adoptadas en la caja de herramientas de </w:t>
            </w:r>
            <w:r>
              <w:rPr>
                <w:noProof/>
              </w:rPr>
              <w:t>conectividad de la UE, incluida la adopción de una hoja de ruta para simplificar los procedimientos de concesión de licencias y permisos pertinentes para el despliegue de redes 5G y de muy alta capacidad, como la fibra.</w:t>
            </w:r>
          </w:p>
        </w:tc>
      </w:tr>
      <w:tr w:rsidR="00F208CE" w14:paraId="0808D025" w14:textId="77777777">
        <w:trPr>
          <w:trHeight w:val="309"/>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61C66B" w14:textId="77777777" w:rsidR="00F208CE" w:rsidRDefault="00513E84">
            <w:pPr>
              <w:pStyle w:val="P68B1DB1-Normal8"/>
              <w:spacing w:after="0"/>
              <w:jc w:val="center"/>
              <w:rPr>
                <w:rFonts w:eastAsia="Times New Roman" w:cs="Times New Roman"/>
                <w:noProof/>
              </w:rPr>
            </w:pPr>
            <w:r>
              <w:rPr>
                <w:noProof/>
              </w:rPr>
              <w:t>90</w:t>
            </w:r>
          </w:p>
        </w:tc>
        <w:tc>
          <w:tcPr>
            <w:tcW w:w="2115" w:type="dxa"/>
            <w:tcBorders>
              <w:top w:val="single" w:sz="4" w:space="0" w:color="auto"/>
              <w:left w:val="nil"/>
              <w:bottom w:val="single" w:sz="4" w:space="0" w:color="auto"/>
              <w:right w:val="single" w:sz="4" w:space="0" w:color="auto"/>
            </w:tcBorders>
            <w:shd w:val="clear" w:color="auto" w:fill="C6EFCE"/>
            <w:noWrap/>
            <w:vAlign w:val="center"/>
          </w:tcPr>
          <w:p w14:paraId="3A05E817" w14:textId="77777777" w:rsidR="00F208CE" w:rsidRDefault="00513E84">
            <w:pPr>
              <w:pStyle w:val="P68B1DB1-Normal8"/>
              <w:spacing w:after="0"/>
              <w:rPr>
                <w:rFonts w:eastAsia="Times New Roman" w:cs="Times New Roman"/>
                <w:noProof/>
              </w:rPr>
            </w:pPr>
            <w:r>
              <w:rPr>
                <w:noProof/>
              </w:rPr>
              <w:t xml:space="preserve">Introducción de la 5G — Plan </w:t>
            </w:r>
            <w:r>
              <w:rPr>
                <w:noProof/>
              </w:rPr>
              <w:t>nacional de banda ancha fija y móvil (R-2.03)</w:t>
            </w:r>
          </w:p>
        </w:tc>
        <w:tc>
          <w:tcPr>
            <w:tcW w:w="993" w:type="dxa"/>
            <w:tcBorders>
              <w:top w:val="single" w:sz="4" w:space="0" w:color="auto"/>
              <w:left w:val="nil"/>
              <w:bottom w:val="single" w:sz="4" w:space="0" w:color="auto"/>
              <w:right w:val="single" w:sz="4" w:space="0" w:color="auto"/>
            </w:tcBorders>
            <w:shd w:val="clear" w:color="auto" w:fill="C6EFCE"/>
            <w:noWrap/>
            <w:vAlign w:val="center"/>
          </w:tcPr>
          <w:p w14:paraId="0FA57F71" w14:textId="74BB5AA5"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B16D7A8" w14:textId="77777777" w:rsidR="00F208CE" w:rsidRDefault="00513E84">
            <w:pPr>
              <w:pStyle w:val="P68B1DB1-Normal8"/>
              <w:spacing w:after="0"/>
              <w:rPr>
                <w:rFonts w:eastAsia="Times New Roman" w:cs="Times New Roman"/>
                <w:noProof/>
              </w:rPr>
            </w:pPr>
            <w:r>
              <w:rPr>
                <w:noProof/>
              </w:rPr>
              <w:t xml:space="preserve">Publicación del marco legislativo de asignación de espectro 5G </w:t>
            </w:r>
          </w:p>
        </w:tc>
        <w:tc>
          <w:tcPr>
            <w:tcW w:w="1842" w:type="dxa"/>
            <w:tcBorders>
              <w:top w:val="single" w:sz="4" w:space="0" w:color="auto"/>
              <w:left w:val="nil"/>
              <w:bottom w:val="single" w:sz="4" w:space="0" w:color="auto"/>
              <w:right w:val="single" w:sz="4" w:space="0" w:color="auto"/>
            </w:tcBorders>
            <w:shd w:val="clear" w:color="auto" w:fill="C6EFCE"/>
            <w:noWrap/>
            <w:vAlign w:val="center"/>
          </w:tcPr>
          <w:p w14:paraId="165C3E6C" w14:textId="77777777" w:rsidR="00F208CE" w:rsidRDefault="00513E84">
            <w:pPr>
              <w:pStyle w:val="P68B1DB1-Normal8"/>
              <w:spacing w:after="0"/>
              <w:rPr>
                <w:rFonts w:eastAsia="Times New Roman" w:cs="Times New Roman"/>
                <w:noProof/>
              </w:rPr>
            </w:pPr>
            <w:r>
              <w:rPr>
                <w:noProof/>
              </w:rPr>
              <w:t>Publicación del marco legislativo para la asignación de espectro 5G</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6BD36868" w14:textId="77777777" w:rsidR="00F208CE" w:rsidRDefault="00F208CE">
            <w:pPr>
              <w:spacing w:after="0"/>
              <w:rPr>
                <w:rFonts w:ascii="Times New Roman" w:eastAsia="Times New Roman" w:hAnsi="Times New Roman" w:cs="Times New Roman"/>
                <w:noProof/>
                <w:color w:val="00610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859604F"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7D07A5D"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3F2F615"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7AD77B96" w14:textId="77777777" w:rsidR="00F208CE" w:rsidRDefault="00513E84">
            <w:pPr>
              <w:pStyle w:val="P68B1DB1-Normal8"/>
              <w:spacing w:after="0"/>
              <w:jc w:val="center"/>
              <w:rPr>
                <w:rFonts w:eastAsia="Times New Roman" w:cs="Times New Roman"/>
                <w:noProof/>
              </w:rPr>
            </w:pPr>
            <w:r>
              <w:rPr>
                <w:noProof/>
              </w:rPr>
              <w:t>2021</w:t>
            </w:r>
          </w:p>
        </w:tc>
        <w:tc>
          <w:tcPr>
            <w:tcW w:w="2977" w:type="dxa"/>
            <w:tcBorders>
              <w:top w:val="single" w:sz="4" w:space="0" w:color="auto"/>
              <w:left w:val="nil"/>
              <w:bottom w:val="single" w:sz="4" w:space="0" w:color="auto"/>
              <w:right w:val="single" w:sz="4" w:space="0" w:color="auto"/>
            </w:tcBorders>
            <w:shd w:val="clear" w:color="auto" w:fill="C6EFCE"/>
            <w:noWrap/>
            <w:vAlign w:val="center"/>
          </w:tcPr>
          <w:p w14:paraId="37AD2247" w14:textId="77777777" w:rsidR="00F208CE" w:rsidRDefault="00513E84">
            <w:pPr>
              <w:pStyle w:val="P68B1DB1-Normal8"/>
              <w:spacing w:after="0"/>
              <w:rPr>
                <w:rFonts w:eastAsia="Times New Roman" w:cs="Times New Roman"/>
                <w:noProof/>
              </w:rPr>
            </w:pPr>
            <w:r>
              <w:rPr>
                <w:noProof/>
              </w:rPr>
              <w:t>Publicación de la ley 5G y de los Reales Decretos</w:t>
            </w:r>
            <w:r>
              <w:rPr>
                <w:noProof/>
              </w:rPr>
              <w:t xml:space="preserve"> para asignar bandas del espectro radioeléctrico pioneras de la UE, definidas por el Grupo de política del espectro radioeléctrico para las redes 5G en condiciones favorables a la inversión.</w:t>
            </w:r>
          </w:p>
        </w:tc>
      </w:tr>
      <w:tr w:rsidR="00F208CE" w14:paraId="08CF5AC0" w14:textId="77777777">
        <w:trPr>
          <w:trHeight w:val="309"/>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25C074" w14:textId="77777777" w:rsidR="00F208CE" w:rsidRDefault="00513E84">
            <w:pPr>
              <w:pStyle w:val="P68B1DB1-Normal8"/>
              <w:spacing w:after="0"/>
              <w:jc w:val="center"/>
              <w:rPr>
                <w:rFonts w:eastAsia="Times New Roman" w:cs="Times New Roman"/>
                <w:noProof/>
              </w:rPr>
            </w:pPr>
            <w:r>
              <w:rPr>
                <w:noProof/>
              </w:rPr>
              <w:t>91</w:t>
            </w:r>
          </w:p>
        </w:tc>
        <w:tc>
          <w:tcPr>
            <w:tcW w:w="2115" w:type="dxa"/>
            <w:tcBorders>
              <w:top w:val="single" w:sz="4" w:space="0" w:color="auto"/>
              <w:left w:val="nil"/>
              <w:bottom w:val="single" w:sz="4" w:space="0" w:color="auto"/>
              <w:right w:val="single" w:sz="4" w:space="0" w:color="auto"/>
            </w:tcBorders>
            <w:shd w:val="clear" w:color="auto" w:fill="C6EFCE"/>
            <w:noWrap/>
            <w:vAlign w:val="center"/>
          </w:tcPr>
          <w:p w14:paraId="24551801" w14:textId="77777777" w:rsidR="00F208CE" w:rsidRDefault="00513E84">
            <w:pPr>
              <w:pStyle w:val="P68B1DB1-Normal8"/>
              <w:spacing w:after="0"/>
              <w:rPr>
                <w:rFonts w:eastAsia="Times New Roman" w:cs="Times New Roman"/>
                <w:noProof/>
              </w:rPr>
            </w:pPr>
            <w:r>
              <w:rPr>
                <w:noProof/>
              </w:rPr>
              <w:t xml:space="preserve">Introducción de la 5G — Plan nacional de banda ancha fija y </w:t>
            </w:r>
            <w:r>
              <w:rPr>
                <w:noProof/>
              </w:rPr>
              <w:t>móvil (R-2.03)</w:t>
            </w:r>
          </w:p>
        </w:tc>
        <w:tc>
          <w:tcPr>
            <w:tcW w:w="993" w:type="dxa"/>
            <w:tcBorders>
              <w:top w:val="single" w:sz="4" w:space="0" w:color="auto"/>
              <w:left w:val="nil"/>
              <w:bottom w:val="single" w:sz="4" w:space="0" w:color="auto"/>
              <w:right w:val="single" w:sz="4" w:space="0" w:color="auto"/>
            </w:tcBorders>
            <w:shd w:val="clear" w:color="auto" w:fill="C6EFCE"/>
            <w:noWrap/>
            <w:vAlign w:val="center"/>
          </w:tcPr>
          <w:p w14:paraId="6F86AD7C" w14:textId="3658CA31"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CBA670F" w14:textId="77777777" w:rsidR="00F208CE" w:rsidRDefault="00513E84">
            <w:pPr>
              <w:pStyle w:val="P68B1DB1-Normal8"/>
              <w:spacing w:after="0"/>
              <w:rPr>
                <w:rFonts w:eastAsia="Times New Roman" w:cs="Times New Roman"/>
                <w:noProof/>
              </w:rPr>
            </w:pPr>
            <w:r>
              <w:rPr>
                <w:noProof/>
              </w:rPr>
              <w:t>Subasta 5G</w:t>
            </w:r>
          </w:p>
        </w:tc>
        <w:tc>
          <w:tcPr>
            <w:tcW w:w="1842" w:type="dxa"/>
            <w:tcBorders>
              <w:top w:val="single" w:sz="4" w:space="0" w:color="auto"/>
              <w:left w:val="nil"/>
              <w:bottom w:val="single" w:sz="4" w:space="0" w:color="auto"/>
              <w:right w:val="single" w:sz="4" w:space="0" w:color="auto"/>
            </w:tcBorders>
            <w:shd w:val="clear" w:color="auto" w:fill="C6EFCE"/>
            <w:noWrap/>
            <w:vAlign w:val="center"/>
          </w:tcPr>
          <w:p w14:paraId="36106B6A" w14:textId="6B1BCC2A" w:rsidR="00F208CE" w:rsidRDefault="00513E84">
            <w:pPr>
              <w:pStyle w:val="P68B1DB1-Normal14"/>
              <w:spacing w:after="0"/>
              <w:rPr>
                <w:rFonts w:eastAsia="Times New Roman" w:cs="Times New Roman"/>
                <w:noProof/>
              </w:rPr>
            </w:pPr>
            <w:r>
              <w:rPr>
                <w:noProof/>
              </w:rPr>
              <w:t xml:space="preserve">Organización y ejecución de la subasta 5G por el Instituto belga de servicios postales y telecomunicaciones </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EF5877E" w14:textId="77777777" w:rsidR="00F208CE" w:rsidRDefault="00F208CE">
            <w:pPr>
              <w:spacing w:after="0"/>
              <w:rPr>
                <w:rFonts w:ascii="Times New Roman" w:eastAsia="Times New Roman" w:hAnsi="Times New Roman" w:cs="Times New Roman"/>
                <w:noProof/>
                <w:color w:val="00610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C5BB947"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5DF9DBB"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EB2C69A"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5B7A0093" w14:textId="77777777" w:rsidR="00F208CE" w:rsidRDefault="00513E84">
            <w:pPr>
              <w:pStyle w:val="P68B1DB1-Normal8"/>
              <w:spacing w:after="0"/>
              <w:jc w:val="center"/>
              <w:rPr>
                <w:rFonts w:eastAsia="Times New Roman" w:cs="Times New Roman"/>
                <w:noProof/>
              </w:rPr>
            </w:pPr>
            <w:r>
              <w:rPr>
                <w:noProof/>
              </w:rPr>
              <w:t>2022</w:t>
            </w:r>
          </w:p>
        </w:tc>
        <w:tc>
          <w:tcPr>
            <w:tcW w:w="2977" w:type="dxa"/>
            <w:tcBorders>
              <w:top w:val="single" w:sz="4" w:space="0" w:color="auto"/>
              <w:left w:val="nil"/>
              <w:bottom w:val="single" w:sz="4" w:space="0" w:color="auto"/>
              <w:right w:val="single" w:sz="4" w:space="0" w:color="auto"/>
            </w:tcBorders>
            <w:shd w:val="clear" w:color="auto" w:fill="C6EFCE"/>
            <w:noWrap/>
            <w:vAlign w:val="center"/>
          </w:tcPr>
          <w:p w14:paraId="7274E057" w14:textId="6D3D3F80" w:rsidR="00F208CE" w:rsidRDefault="00513E84">
            <w:pPr>
              <w:pStyle w:val="P68B1DB1-Normal8"/>
              <w:spacing w:after="0"/>
              <w:rPr>
                <w:rFonts w:eastAsia="Times New Roman" w:cs="Times New Roman"/>
                <w:noProof/>
              </w:rPr>
            </w:pPr>
            <w:r>
              <w:rPr>
                <w:noProof/>
              </w:rPr>
              <w:t xml:space="preserve">Finalización de la subasta 5G por el regulador federal de las telecomunicaciones (Instituto </w:t>
            </w:r>
            <w:r>
              <w:rPr>
                <w:noProof/>
              </w:rPr>
              <w:t>Belga de Servicios Postales y Telecomunicaciones), en particular: convocatoria de candidaturas, decisión de autorización del Instituto Belga de Servicios Postales y Telecomunicaciones.</w:t>
            </w:r>
          </w:p>
        </w:tc>
      </w:tr>
      <w:tr w:rsidR="00F208CE" w14:paraId="1A557E6C" w14:textId="77777777">
        <w:trPr>
          <w:trHeight w:val="309"/>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D93605" w14:textId="77777777" w:rsidR="00F208CE" w:rsidRDefault="00513E84">
            <w:pPr>
              <w:pStyle w:val="P68B1DB1-Normal8"/>
              <w:spacing w:after="0"/>
              <w:jc w:val="center"/>
              <w:rPr>
                <w:rFonts w:eastAsia="Times New Roman" w:cs="Times New Roman"/>
                <w:noProof/>
              </w:rPr>
            </w:pPr>
            <w:r>
              <w:rPr>
                <w:noProof/>
              </w:rPr>
              <w:t>92</w:t>
            </w:r>
          </w:p>
        </w:tc>
        <w:tc>
          <w:tcPr>
            <w:tcW w:w="2115" w:type="dxa"/>
            <w:tcBorders>
              <w:top w:val="single" w:sz="4" w:space="0" w:color="auto"/>
              <w:left w:val="nil"/>
              <w:bottom w:val="single" w:sz="4" w:space="0" w:color="auto"/>
              <w:right w:val="single" w:sz="4" w:space="0" w:color="auto"/>
            </w:tcBorders>
            <w:shd w:val="clear" w:color="auto" w:fill="C6EFCE"/>
            <w:noWrap/>
            <w:vAlign w:val="center"/>
          </w:tcPr>
          <w:p w14:paraId="48FA0F1E" w14:textId="77777777" w:rsidR="00F208CE" w:rsidRDefault="00513E84">
            <w:pPr>
              <w:pStyle w:val="P68B1DB1-Normal8"/>
              <w:spacing w:after="0"/>
              <w:rPr>
                <w:rFonts w:eastAsia="Times New Roman" w:cs="Times New Roman"/>
                <w:noProof/>
              </w:rPr>
            </w:pPr>
            <w:r>
              <w:rPr>
                <w:noProof/>
              </w:rPr>
              <w:t xml:space="preserve">Introducción de la 5G — Plan nacional de banda ancha fija y móvil </w:t>
            </w:r>
            <w:r>
              <w:rPr>
                <w:noProof/>
              </w:rPr>
              <w:t>(R-2.03)</w:t>
            </w:r>
          </w:p>
        </w:tc>
        <w:tc>
          <w:tcPr>
            <w:tcW w:w="993" w:type="dxa"/>
            <w:tcBorders>
              <w:top w:val="single" w:sz="4" w:space="0" w:color="auto"/>
              <w:left w:val="nil"/>
              <w:bottom w:val="single" w:sz="4" w:space="0" w:color="auto"/>
              <w:right w:val="single" w:sz="4" w:space="0" w:color="auto"/>
            </w:tcBorders>
            <w:shd w:val="clear" w:color="auto" w:fill="C6EFCE"/>
            <w:noWrap/>
            <w:vAlign w:val="center"/>
          </w:tcPr>
          <w:p w14:paraId="3C22DFAB" w14:textId="7892F934"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0EB80EF" w14:textId="77777777" w:rsidR="00F208CE" w:rsidRDefault="00513E84">
            <w:pPr>
              <w:pStyle w:val="P68B1DB1-Normal8"/>
              <w:spacing w:after="0"/>
              <w:rPr>
                <w:rFonts w:eastAsia="Times New Roman" w:cs="Times New Roman"/>
                <w:noProof/>
              </w:rPr>
            </w:pPr>
            <w:r>
              <w:rPr>
                <w:noProof/>
              </w:rPr>
              <w:t>Aplicación de la caja de herramientas de conectividad</w:t>
            </w:r>
          </w:p>
        </w:tc>
        <w:tc>
          <w:tcPr>
            <w:tcW w:w="1842" w:type="dxa"/>
            <w:tcBorders>
              <w:top w:val="single" w:sz="4" w:space="0" w:color="auto"/>
              <w:left w:val="nil"/>
              <w:bottom w:val="single" w:sz="4" w:space="0" w:color="auto"/>
              <w:right w:val="single" w:sz="4" w:space="0" w:color="auto"/>
            </w:tcBorders>
            <w:shd w:val="clear" w:color="auto" w:fill="C6EFCE"/>
            <w:noWrap/>
            <w:vAlign w:val="center"/>
          </w:tcPr>
          <w:p w14:paraId="05BE1430" w14:textId="77777777" w:rsidR="00F208CE" w:rsidRDefault="00513E84">
            <w:pPr>
              <w:pStyle w:val="P68B1DB1-Normal8"/>
              <w:spacing w:after="0"/>
              <w:rPr>
                <w:rFonts w:eastAsia="Times New Roman" w:cs="Times New Roman"/>
                <w:noProof/>
              </w:rPr>
            </w:pPr>
            <w:r>
              <w:rPr>
                <w:noProof/>
              </w:rPr>
              <w:t>Publicación de un informe sobre la situación de la aplicación de la caja de herramientas de conectividad</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6819343A" w14:textId="77777777" w:rsidR="00F208CE" w:rsidRDefault="00F208CE">
            <w:pPr>
              <w:spacing w:after="0"/>
              <w:rPr>
                <w:rFonts w:ascii="Times New Roman" w:eastAsia="Times New Roman" w:hAnsi="Times New Roman" w:cs="Times New Roman"/>
                <w:noProof/>
                <w:color w:val="00610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9F57727"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8E8E417"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98326CA"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2773E475" w14:textId="77777777" w:rsidR="00F208CE" w:rsidRDefault="00513E84">
            <w:pPr>
              <w:pStyle w:val="P68B1DB1-Normal8"/>
              <w:spacing w:after="0"/>
              <w:jc w:val="center"/>
              <w:rPr>
                <w:rFonts w:eastAsia="Times New Roman" w:cs="Times New Roman"/>
                <w:noProof/>
              </w:rPr>
            </w:pPr>
            <w:r>
              <w:rPr>
                <w:noProof/>
              </w:rPr>
              <w:t>2022</w:t>
            </w:r>
          </w:p>
        </w:tc>
        <w:tc>
          <w:tcPr>
            <w:tcW w:w="2977" w:type="dxa"/>
            <w:tcBorders>
              <w:top w:val="single" w:sz="4" w:space="0" w:color="auto"/>
              <w:left w:val="nil"/>
              <w:bottom w:val="single" w:sz="4" w:space="0" w:color="auto"/>
              <w:right w:val="single" w:sz="4" w:space="0" w:color="auto"/>
            </w:tcBorders>
            <w:shd w:val="clear" w:color="auto" w:fill="C6EFCE"/>
            <w:noWrap/>
            <w:vAlign w:val="center"/>
          </w:tcPr>
          <w:p w14:paraId="24102483" w14:textId="77777777" w:rsidR="00F208CE" w:rsidRDefault="00513E84">
            <w:pPr>
              <w:pStyle w:val="P68B1DB1-Normal8"/>
              <w:spacing w:after="0"/>
              <w:rPr>
                <w:rFonts w:eastAsia="Times New Roman" w:cs="Times New Roman"/>
                <w:noProof/>
              </w:rPr>
            </w:pPr>
            <w:r>
              <w:rPr>
                <w:noProof/>
              </w:rPr>
              <w:t xml:space="preserve">Informe publicado por el Ministerio Federal de Telecomunicaciones sobre la situación de la aplicación de la caja de herramientas de conectividad de conformidad con el ámbito de aplicación y el proceso descritos en la hoja de ruta belga de aplicación de la </w:t>
            </w:r>
            <w:r>
              <w:rPr>
                <w:noProof/>
              </w:rPr>
              <w:t>caja de herramientas de conectividad.</w:t>
            </w:r>
          </w:p>
        </w:tc>
      </w:tr>
      <w:tr w:rsidR="00F208CE" w14:paraId="63218DC2" w14:textId="77777777">
        <w:trPr>
          <w:trHeight w:val="309"/>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DFBDFD" w14:textId="77777777" w:rsidR="00F208CE" w:rsidRDefault="00513E84">
            <w:pPr>
              <w:pStyle w:val="P68B1DB1-Normal8"/>
              <w:spacing w:after="0"/>
              <w:jc w:val="center"/>
              <w:rPr>
                <w:rFonts w:eastAsia="Times New Roman" w:cs="Times New Roman"/>
                <w:noProof/>
              </w:rPr>
            </w:pPr>
            <w:r>
              <w:rPr>
                <w:noProof/>
              </w:rPr>
              <w:t>93</w:t>
            </w:r>
          </w:p>
        </w:tc>
        <w:tc>
          <w:tcPr>
            <w:tcW w:w="2115" w:type="dxa"/>
            <w:tcBorders>
              <w:top w:val="single" w:sz="4" w:space="0" w:color="auto"/>
              <w:left w:val="nil"/>
              <w:bottom w:val="single" w:sz="4" w:space="0" w:color="auto"/>
              <w:right w:val="single" w:sz="4" w:space="0" w:color="auto"/>
            </w:tcBorders>
            <w:shd w:val="clear" w:color="auto" w:fill="C6EFCE"/>
            <w:noWrap/>
            <w:vAlign w:val="center"/>
          </w:tcPr>
          <w:p w14:paraId="0E887B10" w14:textId="77777777" w:rsidR="00F208CE" w:rsidRDefault="00513E84">
            <w:pPr>
              <w:pStyle w:val="P68B1DB1-Normal8"/>
              <w:spacing w:after="0"/>
              <w:rPr>
                <w:rFonts w:eastAsia="Times New Roman" w:cs="Times New Roman"/>
                <w:noProof/>
              </w:rPr>
            </w:pPr>
            <w:r>
              <w:rPr>
                <w:noProof/>
              </w:rPr>
              <w:t>Introducción de la 5G — Plan nacional de banda ancha fija y móvil (R-2.03)</w:t>
            </w:r>
          </w:p>
        </w:tc>
        <w:tc>
          <w:tcPr>
            <w:tcW w:w="993" w:type="dxa"/>
            <w:tcBorders>
              <w:top w:val="single" w:sz="4" w:space="0" w:color="auto"/>
              <w:left w:val="nil"/>
              <w:bottom w:val="single" w:sz="4" w:space="0" w:color="auto"/>
              <w:right w:val="single" w:sz="4" w:space="0" w:color="auto"/>
            </w:tcBorders>
            <w:shd w:val="clear" w:color="auto" w:fill="C6EFCE"/>
            <w:noWrap/>
            <w:vAlign w:val="center"/>
          </w:tcPr>
          <w:p w14:paraId="24E5DAB9" w14:textId="004B6CC7"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104B0BE" w14:textId="77777777" w:rsidR="00F208CE" w:rsidRDefault="00513E84">
            <w:pPr>
              <w:pStyle w:val="P68B1DB1-Normal8"/>
              <w:spacing w:after="0"/>
              <w:rPr>
                <w:rFonts w:eastAsia="Times New Roman" w:cs="Times New Roman"/>
                <w:noProof/>
              </w:rPr>
            </w:pPr>
            <w:r>
              <w:rPr>
                <w:noProof/>
              </w:rPr>
              <w:t>Revisión del marco legislativo de las tres regiones sobre las normas de radiación</w:t>
            </w:r>
          </w:p>
        </w:tc>
        <w:tc>
          <w:tcPr>
            <w:tcW w:w="1842" w:type="dxa"/>
            <w:tcBorders>
              <w:top w:val="single" w:sz="4" w:space="0" w:color="auto"/>
              <w:left w:val="nil"/>
              <w:bottom w:val="single" w:sz="4" w:space="0" w:color="auto"/>
              <w:right w:val="single" w:sz="4" w:space="0" w:color="auto"/>
            </w:tcBorders>
            <w:shd w:val="clear" w:color="auto" w:fill="C6EFCE"/>
            <w:noWrap/>
            <w:vAlign w:val="center"/>
          </w:tcPr>
          <w:p w14:paraId="4BFD3214" w14:textId="61BA0E8E" w:rsidR="00F208CE" w:rsidRDefault="00513E84">
            <w:pPr>
              <w:pStyle w:val="P68B1DB1-Normal8"/>
              <w:spacing w:after="0"/>
              <w:rPr>
                <w:rFonts w:eastAsia="Times New Roman" w:cs="Times New Roman"/>
                <w:noProof/>
              </w:rPr>
            </w:pPr>
            <w:r>
              <w:rPr>
                <w:noProof/>
              </w:rPr>
              <w:t xml:space="preserve">Revisión de los marcos legislativos regionales sobre </w:t>
            </w:r>
            <w:r>
              <w:rPr>
                <w:noProof/>
              </w:rPr>
              <w:t>normas de radiación</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4B7706ED" w14:textId="77777777" w:rsidR="00F208CE" w:rsidRDefault="00F208CE">
            <w:pPr>
              <w:spacing w:after="0"/>
              <w:rPr>
                <w:rFonts w:ascii="Times New Roman" w:eastAsia="Times New Roman" w:hAnsi="Times New Roman" w:cs="Times New Roman"/>
                <w:noProof/>
                <w:color w:val="00610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0518DE3"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3BD047F" w14:textId="77777777"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5625D78" w14:textId="77777777" w:rsidR="00F208CE" w:rsidRDefault="00513E84">
            <w:pPr>
              <w:pStyle w:val="P68B1DB1-Normal8"/>
              <w:spacing w:after="0"/>
              <w:jc w:val="center"/>
              <w:rPr>
                <w:rFonts w:eastAsia="Times New Roman" w:cs="Times New Roman"/>
                <w:noProof/>
              </w:rPr>
            </w:pPr>
            <w:r>
              <w:rPr>
                <w:noProof/>
              </w:rPr>
              <w:t>TERCER TRIMESTRE 3</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9A89C8F" w14:textId="77777777" w:rsidR="00F208CE" w:rsidRDefault="00513E84">
            <w:pPr>
              <w:pStyle w:val="P68B1DB1-Normal8"/>
              <w:spacing w:after="0"/>
              <w:jc w:val="center"/>
              <w:rPr>
                <w:rFonts w:eastAsia="Times New Roman" w:cs="Times New Roman"/>
                <w:noProof/>
              </w:rPr>
            </w:pPr>
            <w:r>
              <w:rPr>
                <w:noProof/>
              </w:rPr>
              <w:t>2022</w:t>
            </w:r>
          </w:p>
        </w:tc>
        <w:tc>
          <w:tcPr>
            <w:tcW w:w="2977" w:type="dxa"/>
            <w:tcBorders>
              <w:top w:val="single" w:sz="4" w:space="0" w:color="auto"/>
              <w:left w:val="nil"/>
              <w:bottom w:val="single" w:sz="4" w:space="0" w:color="auto"/>
              <w:right w:val="single" w:sz="4" w:space="0" w:color="auto"/>
            </w:tcBorders>
            <w:shd w:val="clear" w:color="auto" w:fill="C6EFCE"/>
            <w:noWrap/>
            <w:vAlign w:val="center"/>
          </w:tcPr>
          <w:p w14:paraId="048AFD3C" w14:textId="07C1757E" w:rsidR="00F208CE" w:rsidRDefault="00513E84">
            <w:pPr>
              <w:pStyle w:val="P68B1DB1-Normal8"/>
              <w:spacing w:after="0"/>
              <w:rPr>
                <w:rFonts w:eastAsia="Times New Roman" w:cs="Times New Roman"/>
                <w:noProof/>
              </w:rPr>
            </w:pPr>
            <w:r>
              <w:rPr>
                <w:noProof/>
              </w:rPr>
              <w:t xml:space="preserve">Adaptación y entrada en vigor de los respectivos marcos legislativos de la Región Flamenca, la Región de Bruselas-Capital y la Región Valona, modificando las normas sobre radiación para permitir un despliegue </w:t>
            </w:r>
            <w:r>
              <w:rPr>
                <w:noProof/>
              </w:rPr>
              <w:t>eficaz del espectro 5G.</w:t>
            </w:r>
          </w:p>
        </w:tc>
      </w:tr>
    </w:tbl>
    <w:p w14:paraId="362E9E0B" w14:textId="77777777" w:rsidR="00F208CE" w:rsidRDefault="00F208CE">
      <w:pPr>
        <w:pStyle w:val="Text1"/>
        <w:rPr>
          <w:noProof/>
        </w:rPr>
      </w:pPr>
    </w:p>
    <w:p w14:paraId="3571DFC4" w14:textId="77777777" w:rsidR="00F208CE" w:rsidRDefault="00F208CE">
      <w:pPr>
        <w:pStyle w:val="Text1"/>
        <w:ind w:left="0"/>
        <w:rPr>
          <w:noProof/>
        </w:rPr>
        <w:sectPr w:rsidR="00F208CE" w:rsidSect="007F56C3">
          <w:headerReference w:type="default" r:id="rId76"/>
          <w:footerReference w:type="default" r:id="rId77"/>
          <w:pgSz w:w="16839" w:h="11907" w:orient="landscape"/>
          <w:pgMar w:top="1134" w:right="1134" w:bottom="1134" w:left="1134" w:header="567" w:footer="567" w:gutter="0"/>
          <w:cols w:space="720"/>
          <w:docGrid w:linePitch="360"/>
        </w:sectPr>
      </w:pPr>
    </w:p>
    <w:p w14:paraId="5F76CD87" w14:textId="22D7B764" w:rsidR="00F208CE" w:rsidRDefault="00513E84">
      <w:pPr>
        <w:pStyle w:val="ManualHeading1"/>
        <w:spacing w:before="120"/>
        <w:ind w:left="0" w:firstLine="0"/>
        <w:rPr>
          <w:noProof/>
        </w:rPr>
      </w:pPr>
      <w:r>
        <w:rPr>
          <w:noProof/>
        </w:rPr>
        <w:t>G. COMPONENTE 3.1: Infraestructura para bicicletas y para los desplazamientos a pie</w:t>
      </w:r>
    </w:p>
    <w:p w14:paraId="6BB7AA34" w14:textId="77777777" w:rsidR="00F208CE" w:rsidRDefault="00513E84">
      <w:pPr>
        <w:pStyle w:val="P68B1DB1-Normal1"/>
        <w:spacing w:before="120" w:after="120" w:line="240" w:lineRule="auto"/>
        <w:jc w:val="both"/>
        <w:rPr>
          <w:rFonts w:cs="Times New Roman"/>
          <w:noProof/>
        </w:rPr>
      </w:pPr>
      <w:r>
        <w:rPr>
          <w:noProof/>
        </w:rPr>
        <w:t>Las medidas propuestas en el marco de este componente del plan belga de</w:t>
      </w:r>
      <w:r>
        <w:rPr>
          <w:noProof/>
        </w:rPr>
        <w:t xml:space="preserve"> recuperación y resiliencia tienen por objeto ampliar y mejorar las infraestructuras para ciclistas y a pie en toda Bélgica.</w:t>
      </w:r>
    </w:p>
    <w:p w14:paraId="000977E4" w14:textId="77777777" w:rsidR="00F208CE" w:rsidRDefault="00513E84">
      <w:pPr>
        <w:pStyle w:val="P68B1DB1-Normal1"/>
        <w:spacing w:before="120" w:after="120" w:line="240" w:lineRule="auto"/>
        <w:jc w:val="both"/>
        <w:rPr>
          <w:rFonts w:eastAsia="Times New Roman" w:cs="Times New Roman"/>
          <w:noProof/>
        </w:rPr>
      </w:pPr>
      <w:r>
        <w:rPr>
          <w:noProof/>
        </w:rPr>
        <w:t>El componente contribuye a abordar la recomendación específica por país n.º 2020.3, en la que se pide a Bélgica que centre la inver</w:t>
      </w:r>
      <w:r>
        <w:rPr>
          <w:noProof/>
        </w:rPr>
        <w:t>sión en la transición ecológica y digital, en particular en infraestructuras para un transporte sostenible.</w:t>
      </w:r>
    </w:p>
    <w:p w14:paraId="064927FE" w14:textId="55B71F0B" w:rsidR="00F208CE" w:rsidRDefault="00513E84">
      <w:pPr>
        <w:pStyle w:val="P68B1DB1-Normal1"/>
        <w:spacing w:before="120" w:after="120" w:line="240" w:lineRule="auto"/>
        <w:jc w:val="both"/>
        <w:rPr>
          <w:rFonts w:cs="Times New Roman"/>
          <w:noProof/>
        </w:rPr>
      </w:pPr>
      <w:r>
        <w:rPr>
          <w:noProof/>
        </w:rPr>
        <w:t>Se espera que ninguna medida de este componente perjudique significativamente a los objetivos medioambientales en el sentido del artículo 17 del Reg</w:t>
      </w:r>
      <w:r>
        <w:rPr>
          <w:noProof/>
        </w:rPr>
        <w:t>lamento (UE) 2020/852, teniendo en cuenta la descripción de las medidas y las medidas atenuantes establecidas en el plan de recuperación y resiliencia de conformidad con las orientaciones técnicas de DNSH (2021/C58/01).</w:t>
      </w:r>
    </w:p>
    <w:p w14:paraId="3F8FFDA9" w14:textId="77777777" w:rsidR="00F208CE" w:rsidRDefault="00513E84">
      <w:pPr>
        <w:spacing w:before="120" w:after="120"/>
        <w:jc w:val="both"/>
        <w:rPr>
          <w:rFonts w:ascii="Times New Roman" w:hAnsi="Times New Roman" w:cs="Times New Roman"/>
          <w:b/>
          <w:noProof/>
          <w:sz w:val="24"/>
          <w:u w:val="single"/>
        </w:rPr>
      </w:pPr>
      <w:r>
        <w:rPr>
          <w:rFonts w:ascii="Times New Roman" w:hAnsi="Times New Roman"/>
          <w:b/>
          <w:noProof/>
          <w:sz w:val="24"/>
          <w:u w:val="single"/>
        </w:rPr>
        <w:t xml:space="preserve">G.1. </w:t>
      </w:r>
      <w:r>
        <w:rPr>
          <w:noProof/>
        </w:rPr>
        <w:t xml:space="preserve"> </w:t>
      </w:r>
      <w:r>
        <w:rPr>
          <w:rFonts w:ascii="Times New Roman" w:hAnsi="Times New Roman"/>
          <w:b/>
          <w:noProof/>
          <w:sz w:val="24"/>
          <w:u w:val="single"/>
        </w:rPr>
        <w:t xml:space="preserve">Descripción de las reformas e </w:t>
      </w:r>
      <w:r>
        <w:rPr>
          <w:rFonts w:ascii="Times New Roman" w:hAnsi="Times New Roman"/>
          <w:b/>
          <w:noProof/>
          <w:sz w:val="24"/>
          <w:u w:val="single"/>
        </w:rPr>
        <w:t>inversiones para la ayuda financiera no reembolsable</w:t>
      </w:r>
    </w:p>
    <w:p w14:paraId="12032158" w14:textId="77777777" w:rsidR="00F208CE" w:rsidRDefault="00513E84">
      <w:pPr>
        <w:pStyle w:val="P68B1DB1-Text19"/>
        <w:ind w:left="0"/>
        <w:rPr>
          <w:noProof/>
        </w:rPr>
      </w:pPr>
      <w:r>
        <w:rPr>
          <w:noProof/>
        </w:rPr>
        <w:t>Inversión I-3A: «Infraestructura para bicicletas»</w:t>
      </w:r>
    </w:p>
    <w:p w14:paraId="1D22F248" w14:textId="29E2D43A" w:rsidR="00F208CE" w:rsidRDefault="00513E84">
      <w:pPr>
        <w:pStyle w:val="P68B1DB1-Text13"/>
        <w:ind w:left="0"/>
        <w:rPr>
          <w:noProof/>
          <w:color w:val="000000"/>
        </w:rPr>
      </w:pPr>
      <w:r>
        <w:rPr>
          <w:noProof/>
        </w:rPr>
        <w:t>Los objetivos de la inversión son crear nuevas infraestructuras ciclistas y mejorar las infraestructuras existentes. Esta medida se compone de las tres s</w:t>
      </w:r>
      <w:r>
        <w:rPr>
          <w:noProof/>
        </w:rPr>
        <w:t>ubmedidas siguientes:</w:t>
      </w:r>
    </w:p>
    <w:p w14:paraId="60B5684E" w14:textId="77777777" w:rsidR="00F208CE" w:rsidRDefault="00513E84">
      <w:pPr>
        <w:pStyle w:val="Text1"/>
        <w:numPr>
          <w:ilvl w:val="0"/>
          <w:numId w:val="46"/>
        </w:numPr>
        <w:tabs>
          <w:tab w:val="left" w:pos="426"/>
        </w:tabs>
        <w:contextualSpacing/>
        <w:rPr>
          <w:noProof/>
        </w:rPr>
      </w:pPr>
      <w:r>
        <w:rPr>
          <w:noProof/>
        </w:rPr>
        <w:t>Inversión I-3.01: «Infraestructura ciclista» de la Región Flamenca</w:t>
      </w:r>
    </w:p>
    <w:p w14:paraId="2A6F625C" w14:textId="77777777" w:rsidR="00F208CE" w:rsidRDefault="00513E84">
      <w:pPr>
        <w:pStyle w:val="Text1"/>
        <w:numPr>
          <w:ilvl w:val="0"/>
          <w:numId w:val="46"/>
        </w:numPr>
        <w:tabs>
          <w:tab w:val="left" w:pos="426"/>
        </w:tabs>
        <w:contextualSpacing/>
        <w:rPr>
          <w:noProof/>
        </w:rPr>
      </w:pPr>
      <w:r>
        <w:rPr>
          <w:noProof/>
        </w:rPr>
        <w:t>Inversión I-3.02: «Infraestructura ciclista — Corredores Vélo» de la Región Valona</w:t>
      </w:r>
    </w:p>
    <w:p w14:paraId="0E1D3E17" w14:textId="25003E17" w:rsidR="00F208CE" w:rsidRDefault="00513E84">
      <w:pPr>
        <w:pStyle w:val="Text1"/>
        <w:numPr>
          <w:ilvl w:val="0"/>
          <w:numId w:val="46"/>
        </w:numPr>
        <w:tabs>
          <w:tab w:val="left" w:pos="426"/>
        </w:tabs>
        <w:rPr>
          <w:noProof/>
        </w:rPr>
      </w:pPr>
      <w:r>
        <w:rPr>
          <w:noProof/>
        </w:rPr>
        <w:t>Inversión I-3.03.a: «Infraestructura ciclista — Vélo Plus — RBC» de la Región de Bru</w:t>
      </w:r>
      <w:r>
        <w:rPr>
          <w:noProof/>
        </w:rPr>
        <w:t>selas-Capital</w:t>
      </w:r>
    </w:p>
    <w:p w14:paraId="4207AA47" w14:textId="77777777" w:rsidR="00F208CE" w:rsidRDefault="00513E84">
      <w:pPr>
        <w:pStyle w:val="P68B1DB1-Text19"/>
        <w:ind w:left="0"/>
        <w:rPr>
          <w:noProof/>
        </w:rPr>
      </w:pPr>
      <w:r>
        <w:rPr>
          <w:noProof/>
        </w:rPr>
        <w:t>Inversión I-3.01: «Infraestructura ciclista» de la Región Flamenca</w:t>
      </w:r>
    </w:p>
    <w:p w14:paraId="3B1C3824" w14:textId="69348A57" w:rsidR="00F208CE" w:rsidRDefault="00513E84">
      <w:pPr>
        <w:pStyle w:val="P68B1DB1-Normal1"/>
        <w:spacing w:before="120" w:after="120" w:line="240" w:lineRule="auto"/>
        <w:jc w:val="both"/>
        <w:rPr>
          <w:rFonts w:cs="Times New Roman"/>
          <w:noProof/>
        </w:rPr>
      </w:pPr>
      <w:r>
        <w:rPr>
          <w:noProof/>
        </w:rPr>
        <w:t xml:space="preserve">Esta inversión consiste en construir 40 km nuevos carriles para bicicletas y renovar 365 km de carriles para bicicletas. La ejecución de la inversión deberá estar terminada a </w:t>
      </w:r>
      <w:r>
        <w:rPr>
          <w:noProof/>
        </w:rPr>
        <w:t>más tardar el 30 de junio de 2026.</w:t>
      </w:r>
    </w:p>
    <w:p w14:paraId="44A28875" w14:textId="77777777" w:rsidR="00F208CE" w:rsidRDefault="00513E84">
      <w:pPr>
        <w:pStyle w:val="P68B1DB1-Text19"/>
        <w:ind w:left="0"/>
        <w:rPr>
          <w:noProof/>
        </w:rPr>
      </w:pPr>
      <w:r>
        <w:rPr>
          <w:noProof/>
        </w:rPr>
        <w:t>Inversión I-3.02: «Infraestructura ciclista — Corredores Vélo» de la Región Valona</w:t>
      </w:r>
    </w:p>
    <w:p w14:paraId="2A59C001" w14:textId="56C6531C" w:rsidR="00F208CE" w:rsidRDefault="00513E84">
      <w:pPr>
        <w:pStyle w:val="P68B1DB1-Normal1"/>
        <w:spacing w:before="120" w:after="120" w:line="240" w:lineRule="auto"/>
        <w:jc w:val="both"/>
        <w:rPr>
          <w:rFonts w:cs="Times New Roman"/>
          <w:noProof/>
        </w:rPr>
      </w:pPr>
      <w:r>
        <w:rPr>
          <w:noProof/>
        </w:rPr>
        <w:t>Esta inversión consiste en construir al menos 11,57 km de carriles para bicicletas a través de dos pasillos ciclistas a lo largo de la aut</w:t>
      </w:r>
      <w:r>
        <w:rPr>
          <w:noProof/>
        </w:rPr>
        <w:t>opista E411 y la ruta N275. La ejecución de la inversión deberá estar terminada a más tardar el 30 de junio de 2026.</w:t>
      </w:r>
    </w:p>
    <w:p w14:paraId="5027B57D" w14:textId="6EEA13A3" w:rsidR="00F208CE" w:rsidRDefault="00513E84">
      <w:pPr>
        <w:pStyle w:val="P68B1DB1-Text19"/>
        <w:ind w:left="0"/>
        <w:rPr>
          <w:noProof/>
        </w:rPr>
      </w:pPr>
      <w:r>
        <w:rPr>
          <w:noProof/>
        </w:rPr>
        <w:t>Inversión I-3.03.a: «Infraestructura ciclista — Vélo Plus — RBC» de la Región de Bruselas-Capital</w:t>
      </w:r>
    </w:p>
    <w:p w14:paraId="1C89A9A6" w14:textId="0169AD08" w:rsidR="00F208CE" w:rsidRDefault="00513E84">
      <w:pPr>
        <w:pStyle w:val="P68B1DB1-Normal13"/>
        <w:spacing w:before="120" w:after="120" w:line="240" w:lineRule="auto"/>
        <w:jc w:val="both"/>
        <w:rPr>
          <w:rFonts w:cs="Times New Roman"/>
          <w:noProof/>
          <w:sz w:val="24"/>
        </w:rPr>
        <w:sectPr w:rsidR="00F208CE" w:rsidSect="0092644D">
          <w:headerReference w:type="even" r:id="rId78"/>
          <w:headerReference w:type="default" r:id="rId79"/>
          <w:footerReference w:type="even" r:id="rId80"/>
          <w:footerReference w:type="default" r:id="rId81"/>
          <w:headerReference w:type="first" r:id="rId82"/>
          <w:footerReference w:type="first" r:id="rId83"/>
          <w:pgSz w:w="11907" w:h="16839"/>
          <w:pgMar w:top="1134" w:right="1134" w:bottom="1134" w:left="1134" w:header="567" w:footer="567" w:gutter="0"/>
          <w:cols w:space="720"/>
          <w:docGrid w:linePitch="360"/>
        </w:sectPr>
      </w:pPr>
      <w:r>
        <w:rPr>
          <w:noProof/>
          <w:sz w:val="24"/>
        </w:rPr>
        <w:t>Esta inversión consiste en la construcción de al menos 7 plazas de aparcamiento para bicicletas y al menos</w:t>
      </w:r>
      <w:r>
        <w:rPr>
          <w:noProof/>
          <w:color w:val="006100"/>
        </w:rPr>
        <w:t xml:space="preserve"> </w:t>
      </w:r>
      <w:r>
        <w:rPr>
          <w:noProof/>
          <w:sz w:val="24"/>
        </w:rPr>
        <w:t>000 km de carriles para bicicletas, y en la mejora de 11,7 km de carriles para bicicletas en Bruselas. La ejecución de la inve</w:t>
      </w:r>
      <w:r>
        <w:rPr>
          <w:noProof/>
          <w:sz w:val="24"/>
        </w:rPr>
        <w:t>rsión deberá estar terminada a más tardar el 30 de junio de 2026.</w:t>
      </w:r>
    </w:p>
    <w:p w14:paraId="6D534F9B" w14:textId="72953310" w:rsidR="00F208CE" w:rsidRDefault="00513E84">
      <w:pPr>
        <w:pStyle w:val="Text1"/>
        <w:ind w:left="0"/>
        <w:rPr>
          <w:b/>
          <w:noProof/>
          <w:u w:val="single"/>
        </w:rPr>
      </w:pPr>
      <w:r>
        <w:rPr>
          <w:b/>
          <w:noProof/>
          <w:u w:val="single"/>
        </w:rPr>
        <w:t xml:space="preserve">G.2. </w:t>
      </w:r>
      <w:r>
        <w:rPr>
          <w:noProof/>
        </w:rPr>
        <w:t xml:space="preserve"> </w:t>
      </w:r>
      <w:r>
        <w:rPr>
          <w:b/>
          <w:noProof/>
          <w:u w:val="single"/>
        </w:rPr>
        <w:t>Hitos, metas, indicadores y calendario para el seguimiento y la ejecución de la ayuda financiera no reembolsable</w:t>
      </w:r>
    </w:p>
    <w:tbl>
      <w:tblPr>
        <w:tblW w:w="15730" w:type="dxa"/>
        <w:jc w:val="center"/>
        <w:tblLayout w:type="fixed"/>
        <w:tblLook w:val="04A0" w:firstRow="1" w:lastRow="0" w:firstColumn="1" w:lastColumn="0" w:noHBand="0" w:noVBand="1"/>
      </w:tblPr>
      <w:tblGrid>
        <w:gridCol w:w="595"/>
        <w:gridCol w:w="1560"/>
        <w:gridCol w:w="1200"/>
        <w:gridCol w:w="1680"/>
        <w:gridCol w:w="1680"/>
        <w:gridCol w:w="1320"/>
        <w:gridCol w:w="1080"/>
        <w:gridCol w:w="840"/>
        <w:gridCol w:w="1080"/>
        <w:gridCol w:w="720"/>
        <w:gridCol w:w="3975"/>
      </w:tblGrid>
      <w:tr w:rsidR="00F208CE" w14:paraId="40935581" w14:textId="77777777">
        <w:trPr>
          <w:trHeight w:val="927"/>
          <w:tblHeader/>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0EC76D" w14:textId="04396236" w:rsidR="00F208CE" w:rsidRDefault="00513E84">
            <w:pPr>
              <w:pStyle w:val="P68B1DB1-Normal15"/>
              <w:spacing w:after="0"/>
              <w:jc w:val="center"/>
              <w:rPr>
                <w:rFonts w:eastAsia="Times New Roman" w:cs="Times New Roman"/>
                <w:noProof/>
              </w:rPr>
            </w:pPr>
            <w:r>
              <w:rPr>
                <w:noProof/>
              </w:rPr>
              <w:t>Código N.B.:</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055772"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F888C2" w14:textId="77777777" w:rsidR="00F208CE" w:rsidRDefault="00513E84">
            <w:pPr>
              <w:pStyle w:val="P68B1DB1-Normal15"/>
              <w:spacing w:after="0"/>
              <w:jc w:val="center"/>
              <w:rPr>
                <w:rFonts w:eastAsia="Times New Roman" w:cs="Times New Roman"/>
                <w:noProof/>
              </w:rPr>
            </w:pPr>
            <w:r>
              <w:rPr>
                <w:noProof/>
              </w:rPr>
              <w:t>Hito/Objetivo</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A333DF" w14:textId="77777777" w:rsidR="00F208CE" w:rsidRDefault="00513E84">
            <w:pPr>
              <w:pStyle w:val="P68B1DB1-Normal15"/>
              <w:spacing w:after="0"/>
              <w:jc w:val="center"/>
              <w:rPr>
                <w:rFonts w:eastAsia="Times New Roman" w:cs="Times New Roman"/>
                <w:noProof/>
              </w:rPr>
            </w:pPr>
            <w:r>
              <w:rPr>
                <w:noProof/>
              </w:rPr>
              <w:t>Nom</w:t>
            </w:r>
            <w:r>
              <w:rPr>
                <w:noProof/>
              </w:rPr>
              <w:t>bre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09D118"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24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6A772D0"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20EC8163"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2C750E"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389332F0" w14:textId="77777777">
        <w:trPr>
          <w:trHeight w:val="1013"/>
          <w:tblHeader/>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F441146" w14:textId="77777777" w:rsidR="00F208CE" w:rsidRDefault="00F208CE">
            <w:pPr>
              <w:spacing w:after="0"/>
              <w:rPr>
                <w:rFonts w:ascii="Times New Roman" w:eastAsia="Times New Roman" w:hAnsi="Times New Roman" w:cs="Times New Roman"/>
                <w:b/>
                <w:noProof/>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579B59" w14:textId="77777777" w:rsidR="00F208CE" w:rsidRDefault="00F208CE">
            <w:pPr>
              <w:spacing w:after="0"/>
              <w:rPr>
                <w:rFonts w:ascii="Times New Roman" w:eastAsia="Times New Roman" w:hAnsi="Times New Roman" w:cs="Times New Roman"/>
                <w:b/>
                <w:noProof/>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8EF74FB"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5679E3E"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032EA14B" w14:textId="77777777" w:rsidR="00F208CE" w:rsidRDefault="00F208CE">
            <w:pPr>
              <w:spacing w:after="0"/>
              <w:rPr>
                <w:rFonts w:ascii="Times New Roman" w:eastAsia="Times New Roman" w:hAnsi="Times New Roman" w:cs="Times New Roman"/>
                <w:b/>
                <w:noProof/>
              </w:rPr>
            </w:pPr>
          </w:p>
        </w:tc>
        <w:tc>
          <w:tcPr>
            <w:tcW w:w="1320" w:type="dxa"/>
            <w:tcBorders>
              <w:top w:val="nil"/>
              <w:left w:val="single" w:sz="4" w:space="0" w:color="auto"/>
              <w:bottom w:val="single" w:sz="4" w:space="0" w:color="auto"/>
              <w:right w:val="single" w:sz="4" w:space="0" w:color="auto"/>
            </w:tcBorders>
            <w:shd w:val="clear" w:color="auto" w:fill="BDD7EE"/>
            <w:vAlign w:val="center"/>
            <w:hideMark/>
          </w:tcPr>
          <w:p w14:paraId="2EEE7BE2" w14:textId="77777777" w:rsidR="00F208CE" w:rsidRDefault="00513E84">
            <w:pPr>
              <w:pStyle w:val="P68B1DB1-Normal15"/>
              <w:spacing w:after="0"/>
              <w:jc w:val="center"/>
              <w:rPr>
                <w:rFonts w:eastAsia="Times New Roman" w:cs="Times New Roman"/>
                <w:noProof/>
              </w:rPr>
            </w:pPr>
            <w:r>
              <w:rPr>
                <w:noProof/>
              </w:rPr>
              <w:t>Unidad de medida</w:t>
            </w:r>
          </w:p>
        </w:tc>
        <w:tc>
          <w:tcPr>
            <w:tcW w:w="1080" w:type="dxa"/>
            <w:tcBorders>
              <w:top w:val="nil"/>
              <w:left w:val="nil"/>
              <w:bottom w:val="single" w:sz="4" w:space="0" w:color="auto"/>
              <w:right w:val="single" w:sz="4" w:space="0" w:color="auto"/>
            </w:tcBorders>
            <w:shd w:val="clear" w:color="auto" w:fill="BDD7EE"/>
            <w:vAlign w:val="center"/>
            <w:hideMark/>
          </w:tcPr>
          <w:p w14:paraId="0E136B71" w14:textId="77777777" w:rsidR="00F208CE" w:rsidRDefault="00513E84">
            <w:pPr>
              <w:pStyle w:val="P68B1DB1-Normal15"/>
              <w:spacing w:after="0"/>
              <w:jc w:val="center"/>
              <w:rPr>
                <w:rFonts w:eastAsia="Times New Roman" w:cs="Times New Roman"/>
                <w:noProof/>
              </w:rPr>
            </w:pPr>
            <w:r>
              <w:rPr>
                <w:noProof/>
              </w:rPr>
              <w:t xml:space="preserve">Basal </w:t>
            </w:r>
          </w:p>
        </w:tc>
        <w:tc>
          <w:tcPr>
            <w:tcW w:w="840" w:type="dxa"/>
            <w:tcBorders>
              <w:top w:val="nil"/>
              <w:left w:val="nil"/>
              <w:bottom w:val="single" w:sz="4" w:space="0" w:color="auto"/>
              <w:right w:val="single" w:sz="4" w:space="0" w:color="auto"/>
            </w:tcBorders>
            <w:shd w:val="clear" w:color="auto" w:fill="BDD7EE"/>
            <w:vAlign w:val="center"/>
            <w:hideMark/>
          </w:tcPr>
          <w:p w14:paraId="1A0D8C78" w14:textId="77777777" w:rsidR="00F208CE" w:rsidRDefault="00513E84">
            <w:pPr>
              <w:pStyle w:val="P68B1DB1-Normal15"/>
              <w:spacing w:after="0"/>
              <w:jc w:val="center"/>
              <w:rPr>
                <w:rFonts w:eastAsia="Times New Roman" w:cs="Times New Roman"/>
                <w:noProof/>
              </w:rPr>
            </w:pPr>
            <w:r>
              <w:rPr>
                <w:noProof/>
              </w:rPr>
              <w:t xml:space="preserve">Meta </w:t>
            </w:r>
          </w:p>
        </w:tc>
        <w:tc>
          <w:tcPr>
            <w:tcW w:w="1080" w:type="dxa"/>
            <w:tcBorders>
              <w:top w:val="nil"/>
              <w:left w:val="nil"/>
              <w:bottom w:val="single" w:sz="4" w:space="0" w:color="auto"/>
              <w:right w:val="single" w:sz="4" w:space="0" w:color="auto"/>
            </w:tcBorders>
            <w:shd w:val="clear" w:color="auto" w:fill="BDD7EE"/>
            <w:vAlign w:val="center"/>
            <w:hideMark/>
          </w:tcPr>
          <w:p w14:paraId="14D296D6" w14:textId="77777777" w:rsidR="00F208CE" w:rsidRDefault="00513E84">
            <w:pPr>
              <w:pStyle w:val="P68B1DB1-Normal15"/>
              <w:spacing w:after="0"/>
              <w:jc w:val="center"/>
              <w:rPr>
                <w:rFonts w:eastAsia="Times New Roman" w:cs="Times New Roman"/>
                <w:noProof/>
              </w:rPr>
            </w:pPr>
            <w:r>
              <w:rPr>
                <w:noProof/>
              </w:rPr>
              <w:t>Trimestre</w:t>
            </w:r>
          </w:p>
        </w:tc>
        <w:tc>
          <w:tcPr>
            <w:tcW w:w="720" w:type="dxa"/>
            <w:tcBorders>
              <w:top w:val="nil"/>
              <w:left w:val="nil"/>
              <w:bottom w:val="single" w:sz="4" w:space="0" w:color="auto"/>
              <w:right w:val="single" w:sz="4" w:space="0" w:color="auto"/>
            </w:tcBorders>
            <w:shd w:val="clear" w:color="auto" w:fill="BDD7EE"/>
            <w:vAlign w:val="center"/>
            <w:hideMark/>
          </w:tcPr>
          <w:p w14:paraId="6DF14EE7" w14:textId="77777777" w:rsidR="00F208CE" w:rsidRDefault="00513E84">
            <w:pPr>
              <w:pStyle w:val="P68B1DB1-Normal15"/>
              <w:spacing w:after="0"/>
              <w:jc w:val="center"/>
              <w:rPr>
                <w:rFonts w:eastAsia="Times New Roman" w:cs="Times New Roman"/>
                <w:noProof/>
              </w:rPr>
            </w:pPr>
            <w:r>
              <w:rPr>
                <w:noProof/>
              </w:rPr>
              <w:t>Año</w:t>
            </w:r>
          </w:p>
        </w:tc>
        <w:tc>
          <w:tcPr>
            <w:tcW w:w="3975" w:type="dxa"/>
            <w:vMerge/>
            <w:tcBorders>
              <w:top w:val="single" w:sz="4" w:space="0" w:color="auto"/>
              <w:bottom w:val="single" w:sz="4" w:space="0" w:color="auto"/>
              <w:right w:val="single" w:sz="4" w:space="0" w:color="auto"/>
            </w:tcBorders>
            <w:vAlign w:val="center"/>
            <w:hideMark/>
          </w:tcPr>
          <w:p w14:paraId="5D6CF8D7" w14:textId="77777777" w:rsidR="00F208CE" w:rsidRDefault="00F208CE">
            <w:pPr>
              <w:spacing w:after="0"/>
              <w:rPr>
                <w:rFonts w:ascii="Times New Roman" w:eastAsia="Times New Roman" w:hAnsi="Times New Roman" w:cs="Times New Roman"/>
                <w:b/>
                <w:noProof/>
              </w:rPr>
            </w:pPr>
          </w:p>
        </w:tc>
      </w:tr>
      <w:tr w:rsidR="00F208CE" w14:paraId="4119EDED" w14:textId="77777777">
        <w:trPr>
          <w:trHeight w:val="309"/>
          <w:jc w:val="center"/>
        </w:trPr>
        <w:tc>
          <w:tcPr>
            <w:tcW w:w="5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215EB12" w14:textId="77777777" w:rsidR="00F208CE" w:rsidRDefault="00513E84">
            <w:pPr>
              <w:pStyle w:val="P68B1DB1-Normal8"/>
              <w:spacing w:after="0"/>
              <w:jc w:val="center"/>
              <w:rPr>
                <w:rFonts w:eastAsia="Times New Roman" w:cs="Times New Roman"/>
                <w:noProof/>
              </w:rPr>
            </w:pPr>
            <w:r>
              <w:rPr>
                <w:noProof/>
              </w:rPr>
              <w:t>94</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E7C8C3" w14:textId="77777777" w:rsidR="00F208CE" w:rsidRDefault="00513E84">
            <w:pPr>
              <w:pStyle w:val="P68B1DB1-Normal8"/>
              <w:spacing w:after="0"/>
              <w:rPr>
                <w:rFonts w:eastAsia="Times New Roman" w:cs="Times New Roman"/>
                <w:noProof/>
              </w:rPr>
            </w:pPr>
            <w:r>
              <w:rPr>
                <w:noProof/>
              </w:rPr>
              <w:t xml:space="preserve">Infraestructura para bicicletas </w:t>
            </w:r>
            <w:r>
              <w:rPr>
                <w:noProof/>
              </w:rPr>
              <w:t>(I-3A)</w:t>
            </w:r>
          </w:p>
        </w:tc>
        <w:tc>
          <w:tcPr>
            <w:tcW w:w="1200" w:type="dxa"/>
            <w:tcBorders>
              <w:top w:val="single" w:sz="4" w:space="0" w:color="auto"/>
              <w:left w:val="nil"/>
              <w:bottom w:val="single" w:sz="4" w:space="0" w:color="auto"/>
              <w:right w:val="single" w:sz="4" w:space="0" w:color="auto"/>
            </w:tcBorders>
            <w:shd w:val="clear" w:color="auto" w:fill="C6EFCE"/>
            <w:noWrap/>
            <w:vAlign w:val="center"/>
            <w:hideMark/>
          </w:tcPr>
          <w:p w14:paraId="600DB5A9" w14:textId="2C330D49" w:rsidR="00F208CE" w:rsidRDefault="00513E84">
            <w:pPr>
              <w:pStyle w:val="P68B1DB1-Normal8"/>
              <w:spacing w:after="0"/>
              <w:rPr>
                <w:rFonts w:eastAsia="Times New Roman" w:cs="Times New Roman"/>
                <w:noProof/>
              </w:rPr>
            </w:pPr>
            <w:r>
              <w:rPr>
                <w:noProof/>
              </w:rPr>
              <w:t>M</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08FEF68E" w14:textId="77777777" w:rsidR="00F208CE" w:rsidRDefault="00513E84">
            <w:pPr>
              <w:pStyle w:val="P68B1DB1-Normal8"/>
              <w:spacing w:after="0"/>
              <w:rPr>
                <w:rFonts w:eastAsia="Times New Roman" w:cs="Times New Roman"/>
                <w:noProof/>
              </w:rPr>
            </w:pPr>
            <w:r>
              <w:rPr>
                <w:noProof/>
              </w:rPr>
              <w:t>Inicio de todos los proyectos en bicicleta y a pie</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3845571D" w14:textId="77777777" w:rsidR="00F208CE" w:rsidRDefault="00513E84">
            <w:pPr>
              <w:pStyle w:val="P68B1DB1-Normal8"/>
              <w:spacing w:after="0"/>
              <w:rPr>
                <w:rFonts w:eastAsia="Times New Roman" w:cs="Times New Roman"/>
                <w:noProof/>
              </w:rPr>
            </w:pPr>
            <w:r>
              <w:rPr>
                <w:noProof/>
              </w:rPr>
              <w:t>Adopción de la decisión o adjudicación del contrato</w:t>
            </w:r>
          </w:p>
        </w:tc>
        <w:tc>
          <w:tcPr>
            <w:tcW w:w="1320" w:type="dxa"/>
            <w:tcBorders>
              <w:top w:val="nil"/>
              <w:left w:val="nil"/>
              <w:bottom w:val="single" w:sz="4" w:space="0" w:color="auto"/>
              <w:right w:val="single" w:sz="4" w:space="0" w:color="auto"/>
            </w:tcBorders>
            <w:shd w:val="clear" w:color="auto" w:fill="C6EFCE"/>
            <w:noWrap/>
            <w:vAlign w:val="center"/>
            <w:hideMark/>
          </w:tcPr>
          <w:p w14:paraId="572BCFD9"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6D18947" w14:textId="77777777" w:rsidR="00F208CE" w:rsidRDefault="00F208CE">
            <w:pPr>
              <w:spacing w:after="0"/>
              <w:jc w:val="right"/>
              <w:rPr>
                <w:rFonts w:ascii="Times New Roman" w:eastAsia="Times New Roman" w:hAnsi="Times New Roman" w:cs="Times New Roman"/>
                <w:noProof/>
                <w:color w:val="006100"/>
              </w:rPr>
            </w:pPr>
          </w:p>
        </w:tc>
        <w:tc>
          <w:tcPr>
            <w:tcW w:w="840" w:type="dxa"/>
            <w:tcBorders>
              <w:top w:val="single" w:sz="4" w:space="0" w:color="auto"/>
              <w:left w:val="nil"/>
              <w:bottom w:val="single" w:sz="4" w:space="0" w:color="auto"/>
              <w:right w:val="single" w:sz="4" w:space="0" w:color="auto"/>
            </w:tcBorders>
            <w:shd w:val="clear" w:color="auto" w:fill="C6EFCE"/>
            <w:noWrap/>
            <w:vAlign w:val="center"/>
            <w:hideMark/>
          </w:tcPr>
          <w:p w14:paraId="6F8C53A3" w14:textId="77777777" w:rsidR="00F208CE" w:rsidRDefault="00F208CE">
            <w:pPr>
              <w:spacing w:after="0"/>
              <w:jc w:val="right"/>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7571952A"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hideMark/>
          </w:tcPr>
          <w:p w14:paraId="21745D54" w14:textId="77777777" w:rsidR="00F208CE" w:rsidRDefault="00513E84">
            <w:pPr>
              <w:pStyle w:val="P68B1DB1-Normal8"/>
              <w:spacing w:after="0"/>
              <w:jc w:val="center"/>
              <w:rPr>
                <w:rFonts w:eastAsia="Times New Roman" w:cs="Times New Roman"/>
                <w:noProof/>
              </w:rPr>
            </w:pPr>
            <w:r>
              <w:rPr>
                <w:noProof/>
              </w:rPr>
              <w:t>2024</w:t>
            </w:r>
          </w:p>
        </w:tc>
        <w:tc>
          <w:tcPr>
            <w:tcW w:w="397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CE257B" w14:textId="25A24293" w:rsidR="00F208CE" w:rsidRDefault="00513E84">
            <w:pPr>
              <w:pStyle w:val="P68B1DB1-Normal8"/>
              <w:spacing w:after="120"/>
              <w:rPr>
                <w:rFonts w:cs="Times New Roman"/>
                <w:noProof/>
              </w:rPr>
            </w:pPr>
            <w:r>
              <w:rPr>
                <w:noProof/>
                <w:u w:val="single"/>
              </w:rPr>
              <w:t>Infraestructura para bicicletas — VLA (I-3.01)</w:t>
            </w:r>
            <w:r>
              <w:rPr>
                <w:noProof/>
              </w:rPr>
              <w:t xml:space="preserve">: Adopción de las decisiones sobre el presupuesto o las modalidades de </w:t>
            </w:r>
            <w:r>
              <w:rPr>
                <w:noProof/>
              </w:rPr>
              <w:t>subvención para el programa de Beleidsdomein Mobiliteit en Openbare Werken.</w:t>
            </w:r>
          </w:p>
          <w:p w14:paraId="69EF1283" w14:textId="65FD20AB" w:rsidR="00F208CE" w:rsidRDefault="00513E84">
            <w:pPr>
              <w:pStyle w:val="P68B1DB1-Normal8"/>
              <w:spacing w:after="120"/>
              <w:rPr>
                <w:rFonts w:cs="Times New Roman"/>
                <w:noProof/>
              </w:rPr>
            </w:pPr>
            <w:r>
              <w:rPr>
                <w:noProof/>
                <w:u w:val="single"/>
              </w:rPr>
              <w:t>Infraestructura ciclista — corredores vélo — WAL (I-3.02)</w:t>
            </w:r>
            <w:r>
              <w:rPr>
                <w:noProof/>
              </w:rPr>
              <w:t>: Adjudicación de contratos en cuatro tramos en Valonia</w:t>
            </w:r>
          </w:p>
          <w:p w14:paraId="00FE9154" w14:textId="5A56A368" w:rsidR="00F208CE" w:rsidRDefault="00513E84">
            <w:pPr>
              <w:pStyle w:val="P68B1DB1-Normal8"/>
              <w:spacing w:after="120"/>
              <w:rPr>
                <w:rFonts w:eastAsia="Times New Roman" w:cs="Times New Roman"/>
                <w:noProof/>
                <w:highlight w:val="cyan"/>
              </w:rPr>
            </w:pPr>
            <w:r>
              <w:rPr>
                <w:noProof/>
                <w:u w:val="single"/>
              </w:rPr>
              <w:t>Infraestructura para bicicletas — VeloPlus — RBC (I-3.03.a)</w:t>
            </w:r>
            <w:r>
              <w:rPr>
                <w:noProof/>
              </w:rPr>
              <w:t>: Adopci</w:t>
            </w:r>
            <w:r>
              <w:rPr>
                <w:noProof/>
              </w:rPr>
              <w:t>ón de una decisión sobre los itinerarios en bicicleta en Bruselas (RBC)</w:t>
            </w:r>
          </w:p>
        </w:tc>
      </w:tr>
      <w:tr w:rsidR="00F208CE" w14:paraId="4B4938D1"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1AC96F99" w14:textId="77777777" w:rsidR="00F208CE" w:rsidRDefault="00513E84">
            <w:pPr>
              <w:pStyle w:val="P68B1DB1-Normal8"/>
              <w:spacing w:after="0"/>
              <w:jc w:val="center"/>
              <w:rPr>
                <w:rFonts w:eastAsia="Times New Roman" w:cs="Times New Roman"/>
                <w:noProof/>
              </w:rPr>
            </w:pPr>
            <w:r>
              <w:rPr>
                <w:noProof/>
              </w:rPr>
              <w:t>95</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CCAFEFF" w14:textId="77777777" w:rsidR="00F208CE" w:rsidRDefault="00513E84">
            <w:pPr>
              <w:pStyle w:val="P68B1DB1-Normal8"/>
              <w:spacing w:after="0"/>
              <w:rPr>
                <w:rFonts w:eastAsia="Times New Roman" w:cs="Times New Roman"/>
                <w:noProof/>
              </w:rPr>
            </w:pPr>
            <w:r>
              <w:rPr>
                <w:noProof/>
              </w:rPr>
              <w:t>Infraestructura para bicicletas (I-3A)</w:t>
            </w:r>
          </w:p>
        </w:tc>
        <w:tc>
          <w:tcPr>
            <w:tcW w:w="1200" w:type="dxa"/>
            <w:tcBorders>
              <w:top w:val="single" w:sz="4" w:space="0" w:color="auto"/>
              <w:left w:val="nil"/>
              <w:bottom w:val="single" w:sz="4" w:space="0" w:color="auto"/>
              <w:right w:val="single" w:sz="4" w:space="0" w:color="auto"/>
            </w:tcBorders>
            <w:shd w:val="clear" w:color="auto" w:fill="C6EFCE"/>
            <w:noWrap/>
            <w:vAlign w:val="center"/>
            <w:hideMark/>
          </w:tcPr>
          <w:p w14:paraId="52A5623D" w14:textId="3D83E24A" w:rsidR="00F208CE" w:rsidRDefault="00513E84">
            <w:pPr>
              <w:pStyle w:val="P68B1DB1-Normal8"/>
              <w:spacing w:after="0"/>
              <w:rPr>
                <w:rFonts w:eastAsia="Times New Roman" w:cs="Times New Roman"/>
                <w:noProof/>
              </w:rPr>
            </w:pPr>
            <w:r>
              <w:rPr>
                <w:noProof/>
              </w:rPr>
              <w:t>T</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2DB6A3B0" w14:textId="77777777" w:rsidR="00F208CE" w:rsidRDefault="00513E84">
            <w:pPr>
              <w:pStyle w:val="P68B1DB1-Normal8"/>
              <w:spacing w:after="0"/>
              <w:rPr>
                <w:rFonts w:eastAsia="Times New Roman" w:cs="Times New Roman"/>
                <w:noProof/>
              </w:rPr>
            </w:pPr>
            <w:r>
              <w:rPr>
                <w:noProof/>
              </w:rPr>
              <w:t>Carreteras ciclistas nuevas y renovadas</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52B2757F" w14:textId="77777777" w:rsidR="00F208CE" w:rsidRDefault="00F208CE">
            <w:pPr>
              <w:spacing w:after="0"/>
              <w:rPr>
                <w:rFonts w:ascii="Times New Roman" w:eastAsia="Times New Roman" w:hAnsi="Times New Roman" w:cs="Times New Roman"/>
                <w:noProof/>
                <w:color w:val="006100"/>
              </w:rPr>
            </w:pPr>
          </w:p>
        </w:tc>
        <w:tc>
          <w:tcPr>
            <w:tcW w:w="1320" w:type="dxa"/>
            <w:tcBorders>
              <w:top w:val="single" w:sz="4" w:space="0" w:color="auto"/>
              <w:left w:val="nil"/>
              <w:bottom w:val="single" w:sz="4" w:space="0" w:color="auto"/>
              <w:right w:val="single" w:sz="4" w:space="0" w:color="auto"/>
            </w:tcBorders>
            <w:shd w:val="clear" w:color="auto" w:fill="C6EFCE"/>
            <w:noWrap/>
            <w:vAlign w:val="center"/>
            <w:hideMark/>
          </w:tcPr>
          <w:p w14:paraId="23526BD2" w14:textId="77777777" w:rsidR="00F208CE" w:rsidRDefault="00513E84">
            <w:pPr>
              <w:pStyle w:val="P68B1DB1-Normal8"/>
              <w:spacing w:after="0"/>
              <w:rPr>
                <w:rFonts w:eastAsia="Times New Roman" w:cs="Times New Roman"/>
                <w:noProof/>
              </w:rPr>
            </w:pPr>
            <w:r>
              <w:rPr>
                <w:noProof/>
              </w:rPr>
              <w:t>km</w:t>
            </w:r>
          </w:p>
        </w:tc>
        <w:tc>
          <w:tcPr>
            <w:tcW w:w="1080" w:type="dxa"/>
            <w:tcBorders>
              <w:top w:val="nil"/>
              <w:left w:val="single" w:sz="4" w:space="0" w:color="auto"/>
              <w:bottom w:val="single" w:sz="4" w:space="0" w:color="auto"/>
              <w:right w:val="single" w:sz="4" w:space="0" w:color="auto"/>
            </w:tcBorders>
            <w:shd w:val="clear" w:color="auto" w:fill="C6EFCE"/>
            <w:noWrap/>
            <w:vAlign w:val="center"/>
            <w:hideMark/>
          </w:tcPr>
          <w:p w14:paraId="2BFF133C" w14:textId="77777777" w:rsidR="00F208CE" w:rsidRDefault="00513E84">
            <w:pPr>
              <w:pStyle w:val="P68B1DB1-Normal8"/>
              <w:spacing w:after="0"/>
              <w:jc w:val="right"/>
              <w:rPr>
                <w:rFonts w:eastAsia="Times New Roman" w:cs="Times New Roman"/>
                <w:noProof/>
              </w:rPr>
            </w:pPr>
            <w:r>
              <w:rPr>
                <w:noProof/>
              </w:rPr>
              <w:t>0</w:t>
            </w:r>
          </w:p>
        </w:tc>
        <w:tc>
          <w:tcPr>
            <w:tcW w:w="840" w:type="dxa"/>
            <w:tcBorders>
              <w:top w:val="nil"/>
              <w:left w:val="nil"/>
              <w:bottom w:val="single" w:sz="4" w:space="0" w:color="auto"/>
              <w:right w:val="single" w:sz="4" w:space="0" w:color="auto"/>
            </w:tcBorders>
            <w:shd w:val="clear" w:color="auto" w:fill="C6EFCE"/>
            <w:noWrap/>
            <w:vAlign w:val="center"/>
            <w:hideMark/>
          </w:tcPr>
          <w:p w14:paraId="7391A442" w14:textId="1DD1601B" w:rsidR="00F208CE" w:rsidRDefault="00513E84">
            <w:pPr>
              <w:pStyle w:val="P68B1DB1-Normal8"/>
              <w:spacing w:after="0"/>
              <w:jc w:val="right"/>
              <w:rPr>
                <w:rFonts w:eastAsia="Times New Roman" w:cs="Times New Roman"/>
                <w:noProof/>
              </w:rPr>
            </w:pPr>
            <w:r>
              <w:rPr>
                <w:noProof/>
              </w:rPr>
              <w:t>6.3</w:t>
            </w:r>
          </w:p>
        </w:tc>
        <w:tc>
          <w:tcPr>
            <w:tcW w:w="1080" w:type="dxa"/>
            <w:tcBorders>
              <w:top w:val="nil"/>
              <w:left w:val="nil"/>
              <w:bottom w:val="single" w:sz="4" w:space="0" w:color="auto"/>
              <w:right w:val="single" w:sz="4" w:space="0" w:color="auto"/>
            </w:tcBorders>
            <w:shd w:val="clear" w:color="auto" w:fill="C6EFCE"/>
            <w:noWrap/>
            <w:vAlign w:val="center"/>
            <w:hideMark/>
          </w:tcPr>
          <w:p w14:paraId="35577269"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hideMark/>
          </w:tcPr>
          <w:p w14:paraId="76CCF87D" w14:textId="77777777" w:rsidR="00F208CE" w:rsidRDefault="00513E84">
            <w:pPr>
              <w:pStyle w:val="P68B1DB1-Normal8"/>
              <w:spacing w:after="0"/>
              <w:jc w:val="center"/>
              <w:rPr>
                <w:rFonts w:eastAsia="Times New Roman" w:cs="Times New Roman"/>
                <w:noProof/>
              </w:rPr>
            </w:pPr>
            <w:r>
              <w:rPr>
                <w:noProof/>
              </w:rPr>
              <w:t>2024</w:t>
            </w:r>
          </w:p>
        </w:tc>
        <w:tc>
          <w:tcPr>
            <w:tcW w:w="3975" w:type="dxa"/>
            <w:tcBorders>
              <w:top w:val="nil"/>
              <w:left w:val="single" w:sz="4" w:space="0" w:color="auto"/>
              <w:bottom w:val="single" w:sz="4" w:space="0" w:color="auto"/>
              <w:right w:val="single" w:sz="4" w:space="0" w:color="auto"/>
            </w:tcBorders>
            <w:shd w:val="clear" w:color="auto" w:fill="C6EFCE"/>
            <w:noWrap/>
            <w:vAlign w:val="center"/>
            <w:hideMark/>
          </w:tcPr>
          <w:p w14:paraId="33D8A490" w14:textId="4B3BEC78" w:rsidR="00F208CE" w:rsidRDefault="00513E84">
            <w:pPr>
              <w:pStyle w:val="P68B1DB1-Normal8"/>
              <w:spacing w:after="120"/>
              <w:rPr>
                <w:rFonts w:cs="Times New Roman"/>
                <w:noProof/>
              </w:rPr>
            </w:pPr>
            <w:r>
              <w:rPr>
                <w:noProof/>
              </w:rPr>
              <w:t>6,3 km de carriles ciclistas nuevos y renovados.</w:t>
            </w:r>
          </w:p>
          <w:p w14:paraId="279EA139" w14:textId="53D46B0E" w:rsidR="00F208CE" w:rsidRDefault="00513E84">
            <w:pPr>
              <w:pStyle w:val="P68B1DB1-Normal8"/>
              <w:spacing w:after="0"/>
              <w:rPr>
                <w:rFonts w:cs="Times New Roman"/>
                <w:noProof/>
              </w:rPr>
            </w:pPr>
            <w:r>
              <w:rPr>
                <w:noProof/>
              </w:rPr>
              <w:t xml:space="preserve">Este objetivo se desglosa a título indicativo en los siguientes subobjetivos, que no tienen que alcanzarse individualmente siempre que se alcancen los kilómetros mencionados de las vías ciclistas: </w:t>
            </w:r>
          </w:p>
          <w:p w14:paraId="3065C527" w14:textId="7F4453E7" w:rsidR="00F208CE" w:rsidRDefault="00513E84">
            <w:pPr>
              <w:pStyle w:val="P68B1DB1-Normal8"/>
              <w:spacing w:after="0"/>
              <w:rPr>
                <w:rFonts w:cs="Times New Roman"/>
                <w:noProof/>
              </w:rPr>
            </w:pPr>
            <w:r>
              <w:rPr>
                <w:noProof/>
              </w:rPr>
              <w:t xml:space="preserve">I) Región de Bruselas-Capital (en relación con I-3.03.a): </w:t>
            </w:r>
            <w:r>
              <w:rPr>
                <w:noProof/>
              </w:rPr>
              <w:t>6,3 km renovados y nuevos</w:t>
            </w:r>
          </w:p>
        </w:tc>
      </w:tr>
      <w:tr w:rsidR="00F208CE" w14:paraId="5A07D63A"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531586FC" w14:textId="77777777" w:rsidR="00F208CE" w:rsidRDefault="00513E84">
            <w:pPr>
              <w:pStyle w:val="P68B1DB1-Normal8"/>
              <w:spacing w:after="0"/>
              <w:jc w:val="center"/>
              <w:rPr>
                <w:rFonts w:eastAsia="Times New Roman" w:cs="Times New Roman"/>
                <w:noProof/>
              </w:rPr>
            </w:pPr>
            <w:r>
              <w:rPr>
                <w:noProof/>
              </w:rPr>
              <w:t>96</w:t>
            </w:r>
          </w:p>
        </w:tc>
        <w:tc>
          <w:tcPr>
            <w:tcW w:w="1560" w:type="dxa"/>
            <w:tcBorders>
              <w:top w:val="nil"/>
              <w:left w:val="single" w:sz="4" w:space="0" w:color="auto"/>
              <w:bottom w:val="single" w:sz="4" w:space="0" w:color="auto"/>
              <w:right w:val="single" w:sz="4" w:space="0" w:color="auto"/>
            </w:tcBorders>
            <w:shd w:val="clear" w:color="auto" w:fill="C6EFCE"/>
            <w:noWrap/>
            <w:vAlign w:val="center"/>
            <w:hideMark/>
          </w:tcPr>
          <w:p w14:paraId="7BE86250" w14:textId="77777777" w:rsidR="00F208CE" w:rsidRDefault="00513E84">
            <w:pPr>
              <w:pStyle w:val="P68B1DB1-Normal8"/>
              <w:spacing w:after="0"/>
              <w:rPr>
                <w:rFonts w:eastAsia="Times New Roman" w:cs="Times New Roman"/>
                <w:noProof/>
              </w:rPr>
            </w:pPr>
            <w:r>
              <w:rPr>
                <w:noProof/>
              </w:rPr>
              <w:t>Infraestructura para bicicletas (I-3A)</w:t>
            </w:r>
          </w:p>
        </w:tc>
        <w:tc>
          <w:tcPr>
            <w:tcW w:w="1200" w:type="dxa"/>
            <w:tcBorders>
              <w:top w:val="nil"/>
              <w:left w:val="nil"/>
              <w:bottom w:val="single" w:sz="4" w:space="0" w:color="auto"/>
              <w:right w:val="single" w:sz="4" w:space="0" w:color="auto"/>
            </w:tcBorders>
            <w:shd w:val="clear" w:color="auto" w:fill="C6EFCE"/>
            <w:noWrap/>
            <w:vAlign w:val="center"/>
            <w:hideMark/>
          </w:tcPr>
          <w:p w14:paraId="1D107F11" w14:textId="5868106D" w:rsidR="00F208CE" w:rsidRDefault="00513E84">
            <w:pPr>
              <w:pStyle w:val="P68B1DB1-Normal8"/>
              <w:spacing w:after="0"/>
              <w:rPr>
                <w:rFonts w:eastAsia="Times New Roman"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hideMark/>
          </w:tcPr>
          <w:p w14:paraId="1CE76726" w14:textId="77777777" w:rsidR="00F208CE" w:rsidRDefault="00513E84">
            <w:pPr>
              <w:pStyle w:val="P68B1DB1-Normal8"/>
              <w:spacing w:after="0"/>
              <w:rPr>
                <w:rFonts w:eastAsia="Times New Roman" w:cs="Times New Roman"/>
                <w:noProof/>
              </w:rPr>
            </w:pPr>
            <w:r>
              <w:rPr>
                <w:noProof/>
              </w:rPr>
              <w:t>Carreteras ciclistas nuevas y renovadas</w:t>
            </w:r>
          </w:p>
        </w:tc>
        <w:tc>
          <w:tcPr>
            <w:tcW w:w="1680" w:type="dxa"/>
            <w:tcBorders>
              <w:top w:val="nil"/>
              <w:left w:val="nil"/>
              <w:bottom w:val="single" w:sz="4" w:space="0" w:color="auto"/>
              <w:right w:val="single" w:sz="4" w:space="0" w:color="auto"/>
            </w:tcBorders>
            <w:shd w:val="clear" w:color="auto" w:fill="C6EFCE"/>
            <w:noWrap/>
            <w:vAlign w:val="center"/>
            <w:hideMark/>
          </w:tcPr>
          <w:p w14:paraId="746CEA94" w14:textId="77777777" w:rsidR="00F208CE" w:rsidRDefault="00F208CE">
            <w:pPr>
              <w:spacing w:after="0"/>
              <w:rPr>
                <w:rFonts w:ascii="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hideMark/>
          </w:tcPr>
          <w:p w14:paraId="11701E70" w14:textId="77777777" w:rsidR="00F208CE" w:rsidRDefault="00513E84">
            <w:pPr>
              <w:pStyle w:val="P68B1DB1-Normal8"/>
              <w:spacing w:after="0"/>
              <w:rPr>
                <w:rFonts w:eastAsia="Times New Roman" w:cs="Times New Roman"/>
                <w:noProof/>
              </w:rPr>
            </w:pPr>
            <w:r>
              <w:rPr>
                <w:noProof/>
              </w:rPr>
              <w:t>km</w:t>
            </w:r>
          </w:p>
        </w:tc>
        <w:tc>
          <w:tcPr>
            <w:tcW w:w="1080" w:type="dxa"/>
            <w:tcBorders>
              <w:top w:val="nil"/>
              <w:left w:val="single" w:sz="4" w:space="0" w:color="auto"/>
              <w:bottom w:val="single" w:sz="4" w:space="0" w:color="auto"/>
              <w:right w:val="single" w:sz="4" w:space="0" w:color="auto"/>
            </w:tcBorders>
            <w:shd w:val="clear" w:color="auto" w:fill="C6EFCE"/>
            <w:noWrap/>
            <w:vAlign w:val="center"/>
            <w:hideMark/>
          </w:tcPr>
          <w:p w14:paraId="154C6D1B" w14:textId="02F36D15" w:rsidR="00F208CE" w:rsidRDefault="00513E84">
            <w:pPr>
              <w:pStyle w:val="P68B1DB1-Normal8"/>
              <w:spacing w:after="0"/>
              <w:jc w:val="right"/>
              <w:rPr>
                <w:rFonts w:eastAsia="Times New Roman" w:cs="Times New Roman"/>
                <w:noProof/>
              </w:rPr>
            </w:pPr>
            <w:r>
              <w:rPr>
                <w:noProof/>
              </w:rPr>
              <w:t>6.3</w:t>
            </w:r>
          </w:p>
        </w:tc>
        <w:tc>
          <w:tcPr>
            <w:tcW w:w="840" w:type="dxa"/>
            <w:tcBorders>
              <w:top w:val="nil"/>
              <w:left w:val="nil"/>
              <w:bottom w:val="single" w:sz="4" w:space="0" w:color="auto"/>
              <w:right w:val="single" w:sz="4" w:space="0" w:color="auto"/>
            </w:tcBorders>
            <w:shd w:val="clear" w:color="auto" w:fill="C6EFCE"/>
            <w:noWrap/>
            <w:vAlign w:val="center"/>
            <w:hideMark/>
          </w:tcPr>
          <w:p w14:paraId="3002640D" w14:textId="15B6729E" w:rsidR="00F208CE" w:rsidRDefault="00513E84">
            <w:pPr>
              <w:pStyle w:val="P68B1DB1-Normal8"/>
              <w:spacing w:after="0"/>
              <w:jc w:val="right"/>
              <w:rPr>
                <w:rFonts w:eastAsia="Times New Roman" w:cs="Times New Roman"/>
                <w:noProof/>
              </w:rPr>
            </w:pPr>
            <w:r>
              <w:rPr>
                <w:noProof/>
              </w:rPr>
              <w:t>432 77</w:t>
            </w:r>
          </w:p>
        </w:tc>
        <w:tc>
          <w:tcPr>
            <w:tcW w:w="1080" w:type="dxa"/>
            <w:tcBorders>
              <w:top w:val="nil"/>
              <w:left w:val="nil"/>
              <w:bottom w:val="single" w:sz="4" w:space="0" w:color="auto"/>
              <w:right w:val="single" w:sz="4" w:space="0" w:color="auto"/>
            </w:tcBorders>
            <w:shd w:val="clear" w:color="auto" w:fill="C6EFCE"/>
            <w:noWrap/>
            <w:vAlign w:val="center"/>
            <w:hideMark/>
          </w:tcPr>
          <w:p w14:paraId="66C505E3"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2F7FB407" w14:textId="77777777" w:rsidR="00F208CE" w:rsidRDefault="00513E84">
            <w:pPr>
              <w:pStyle w:val="P68B1DB1-Normal8"/>
              <w:spacing w:after="0"/>
              <w:jc w:val="center"/>
              <w:rPr>
                <w:rFonts w:eastAsia="Times New Roman" w:cs="Times New Roman"/>
                <w:noProof/>
              </w:rPr>
            </w:pPr>
            <w:r>
              <w:rPr>
                <w:noProof/>
              </w:rPr>
              <w:t>2026</w:t>
            </w:r>
          </w:p>
        </w:tc>
        <w:tc>
          <w:tcPr>
            <w:tcW w:w="3975" w:type="dxa"/>
            <w:tcBorders>
              <w:top w:val="nil"/>
              <w:left w:val="single" w:sz="4" w:space="0" w:color="auto"/>
              <w:bottom w:val="single" w:sz="4" w:space="0" w:color="auto"/>
              <w:right w:val="single" w:sz="4" w:space="0" w:color="auto"/>
            </w:tcBorders>
            <w:shd w:val="clear" w:color="auto" w:fill="C6EFCE"/>
            <w:noWrap/>
            <w:vAlign w:val="center"/>
            <w:hideMark/>
          </w:tcPr>
          <w:p w14:paraId="7E75B6DC" w14:textId="537073BC" w:rsidR="00F208CE" w:rsidRDefault="00513E84">
            <w:pPr>
              <w:pStyle w:val="P68B1DB1-Normal8"/>
              <w:spacing w:after="120"/>
              <w:rPr>
                <w:rFonts w:cs="Times New Roman"/>
                <w:noProof/>
              </w:rPr>
            </w:pPr>
            <w:r>
              <w:rPr>
                <w:noProof/>
              </w:rPr>
              <w:t>43 277 km de carriles ciclistas nuevos y renovados.</w:t>
            </w:r>
          </w:p>
          <w:p w14:paraId="01D38CCC" w14:textId="778FB325" w:rsidR="00F208CE" w:rsidRDefault="00513E84">
            <w:pPr>
              <w:pStyle w:val="P68B1DB1-Normal8"/>
              <w:spacing w:after="120"/>
              <w:rPr>
                <w:rFonts w:cs="Times New Roman"/>
                <w:noProof/>
              </w:rPr>
            </w:pPr>
            <w:r>
              <w:rPr>
                <w:noProof/>
              </w:rPr>
              <w:t>Este objetivo se desglosa a título indicativo en lo</w:t>
            </w:r>
            <w:r>
              <w:rPr>
                <w:noProof/>
              </w:rPr>
              <w:t xml:space="preserve">s siguientes subobjetivos, que no tienen que alcanzarse individualmente siempre que se alcancen los kilómetros mencionados de las vías ciclistas: </w:t>
            </w:r>
          </w:p>
          <w:p w14:paraId="78A7FC7D" w14:textId="59962A9D" w:rsidR="00F208CE" w:rsidRDefault="00513E84">
            <w:pPr>
              <w:pStyle w:val="P68B1DB1-Normal8"/>
              <w:spacing w:after="0"/>
              <w:rPr>
                <w:rFonts w:cs="Times New Roman"/>
                <w:noProof/>
              </w:rPr>
            </w:pPr>
            <w:r>
              <w:rPr>
                <w:noProof/>
              </w:rPr>
              <w:t>I) Región de Bruselas-Capital (en relación con I-3.03.a): 4.5 renovados y 11.7 nuevos km</w:t>
            </w:r>
          </w:p>
          <w:p w14:paraId="5F8E49EF" w14:textId="7891A611" w:rsidR="00F208CE" w:rsidRDefault="00513E84">
            <w:pPr>
              <w:pStyle w:val="P68B1DB1-Normal8"/>
              <w:spacing w:after="0"/>
              <w:rPr>
                <w:rFonts w:cs="Times New Roman"/>
                <w:noProof/>
              </w:rPr>
            </w:pPr>
            <w:r>
              <w:rPr>
                <w:noProof/>
              </w:rPr>
              <w:t xml:space="preserve">II) Región Flamenca </w:t>
            </w:r>
            <w:r>
              <w:rPr>
                <w:noProof/>
              </w:rPr>
              <w:t>(en relación con I-3.01): 365.0 renovados y 40.0 nuevos km</w:t>
            </w:r>
          </w:p>
          <w:p w14:paraId="512A2CDC" w14:textId="0D613667" w:rsidR="00F208CE" w:rsidRDefault="00513E84">
            <w:pPr>
              <w:pStyle w:val="P68B1DB1-Normal8"/>
              <w:spacing w:after="0"/>
              <w:rPr>
                <w:rFonts w:cs="Times New Roman"/>
                <w:noProof/>
              </w:rPr>
            </w:pPr>
            <w:r>
              <w:rPr>
                <w:noProof/>
              </w:rPr>
              <w:t>III) Región Valona (en relación con I-3.02): 11,57 km nuevos</w:t>
            </w:r>
          </w:p>
        </w:tc>
      </w:tr>
      <w:tr w:rsidR="00F208CE" w14:paraId="113BAB51"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79B254E5" w14:textId="77777777" w:rsidR="00F208CE" w:rsidRDefault="00513E84">
            <w:pPr>
              <w:pStyle w:val="P68B1DB1-Normal8"/>
              <w:spacing w:after="0"/>
              <w:jc w:val="center"/>
              <w:rPr>
                <w:rFonts w:eastAsia="Times New Roman" w:cs="Times New Roman"/>
                <w:noProof/>
              </w:rPr>
            </w:pPr>
            <w:r>
              <w:rPr>
                <w:noProof/>
              </w:rPr>
              <w:t>97</w:t>
            </w:r>
          </w:p>
        </w:tc>
        <w:tc>
          <w:tcPr>
            <w:tcW w:w="1560" w:type="dxa"/>
            <w:tcBorders>
              <w:top w:val="nil"/>
              <w:left w:val="single" w:sz="4" w:space="0" w:color="auto"/>
              <w:bottom w:val="single" w:sz="4" w:space="0" w:color="auto"/>
              <w:right w:val="single" w:sz="4" w:space="0" w:color="auto"/>
            </w:tcBorders>
            <w:shd w:val="clear" w:color="auto" w:fill="C6EFCE"/>
            <w:noWrap/>
            <w:vAlign w:val="center"/>
            <w:hideMark/>
          </w:tcPr>
          <w:p w14:paraId="496FCFA0" w14:textId="155AC529" w:rsidR="00F208CE" w:rsidRDefault="00513E84">
            <w:pPr>
              <w:pStyle w:val="P68B1DB1-Normal8"/>
              <w:spacing w:after="0"/>
              <w:rPr>
                <w:rFonts w:eastAsia="Times New Roman" w:cs="Times New Roman"/>
                <w:noProof/>
              </w:rPr>
            </w:pPr>
            <w:r>
              <w:rPr>
                <w:noProof/>
              </w:rPr>
              <w:t>Infraestructura para bicicletas — VeloPlus — RBC (I-3.03.a)</w:t>
            </w:r>
          </w:p>
        </w:tc>
        <w:tc>
          <w:tcPr>
            <w:tcW w:w="1200" w:type="dxa"/>
            <w:tcBorders>
              <w:top w:val="nil"/>
              <w:left w:val="nil"/>
              <w:bottom w:val="single" w:sz="4" w:space="0" w:color="auto"/>
              <w:right w:val="single" w:sz="4" w:space="0" w:color="auto"/>
            </w:tcBorders>
            <w:shd w:val="clear" w:color="auto" w:fill="C6EFCE"/>
            <w:noWrap/>
            <w:vAlign w:val="center"/>
            <w:hideMark/>
          </w:tcPr>
          <w:p w14:paraId="617CFF78" w14:textId="2EF49FA2" w:rsidR="00F208CE" w:rsidRDefault="00513E84">
            <w:pPr>
              <w:pStyle w:val="P68B1DB1-Normal8"/>
              <w:spacing w:after="0"/>
              <w:rPr>
                <w:rFonts w:eastAsia="Times New Roman"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hideMark/>
          </w:tcPr>
          <w:p w14:paraId="13619057" w14:textId="77777777" w:rsidR="00F208CE" w:rsidRDefault="00513E84">
            <w:pPr>
              <w:pStyle w:val="P68B1DB1-Normal8"/>
              <w:spacing w:after="0"/>
              <w:rPr>
                <w:rFonts w:eastAsia="Times New Roman" w:cs="Times New Roman"/>
                <w:noProof/>
              </w:rPr>
            </w:pPr>
            <w:r>
              <w:rPr>
                <w:noProof/>
              </w:rPr>
              <w:t>Nuevos aparcamientos públicos en bicicleta para residentes</w:t>
            </w:r>
          </w:p>
        </w:tc>
        <w:tc>
          <w:tcPr>
            <w:tcW w:w="1680" w:type="dxa"/>
            <w:tcBorders>
              <w:top w:val="nil"/>
              <w:left w:val="nil"/>
              <w:bottom w:val="single" w:sz="4" w:space="0" w:color="auto"/>
              <w:right w:val="single" w:sz="4" w:space="0" w:color="auto"/>
            </w:tcBorders>
            <w:shd w:val="clear" w:color="auto" w:fill="C6EFCE"/>
            <w:noWrap/>
            <w:vAlign w:val="center"/>
            <w:hideMark/>
          </w:tcPr>
          <w:p w14:paraId="20EB02BE" w14:textId="77777777" w:rsidR="00F208CE" w:rsidRDefault="00F208CE">
            <w:pPr>
              <w:spacing w:after="0"/>
              <w:rPr>
                <w:rFonts w:ascii="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hideMark/>
          </w:tcPr>
          <w:p w14:paraId="72D50225" w14:textId="77777777" w:rsidR="00F208CE" w:rsidRDefault="00513E84">
            <w:pPr>
              <w:pStyle w:val="P68B1DB1-Normal8"/>
              <w:spacing w:after="0"/>
              <w:rPr>
                <w:rFonts w:eastAsia="Times New Roman" w:cs="Times New Roman"/>
                <w:noProof/>
              </w:rPr>
            </w:pPr>
            <w:r>
              <w:rPr>
                <w:noProof/>
              </w:rPr>
              <w:t>Plazas de aparcamient</w:t>
            </w:r>
            <w:r>
              <w:rPr>
                <w:noProof/>
              </w:rPr>
              <w:t>o para bicicletas</w:t>
            </w:r>
          </w:p>
        </w:tc>
        <w:tc>
          <w:tcPr>
            <w:tcW w:w="1080" w:type="dxa"/>
            <w:tcBorders>
              <w:top w:val="nil"/>
              <w:left w:val="single" w:sz="4" w:space="0" w:color="auto"/>
              <w:bottom w:val="single" w:sz="4" w:space="0" w:color="auto"/>
              <w:right w:val="single" w:sz="4" w:space="0" w:color="auto"/>
            </w:tcBorders>
            <w:shd w:val="clear" w:color="auto" w:fill="C6EFCE"/>
            <w:noWrap/>
            <w:vAlign w:val="center"/>
            <w:hideMark/>
          </w:tcPr>
          <w:p w14:paraId="70C03E73" w14:textId="77777777" w:rsidR="00F208CE" w:rsidRDefault="00513E84">
            <w:pPr>
              <w:pStyle w:val="P68B1DB1-Normal8"/>
              <w:spacing w:after="0"/>
              <w:rPr>
                <w:rFonts w:eastAsia="Times New Roman" w:cs="Times New Roman"/>
                <w:noProof/>
              </w:rPr>
            </w:pPr>
            <w:r>
              <w:rPr>
                <w:noProof/>
              </w:rPr>
              <w:t>0</w:t>
            </w:r>
          </w:p>
        </w:tc>
        <w:tc>
          <w:tcPr>
            <w:tcW w:w="840" w:type="dxa"/>
            <w:tcBorders>
              <w:top w:val="nil"/>
              <w:left w:val="nil"/>
              <w:bottom w:val="single" w:sz="4" w:space="0" w:color="auto"/>
              <w:right w:val="single" w:sz="4" w:space="0" w:color="auto"/>
            </w:tcBorders>
            <w:shd w:val="clear" w:color="auto" w:fill="C6EFCE"/>
            <w:noWrap/>
            <w:vAlign w:val="center"/>
            <w:hideMark/>
          </w:tcPr>
          <w:p w14:paraId="1A28A91B" w14:textId="4CE01C90" w:rsidR="00F208CE" w:rsidRDefault="00513E84">
            <w:pPr>
              <w:pStyle w:val="P68B1DB1-Normal8"/>
              <w:spacing w:after="0"/>
              <w:rPr>
                <w:rFonts w:eastAsia="Times New Roman" w:cs="Times New Roman"/>
                <w:noProof/>
              </w:rPr>
            </w:pPr>
            <w:r>
              <w:rPr>
                <w:noProof/>
              </w:rPr>
              <w:t>7 000</w:t>
            </w:r>
          </w:p>
        </w:tc>
        <w:tc>
          <w:tcPr>
            <w:tcW w:w="1080" w:type="dxa"/>
            <w:tcBorders>
              <w:top w:val="nil"/>
              <w:left w:val="nil"/>
              <w:bottom w:val="single" w:sz="4" w:space="0" w:color="auto"/>
              <w:right w:val="single" w:sz="4" w:space="0" w:color="auto"/>
            </w:tcBorders>
            <w:shd w:val="clear" w:color="auto" w:fill="C6EFCE"/>
            <w:noWrap/>
            <w:vAlign w:val="center"/>
            <w:hideMark/>
          </w:tcPr>
          <w:p w14:paraId="24EC36DE"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1501B61F" w14:textId="77777777" w:rsidR="00F208CE" w:rsidRDefault="00513E84">
            <w:pPr>
              <w:pStyle w:val="P68B1DB1-Normal8"/>
              <w:spacing w:after="0"/>
              <w:jc w:val="center"/>
              <w:rPr>
                <w:rFonts w:eastAsia="Times New Roman" w:cs="Times New Roman"/>
                <w:noProof/>
              </w:rPr>
            </w:pPr>
            <w:r>
              <w:rPr>
                <w:noProof/>
              </w:rPr>
              <w:t>2026</w:t>
            </w:r>
          </w:p>
        </w:tc>
        <w:tc>
          <w:tcPr>
            <w:tcW w:w="3975" w:type="dxa"/>
            <w:tcBorders>
              <w:top w:val="nil"/>
              <w:left w:val="single" w:sz="4" w:space="0" w:color="auto"/>
              <w:bottom w:val="single" w:sz="4" w:space="0" w:color="auto"/>
              <w:right w:val="single" w:sz="4" w:space="0" w:color="auto"/>
            </w:tcBorders>
            <w:shd w:val="clear" w:color="auto" w:fill="C6EFCE"/>
            <w:noWrap/>
            <w:vAlign w:val="center"/>
            <w:hideMark/>
          </w:tcPr>
          <w:p w14:paraId="7DB48412" w14:textId="6492EEF2" w:rsidR="00F208CE" w:rsidRDefault="00513E84">
            <w:pPr>
              <w:pStyle w:val="P68B1DB1-Normal8"/>
              <w:spacing w:after="0"/>
              <w:rPr>
                <w:rFonts w:eastAsia="Times New Roman" w:cs="Times New Roman"/>
                <w:noProof/>
                <w:highlight w:val="cyan"/>
              </w:rPr>
            </w:pPr>
            <w:r>
              <w:rPr>
                <w:noProof/>
              </w:rPr>
              <w:t>7 000 nuevas plazas de aparcamiento público para ciclistas.</w:t>
            </w:r>
          </w:p>
        </w:tc>
      </w:tr>
    </w:tbl>
    <w:p w14:paraId="01EC916C" w14:textId="77777777" w:rsidR="00F208CE" w:rsidRDefault="00F208CE">
      <w:pPr>
        <w:pStyle w:val="Text1"/>
        <w:ind w:left="709"/>
        <w:rPr>
          <w:noProof/>
        </w:rPr>
      </w:pPr>
    </w:p>
    <w:p w14:paraId="6B93831F" w14:textId="77777777" w:rsidR="00F208CE" w:rsidRDefault="00F208CE">
      <w:pPr>
        <w:ind w:left="709"/>
        <w:rPr>
          <w:rFonts w:ascii="Times New Roman" w:hAnsi="Times New Roman" w:cs="Times New Roman"/>
          <w:noProof/>
        </w:rPr>
        <w:sectPr w:rsidR="00F208CE" w:rsidSect="007F56C3">
          <w:headerReference w:type="default" r:id="rId84"/>
          <w:footerReference w:type="default" r:id="rId85"/>
          <w:pgSz w:w="16839" w:h="11907" w:orient="landscape"/>
          <w:pgMar w:top="1134" w:right="1134" w:bottom="1134" w:left="1134" w:header="567" w:footer="567" w:gutter="0"/>
          <w:cols w:space="720"/>
          <w:docGrid w:linePitch="360"/>
        </w:sectPr>
      </w:pPr>
    </w:p>
    <w:p w14:paraId="151A2085" w14:textId="2FA17AE7" w:rsidR="00F208CE" w:rsidRDefault="00513E84">
      <w:pPr>
        <w:pStyle w:val="paragraph"/>
        <w:spacing w:before="0" w:beforeAutospacing="0" w:after="120" w:afterAutospacing="0"/>
        <w:textAlignment w:val="baseline"/>
        <w:rPr>
          <w:noProof/>
        </w:rPr>
      </w:pPr>
      <w:r>
        <w:rPr>
          <w:rStyle w:val="normaltextrun"/>
          <w:b/>
          <w:noProof/>
          <w:u w:val="single"/>
        </w:rPr>
        <w:t>G.3. Descripción de las reformas e inversiones que pueden acogerse a las ayudas en forma de préstamo</w:t>
      </w:r>
    </w:p>
    <w:p w14:paraId="265E5A38" w14:textId="48BCB4D6" w:rsidR="00F208CE" w:rsidRDefault="00513E84">
      <w:pPr>
        <w:pStyle w:val="P68B1DB1-Normal11"/>
        <w:spacing w:before="120" w:after="120" w:line="240" w:lineRule="auto"/>
        <w:jc w:val="both"/>
        <w:rPr>
          <w:rFonts w:cs="Times New Roman"/>
          <w:noProof/>
        </w:rPr>
      </w:pPr>
      <w:r>
        <w:rPr>
          <w:noProof/>
        </w:rPr>
        <w:t>Inversión I-3.03b: «Infraestructura ciclista — Vélo Plus — FED» del Estado Federal</w:t>
      </w:r>
    </w:p>
    <w:p w14:paraId="0CB7F043" w14:textId="77777777" w:rsidR="00F208CE" w:rsidRDefault="00513E84">
      <w:pPr>
        <w:pStyle w:val="P68B1DB1-Normal1"/>
        <w:spacing w:before="120" w:after="120" w:line="240" w:lineRule="auto"/>
        <w:jc w:val="both"/>
        <w:rPr>
          <w:rFonts w:cs="Times New Roman"/>
          <w:noProof/>
        </w:rPr>
      </w:pPr>
      <w:r>
        <w:rPr>
          <w:noProof/>
        </w:rPr>
        <w:t>Esta inversión consiste</w:t>
      </w:r>
      <w:r>
        <w:rPr>
          <w:noProof/>
        </w:rPr>
        <w:t xml:space="preserve"> en la construcción de al menos 4,8 km de carriles para bicicletas en Bruselas. La ejecución de la inversión deberá estar terminada a más tardar el 30 de junio de 2026.</w:t>
      </w:r>
    </w:p>
    <w:p w14:paraId="0788EC9F" w14:textId="2811AA3D" w:rsidR="00F208CE" w:rsidRDefault="00513E84">
      <w:pPr>
        <w:pStyle w:val="P68B1DB1-Text19"/>
        <w:ind w:left="0"/>
        <w:rPr>
          <w:noProof/>
        </w:rPr>
      </w:pPr>
      <w:r>
        <w:rPr>
          <w:noProof/>
        </w:rPr>
        <w:t>Inversión I-3.04: «Infraestructuras para ciclistas y a pie — Schuman» del Estado federa</w:t>
      </w:r>
      <w:r>
        <w:rPr>
          <w:noProof/>
        </w:rPr>
        <w:t>l</w:t>
      </w:r>
    </w:p>
    <w:p w14:paraId="0B19B357" w14:textId="4AE3354D" w:rsidR="00F208CE" w:rsidRDefault="00513E84">
      <w:pPr>
        <w:pStyle w:val="P68B1DB1-Normal13"/>
        <w:spacing w:before="120" w:after="120" w:line="240" w:lineRule="auto"/>
        <w:jc w:val="both"/>
        <w:rPr>
          <w:rFonts w:cs="Times New Roman"/>
          <w:noProof/>
          <w:sz w:val="24"/>
        </w:rPr>
        <w:sectPr w:rsidR="00F208CE" w:rsidSect="008A4840">
          <w:headerReference w:type="even" r:id="rId86"/>
          <w:headerReference w:type="default" r:id="rId87"/>
          <w:footerReference w:type="even" r:id="rId88"/>
          <w:footerReference w:type="default" r:id="rId89"/>
          <w:headerReference w:type="first" r:id="rId90"/>
          <w:footerReference w:type="first" r:id="rId91"/>
          <w:pgSz w:w="11907" w:h="16839"/>
          <w:pgMar w:top="1134" w:right="1134" w:bottom="1134" w:left="1134" w:header="567" w:footer="567" w:gutter="0"/>
          <w:cols w:space="720"/>
          <w:docGrid w:linePitch="360"/>
        </w:sectPr>
      </w:pPr>
      <w:r>
        <w:rPr>
          <w:noProof/>
          <w:sz w:val="24"/>
        </w:rPr>
        <w:t>Esta inversión consiste en la construcción de al menos 25</w:t>
      </w:r>
      <w:r>
        <w:rPr>
          <w:noProof/>
          <w:color w:val="006100"/>
        </w:rPr>
        <w:t xml:space="preserve"> </w:t>
      </w:r>
      <w:r>
        <w:rPr>
          <w:noProof/>
          <w:sz w:val="24"/>
        </w:rPr>
        <w:t>m² de infraestructura para bicicletas y a pie alrededor de la plaza Schuman en Bruselas. La ejecución de la inversión deberá estar termin</w:t>
      </w:r>
      <w:r>
        <w:rPr>
          <w:noProof/>
          <w:sz w:val="24"/>
        </w:rPr>
        <w:t>ada a más tardar el 30 de junio de 2026.</w:t>
      </w:r>
    </w:p>
    <w:p w14:paraId="14832261" w14:textId="3E8B43B2" w:rsidR="00F208CE" w:rsidRDefault="00513E84">
      <w:pPr>
        <w:pStyle w:val="paragraph"/>
        <w:spacing w:before="0" w:beforeAutospacing="0" w:after="120" w:afterAutospacing="0"/>
        <w:jc w:val="both"/>
        <w:textAlignment w:val="baseline"/>
        <w:rPr>
          <w:b/>
          <w:noProof/>
          <w:color w:val="000000" w:themeColor="text1"/>
        </w:rPr>
      </w:pPr>
      <w:r>
        <w:rPr>
          <w:rStyle w:val="normaltextrun"/>
          <w:b/>
          <w:noProof/>
          <w:color w:val="000000" w:themeColor="text1"/>
          <w:u w:val="single"/>
        </w:rPr>
        <w:t>G.4. Hitos, objetivos, indicadores y calendario de seguimiento y ejecución relativos a las ayudas en forma de préstamo</w:t>
      </w:r>
    </w:p>
    <w:tbl>
      <w:tblPr>
        <w:tblW w:w="15502" w:type="dxa"/>
        <w:jc w:val="center"/>
        <w:tblLayout w:type="fixed"/>
        <w:tblLook w:val="04A0" w:firstRow="1" w:lastRow="0" w:firstColumn="1" w:lastColumn="0" w:noHBand="0" w:noVBand="1"/>
      </w:tblPr>
      <w:tblGrid>
        <w:gridCol w:w="704"/>
        <w:gridCol w:w="1418"/>
        <w:gridCol w:w="1417"/>
        <w:gridCol w:w="1559"/>
        <w:gridCol w:w="1560"/>
        <w:gridCol w:w="1137"/>
        <w:gridCol w:w="1080"/>
        <w:gridCol w:w="840"/>
        <w:gridCol w:w="1080"/>
        <w:gridCol w:w="960"/>
        <w:gridCol w:w="3747"/>
      </w:tblGrid>
      <w:tr w:rsidR="00F208CE" w14:paraId="0D2A8688" w14:textId="77777777">
        <w:trPr>
          <w:trHeight w:val="927"/>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B50F30" w14:textId="4F8C5470" w:rsidR="00F208CE" w:rsidRDefault="00513E84">
            <w:pPr>
              <w:pStyle w:val="P68B1DB1-Normal15"/>
              <w:spacing w:after="0"/>
              <w:jc w:val="center"/>
              <w:rPr>
                <w:rFonts w:eastAsia="Times New Roman" w:cs="Times New Roman"/>
                <w:noProof/>
              </w:rPr>
            </w:pPr>
            <w:r>
              <w:rPr>
                <w:noProof/>
              </w:rPr>
              <w:t>Sr. Nb.</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145FC7"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AB501A" w14:textId="77777777" w:rsidR="00F208CE" w:rsidRDefault="00513E84">
            <w:pPr>
              <w:pStyle w:val="P68B1DB1-Normal15"/>
              <w:spacing w:after="0"/>
              <w:jc w:val="center"/>
              <w:rPr>
                <w:rFonts w:eastAsia="Times New Roman" w:cs="Times New Roman"/>
                <w:noProof/>
              </w:rPr>
            </w:pPr>
            <w:r>
              <w:rPr>
                <w:noProof/>
              </w:rPr>
              <w:t>Hito/Objetivo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2CC420" w14:textId="77777777" w:rsidR="00F208CE" w:rsidRDefault="00513E84">
            <w:pPr>
              <w:pStyle w:val="P68B1DB1-Normal15"/>
              <w:spacing w:after="0"/>
              <w:jc w:val="center"/>
              <w:rPr>
                <w:rFonts w:eastAsia="Times New Roman" w:cs="Times New Roman"/>
                <w:noProof/>
              </w:rPr>
            </w:pPr>
            <w:r>
              <w:rPr>
                <w:noProof/>
              </w:rPr>
              <w:t>Nombre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56CA877"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057" w:type="dxa"/>
            <w:gridSpan w:val="3"/>
            <w:tcBorders>
              <w:top w:val="single" w:sz="4" w:space="0" w:color="auto"/>
              <w:left w:val="nil"/>
              <w:bottom w:val="single" w:sz="4" w:space="0" w:color="auto"/>
              <w:right w:val="single" w:sz="4" w:space="0" w:color="auto"/>
            </w:tcBorders>
            <w:shd w:val="clear" w:color="auto" w:fill="BDD7EE"/>
            <w:vAlign w:val="center"/>
            <w:hideMark/>
          </w:tcPr>
          <w:p w14:paraId="0487907C"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2040" w:type="dxa"/>
            <w:gridSpan w:val="2"/>
            <w:tcBorders>
              <w:top w:val="single" w:sz="4" w:space="0" w:color="auto"/>
              <w:left w:val="nil"/>
              <w:bottom w:val="single" w:sz="4" w:space="0" w:color="auto"/>
              <w:right w:val="single" w:sz="4" w:space="0" w:color="auto"/>
            </w:tcBorders>
            <w:shd w:val="clear" w:color="auto" w:fill="BDD7EE"/>
            <w:vAlign w:val="center"/>
            <w:hideMark/>
          </w:tcPr>
          <w:p w14:paraId="5FBEA1D0"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7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528E51"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4C12E418" w14:textId="77777777">
        <w:trPr>
          <w:trHeight w:val="1013"/>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377BF5D" w14:textId="77777777" w:rsidR="00F208CE" w:rsidRDefault="00F208CE">
            <w:pPr>
              <w:spacing w:after="0"/>
              <w:rPr>
                <w:rFonts w:ascii="Times New Roman" w:eastAsia="Times New Roman" w:hAnsi="Times New Roman" w:cs="Times New Roman"/>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F50FDB" w14:textId="77777777" w:rsidR="00F208CE" w:rsidRDefault="00F208CE">
            <w:pPr>
              <w:spacing w:after="0"/>
              <w:rPr>
                <w:rFonts w:ascii="Times New Roman" w:eastAsia="Times New Roman" w:hAnsi="Times New Roman" w:cs="Times New Roman"/>
                <w:b/>
                <w:noProof/>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6DF975" w14:textId="77777777" w:rsidR="00F208CE" w:rsidRDefault="00F208CE">
            <w:pPr>
              <w:spacing w:after="0"/>
              <w:rPr>
                <w:rFonts w:ascii="Times New Roman" w:eastAsia="Times New Roman" w:hAnsi="Times New Roman" w:cs="Times New Roman"/>
                <w:b/>
                <w:noProof/>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07E07D" w14:textId="77777777" w:rsidR="00F208CE" w:rsidRDefault="00F208CE">
            <w:pPr>
              <w:spacing w:after="0"/>
              <w:rPr>
                <w:rFonts w:ascii="Times New Roman" w:eastAsia="Times New Roman" w:hAnsi="Times New Roman" w:cs="Times New Roman"/>
                <w:b/>
                <w:noProof/>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3BCCDE" w14:textId="77777777" w:rsidR="00F208CE" w:rsidRDefault="00F208CE">
            <w:pPr>
              <w:spacing w:after="0"/>
              <w:rPr>
                <w:rFonts w:ascii="Times New Roman" w:eastAsia="Times New Roman" w:hAnsi="Times New Roman" w:cs="Times New Roman"/>
                <w:b/>
                <w:noProof/>
              </w:rPr>
            </w:pPr>
          </w:p>
        </w:tc>
        <w:tc>
          <w:tcPr>
            <w:tcW w:w="1137" w:type="dxa"/>
            <w:tcBorders>
              <w:top w:val="nil"/>
              <w:left w:val="single" w:sz="4" w:space="0" w:color="auto"/>
              <w:bottom w:val="single" w:sz="4" w:space="0" w:color="auto"/>
              <w:right w:val="single" w:sz="4" w:space="0" w:color="auto"/>
            </w:tcBorders>
            <w:shd w:val="clear" w:color="auto" w:fill="BDD7EE"/>
            <w:vAlign w:val="center"/>
            <w:hideMark/>
          </w:tcPr>
          <w:p w14:paraId="032F0FA2" w14:textId="77777777" w:rsidR="00F208CE" w:rsidRDefault="00513E84">
            <w:pPr>
              <w:pStyle w:val="P68B1DB1-Normal15"/>
              <w:spacing w:after="0"/>
              <w:jc w:val="center"/>
              <w:rPr>
                <w:rFonts w:eastAsia="Times New Roman" w:cs="Times New Roman"/>
                <w:noProof/>
              </w:rPr>
            </w:pPr>
            <w:r>
              <w:rPr>
                <w:noProof/>
              </w:rPr>
              <w:t>Unidad de medida</w:t>
            </w:r>
          </w:p>
        </w:tc>
        <w:tc>
          <w:tcPr>
            <w:tcW w:w="1080" w:type="dxa"/>
            <w:tcBorders>
              <w:top w:val="nil"/>
              <w:left w:val="nil"/>
              <w:bottom w:val="single" w:sz="4" w:space="0" w:color="auto"/>
              <w:right w:val="single" w:sz="4" w:space="0" w:color="auto"/>
            </w:tcBorders>
            <w:shd w:val="clear" w:color="auto" w:fill="BDD7EE"/>
            <w:vAlign w:val="center"/>
            <w:hideMark/>
          </w:tcPr>
          <w:p w14:paraId="3F77690F" w14:textId="77777777" w:rsidR="00F208CE" w:rsidRDefault="00513E84">
            <w:pPr>
              <w:pStyle w:val="P68B1DB1-Normal15"/>
              <w:spacing w:after="0"/>
              <w:jc w:val="center"/>
              <w:rPr>
                <w:rFonts w:eastAsia="Times New Roman" w:cs="Times New Roman"/>
                <w:noProof/>
              </w:rPr>
            </w:pPr>
            <w:r>
              <w:rPr>
                <w:noProof/>
              </w:rPr>
              <w:t xml:space="preserve">Basal </w:t>
            </w:r>
          </w:p>
        </w:tc>
        <w:tc>
          <w:tcPr>
            <w:tcW w:w="840" w:type="dxa"/>
            <w:tcBorders>
              <w:top w:val="nil"/>
              <w:left w:val="nil"/>
              <w:bottom w:val="single" w:sz="4" w:space="0" w:color="auto"/>
              <w:right w:val="single" w:sz="4" w:space="0" w:color="auto"/>
            </w:tcBorders>
            <w:shd w:val="clear" w:color="auto" w:fill="BDD7EE"/>
            <w:vAlign w:val="center"/>
            <w:hideMark/>
          </w:tcPr>
          <w:p w14:paraId="6306288F" w14:textId="77777777" w:rsidR="00F208CE" w:rsidRDefault="00513E84">
            <w:pPr>
              <w:pStyle w:val="P68B1DB1-Normal15"/>
              <w:spacing w:after="0"/>
              <w:jc w:val="center"/>
              <w:rPr>
                <w:rFonts w:eastAsia="Times New Roman" w:cs="Times New Roman"/>
                <w:noProof/>
              </w:rPr>
            </w:pPr>
            <w:r>
              <w:rPr>
                <w:noProof/>
              </w:rPr>
              <w:t xml:space="preserve">Meta </w:t>
            </w:r>
          </w:p>
        </w:tc>
        <w:tc>
          <w:tcPr>
            <w:tcW w:w="1080" w:type="dxa"/>
            <w:tcBorders>
              <w:top w:val="nil"/>
              <w:left w:val="nil"/>
              <w:bottom w:val="single" w:sz="4" w:space="0" w:color="auto"/>
              <w:right w:val="single" w:sz="4" w:space="0" w:color="auto"/>
            </w:tcBorders>
            <w:shd w:val="clear" w:color="auto" w:fill="BDD7EE"/>
            <w:vAlign w:val="center"/>
            <w:hideMark/>
          </w:tcPr>
          <w:p w14:paraId="7E4EEB0F" w14:textId="77777777" w:rsidR="00F208CE" w:rsidRDefault="00513E84">
            <w:pPr>
              <w:pStyle w:val="P68B1DB1-Normal15"/>
              <w:spacing w:after="0"/>
              <w:jc w:val="center"/>
              <w:rPr>
                <w:rFonts w:eastAsia="Times New Roman" w:cs="Times New Roman"/>
                <w:noProof/>
              </w:rPr>
            </w:pPr>
            <w:r>
              <w:rPr>
                <w:noProof/>
              </w:rPr>
              <w:t>Trimestre</w:t>
            </w:r>
          </w:p>
        </w:tc>
        <w:tc>
          <w:tcPr>
            <w:tcW w:w="960" w:type="dxa"/>
            <w:tcBorders>
              <w:top w:val="nil"/>
              <w:left w:val="nil"/>
              <w:bottom w:val="single" w:sz="4" w:space="0" w:color="auto"/>
              <w:right w:val="single" w:sz="4" w:space="0" w:color="auto"/>
            </w:tcBorders>
            <w:shd w:val="clear" w:color="auto" w:fill="BDD7EE"/>
            <w:vAlign w:val="center"/>
            <w:hideMark/>
          </w:tcPr>
          <w:p w14:paraId="349C9AFB" w14:textId="77777777" w:rsidR="00F208CE" w:rsidRDefault="00513E84">
            <w:pPr>
              <w:pStyle w:val="P68B1DB1-Normal15"/>
              <w:spacing w:after="0"/>
              <w:jc w:val="center"/>
              <w:rPr>
                <w:rFonts w:eastAsia="Times New Roman" w:cs="Times New Roman"/>
                <w:noProof/>
              </w:rPr>
            </w:pPr>
            <w:r>
              <w:rPr>
                <w:noProof/>
              </w:rPr>
              <w:t>Año</w:t>
            </w:r>
          </w:p>
        </w:tc>
        <w:tc>
          <w:tcPr>
            <w:tcW w:w="3747" w:type="dxa"/>
            <w:vMerge/>
            <w:tcBorders>
              <w:top w:val="single" w:sz="4" w:space="0" w:color="auto"/>
              <w:bottom w:val="single" w:sz="4" w:space="0" w:color="auto"/>
              <w:right w:val="single" w:sz="4" w:space="0" w:color="auto"/>
            </w:tcBorders>
            <w:vAlign w:val="center"/>
            <w:hideMark/>
          </w:tcPr>
          <w:p w14:paraId="76F264D3" w14:textId="77777777" w:rsidR="00F208CE" w:rsidRDefault="00F208CE">
            <w:pPr>
              <w:spacing w:after="0"/>
              <w:rPr>
                <w:rFonts w:ascii="Times New Roman" w:eastAsia="Times New Roman" w:hAnsi="Times New Roman" w:cs="Times New Roman"/>
                <w:b/>
                <w:noProof/>
              </w:rPr>
            </w:pPr>
          </w:p>
        </w:tc>
      </w:tr>
      <w:tr w:rsidR="00F208CE" w14:paraId="33CF1C5D"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BC546DC" w14:textId="2309BF31" w:rsidR="00F208CE" w:rsidRDefault="00513E84">
            <w:pPr>
              <w:pStyle w:val="P68B1DB1-Normal8"/>
              <w:spacing w:after="0"/>
              <w:jc w:val="center"/>
              <w:rPr>
                <w:rFonts w:eastAsia="Times New Roman" w:cs="Times New Roman"/>
                <w:noProof/>
              </w:rPr>
            </w:pPr>
            <w:r>
              <w:rPr>
                <w:noProof/>
              </w:rPr>
              <w:t>96.a</w:t>
            </w:r>
          </w:p>
        </w:tc>
        <w:tc>
          <w:tcPr>
            <w:tcW w:w="1418"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19B2DB6" w14:textId="23C5295C" w:rsidR="00F208CE" w:rsidRDefault="00513E84">
            <w:pPr>
              <w:pStyle w:val="P68B1DB1-Normal8"/>
              <w:jc w:val="both"/>
              <w:rPr>
                <w:rFonts w:eastAsia="Times New Roman" w:cs="Times New Roman"/>
                <w:noProof/>
              </w:rPr>
            </w:pPr>
            <w:r>
              <w:rPr>
                <w:noProof/>
              </w:rPr>
              <w:t xml:space="preserve">Infraestructura para bicicletas — Vélo Plus — Estado Federal </w:t>
            </w:r>
            <w:r>
              <w:rPr>
                <w:noProof/>
              </w:rPr>
              <w:t>(I-3.03b)</w:t>
            </w:r>
          </w:p>
        </w:tc>
        <w:tc>
          <w:tcPr>
            <w:tcW w:w="1417" w:type="dxa"/>
            <w:tcBorders>
              <w:top w:val="single" w:sz="4" w:space="0" w:color="auto"/>
              <w:left w:val="nil"/>
              <w:bottom w:val="single" w:sz="4" w:space="0" w:color="auto"/>
              <w:right w:val="single" w:sz="4" w:space="0" w:color="auto"/>
            </w:tcBorders>
            <w:shd w:val="clear" w:color="auto" w:fill="C6EFCE"/>
            <w:noWrap/>
            <w:vAlign w:val="center"/>
            <w:hideMark/>
          </w:tcPr>
          <w:p w14:paraId="19359535" w14:textId="62F1F80B" w:rsidR="00F208CE" w:rsidRDefault="00513E84">
            <w:pPr>
              <w:pStyle w:val="P68B1DB1-Normal8"/>
              <w:spacing w:after="0"/>
              <w:rPr>
                <w:rFonts w:eastAsia="Times New Roman"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hideMark/>
          </w:tcPr>
          <w:p w14:paraId="37A9CFEC" w14:textId="77777777" w:rsidR="00F208CE" w:rsidRDefault="00513E84">
            <w:pPr>
              <w:pStyle w:val="P68B1DB1-Normal8"/>
              <w:spacing w:after="0"/>
              <w:rPr>
                <w:rFonts w:eastAsia="Times New Roman" w:cs="Times New Roman"/>
                <w:noProof/>
              </w:rPr>
            </w:pPr>
            <w:r>
              <w:rPr>
                <w:noProof/>
              </w:rPr>
              <w:t>Inicio de todos los proyectos en bicicleta y a pie</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089A5705" w14:textId="77777777" w:rsidR="00F208CE" w:rsidRDefault="00513E84">
            <w:pPr>
              <w:pStyle w:val="P68B1DB1-Normal8"/>
              <w:spacing w:after="0"/>
              <w:rPr>
                <w:rFonts w:eastAsia="Times New Roman" w:cs="Times New Roman"/>
                <w:noProof/>
              </w:rPr>
            </w:pPr>
            <w:r>
              <w:rPr>
                <w:noProof/>
              </w:rPr>
              <w:t>Adopción de la decisión o adjudicación del contrato</w:t>
            </w:r>
          </w:p>
        </w:tc>
        <w:tc>
          <w:tcPr>
            <w:tcW w:w="1137" w:type="dxa"/>
            <w:tcBorders>
              <w:top w:val="nil"/>
              <w:left w:val="nil"/>
              <w:bottom w:val="single" w:sz="4" w:space="0" w:color="auto"/>
              <w:right w:val="single" w:sz="4" w:space="0" w:color="auto"/>
            </w:tcBorders>
            <w:shd w:val="clear" w:color="auto" w:fill="C6EFCE"/>
            <w:noWrap/>
            <w:vAlign w:val="center"/>
            <w:hideMark/>
          </w:tcPr>
          <w:p w14:paraId="24091CD5"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CA3CBD5" w14:textId="77777777" w:rsidR="00F208CE" w:rsidRDefault="00F208CE">
            <w:pPr>
              <w:spacing w:after="0"/>
              <w:jc w:val="right"/>
              <w:rPr>
                <w:rFonts w:ascii="Times New Roman" w:eastAsia="Times New Roman" w:hAnsi="Times New Roman" w:cs="Times New Roman"/>
                <w:noProof/>
                <w:color w:val="006100"/>
              </w:rPr>
            </w:pPr>
          </w:p>
        </w:tc>
        <w:tc>
          <w:tcPr>
            <w:tcW w:w="840" w:type="dxa"/>
            <w:tcBorders>
              <w:top w:val="single" w:sz="4" w:space="0" w:color="auto"/>
              <w:left w:val="nil"/>
              <w:bottom w:val="single" w:sz="4" w:space="0" w:color="auto"/>
              <w:right w:val="single" w:sz="4" w:space="0" w:color="auto"/>
            </w:tcBorders>
            <w:shd w:val="clear" w:color="auto" w:fill="C6EFCE"/>
            <w:noWrap/>
            <w:vAlign w:val="center"/>
            <w:hideMark/>
          </w:tcPr>
          <w:p w14:paraId="02CF638E" w14:textId="77777777" w:rsidR="00F208CE" w:rsidRDefault="00F208CE">
            <w:pPr>
              <w:spacing w:after="0"/>
              <w:jc w:val="right"/>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692AE266" w14:textId="77777777" w:rsidR="00F208CE" w:rsidRDefault="00513E84">
            <w:pPr>
              <w:pStyle w:val="P68B1DB1-Normal8"/>
              <w:spacing w:after="0"/>
              <w:jc w:val="center"/>
              <w:rPr>
                <w:rFonts w:eastAsia="Times New Roman" w:cs="Times New Roman"/>
                <w:noProof/>
              </w:rPr>
            </w:pPr>
            <w:r>
              <w:rPr>
                <w:noProof/>
              </w:rPr>
              <w:t>TERCER TRIMESTRE 2</w:t>
            </w:r>
          </w:p>
        </w:tc>
        <w:tc>
          <w:tcPr>
            <w:tcW w:w="960" w:type="dxa"/>
            <w:tcBorders>
              <w:top w:val="single" w:sz="4" w:space="0" w:color="auto"/>
              <w:left w:val="nil"/>
              <w:bottom w:val="single" w:sz="4" w:space="0" w:color="auto"/>
              <w:right w:val="single" w:sz="4" w:space="0" w:color="auto"/>
            </w:tcBorders>
            <w:shd w:val="clear" w:color="auto" w:fill="C6EFCE"/>
            <w:noWrap/>
            <w:vAlign w:val="center"/>
            <w:hideMark/>
          </w:tcPr>
          <w:p w14:paraId="2D3C5C84" w14:textId="77777777" w:rsidR="00F208CE" w:rsidRDefault="00513E84">
            <w:pPr>
              <w:pStyle w:val="P68B1DB1-Normal8"/>
              <w:spacing w:after="0"/>
              <w:jc w:val="center"/>
              <w:rPr>
                <w:rFonts w:eastAsia="Times New Roman" w:cs="Times New Roman"/>
                <w:noProof/>
              </w:rPr>
            </w:pPr>
            <w:r>
              <w:rPr>
                <w:noProof/>
              </w:rPr>
              <w:t>2024</w:t>
            </w:r>
          </w:p>
        </w:tc>
        <w:tc>
          <w:tcPr>
            <w:tcW w:w="37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2E98639" w14:textId="2D0EA92D" w:rsidR="00F208CE" w:rsidRDefault="00513E84">
            <w:pPr>
              <w:pStyle w:val="P68B1DB1-Normal8"/>
              <w:spacing w:after="0"/>
              <w:rPr>
                <w:rFonts w:eastAsia="Times New Roman" w:cs="Times New Roman"/>
                <w:noProof/>
                <w:highlight w:val="cyan"/>
              </w:rPr>
            </w:pPr>
            <w:r>
              <w:rPr>
                <w:noProof/>
              </w:rPr>
              <w:t>Concesión del permiso de construcción en Bruselas.</w:t>
            </w:r>
          </w:p>
        </w:tc>
      </w:tr>
      <w:tr w:rsidR="00F208CE" w14:paraId="30E2B995"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7FE597" w14:textId="47F875C5" w:rsidR="00F208CE" w:rsidRDefault="00513E84">
            <w:pPr>
              <w:pStyle w:val="P68B1DB1-Normal8"/>
              <w:spacing w:after="0"/>
              <w:jc w:val="center"/>
              <w:rPr>
                <w:rFonts w:eastAsia="Times New Roman" w:cs="Times New Roman"/>
                <w:noProof/>
              </w:rPr>
            </w:pPr>
            <w:r>
              <w:rPr>
                <w:noProof/>
              </w:rPr>
              <w:t>96b</w:t>
            </w:r>
          </w:p>
        </w:tc>
        <w:tc>
          <w:tcPr>
            <w:tcW w:w="141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97A878" w14:textId="5DD065F1" w:rsidR="00F208CE" w:rsidRDefault="00513E84">
            <w:pPr>
              <w:pStyle w:val="P68B1DB1-Normal8"/>
              <w:jc w:val="both"/>
              <w:rPr>
                <w:rFonts w:cs="Times New Roman"/>
                <w:noProof/>
                <w:shd w:val="clear" w:color="auto" w:fill="E6E6E6"/>
              </w:rPr>
            </w:pPr>
            <w:r>
              <w:rPr>
                <w:noProof/>
              </w:rPr>
              <w:t xml:space="preserve">Infraestructura para bicicletas — Vélo Plus — Estado Federal (I-3.03b) </w:t>
            </w:r>
          </w:p>
        </w:tc>
        <w:tc>
          <w:tcPr>
            <w:tcW w:w="1417" w:type="dxa"/>
            <w:tcBorders>
              <w:top w:val="single" w:sz="4" w:space="0" w:color="auto"/>
              <w:left w:val="nil"/>
              <w:bottom w:val="single" w:sz="4" w:space="0" w:color="auto"/>
              <w:right w:val="single" w:sz="4" w:space="0" w:color="auto"/>
            </w:tcBorders>
            <w:shd w:val="clear" w:color="auto" w:fill="C6EFCE"/>
            <w:noWrap/>
            <w:vAlign w:val="center"/>
          </w:tcPr>
          <w:p w14:paraId="292702E6" w14:textId="4A178978" w:rsidR="00F208CE" w:rsidRDefault="00513E84">
            <w:pPr>
              <w:pStyle w:val="P68B1DB1-Normal8"/>
              <w:spacing w:after="0"/>
              <w:rPr>
                <w:rFonts w:cs="Times New Roman"/>
                <w:noProof/>
              </w:rPr>
            </w:pPr>
            <w:r>
              <w:rPr>
                <w:noProof/>
              </w:rPr>
              <w:t>T</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58A6FC55" w14:textId="77777777" w:rsidR="00F208CE" w:rsidRDefault="00513E84">
            <w:pPr>
              <w:pStyle w:val="P68B1DB1-Normal8"/>
              <w:spacing w:after="0"/>
              <w:rPr>
                <w:rFonts w:cs="Times New Roman"/>
                <w:noProof/>
              </w:rPr>
            </w:pPr>
            <w:r>
              <w:rPr>
                <w:noProof/>
              </w:rPr>
              <w:t>Carreteras ciclistas nuevas y renovadas</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192B2D5C" w14:textId="77777777" w:rsidR="00F208CE" w:rsidRDefault="00F208CE">
            <w:pPr>
              <w:spacing w:after="0"/>
              <w:rPr>
                <w:rFonts w:ascii="Times New Roman" w:eastAsia="Times New Roman" w:hAnsi="Times New Roman" w:cs="Times New Roman"/>
                <w:noProof/>
                <w:color w:val="006100"/>
              </w:rPr>
            </w:pPr>
          </w:p>
        </w:tc>
        <w:tc>
          <w:tcPr>
            <w:tcW w:w="1137" w:type="dxa"/>
            <w:tcBorders>
              <w:top w:val="single" w:sz="4" w:space="0" w:color="auto"/>
              <w:left w:val="nil"/>
              <w:bottom w:val="single" w:sz="4" w:space="0" w:color="auto"/>
              <w:right w:val="single" w:sz="4" w:space="0" w:color="auto"/>
            </w:tcBorders>
            <w:shd w:val="clear" w:color="auto" w:fill="C6EFCE"/>
            <w:noWrap/>
            <w:vAlign w:val="center"/>
          </w:tcPr>
          <w:p w14:paraId="2877EC27" w14:textId="77777777" w:rsidR="00F208CE" w:rsidRDefault="00513E84">
            <w:pPr>
              <w:pStyle w:val="P68B1DB1-Normal8"/>
              <w:spacing w:after="0"/>
              <w:rPr>
                <w:rFonts w:eastAsia="Times New Roman" w:cs="Times New Roman"/>
                <w:noProof/>
              </w:rPr>
            </w:pPr>
            <w:r>
              <w:rPr>
                <w:noProof/>
              </w:rPr>
              <w:t>km</w:t>
            </w:r>
          </w:p>
        </w:tc>
        <w:tc>
          <w:tcPr>
            <w:tcW w:w="108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AB63D2" w14:textId="77777777" w:rsidR="00F208CE" w:rsidRDefault="00513E84">
            <w:pPr>
              <w:pStyle w:val="P68B1DB1-Normal8"/>
              <w:spacing w:after="0"/>
              <w:jc w:val="right"/>
              <w:rPr>
                <w:rFonts w:eastAsia="Times New Roman" w:cs="Times New Roman"/>
                <w:noProof/>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192125FD" w14:textId="5CCBAB2A" w:rsidR="00F208CE" w:rsidRDefault="00513E84">
            <w:pPr>
              <w:pStyle w:val="P68B1DB1-Normal8"/>
              <w:spacing w:after="0"/>
              <w:jc w:val="right"/>
              <w:rPr>
                <w:rFonts w:eastAsia="Times New Roman" w:cs="Times New Roman"/>
                <w:noProof/>
              </w:rPr>
            </w:pPr>
            <w:r>
              <w:rPr>
                <w:noProof/>
              </w:rPr>
              <w:t>4.8</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7BB2551" w14:textId="77777777" w:rsidR="00F208CE" w:rsidRDefault="00513E84">
            <w:pPr>
              <w:pStyle w:val="P68B1DB1-Normal8"/>
              <w:spacing w:after="0"/>
              <w:jc w:val="center"/>
              <w:rPr>
                <w:rFonts w:cs="Times New Roman"/>
                <w:noProof/>
              </w:rPr>
            </w:pPr>
            <w:r>
              <w:rPr>
                <w:noProof/>
              </w:rPr>
              <w:t>TERCER TRIMESTRE 2</w:t>
            </w: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51935610" w14:textId="77777777" w:rsidR="00F208CE" w:rsidRDefault="00513E84">
            <w:pPr>
              <w:pStyle w:val="P68B1DB1-Normal8"/>
              <w:spacing w:after="0"/>
              <w:jc w:val="center"/>
              <w:rPr>
                <w:rFonts w:cs="Times New Roman"/>
                <w:noProof/>
              </w:rPr>
            </w:pPr>
            <w:r>
              <w:rPr>
                <w:noProof/>
              </w:rPr>
              <w:t>2026</w:t>
            </w:r>
          </w:p>
        </w:tc>
        <w:tc>
          <w:tcPr>
            <w:tcW w:w="374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598226" w14:textId="1EE3BF3F" w:rsidR="00F208CE" w:rsidRDefault="00513E84">
            <w:pPr>
              <w:pStyle w:val="P68B1DB1-Normal8"/>
              <w:spacing w:after="0"/>
              <w:rPr>
                <w:rFonts w:cs="Times New Roman"/>
                <w:noProof/>
                <w:u w:val="single"/>
              </w:rPr>
            </w:pPr>
            <w:r>
              <w:rPr>
                <w:noProof/>
              </w:rPr>
              <w:t>4,8 km de carriles ciclistas nuevos y renovados.</w:t>
            </w:r>
          </w:p>
        </w:tc>
      </w:tr>
      <w:tr w:rsidR="00F208CE" w14:paraId="70861AC0"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F65170" w14:textId="77777777" w:rsidR="00F208CE" w:rsidRDefault="00513E84">
            <w:pPr>
              <w:pStyle w:val="P68B1DB1-Normal8"/>
              <w:spacing w:after="0"/>
              <w:jc w:val="center"/>
              <w:rPr>
                <w:rFonts w:eastAsia="Times New Roman" w:cs="Times New Roman"/>
                <w:noProof/>
              </w:rPr>
            </w:pPr>
            <w:r>
              <w:rPr>
                <w:noProof/>
              </w:rPr>
              <w:t>98</w:t>
            </w:r>
          </w:p>
        </w:tc>
        <w:tc>
          <w:tcPr>
            <w:tcW w:w="141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9EF406" w14:textId="222C8E8F" w:rsidR="00F208CE" w:rsidRDefault="00513E84">
            <w:pPr>
              <w:pStyle w:val="P68B1DB1-Normal8"/>
              <w:spacing w:after="0"/>
              <w:rPr>
                <w:rFonts w:cs="Times New Roman"/>
                <w:noProof/>
              </w:rPr>
            </w:pPr>
            <w:r>
              <w:rPr>
                <w:noProof/>
              </w:rPr>
              <w:t xml:space="preserve">Infraestructura para bicicletas y a pie — Schuman (I-3.04) </w:t>
            </w:r>
          </w:p>
        </w:tc>
        <w:tc>
          <w:tcPr>
            <w:tcW w:w="1417" w:type="dxa"/>
            <w:tcBorders>
              <w:top w:val="single" w:sz="4" w:space="0" w:color="auto"/>
              <w:left w:val="nil"/>
              <w:bottom w:val="single" w:sz="4" w:space="0" w:color="auto"/>
              <w:right w:val="single" w:sz="4" w:space="0" w:color="auto"/>
            </w:tcBorders>
            <w:shd w:val="clear" w:color="auto" w:fill="C6EFCE"/>
            <w:noWrap/>
            <w:vAlign w:val="center"/>
          </w:tcPr>
          <w:p w14:paraId="05048F2E" w14:textId="58F7C276" w:rsidR="00F208CE" w:rsidRDefault="00513E84">
            <w:pPr>
              <w:pStyle w:val="P68B1DB1-Normal8"/>
              <w:spacing w:after="0"/>
              <w:rPr>
                <w:rFonts w:cs="Times New Roman"/>
                <w:noProof/>
              </w:rPr>
            </w:pPr>
            <w:r>
              <w:rPr>
                <w:noProof/>
              </w:rPr>
              <w:t>T</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1AF59B13" w14:textId="77777777" w:rsidR="00F208CE" w:rsidRDefault="00513E84">
            <w:pPr>
              <w:pStyle w:val="P68B1DB1-Normal8"/>
              <w:spacing w:after="0"/>
              <w:rPr>
                <w:rFonts w:cs="Times New Roman"/>
                <w:noProof/>
              </w:rPr>
            </w:pPr>
            <w:r>
              <w:rPr>
                <w:noProof/>
              </w:rPr>
              <w:t>Nuevo espacio público para peatones, ciclistas y transporte público en Schuman</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5B4AE6B1" w14:textId="77777777" w:rsidR="00F208CE" w:rsidRDefault="00F208CE">
            <w:pPr>
              <w:spacing w:after="0"/>
              <w:rPr>
                <w:rFonts w:ascii="Times New Roman" w:eastAsia="Times New Roman" w:hAnsi="Times New Roman" w:cs="Times New Roman"/>
                <w:noProof/>
                <w:color w:val="006100"/>
              </w:rPr>
            </w:pPr>
          </w:p>
        </w:tc>
        <w:tc>
          <w:tcPr>
            <w:tcW w:w="1137" w:type="dxa"/>
            <w:tcBorders>
              <w:top w:val="single" w:sz="4" w:space="0" w:color="auto"/>
              <w:left w:val="nil"/>
              <w:bottom w:val="single" w:sz="4" w:space="0" w:color="auto"/>
              <w:right w:val="single" w:sz="4" w:space="0" w:color="auto"/>
            </w:tcBorders>
            <w:shd w:val="clear" w:color="auto" w:fill="C6EFCE"/>
            <w:noWrap/>
            <w:vAlign w:val="center"/>
          </w:tcPr>
          <w:p w14:paraId="6380F661" w14:textId="77777777" w:rsidR="00F208CE" w:rsidRDefault="00513E84">
            <w:pPr>
              <w:pStyle w:val="P68B1DB1-Normal8"/>
              <w:spacing w:after="0"/>
              <w:rPr>
                <w:rFonts w:eastAsia="Times New Roman" w:cs="Times New Roman"/>
                <w:noProof/>
              </w:rPr>
            </w:pPr>
            <w:r>
              <w:rPr>
                <w:noProof/>
              </w:rPr>
              <w:t>m²</w:t>
            </w:r>
          </w:p>
        </w:tc>
        <w:tc>
          <w:tcPr>
            <w:tcW w:w="108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78DE86" w14:textId="77777777" w:rsidR="00F208CE" w:rsidRDefault="00513E84">
            <w:pPr>
              <w:pStyle w:val="P68B1DB1-Normal8"/>
              <w:spacing w:after="0"/>
              <w:jc w:val="right"/>
              <w:rPr>
                <w:rFonts w:eastAsia="Times New Roman" w:cs="Times New Roman"/>
                <w:noProof/>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68FD9B1C" w14:textId="271D12CA" w:rsidR="00F208CE" w:rsidRDefault="00513E84">
            <w:pPr>
              <w:pStyle w:val="P68B1DB1-Normal8"/>
              <w:spacing w:after="0"/>
              <w:jc w:val="right"/>
              <w:rPr>
                <w:rFonts w:eastAsia="Times New Roman" w:cs="Times New Roman"/>
                <w:noProof/>
              </w:rPr>
            </w:pPr>
            <w:r>
              <w:rPr>
                <w:noProof/>
              </w:rPr>
              <w:t>25 000</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434789B" w14:textId="77777777" w:rsidR="00F208CE" w:rsidRDefault="00513E84">
            <w:pPr>
              <w:pStyle w:val="P68B1DB1-Normal8"/>
              <w:spacing w:after="0"/>
              <w:jc w:val="center"/>
              <w:rPr>
                <w:rFonts w:cs="Times New Roman"/>
                <w:noProof/>
              </w:rPr>
            </w:pPr>
            <w:r>
              <w:rPr>
                <w:noProof/>
              </w:rPr>
              <w:t>TERCER TRIMESTRE 2</w:t>
            </w: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4C03C0AD" w14:textId="77777777" w:rsidR="00F208CE" w:rsidRDefault="00513E84">
            <w:pPr>
              <w:pStyle w:val="P68B1DB1-Normal8"/>
              <w:spacing w:after="0"/>
              <w:jc w:val="center"/>
              <w:rPr>
                <w:rFonts w:cs="Times New Roman"/>
                <w:noProof/>
              </w:rPr>
            </w:pPr>
            <w:r>
              <w:rPr>
                <w:noProof/>
              </w:rPr>
              <w:t>2026</w:t>
            </w:r>
          </w:p>
        </w:tc>
        <w:tc>
          <w:tcPr>
            <w:tcW w:w="374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039C0B" w14:textId="764F313A" w:rsidR="00F208CE" w:rsidRDefault="00513E84">
            <w:pPr>
              <w:pStyle w:val="P68B1DB1-Normal8"/>
              <w:spacing w:after="0"/>
              <w:rPr>
                <w:rFonts w:cs="Times New Roman"/>
                <w:noProof/>
                <w:u w:val="single"/>
              </w:rPr>
            </w:pPr>
            <w:r>
              <w:rPr>
                <w:noProof/>
              </w:rPr>
              <w:t>25 000 m² de nuevo espacio público para peatones, ciclistas y transporte públi</w:t>
            </w:r>
            <w:r>
              <w:rPr>
                <w:noProof/>
              </w:rPr>
              <w:t>co en Schuman</w:t>
            </w:r>
          </w:p>
        </w:tc>
      </w:tr>
    </w:tbl>
    <w:p w14:paraId="6BFCF024" w14:textId="77777777" w:rsidR="00F208CE" w:rsidRDefault="00F208CE">
      <w:pPr>
        <w:pStyle w:val="Text1"/>
        <w:ind w:left="709"/>
        <w:rPr>
          <w:noProof/>
        </w:rPr>
      </w:pPr>
    </w:p>
    <w:p w14:paraId="61958984" w14:textId="77777777" w:rsidR="00F208CE" w:rsidRDefault="00F208CE">
      <w:pPr>
        <w:ind w:left="709"/>
        <w:rPr>
          <w:rFonts w:ascii="Times New Roman" w:hAnsi="Times New Roman" w:cs="Times New Roman"/>
          <w:noProof/>
        </w:rPr>
        <w:sectPr w:rsidR="00F208CE" w:rsidSect="007F56C3">
          <w:headerReference w:type="default" r:id="rId92"/>
          <w:footerReference w:type="default" r:id="rId93"/>
          <w:pgSz w:w="16839" w:h="11907" w:orient="landscape"/>
          <w:pgMar w:top="1134" w:right="1134" w:bottom="1134" w:left="1134" w:header="567" w:footer="567" w:gutter="0"/>
          <w:cols w:space="720"/>
          <w:docGrid w:linePitch="360"/>
        </w:sectPr>
      </w:pPr>
    </w:p>
    <w:p w14:paraId="3EBCBBDC" w14:textId="7B7E74EA" w:rsidR="00F208CE" w:rsidRDefault="00513E84">
      <w:pPr>
        <w:pStyle w:val="ManualHeading1"/>
        <w:spacing w:before="120"/>
        <w:ind w:left="0" w:firstLine="0"/>
        <w:rPr>
          <w:noProof/>
        </w:rPr>
      </w:pPr>
      <w:r>
        <w:rPr>
          <w:noProof/>
        </w:rPr>
        <w:t>H. COMPONENTE 3.2: Transferencia modal</w:t>
      </w:r>
    </w:p>
    <w:p w14:paraId="697FBBAA" w14:textId="77777777" w:rsidR="00F208CE" w:rsidRDefault="00513E84">
      <w:pPr>
        <w:pStyle w:val="P68B1DB1-Normal1"/>
        <w:spacing w:before="120" w:after="120" w:line="240" w:lineRule="auto"/>
        <w:jc w:val="both"/>
        <w:rPr>
          <w:rFonts w:cs="Times New Roman"/>
          <w:noProof/>
        </w:rPr>
      </w:pPr>
      <w:r>
        <w:rPr>
          <w:noProof/>
        </w:rPr>
        <w:t xml:space="preserve">Las medidas propuestas en el marco de este componente del plan belga de recuperación y resiliencia tienen por objeto apoyar la transferencia </w:t>
      </w:r>
      <w:r>
        <w:rPr>
          <w:noProof/>
        </w:rPr>
        <w:t>modal invirtiendo en el ferrocarril, el transporte público local, la movilidad inteligente y las vías navegables interiores.</w:t>
      </w:r>
    </w:p>
    <w:p w14:paraId="644F534E" w14:textId="77777777" w:rsidR="00F208CE" w:rsidRDefault="00513E84">
      <w:pPr>
        <w:pStyle w:val="P68B1DB1-Normal1"/>
        <w:spacing w:before="120" w:after="120" w:line="240" w:lineRule="auto"/>
        <w:jc w:val="both"/>
        <w:rPr>
          <w:rFonts w:eastAsia="Times New Roman" w:cs="Times New Roman"/>
          <w:noProof/>
        </w:rPr>
      </w:pPr>
      <w:r>
        <w:rPr>
          <w:noProof/>
        </w:rPr>
        <w:t>El componente contribuye a abordar la recomendación específica por país n.º 2019.3, en la que se pide a Bélgica que «centre la polí</w:t>
      </w:r>
      <w:r>
        <w:rPr>
          <w:noProof/>
        </w:rPr>
        <w:t>tica económica relacionada con la inversión en el transporte sostenible, incluida la mejora de la infraestructura ferroviaria, la transición energética y con bajas emisiones de carbono y la investigación e innovación, en particular en materia de digitaliza</w:t>
      </w:r>
      <w:r>
        <w:rPr>
          <w:noProof/>
        </w:rPr>
        <w:t>ción, teniendo en cuenta las disparidades regionales. Abordar los crecientes retos en materia de movilidad, reforzando los incentivos y eliminando los obstáculos para aumentar la oferta y la demanda del transporte colectivo y de bajas emisiones» y la Recom</w:t>
      </w:r>
      <w:r>
        <w:rPr>
          <w:noProof/>
        </w:rPr>
        <w:t>endación específica por país n.º 2020.3, en la que se pide a Bélgica que «centre la inversión en la transición ecológica y digital, en particular en las infraestructuras para el transporte sostenible».</w:t>
      </w:r>
    </w:p>
    <w:p w14:paraId="523BBC6A" w14:textId="39F6EC34" w:rsidR="00F208CE" w:rsidRDefault="00513E84">
      <w:pPr>
        <w:pStyle w:val="P68B1DB1-Normal1"/>
        <w:spacing w:before="120" w:after="120" w:line="240" w:lineRule="auto"/>
        <w:jc w:val="both"/>
        <w:rPr>
          <w:rFonts w:cs="Times New Roman"/>
          <w:noProof/>
        </w:rPr>
      </w:pPr>
      <w:r>
        <w:rPr>
          <w:noProof/>
        </w:rPr>
        <w:t>Se espera que ninguna medida de este componente perjud</w:t>
      </w:r>
      <w:r>
        <w:rPr>
          <w:noProof/>
        </w:rPr>
        <w:t>ique significativamente a los objetivos medioambientales en el sentido del artículo 17 del Reglamento (UE) 2020/852, teniendo en cuenta la descripción de las medidas y las medidas atenuantes establecidas en el plan de recuperación y resiliencia de conformi</w:t>
      </w:r>
      <w:r>
        <w:rPr>
          <w:noProof/>
        </w:rPr>
        <w:t>dad con las orientaciones técnicas de DNSH (2021/C58/01).</w:t>
      </w:r>
    </w:p>
    <w:p w14:paraId="58B8099F" w14:textId="77777777" w:rsidR="00F208CE" w:rsidRDefault="00513E84">
      <w:pPr>
        <w:spacing w:before="120" w:after="120"/>
        <w:jc w:val="both"/>
        <w:rPr>
          <w:rFonts w:ascii="Times New Roman" w:hAnsi="Times New Roman" w:cs="Times New Roman"/>
          <w:b/>
          <w:noProof/>
          <w:sz w:val="24"/>
          <w:u w:val="single"/>
        </w:rPr>
      </w:pPr>
      <w:r>
        <w:rPr>
          <w:rFonts w:ascii="Times New Roman" w:hAnsi="Times New Roman"/>
          <w:b/>
          <w:noProof/>
          <w:sz w:val="24"/>
          <w:u w:val="single"/>
        </w:rPr>
        <w:t xml:space="preserve">H.1. </w:t>
      </w:r>
      <w:r>
        <w:rPr>
          <w:noProof/>
        </w:rPr>
        <w:t xml:space="preserve"> </w:t>
      </w:r>
      <w:r>
        <w:rPr>
          <w:rFonts w:ascii="Times New Roman" w:hAnsi="Times New Roman"/>
          <w:b/>
          <w:noProof/>
          <w:sz w:val="24"/>
          <w:u w:val="single"/>
        </w:rPr>
        <w:t>Descripción de las reformas e inversiones para la ayuda financiera no reembolsable</w:t>
      </w:r>
    </w:p>
    <w:p w14:paraId="2755EDCF" w14:textId="77777777" w:rsidR="00F208CE" w:rsidRDefault="00513E84">
      <w:pPr>
        <w:pStyle w:val="P68B1DB1-Text19"/>
        <w:ind w:left="0"/>
        <w:rPr>
          <w:noProof/>
        </w:rPr>
      </w:pPr>
      <w:r>
        <w:rPr>
          <w:noProof/>
        </w:rPr>
        <w:t>Reforma R-3.01: «Performance Infrabel/NMBS-SNCB» del Estado Federal</w:t>
      </w:r>
    </w:p>
    <w:p w14:paraId="2690D7E5" w14:textId="77777777" w:rsidR="00F208CE" w:rsidRDefault="00513E84">
      <w:pPr>
        <w:pStyle w:val="Text1"/>
        <w:ind w:left="0"/>
        <w:rPr>
          <w:noProof/>
        </w:rPr>
      </w:pPr>
      <w:r>
        <w:rPr>
          <w:noProof/>
        </w:rPr>
        <w:t>Esta reforma consiste en la adopción de l</w:t>
      </w:r>
      <w:r>
        <w:rPr>
          <w:noProof/>
        </w:rPr>
        <w:t xml:space="preserve">os nuevos contratos de ejecución de NMBS-SNCB e Infrabel y de su plan plurianual de inversiones, que deberá garantizar, como mínimo, lo siguiente: </w:t>
      </w:r>
    </w:p>
    <w:p w14:paraId="1DB740CA" w14:textId="35E90AE0" w:rsidR="00F208CE" w:rsidRDefault="00513E84">
      <w:pPr>
        <w:pStyle w:val="Text1"/>
        <w:numPr>
          <w:ilvl w:val="0"/>
          <w:numId w:val="47"/>
        </w:numPr>
        <w:tabs>
          <w:tab w:val="left" w:pos="426"/>
        </w:tabs>
        <w:rPr>
          <w:noProof/>
          <w:u w:val="single"/>
        </w:rPr>
      </w:pPr>
      <w:r>
        <w:rPr>
          <w:noProof/>
        </w:rPr>
        <w:t>Ejecución oportuna de las inversiones ferroviarias suburbanas «Réseau suburbain bruxellois — Geweestelijk Ex</w:t>
      </w:r>
      <w:r>
        <w:rPr>
          <w:noProof/>
        </w:rPr>
        <w:t>pressNet» (RER-GEN) hasta 2031, de conformidad con la Ley por la que se aprueba el acuerdo de cooperación interregional</w:t>
      </w:r>
      <w:r>
        <w:rPr>
          <w:noProof/>
        </w:rPr>
        <w:footnoteReference w:id="8"/>
      </w:r>
      <w:r>
        <w:rPr>
          <w:noProof/>
        </w:rPr>
        <w:t xml:space="preserve"> sobre inversiones ferroviarias estratégicas</w:t>
      </w:r>
      <w:r>
        <w:rPr>
          <w:noProof/>
        </w:rPr>
        <w:footnoteReference w:id="9"/>
      </w:r>
      <w:r>
        <w:rPr>
          <w:noProof/>
        </w:rPr>
        <w:t>.</w:t>
      </w:r>
    </w:p>
    <w:p w14:paraId="1A3D3BA2" w14:textId="4852F72F" w:rsidR="00F208CE" w:rsidRDefault="00513E84">
      <w:pPr>
        <w:pStyle w:val="P68B1DB1-ListParagraph16"/>
        <w:numPr>
          <w:ilvl w:val="0"/>
          <w:numId w:val="47"/>
        </w:numPr>
        <w:tabs>
          <w:tab w:val="left" w:pos="426"/>
        </w:tabs>
        <w:spacing w:before="120" w:after="120" w:line="240" w:lineRule="auto"/>
        <w:jc w:val="both"/>
        <w:rPr>
          <w:rFonts w:cs="Times New Roman"/>
          <w:noProof/>
        </w:rPr>
      </w:pPr>
      <w:r>
        <w:rPr>
          <w:noProof/>
        </w:rPr>
        <w:t>Incentivos adecuados para la eficiencia y la calidad del servicio integrados en el contra</w:t>
      </w:r>
      <w:r>
        <w:rPr>
          <w:noProof/>
        </w:rPr>
        <w:t>to.</w:t>
      </w:r>
    </w:p>
    <w:p w14:paraId="3A257CCF" w14:textId="59CBCA73" w:rsidR="00F208CE" w:rsidRDefault="00513E84">
      <w:pPr>
        <w:pStyle w:val="Text1"/>
        <w:numPr>
          <w:ilvl w:val="0"/>
          <w:numId w:val="47"/>
        </w:numPr>
        <w:tabs>
          <w:tab w:val="left" w:pos="426"/>
        </w:tabs>
        <w:rPr>
          <w:noProof/>
        </w:rPr>
      </w:pPr>
      <w:r>
        <w:rPr>
          <w:noProof/>
        </w:rPr>
        <w:t>Completar las inversiones I-3.09 «Estaciones ferroviarias accesibles y multimodales — FED», I-3.10 «Ferrocarril — red eficiente — FED» e I-3.12 «Ferrocarril — Movilidad inteligente — FED», incluidas en este componente del PRR.</w:t>
      </w:r>
    </w:p>
    <w:p w14:paraId="4B31EB90" w14:textId="77777777" w:rsidR="00F208CE" w:rsidRDefault="00513E84">
      <w:pPr>
        <w:pStyle w:val="Text1"/>
        <w:ind w:left="0"/>
        <w:rPr>
          <w:noProof/>
        </w:rPr>
      </w:pPr>
      <w:r>
        <w:rPr>
          <w:noProof/>
        </w:rPr>
        <w:t xml:space="preserve">El contrato se celebrará </w:t>
      </w:r>
      <w:r>
        <w:rPr>
          <w:noProof/>
        </w:rPr>
        <w:t>a más tardar el 30 de junio de 2023.</w:t>
      </w:r>
    </w:p>
    <w:p w14:paraId="5526CF66" w14:textId="77777777" w:rsidR="00F208CE" w:rsidRDefault="00513E84">
      <w:pPr>
        <w:pStyle w:val="P68B1DB1-Text19"/>
        <w:ind w:left="0"/>
        <w:rPr>
          <w:noProof/>
        </w:rPr>
      </w:pPr>
      <w:r>
        <w:rPr>
          <w:noProof/>
        </w:rPr>
        <w:t>Reforma R-3.02: «Presupuesto de movilidad» del Estado Federal</w:t>
      </w:r>
    </w:p>
    <w:p w14:paraId="4CEF5EF6" w14:textId="61EF365C" w:rsidR="00F208CE" w:rsidRDefault="00513E84">
      <w:pPr>
        <w:pStyle w:val="Text1"/>
        <w:ind w:left="0"/>
        <w:rPr>
          <w:rFonts w:eastAsia="Times New Roman"/>
          <w:noProof/>
        </w:rPr>
      </w:pPr>
      <w:r>
        <w:rPr>
          <w:noProof/>
        </w:rPr>
        <w:t>Esta reforma tiene por objeto reforzar los incentivos para aumentar la demanda de modos de transporte entre el hogar y el trabajo que constituyan una alterna</w:t>
      </w:r>
      <w:r>
        <w:rPr>
          <w:noProof/>
        </w:rPr>
        <w:t>tiva sostenible a los vehículos de empresa (es decir, el transporte colectivo y la bicicleta), ya que la utilización del actual régimen presupuestario para la movilidad ha seguido siendo muy limitada. El objetivo es inducir un cambio modal de los automóvil</w:t>
      </w:r>
      <w:r>
        <w:rPr>
          <w:noProof/>
        </w:rPr>
        <w:t>es. La reforma consiste en la adopción de la ley por la que se establece un presupuesto revisado para la movilidad. El capítulo de la Ley de revisión del presupuesto de movilidad entrará en vigor a más tardar el 1 de septiembre de 2021.</w:t>
      </w:r>
    </w:p>
    <w:p w14:paraId="161AD438" w14:textId="77777777" w:rsidR="00F208CE" w:rsidRDefault="00513E84">
      <w:pPr>
        <w:pStyle w:val="P68B1DB1-Text19"/>
        <w:ind w:left="0"/>
        <w:rPr>
          <w:noProof/>
        </w:rPr>
      </w:pPr>
      <w:r>
        <w:rPr>
          <w:noProof/>
        </w:rPr>
        <w:t xml:space="preserve">Inversión I-3B: </w:t>
      </w:r>
      <w:r>
        <w:rPr>
          <w:noProof/>
        </w:rPr>
        <w:t>«Mejora del transporte público en Valonia»</w:t>
      </w:r>
    </w:p>
    <w:p w14:paraId="1E4C1B72" w14:textId="2265C00B" w:rsidR="00F208CE" w:rsidRDefault="00513E84">
      <w:pPr>
        <w:pStyle w:val="P68B1DB1-Text13"/>
        <w:ind w:left="0"/>
        <w:rPr>
          <w:noProof/>
          <w:color w:val="000000"/>
        </w:rPr>
      </w:pPr>
      <w:r>
        <w:rPr>
          <w:noProof/>
        </w:rPr>
        <w:t>Los objetivos de la inversión son mejorar el transporte público en Valonia. Esta medida se compone de las dos submedidas siguientes:</w:t>
      </w:r>
    </w:p>
    <w:p w14:paraId="18FE45B1" w14:textId="77777777" w:rsidR="00F208CE" w:rsidRDefault="00513E84">
      <w:pPr>
        <w:pStyle w:val="Text1"/>
        <w:numPr>
          <w:ilvl w:val="0"/>
          <w:numId w:val="48"/>
        </w:numPr>
        <w:contextualSpacing/>
        <w:rPr>
          <w:noProof/>
        </w:rPr>
      </w:pPr>
      <w:r>
        <w:rPr>
          <w:noProof/>
        </w:rPr>
        <w:t>Inversión I-3.07: «Extensión del metro» de la Región Valona</w:t>
      </w:r>
    </w:p>
    <w:p w14:paraId="6DC44E4C" w14:textId="77777777" w:rsidR="00F208CE" w:rsidRDefault="00513E84">
      <w:pPr>
        <w:pStyle w:val="Text1"/>
        <w:numPr>
          <w:ilvl w:val="0"/>
          <w:numId w:val="48"/>
        </w:numPr>
        <w:contextualSpacing/>
        <w:rPr>
          <w:noProof/>
        </w:rPr>
      </w:pPr>
      <w:r>
        <w:rPr>
          <w:noProof/>
        </w:rPr>
        <w:t>Inversión I-3.08: «S</w:t>
      </w:r>
      <w:r>
        <w:rPr>
          <w:noProof/>
        </w:rPr>
        <w:t>eñales viarias inteligentes» de la Región Valona</w:t>
      </w:r>
    </w:p>
    <w:p w14:paraId="1EFC9FE4" w14:textId="77777777" w:rsidR="00F208CE" w:rsidRDefault="00F208CE">
      <w:pPr>
        <w:pStyle w:val="Text1"/>
        <w:ind w:left="0"/>
        <w:contextualSpacing/>
        <w:rPr>
          <w:noProof/>
        </w:rPr>
      </w:pPr>
    </w:p>
    <w:p w14:paraId="5C8E9F0E" w14:textId="77777777" w:rsidR="00F208CE" w:rsidRDefault="00513E84">
      <w:pPr>
        <w:pStyle w:val="P68B1DB1-Text19"/>
        <w:ind w:left="0"/>
        <w:contextualSpacing/>
        <w:rPr>
          <w:noProof/>
        </w:rPr>
      </w:pPr>
      <w:r>
        <w:rPr>
          <w:noProof/>
        </w:rPr>
        <w:t>Inversión I-3C: «Obras de renovación de los ferrocarriles y de accesibilidad de las estaciones»</w:t>
      </w:r>
    </w:p>
    <w:p w14:paraId="6678C2E3" w14:textId="77777777" w:rsidR="00F208CE" w:rsidRDefault="00513E84">
      <w:pPr>
        <w:pStyle w:val="Text1"/>
        <w:ind w:left="0"/>
        <w:contextualSpacing/>
        <w:rPr>
          <w:noProof/>
        </w:rPr>
      </w:pPr>
      <w:r>
        <w:rPr>
          <w:noProof/>
        </w:rPr>
        <w:t>El objetivo de la inversión es renovar los raíles y hacer más accesibles las estaciones de ferrocarril. Esta m</w:t>
      </w:r>
      <w:r>
        <w:rPr>
          <w:noProof/>
        </w:rPr>
        <w:t>edida se compone de las dos submedidas siguientes:</w:t>
      </w:r>
    </w:p>
    <w:p w14:paraId="41D96065" w14:textId="77777777" w:rsidR="00F208CE" w:rsidRDefault="00513E84">
      <w:pPr>
        <w:pStyle w:val="Text1"/>
        <w:numPr>
          <w:ilvl w:val="0"/>
          <w:numId w:val="49"/>
        </w:numPr>
        <w:contextualSpacing/>
        <w:rPr>
          <w:noProof/>
        </w:rPr>
      </w:pPr>
      <w:r>
        <w:rPr>
          <w:noProof/>
        </w:rPr>
        <w:t>Inversión I-3.09: Estaciones ferroviarias accesibles y multimodales del Estado Federal</w:t>
      </w:r>
    </w:p>
    <w:p w14:paraId="4B53EC0A" w14:textId="77777777" w:rsidR="00F208CE" w:rsidRDefault="00513E84">
      <w:pPr>
        <w:pStyle w:val="Text1"/>
        <w:numPr>
          <w:ilvl w:val="0"/>
          <w:numId w:val="49"/>
        </w:numPr>
        <w:contextualSpacing/>
        <w:rPr>
          <w:noProof/>
        </w:rPr>
      </w:pPr>
      <w:r>
        <w:rPr>
          <w:noProof/>
        </w:rPr>
        <w:t>Inversión I-3.10: «Ferrocarril — red eficiente» del Estado Federal</w:t>
      </w:r>
    </w:p>
    <w:p w14:paraId="6D93244E" w14:textId="77777777" w:rsidR="00F208CE" w:rsidRDefault="00F208CE">
      <w:pPr>
        <w:pStyle w:val="Text1"/>
        <w:ind w:left="0"/>
        <w:contextualSpacing/>
        <w:rPr>
          <w:noProof/>
        </w:rPr>
      </w:pPr>
    </w:p>
    <w:p w14:paraId="40E4BB06" w14:textId="77777777" w:rsidR="00F208CE" w:rsidRDefault="00513E84">
      <w:pPr>
        <w:pStyle w:val="P68B1DB1-Text19"/>
        <w:ind w:left="0"/>
        <w:contextualSpacing/>
        <w:rPr>
          <w:noProof/>
        </w:rPr>
      </w:pPr>
      <w:r>
        <w:rPr>
          <w:noProof/>
        </w:rPr>
        <w:t xml:space="preserve">Inversión I-3D: «Desbloqueo de los datos abiertos </w:t>
      </w:r>
      <w:r>
        <w:rPr>
          <w:noProof/>
        </w:rPr>
        <w:t>para la aplicación de movilidad inteligente»</w:t>
      </w:r>
    </w:p>
    <w:p w14:paraId="21E7A43B" w14:textId="77777777" w:rsidR="00F208CE" w:rsidRDefault="00513E84">
      <w:pPr>
        <w:pStyle w:val="Text1"/>
        <w:ind w:left="0"/>
        <w:contextualSpacing/>
        <w:rPr>
          <w:noProof/>
        </w:rPr>
      </w:pPr>
      <w:r>
        <w:rPr>
          <w:noProof/>
        </w:rPr>
        <w:t>El objetivo de la inversión es desbloquear los datos abiertos para una aplicación de movilidad inteligente. Esta medida se compone de las dos submedidas siguientes:</w:t>
      </w:r>
    </w:p>
    <w:p w14:paraId="4E94371C" w14:textId="77777777" w:rsidR="00F208CE" w:rsidRDefault="00513E84">
      <w:pPr>
        <w:pStyle w:val="Text1"/>
        <w:numPr>
          <w:ilvl w:val="0"/>
          <w:numId w:val="50"/>
        </w:numPr>
        <w:contextualSpacing/>
        <w:rPr>
          <w:noProof/>
        </w:rPr>
      </w:pPr>
      <w:r>
        <w:rPr>
          <w:noProof/>
        </w:rPr>
        <w:t>Inversión I-3.12: «Ferrocarril — Movilidad int</w:t>
      </w:r>
      <w:r>
        <w:rPr>
          <w:noProof/>
        </w:rPr>
        <w:t>eligente» del Estado federal</w:t>
      </w:r>
    </w:p>
    <w:p w14:paraId="2713188C" w14:textId="77777777" w:rsidR="00F208CE" w:rsidRDefault="00513E84">
      <w:pPr>
        <w:pStyle w:val="Text1"/>
        <w:numPr>
          <w:ilvl w:val="0"/>
          <w:numId w:val="50"/>
        </w:numPr>
        <w:contextualSpacing/>
        <w:rPr>
          <w:noProof/>
        </w:rPr>
      </w:pPr>
      <w:r>
        <w:rPr>
          <w:noProof/>
        </w:rPr>
        <w:t>Inversión I-3.13: «Movilidad como un servicio (MaaS)» de la Región de Bruselas-Capital</w:t>
      </w:r>
    </w:p>
    <w:p w14:paraId="22A17180" w14:textId="77777777" w:rsidR="00F208CE" w:rsidRDefault="00F208CE">
      <w:pPr>
        <w:pStyle w:val="Text1"/>
        <w:ind w:left="0"/>
        <w:contextualSpacing/>
        <w:rPr>
          <w:noProof/>
        </w:rPr>
      </w:pPr>
    </w:p>
    <w:p w14:paraId="268C0FA5" w14:textId="77777777" w:rsidR="00F208CE" w:rsidRDefault="00513E84">
      <w:pPr>
        <w:pStyle w:val="P68B1DB1-Text19"/>
        <w:ind w:left="0"/>
        <w:contextualSpacing/>
        <w:rPr>
          <w:noProof/>
        </w:rPr>
      </w:pPr>
      <w:r>
        <w:rPr>
          <w:noProof/>
        </w:rPr>
        <w:t>Inversión I-3E: «Ir en funcionamiento de los módulos informáticos ferroviarios»</w:t>
      </w:r>
    </w:p>
    <w:p w14:paraId="6641061B" w14:textId="77777777" w:rsidR="00F208CE" w:rsidRDefault="00513E84">
      <w:pPr>
        <w:pStyle w:val="Text1"/>
        <w:ind w:left="0"/>
        <w:contextualSpacing/>
        <w:rPr>
          <w:noProof/>
        </w:rPr>
      </w:pPr>
      <w:r>
        <w:rPr>
          <w:noProof/>
        </w:rPr>
        <w:t>El objetivo de la inversión es hacer operativos los módulos</w:t>
      </w:r>
      <w:r>
        <w:rPr>
          <w:noProof/>
        </w:rPr>
        <w:t xml:space="preserve"> informáticos que mejoran la gestión del tráfico y la expedición de billetes. Esta medida se compone de las dos submedidas siguientes:</w:t>
      </w:r>
    </w:p>
    <w:p w14:paraId="6794197D" w14:textId="77777777" w:rsidR="00F208CE" w:rsidRDefault="00513E84">
      <w:pPr>
        <w:pStyle w:val="Text1"/>
        <w:numPr>
          <w:ilvl w:val="0"/>
          <w:numId w:val="51"/>
        </w:numPr>
        <w:contextualSpacing/>
        <w:rPr>
          <w:noProof/>
        </w:rPr>
      </w:pPr>
      <w:r>
        <w:rPr>
          <w:noProof/>
        </w:rPr>
        <w:t>Inversión I-3.10: «Ferrocarril — red eficiente» del Estado Federal</w:t>
      </w:r>
    </w:p>
    <w:p w14:paraId="37A2CEE4" w14:textId="77777777" w:rsidR="00F208CE" w:rsidRDefault="00513E84">
      <w:pPr>
        <w:pStyle w:val="Text1"/>
        <w:numPr>
          <w:ilvl w:val="0"/>
          <w:numId w:val="51"/>
        </w:numPr>
        <w:contextualSpacing/>
        <w:rPr>
          <w:noProof/>
        </w:rPr>
      </w:pPr>
      <w:r>
        <w:rPr>
          <w:noProof/>
        </w:rPr>
        <w:t>Inversión I-3.12: «Ferrocarril — Movilidad inteligente</w:t>
      </w:r>
      <w:r>
        <w:rPr>
          <w:noProof/>
        </w:rPr>
        <w:t>» del Estado federal</w:t>
      </w:r>
    </w:p>
    <w:p w14:paraId="015396D2" w14:textId="77777777" w:rsidR="00F208CE" w:rsidRDefault="00F208CE">
      <w:pPr>
        <w:pStyle w:val="Text1"/>
        <w:ind w:left="0"/>
        <w:contextualSpacing/>
        <w:rPr>
          <w:noProof/>
        </w:rPr>
      </w:pPr>
    </w:p>
    <w:p w14:paraId="49D0B1B2" w14:textId="28FC1A6A" w:rsidR="00F208CE" w:rsidRDefault="00513E84">
      <w:pPr>
        <w:pStyle w:val="P68B1DB1-Text19"/>
        <w:ind w:left="0"/>
        <w:contextualSpacing/>
        <w:rPr>
          <w:noProof/>
        </w:rPr>
      </w:pPr>
      <w:r>
        <w:rPr>
          <w:noProof/>
        </w:rPr>
        <w:t>Inversión I-3H: «Herramientas de movilidad inteligente» de la Región de Bruselas-Capital</w:t>
      </w:r>
    </w:p>
    <w:p w14:paraId="5240BD52" w14:textId="3F54C08D" w:rsidR="00F208CE" w:rsidRDefault="00513E84">
      <w:pPr>
        <w:pStyle w:val="Text1"/>
        <w:ind w:left="0"/>
        <w:contextualSpacing/>
        <w:rPr>
          <w:noProof/>
        </w:rPr>
      </w:pPr>
      <w:r>
        <w:rPr>
          <w:noProof/>
        </w:rPr>
        <w:t>El objetivo de la inversión es facilitar la transición hacia modos de transporte más ecológicos. Esta medida se compone de las dos submedidas sig</w:t>
      </w:r>
      <w:r>
        <w:rPr>
          <w:noProof/>
        </w:rPr>
        <w:t>uientes:</w:t>
      </w:r>
    </w:p>
    <w:p w14:paraId="2267C020" w14:textId="47FDCE72" w:rsidR="00F208CE" w:rsidRDefault="00513E84">
      <w:pPr>
        <w:pStyle w:val="Text1"/>
        <w:numPr>
          <w:ilvl w:val="0"/>
          <w:numId w:val="52"/>
        </w:numPr>
        <w:contextualSpacing/>
        <w:rPr>
          <w:noProof/>
        </w:rPr>
      </w:pPr>
      <w:r>
        <w:rPr>
          <w:noProof/>
        </w:rPr>
        <w:t>Inversión I-3.15.a: Aplicación Floya</w:t>
      </w:r>
    </w:p>
    <w:p w14:paraId="5DD8F262" w14:textId="5F7D0E91" w:rsidR="00F208CE" w:rsidRDefault="00513E84">
      <w:pPr>
        <w:pStyle w:val="Text1"/>
        <w:numPr>
          <w:ilvl w:val="0"/>
          <w:numId w:val="52"/>
        </w:numPr>
        <w:contextualSpacing/>
        <w:rPr>
          <w:noProof/>
        </w:rPr>
      </w:pPr>
      <w:r>
        <w:rPr>
          <w:noProof/>
        </w:rPr>
        <w:t>Inversión I-3.15b: Ampliación de la red ANPR Camera de la Región de Bruselas-Capital</w:t>
      </w:r>
    </w:p>
    <w:p w14:paraId="321937EE" w14:textId="77777777" w:rsidR="00F208CE" w:rsidRDefault="00F208CE">
      <w:pPr>
        <w:pStyle w:val="Text1"/>
        <w:ind w:left="0"/>
        <w:contextualSpacing/>
        <w:rPr>
          <w:noProof/>
        </w:rPr>
      </w:pPr>
    </w:p>
    <w:p w14:paraId="5985546E" w14:textId="77777777" w:rsidR="00F208CE" w:rsidRDefault="00513E84">
      <w:pPr>
        <w:pStyle w:val="P68B1DB1-Text19"/>
        <w:ind w:left="0"/>
        <w:rPr>
          <w:noProof/>
        </w:rPr>
      </w:pPr>
      <w:r>
        <w:rPr>
          <w:noProof/>
        </w:rPr>
        <w:t>Inversión I-3.07: «Extensión del metro» de la Región Valona</w:t>
      </w:r>
    </w:p>
    <w:p w14:paraId="6B04E2CA" w14:textId="3B4397E2" w:rsidR="00F208CE" w:rsidRDefault="00513E84">
      <w:pPr>
        <w:pStyle w:val="Text1"/>
        <w:ind w:left="0"/>
        <w:rPr>
          <w:noProof/>
        </w:rPr>
      </w:pPr>
      <w:r>
        <w:rPr>
          <w:noProof/>
        </w:rPr>
        <w:t>Esta inversión consiste en la renovación y ampliación de la red de metro ligero Charleroi en 5,5 km hasta el Gran Hôpital de Charleroi (Viviers). El aumento de los costes de explotación para compensar la ampliación del servicio de metrología se incluirá en</w:t>
      </w:r>
      <w:r>
        <w:rPr>
          <w:noProof/>
        </w:rPr>
        <w:t xml:space="preserve"> el contrato de servicio público revisado del «OĂateur de Transport de Wallonie» concedido por la Región Valona. La ejecución de la inversión deberá estar terminada a más tardar el 30 de junio de 2026.</w:t>
      </w:r>
    </w:p>
    <w:p w14:paraId="357D4FA0" w14:textId="245AF2BE" w:rsidR="00F208CE" w:rsidRDefault="00513E84">
      <w:pPr>
        <w:pStyle w:val="P68B1DB1-Text19"/>
        <w:ind w:left="0"/>
        <w:rPr>
          <w:noProof/>
        </w:rPr>
      </w:pPr>
      <w:r>
        <w:rPr>
          <w:noProof/>
        </w:rPr>
        <w:t>Inversión I-3.08: «Señales viarias inteligentes» de la</w:t>
      </w:r>
      <w:r>
        <w:rPr>
          <w:noProof/>
        </w:rPr>
        <w:t xml:space="preserve"> Región Valona</w:t>
      </w:r>
    </w:p>
    <w:p w14:paraId="23648ADD" w14:textId="77777777" w:rsidR="00F208CE" w:rsidRDefault="00513E84">
      <w:pPr>
        <w:pStyle w:val="P68B1DB1-Normal1"/>
        <w:spacing w:before="120" w:after="120"/>
        <w:jc w:val="both"/>
        <w:rPr>
          <w:rFonts w:cs="Times New Roman"/>
          <w:noProof/>
        </w:rPr>
      </w:pPr>
      <w:r>
        <w:rPr>
          <w:noProof/>
        </w:rPr>
        <w:t>Estas inversiones consisten en la instalación de semáforos inteligentes para los autobuses de transporte público en Valonia en al menos 400 cruces. La ejecución de la inversión deberá estar terminada a más tardar el 30 de junio de 2026.</w:t>
      </w:r>
    </w:p>
    <w:p w14:paraId="632FFCAD" w14:textId="77777777" w:rsidR="00F208CE" w:rsidRDefault="00513E84">
      <w:pPr>
        <w:pStyle w:val="P68B1DB1-Text19"/>
        <w:ind w:left="0"/>
        <w:rPr>
          <w:noProof/>
        </w:rPr>
      </w:pPr>
      <w:r>
        <w:rPr>
          <w:noProof/>
        </w:rPr>
        <w:t>Inve</w:t>
      </w:r>
      <w:r>
        <w:rPr>
          <w:noProof/>
        </w:rPr>
        <w:t>rsión I-3.09: Estaciones ferroviarias accesibles y multimodales del Estado Federal</w:t>
      </w:r>
    </w:p>
    <w:p w14:paraId="42FD621F" w14:textId="7A5D8706" w:rsidR="00F208CE" w:rsidRDefault="00513E84">
      <w:pPr>
        <w:spacing w:before="120" w:after="120" w:line="240" w:lineRule="auto"/>
        <w:jc w:val="both"/>
        <w:rPr>
          <w:rFonts w:ascii="Times New Roman" w:hAnsi="Times New Roman" w:cs="Times New Roman"/>
          <w:noProof/>
          <w:sz w:val="24"/>
        </w:rPr>
      </w:pPr>
      <w:r>
        <w:rPr>
          <w:rFonts w:ascii="Times New Roman" w:hAnsi="Times New Roman"/>
          <w:noProof/>
          <w:sz w:val="24"/>
        </w:rPr>
        <w:t>Esta inversión consiste en construir al menos 6 plazas de aparcamiento para bicicletas en estaciones ferroviarias</w:t>
      </w:r>
      <w:r>
        <w:rPr>
          <w:rStyle w:val="FootnoteReference"/>
          <w:rFonts w:ascii="Times New Roman" w:hAnsi="Times New Roman" w:cs="Times New Roman"/>
          <w:noProof/>
          <w:sz w:val="24"/>
        </w:rPr>
        <w:footnoteReference w:id="10"/>
      </w:r>
      <w:r>
        <w:rPr>
          <w:rFonts w:ascii="Times New Roman" w:hAnsi="Times New Roman"/>
          <w:noProof/>
          <w:sz w:val="24"/>
        </w:rPr>
        <w:t xml:space="preserve"> y hacer que al menos</w:t>
      </w:r>
      <w:r>
        <w:rPr>
          <w:rFonts w:ascii="Times New Roman" w:hAnsi="Times New Roman"/>
          <w:noProof/>
          <w:color w:val="006100"/>
        </w:rPr>
        <w:t xml:space="preserve"> </w:t>
      </w:r>
      <w:r>
        <w:rPr>
          <w:rFonts w:ascii="Times New Roman" w:hAnsi="Times New Roman"/>
          <w:noProof/>
          <w:sz w:val="24"/>
        </w:rPr>
        <w:t xml:space="preserve">000 estaciones, de las 25 estaciones </w:t>
      </w:r>
      <w:r>
        <w:rPr>
          <w:rFonts w:ascii="Times New Roman" w:hAnsi="Times New Roman"/>
          <w:noProof/>
          <w:sz w:val="24"/>
        </w:rPr>
        <w:t>identificadas</w:t>
      </w:r>
      <w:r>
        <w:rPr>
          <w:rStyle w:val="FootnoteReference"/>
          <w:rFonts w:ascii="Times New Roman" w:hAnsi="Times New Roman" w:cs="Times New Roman"/>
          <w:noProof/>
          <w:sz w:val="24"/>
        </w:rPr>
        <w:footnoteReference w:id="11"/>
      </w:r>
      <w:r>
        <w:rPr>
          <w:rFonts w:ascii="Times New Roman" w:hAnsi="Times New Roman"/>
          <w:noProof/>
          <w:sz w:val="24"/>
        </w:rPr>
        <w:t>, sean accesibles, de conformidad con las especificaciones técnicas de interoperabilidad del Reglamento (UE) n.º 1300/2014 de la Comisión para personas con discapacidad y personas de movilidad reducida. La ejecución de la inversión deberá est</w:t>
      </w:r>
      <w:r>
        <w:rPr>
          <w:rFonts w:ascii="Times New Roman" w:hAnsi="Times New Roman"/>
          <w:noProof/>
          <w:sz w:val="24"/>
        </w:rPr>
        <w:t>ar terminada a más tardar el 30 de junio de 2026.</w:t>
      </w:r>
    </w:p>
    <w:p w14:paraId="0DAA20F9" w14:textId="77777777" w:rsidR="00F208CE" w:rsidRDefault="00513E84">
      <w:pPr>
        <w:pStyle w:val="P68B1DB1-Text19"/>
        <w:ind w:left="0"/>
        <w:rPr>
          <w:noProof/>
        </w:rPr>
      </w:pPr>
      <w:r>
        <w:rPr>
          <w:noProof/>
        </w:rPr>
        <w:t>Inversión I-3.10: «Ferrocarril — red eficiente» del Estado Federal</w:t>
      </w:r>
    </w:p>
    <w:p w14:paraId="25CD8D4F" w14:textId="1779D2E0" w:rsidR="00F208CE" w:rsidRDefault="00513E84">
      <w:pPr>
        <w:pStyle w:val="P68B1DB1-Normal1"/>
        <w:spacing w:before="120" w:after="120" w:line="240" w:lineRule="auto"/>
        <w:jc w:val="both"/>
        <w:rPr>
          <w:rFonts w:cs="Times New Roman"/>
          <w:noProof/>
        </w:rPr>
      </w:pPr>
      <w:r>
        <w:rPr>
          <w:noProof/>
        </w:rPr>
        <w:t>Esta inversión consiste en modernizar al menos 32 tramos ferroviarios de la red global, modernizar al menos 18 infraestructuras ferroviaria</w:t>
      </w:r>
      <w:r>
        <w:rPr>
          <w:noProof/>
        </w:rPr>
        <w:t>s dedicadas al transporte de mercancías, eliminar al menos cinco cuellos de botella en las infraestructuras que dificultan el rendimiento de la línea Bruselas-Luxemburgo (ferrocarril Eurocap), eliminar al menos cuatro cuellos de botella ferroviarios en Bru</w:t>
      </w:r>
      <w:r>
        <w:rPr>
          <w:noProof/>
        </w:rPr>
        <w:t>selas y desarrollar un módulo informático para la gestión del tráfico. Algunos de los proyectos incluyen costes que no están financiados por el MRR, sino por el Mecanismo «Conectar Europa». Esto se refiere a las líneas ferroviarias L154 (obras de vía, obra</w:t>
      </w:r>
      <w:r>
        <w:rPr>
          <w:noProof/>
        </w:rPr>
        <w:t>s de catenario, retirada de tres pasos a nivel y adaptación de una estación de conmutación), L24 (trazado de vía en el puente sobre el canal de Albert, obras de vía y catenario), L166 (tendido de vía con balasto en dos puentes sobre el río Lesse y un puent</w:t>
      </w:r>
      <w:r>
        <w:rPr>
          <w:noProof/>
        </w:rPr>
        <w:t xml:space="preserve">e sobre las obras nacionales de carretera, vía y catenaria y retirada de dos pasos a nivel) y el sistema de gestión de túneles de la estación ferroviaria central de Amberes (elaboración de un plan de mitigación, instalación del sistema lineal de detección </w:t>
      </w:r>
      <w:r>
        <w:rPr>
          <w:noProof/>
        </w:rPr>
        <w:t>de incendios «fibroláser» de calor, de un sistema automatizado de gestión de la seguridad, aplicación de un sistema de supervisión, control y visualización de la adquisición de datos, y homologación del cumplimiento de las normas SIL y ETI SRT). La ejecuci</w:t>
      </w:r>
      <w:r>
        <w:rPr>
          <w:noProof/>
        </w:rPr>
        <w:t>ón de la inversión deberá estar terminada a más tardar el 30 de junio de 2026.</w:t>
      </w:r>
    </w:p>
    <w:p w14:paraId="1C31E2CF" w14:textId="55031EE3" w:rsidR="00F208CE" w:rsidRDefault="00513E84">
      <w:pPr>
        <w:pStyle w:val="P68B1DB1-Text19"/>
        <w:ind w:left="0"/>
        <w:rPr>
          <w:noProof/>
        </w:rPr>
      </w:pPr>
      <w:r>
        <w:rPr>
          <w:noProof/>
        </w:rPr>
        <w:t>Inversión I-3.11: Canal Albert y Trilogiport de la Región Valona</w:t>
      </w:r>
    </w:p>
    <w:p w14:paraId="40D6EE66" w14:textId="34853366" w:rsidR="00F208CE" w:rsidRDefault="00513E84">
      <w:pPr>
        <w:pStyle w:val="P68B1DB1-Normal1"/>
        <w:spacing w:before="120" w:after="120" w:line="240" w:lineRule="auto"/>
        <w:jc w:val="both"/>
        <w:rPr>
          <w:rFonts w:cs="Times New Roman"/>
          <w:noProof/>
        </w:rPr>
      </w:pPr>
      <w:r>
        <w:rPr>
          <w:noProof/>
        </w:rPr>
        <w:t xml:space="preserve">Esta inversión consiste en ampliar la plataforma multimodal de Trilogiport en Lieja, aumentar la altura de tres </w:t>
      </w:r>
      <w:r>
        <w:rPr>
          <w:noProof/>
        </w:rPr>
        <w:t>puentes (Lixhe, Haccourt y Hermalle-sous-Argenteau) por encima del Canal de Albert-e instalar una señalización complementaria en un puente (Lanaye) sobre el Canal de Albert-que permita a las barcazas transportar mercancías de hasta 9,1 m de altura (4 capas</w:t>
      </w:r>
      <w:r>
        <w:rPr>
          <w:noProof/>
        </w:rPr>
        <w:t xml:space="preserve"> de mercancías). La ejecución de la inversión deberá estar terminada a más tardar el 31 de agosto de 2026.</w:t>
      </w:r>
    </w:p>
    <w:p w14:paraId="108498AC" w14:textId="77777777" w:rsidR="00F208CE" w:rsidRDefault="00513E84">
      <w:pPr>
        <w:pStyle w:val="P68B1DB1-Text19"/>
        <w:ind w:left="0"/>
        <w:rPr>
          <w:noProof/>
        </w:rPr>
      </w:pPr>
      <w:r>
        <w:rPr>
          <w:noProof/>
        </w:rPr>
        <w:t>Inversión I-3.12: «Ferrocarril — Movilidad inteligente» del Estado federal</w:t>
      </w:r>
    </w:p>
    <w:p w14:paraId="49E1BB40" w14:textId="77777777" w:rsidR="00F208CE" w:rsidRDefault="00513E84">
      <w:pPr>
        <w:pStyle w:val="P68B1DB1-Normal1"/>
        <w:spacing w:before="120" w:after="120" w:line="240" w:lineRule="auto"/>
        <w:jc w:val="both"/>
        <w:rPr>
          <w:rFonts w:cs="Times New Roman"/>
          <w:noProof/>
        </w:rPr>
      </w:pPr>
      <w:r>
        <w:rPr>
          <w:noProof/>
        </w:rPr>
        <w:t>Esta inversión consiste en la creación de un planificador de rutas de dato</w:t>
      </w:r>
      <w:r>
        <w:rPr>
          <w:noProof/>
        </w:rPr>
        <w:t xml:space="preserve">s abiertos y ocho módulos informáticos con una plataforma de venta de billetes interoperable con otros operadores de transporte regionales belgas (STIB-MIVB, De Lijn, TEC). La ejecución de la inversión deberá estar terminada a más tardar el 31 de marzo de </w:t>
      </w:r>
      <w:r>
        <w:rPr>
          <w:noProof/>
        </w:rPr>
        <w:t>2025.</w:t>
      </w:r>
    </w:p>
    <w:p w14:paraId="73D96C00" w14:textId="77777777" w:rsidR="00F208CE" w:rsidRDefault="00513E84">
      <w:pPr>
        <w:pStyle w:val="P68B1DB1-Text19"/>
        <w:ind w:left="0"/>
        <w:rPr>
          <w:noProof/>
        </w:rPr>
      </w:pPr>
      <w:r>
        <w:rPr>
          <w:noProof/>
        </w:rPr>
        <w:t>Inversión I-3.13: «Movilidad como un servicio (MaaS)» de la Región de Bruselas-Capital</w:t>
      </w:r>
    </w:p>
    <w:p w14:paraId="77112F76" w14:textId="77777777" w:rsidR="00F208CE" w:rsidRDefault="00513E84">
      <w:pPr>
        <w:pStyle w:val="P68B1DB1-Normal1"/>
        <w:spacing w:before="120" w:after="120" w:line="240" w:lineRule="auto"/>
        <w:jc w:val="both"/>
        <w:rPr>
          <w:rFonts w:cs="Times New Roman"/>
          <w:noProof/>
        </w:rPr>
      </w:pPr>
      <w:r>
        <w:rPr>
          <w:noProof/>
        </w:rPr>
        <w:t>Esta inversión consiste en la creación de un centro de datos de Bruselas para permitir un rápido almacenamiento, tratamiento, análisis e intercambio de datos de mo</w:t>
      </w:r>
      <w:r>
        <w:rPr>
          <w:noProof/>
        </w:rPr>
        <w:t>vilidad generados por proveedores de servicios de movilidad y agregadores de movilidad como servicios («agregadores de MaaS»). El centro de datos de Bruselas no solo cubrirá el transporte público, sino también el ciclismo. La ejecución de la inversión debe</w:t>
      </w:r>
      <w:r>
        <w:rPr>
          <w:noProof/>
        </w:rPr>
        <w:t>rá estar terminada a más tardar el 31 de marzo de 2025.</w:t>
      </w:r>
    </w:p>
    <w:p w14:paraId="6956BE9F" w14:textId="77777777" w:rsidR="00F208CE" w:rsidRDefault="00513E84">
      <w:pPr>
        <w:pStyle w:val="P68B1DB1-Text19"/>
        <w:ind w:left="0"/>
        <w:rPr>
          <w:noProof/>
        </w:rPr>
      </w:pPr>
      <w:r>
        <w:rPr>
          <w:noProof/>
        </w:rPr>
        <w:t>Inversión I-3.14: «Subvenciones de transferencia entre modos de transporte» de la Región de Bruselas-Capital</w:t>
      </w:r>
    </w:p>
    <w:p w14:paraId="3FDBC43C" w14:textId="77777777" w:rsidR="00F208CE" w:rsidRDefault="00513E84">
      <w:pPr>
        <w:pStyle w:val="P68B1DB1-Normal1"/>
        <w:spacing w:before="120" w:after="120" w:line="240" w:lineRule="auto"/>
        <w:jc w:val="both"/>
        <w:rPr>
          <w:rFonts w:cs="Times New Roman"/>
          <w:noProof/>
        </w:rPr>
      </w:pPr>
      <w:r>
        <w:rPr>
          <w:noProof/>
        </w:rPr>
        <w:t xml:space="preserve">Esta inversión consiste en apoyar una nueva subvención revisada de transferencia modal que </w:t>
      </w:r>
      <w:r>
        <w:rPr>
          <w:noProof/>
        </w:rPr>
        <w:t>sustituya a la subvención «Bruxelles’ Air», ampliándola a todos los nuevos tipos de modos de transporte sostenibles (coches compartidos, bicicletas compartidas, escúteres) para reforzar los incentivos para aumentar la demanda de transporte colectivo y de b</w:t>
      </w:r>
      <w:r>
        <w:rPr>
          <w:noProof/>
        </w:rPr>
        <w:t>ajas emisiones. La ejecución de la inversión deberá estar terminada a más tardar el 31 de diciembre de 2023.</w:t>
      </w:r>
    </w:p>
    <w:p w14:paraId="6D040FE8" w14:textId="75119BE1" w:rsidR="00F208CE" w:rsidRDefault="00513E84">
      <w:pPr>
        <w:pStyle w:val="P68B1DB1-Text19"/>
        <w:ind w:left="0"/>
        <w:rPr>
          <w:noProof/>
        </w:rPr>
      </w:pPr>
      <w:r>
        <w:rPr>
          <w:noProof/>
        </w:rPr>
        <w:t>Inversión I-3.15.a: «Aplicación Floya» de la Región de Bruselas-Capital</w:t>
      </w:r>
    </w:p>
    <w:p w14:paraId="4FE31684" w14:textId="7B622E75" w:rsidR="00F208CE" w:rsidRDefault="00513E84">
      <w:pPr>
        <w:pStyle w:val="P68B1DB1-Normal1"/>
        <w:spacing w:before="120" w:after="120" w:line="240" w:lineRule="auto"/>
        <w:jc w:val="both"/>
        <w:rPr>
          <w:rFonts w:cs="Times New Roman"/>
          <w:noProof/>
        </w:rPr>
      </w:pPr>
      <w:r>
        <w:rPr>
          <w:noProof/>
        </w:rPr>
        <w:t>Esta inversión consiste en la puesta en funcionamiento de una aplicación mó</w:t>
      </w:r>
      <w:r>
        <w:rPr>
          <w:noProof/>
        </w:rPr>
        <w:t>vil gratuita («FLOYA»). La aplicación proporciona a los usuarios información completa y precisa sobre los modos de transporte disponibles, incluidos sus costes respectivos. La ejecución de la inversión deberá estar terminada a más tardar el 31 de diciembre</w:t>
      </w:r>
      <w:r>
        <w:rPr>
          <w:noProof/>
        </w:rPr>
        <w:t xml:space="preserve"> de 2023.</w:t>
      </w:r>
    </w:p>
    <w:p w14:paraId="56FBAE0E" w14:textId="1A36DE1B" w:rsidR="00F208CE" w:rsidRDefault="00513E84">
      <w:pPr>
        <w:pStyle w:val="P68B1DB1-Normal11"/>
        <w:spacing w:before="120" w:after="120" w:line="240" w:lineRule="auto"/>
        <w:jc w:val="both"/>
        <w:rPr>
          <w:rFonts w:cs="Times New Roman"/>
          <w:noProof/>
        </w:rPr>
      </w:pPr>
      <w:r>
        <w:rPr>
          <w:noProof/>
        </w:rPr>
        <w:t>Inversión I-3.15b: «Ampliación de la red ANPR Camera» de la Región de Bruselas-Capital</w:t>
      </w:r>
    </w:p>
    <w:p w14:paraId="6C0ABF94" w14:textId="73647A1D" w:rsidR="00F208CE" w:rsidRDefault="00513E84">
      <w:pPr>
        <w:pStyle w:val="P68B1DB1-Normal1"/>
        <w:spacing w:before="120" w:after="120" w:line="240" w:lineRule="auto"/>
        <w:jc w:val="both"/>
        <w:rPr>
          <w:rFonts w:cs="Times New Roman"/>
          <w:noProof/>
        </w:rPr>
        <w:sectPr w:rsidR="00F208CE" w:rsidSect="008A4840">
          <w:headerReference w:type="even" r:id="rId94"/>
          <w:headerReference w:type="default" r:id="rId95"/>
          <w:footerReference w:type="even" r:id="rId96"/>
          <w:footerReference w:type="default" r:id="rId97"/>
          <w:headerReference w:type="first" r:id="rId98"/>
          <w:footerReference w:type="first" r:id="rId99"/>
          <w:pgSz w:w="11907" w:h="16839"/>
          <w:pgMar w:top="1134" w:right="1134" w:bottom="1134" w:left="1134" w:header="567" w:footer="567" w:gutter="0"/>
          <w:cols w:space="720"/>
          <w:docGrid w:linePitch="360"/>
        </w:sectPr>
      </w:pPr>
      <w:r>
        <w:rPr>
          <w:noProof/>
        </w:rPr>
        <w:t xml:space="preserve">Esta inversión consiste en ampliar la red de cámaras de reconocimiento automático de matrículas </w:t>
      </w:r>
      <w:r>
        <w:rPr>
          <w:noProof/>
        </w:rPr>
        <w:t>(«ANPR») de la Región de Bruselas-Capital añadiendo 159 cámaras. El objetivo de esta inversión es mejorar la aplicación de las zonas de bajas emisiones y las zonas de acceso restringido (ZAL), reduciendo así la congestión del tráfico y facilitando el cambi</w:t>
      </w:r>
      <w:r>
        <w:rPr>
          <w:noProof/>
        </w:rPr>
        <w:t>o hacia alternativas de transporte más ecológicas. La ejecución de la inversión deberá estar terminada a más tardar el 31 de diciembre de 2023.</w:t>
      </w:r>
    </w:p>
    <w:p w14:paraId="55E39AB2" w14:textId="77777777" w:rsidR="00F208CE" w:rsidRDefault="00513E84">
      <w:pPr>
        <w:pStyle w:val="Text1"/>
        <w:ind w:left="0"/>
        <w:rPr>
          <w:noProof/>
        </w:rPr>
      </w:pPr>
      <w:r>
        <w:rPr>
          <w:b/>
          <w:noProof/>
          <w:u w:val="single"/>
        </w:rPr>
        <w:t xml:space="preserve">H.2. </w:t>
      </w:r>
      <w:r>
        <w:rPr>
          <w:noProof/>
        </w:rPr>
        <w:t xml:space="preserve"> </w:t>
      </w:r>
      <w:r>
        <w:rPr>
          <w:b/>
          <w:noProof/>
          <w:u w:val="single"/>
        </w:rPr>
        <w:t>Hitos, metas, indicadores y calendario para el seguimiento y la ejecución de la ayuda financiera no reembo</w:t>
      </w:r>
      <w:r>
        <w:rPr>
          <w:b/>
          <w:noProof/>
          <w:u w:val="single"/>
        </w:rPr>
        <w:t>lsable</w:t>
      </w:r>
    </w:p>
    <w:tbl>
      <w:tblPr>
        <w:tblW w:w="15502" w:type="dxa"/>
        <w:jc w:val="center"/>
        <w:tblLayout w:type="fixed"/>
        <w:tblLook w:val="04A0" w:firstRow="1" w:lastRow="0" w:firstColumn="1" w:lastColumn="0" w:noHBand="0" w:noVBand="1"/>
      </w:tblPr>
      <w:tblGrid>
        <w:gridCol w:w="696"/>
        <w:gridCol w:w="1459"/>
        <w:gridCol w:w="1200"/>
        <w:gridCol w:w="1680"/>
        <w:gridCol w:w="1680"/>
        <w:gridCol w:w="1440"/>
        <w:gridCol w:w="1080"/>
        <w:gridCol w:w="720"/>
        <w:gridCol w:w="1080"/>
        <w:gridCol w:w="840"/>
        <w:gridCol w:w="3594"/>
        <w:gridCol w:w="33"/>
      </w:tblGrid>
      <w:tr w:rsidR="00F208CE" w14:paraId="4C1FE09F" w14:textId="77777777">
        <w:trPr>
          <w:gridAfter w:val="1"/>
          <w:wAfter w:w="33" w:type="dxa"/>
          <w:trHeight w:val="927"/>
          <w:tblHeader/>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46C1B2" w14:textId="6C30EF74" w:rsidR="00F208CE" w:rsidRDefault="00513E84">
            <w:pPr>
              <w:pStyle w:val="P68B1DB1-Normal15"/>
              <w:spacing w:after="0"/>
              <w:jc w:val="center"/>
              <w:rPr>
                <w:rFonts w:eastAsia="Times New Roman" w:cs="Times New Roman"/>
                <w:noProof/>
              </w:rPr>
            </w:pPr>
            <w:r>
              <w:rPr>
                <w:noProof/>
              </w:rPr>
              <w:t>Sr. Nb.</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81A4C7"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9B3B55" w14:textId="77777777" w:rsidR="00F208CE" w:rsidRDefault="00513E84">
            <w:pPr>
              <w:pStyle w:val="P68B1DB1-Normal15"/>
              <w:spacing w:after="0"/>
              <w:jc w:val="center"/>
              <w:rPr>
                <w:rFonts w:eastAsia="Times New Roman" w:cs="Times New Roman"/>
                <w:noProof/>
              </w:rPr>
            </w:pPr>
            <w:r>
              <w:rPr>
                <w:noProof/>
              </w:rPr>
              <w:t>Hito/Objetivo</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40324C" w14:textId="77777777" w:rsidR="00F208CE" w:rsidRDefault="00513E84">
            <w:pPr>
              <w:pStyle w:val="P68B1DB1-Normal15"/>
              <w:spacing w:after="0"/>
              <w:jc w:val="center"/>
              <w:rPr>
                <w:rFonts w:eastAsia="Times New Roman" w:cs="Times New Roman"/>
                <w:noProof/>
              </w:rPr>
            </w:pPr>
            <w:r>
              <w:rPr>
                <w:noProof/>
              </w:rPr>
              <w:t>Nombre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D688B8"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24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C47BF1B"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920" w:type="dxa"/>
            <w:gridSpan w:val="2"/>
            <w:tcBorders>
              <w:top w:val="single" w:sz="4" w:space="0" w:color="auto"/>
              <w:left w:val="nil"/>
              <w:bottom w:val="single" w:sz="4" w:space="0" w:color="auto"/>
              <w:right w:val="single" w:sz="4" w:space="0" w:color="auto"/>
            </w:tcBorders>
            <w:shd w:val="clear" w:color="auto" w:fill="BDD7EE"/>
            <w:vAlign w:val="center"/>
            <w:hideMark/>
          </w:tcPr>
          <w:p w14:paraId="077B347F"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5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999CC5"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5183C88D" w14:textId="77777777">
        <w:trPr>
          <w:gridAfter w:val="1"/>
          <w:wAfter w:w="33" w:type="dxa"/>
          <w:trHeight w:val="1013"/>
          <w:jc w:val="center"/>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7DF9104B" w14:textId="77777777" w:rsidR="00F208CE" w:rsidRDefault="00F208CE">
            <w:pPr>
              <w:spacing w:after="0"/>
              <w:rPr>
                <w:rFonts w:ascii="Times New Roman" w:eastAsia="Times New Roman" w:hAnsi="Times New Roman" w:cs="Times New Roman"/>
                <w:b/>
                <w:noProof/>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6F319F6" w14:textId="77777777" w:rsidR="00F208CE" w:rsidRDefault="00F208CE">
            <w:pPr>
              <w:spacing w:after="0"/>
              <w:rPr>
                <w:rFonts w:ascii="Times New Roman" w:eastAsia="Times New Roman" w:hAnsi="Times New Roman" w:cs="Times New Roman"/>
                <w:b/>
                <w:noProof/>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737D100"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359D6A6"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88C7C7D" w14:textId="77777777" w:rsidR="00F208CE" w:rsidRDefault="00F208CE">
            <w:pPr>
              <w:spacing w:after="0"/>
              <w:rPr>
                <w:rFonts w:ascii="Times New Roman" w:eastAsia="Times New Roman" w:hAnsi="Times New Roman" w:cs="Times New Roman"/>
                <w:b/>
                <w:noProof/>
              </w:rPr>
            </w:pPr>
          </w:p>
        </w:tc>
        <w:tc>
          <w:tcPr>
            <w:tcW w:w="14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090AD9C" w14:textId="77777777" w:rsidR="00F208CE" w:rsidRDefault="00513E84">
            <w:pPr>
              <w:pStyle w:val="P68B1DB1-Normal15"/>
              <w:spacing w:after="0"/>
              <w:jc w:val="center"/>
              <w:rPr>
                <w:rFonts w:eastAsia="Times New Roman" w:cs="Times New Roman"/>
                <w:noProof/>
              </w:rPr>
            </w:pPr>
            <w:r>
              <w:rPr>
                <w:noProof/>
              </w:rPr>
              <w:t>Unidad de</w:t>
            </w:r>
            <w:r>
              <w:rPr>
                <w:noProof/>
              </w:rPr>
              <w:t xml:space="preserve"> medida</w:t>
            </w: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613094" w14:textId="77777777" w:rsidR="00F208CE" w:rsidRDefault="00513E84">
            <w:pPr>
              <w:pStyle w:val="P68B1DB1-Normal15"/>
              <w:spacing w:after="0"/>
              <w:jc w:val="center"/>
              <w:rPr>
                <w:rFonts w:eastAsia="Times New Roman" w:cs="Times New Roman"/>
                <w:noProof/>
              </w:rPr>
            </w:pPr>
            <w:r>
              <w:rPr>
                <w:noProof/>
              </w:rPr>
              <w:t xml:space="preserve">Basal </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091A829" w14:textId="77777777" w:rsidR="00F208CE" w:rsidRDefault="00513E84">
            <w:pPr>
              <w:pStyle w:val="P68B1DB1-Normal15"/>
              <w:spacing w:after="0"/>
              <w:jc w:val="center"/>
              <w:rPr>
                <w:rFonts w:eastAsia="Times New Roman" w:cs="Times New Roman"/>
                <w:noProof/>
              </w:rPr>
            </w:pPr>
            <w:r>
              <w:rPr>
                <w:noProof/>
              </w:rPr>
              <w:t xml:space="preserve">Meta </w:t>
            </w: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EECF341" w14:textId="77777777" w:rsidR="00F208CE" w:rsidRDefault="00513E84">
            <w:pPr>
              <w:pStyle w:val="P68B1DB1-Normal15"/>
              <w:spacing w:after="0"/>
              <w:jc w:val="center"/>
              <w:rPr>
                <w:rFonts w:eastAsia="Times New Roman" w:cs="Times New Roman"/>
                <w:noProof/>
              </w:rPr>
            </w:pPr>
            <w:r>
              <w:rPr>
                <w:noProof/>
              </w:rPr>
              <w:t>Trimestre</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3CCD98" w14:textId="77777777" w:rsidR="00F208CE" w:rsidRDefault="00513E84">
            <w:pPr>
              <w:pStyle w:val="P68B1DB1-Normal15"/>
              <w:spacing w:after="0"/>
              <w:jc w:val="center"/>
              <w:rPr>
                <w:rFonts w:eastAsia="Times New Roman" w:cs="Times New Roman"/>
                <w:noProof/>
              </w:rPr>
            </w:pPr>
            <w:r>
              <w:rPr>
                <w:noProof/>
              </w:rPr>
              <w:t>Año</w:t>
            </w:r>
          </w:p>
        </w:tc>
        <w:tc>
          <w:tcPr>
            <w:tcW w:w="3594" w:type="dxa"/>
            <w:vMerge/>
            <w:tcBorders>
              <w:top w:val="single" w:sz="4" w:space="0" w:color="auto"/>
              <w:left w:val="single" w:sz="4" w:space="0" w:color="auto"/>
              <w:bottom w:val="single" w:sz="4" w:space="0" w:color="auto"/>
              <w:right w:val="single" w:sz="4" w:space="0" w:color="auto"/>
            </w:tcBorders>
            <w:vAlign w:val="center"/>
            <w:hideMark/>
          </w:tcPr>
          <w:p w14:paraId="3EA816E9" w14:textId="77777777" w:rsidR="00F208CE" w:rsidRDefault="00F208CE">
            <w:pPr>
              <w:spacing w:after="0"/>
              <w:rPr>
                <w:rFonts w:ascii="Times New Roman" w:eastAsia="Times New Roman" w:hAnsi="Times New Roman" w:cs="Times New Roman"/>
                <w:b/>
                <w:noProof/>
              </w:rPr>
            </w:pPr>
          </w:p>
        </w:tc>
      </w:tr>
      <w:tr w:rsidR="00F208CE" w14:paraId="66A09E8A"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7B1B63E" w14:textId="77777777" w:rsidR="00F208CE" w:rsidRDefault="00513E84">
            <w:pPr>
              <w:pStyle w:val="P68B1DB1-Normal8"/>
              <w:spacing w:after="0"/>
              <w:jc w:val="center"/>
              <w:rPr>
                <w:rFonts w:eastAsia="Times New Roman" w:cs="Times New Roman"/>
                <w:noProof/>
              </w:rPr>
            </w:pPr>
            <w:r>
              <w:rPr>
                <w:noProof/>
              </w:rPr>
              <w:t>99</w:t>
            </w:r>
          </w:p>
        </w:tc>
        <w:tc>
          <w:tcPr>
            <w:tcW w:w="145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7A94D61" w14:textId="77777777" w:rsidR="00F208CE" w:rsidRDefault="00513E84">
            <w:pPr>
              <w:pStyle w:val="P68B1DB1-Normal8"/>
              <w:spacing w:after="0"/>
              <w:rPr>
                <w:rFonts w:eastAsia="Times New Roman" w:cs="Times New Roman"/>
                <w:noProof/>
              </w:rPr>
            </w:pPr>
            <w:r>
              <w:rPr>
                <w:noProof/>
              </w:rPr>
              <w:t>Mejora del transporte público en Valonia (I-3b)</w:t>
            </w:r>
          </w:p>
        </w:tc>
        <w:tc>
          <w:tcPr>
            <w:tcW w:w="1200" w:type="dxa"/>
            <w:tcBorders>
              <w:top w:val="single" w:sz="4" w:space="0" w:color="auto"/>
              <w:left w:val="nil"/>
              <w:bottom w:val="single" w:sz="4" w:space="0" w:color="auto"/>
              <w:right w:val="single" w:sz="4" w:space="0" w:color="auto"/>
            </w:tcBorders>
            <w:shd w:val="clear" w:color="auto" w:fill="C6EFCE"/>
            <w:noWrap/>
            <w:vAlign w:val="center"/>
            <w:hideMark/>
          </w:tcPr>
          <w:p w14:paraId="050A4873" w14:textId="3537E790" w:rsidR="00F208CE" w:rsidRDefault="00513E84">
            <w:pPr>
              <w:pStyle w:val="P68B1DB1-Normal8"/>
              <w:spacing w:after="0"/>
              <w:rPr>
                <w:rFonts w:eastAsia="Times New Roman" w:cs="Times New Roman"/>
                <w:noProof/>
              </w:rPr>
            </w:pPr>
            <w:r>
              <w:rPr>
                <w:noProof/>
              </w:rPr>
              <w:t>T</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768A1ED1" w14:textId="379BA39B" w:rsidR="00F208CE" w:rsidRDefault="00513E84">
            <w:pPr>
              <w:pStyle w:val="P68B1DB1-Normal8"/>
              <w:spacing w:after="0"/>
              <w:rPr>
                <w:rFonts w:eastAsia="Times New Roman" w:cs="Times New Roman"/>
                <w:noProof/>
              </w:rPr>
            </w:pPr>
            <w:r>
              <w:rPr>
                <w:noProof/>
              </w:rPr>
              <w:t>Inicio de las principales obras de infraestructura para autobuses (señales viales inteligentes y metro ligero (Charleroi)</w:t>
            </w:r>
          </w:p>
        </w:tc>
        <w:tc>
          <w:tcPr>
            <w:tcW w:w="1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BCD3D3A" w14:textId="77777777" w:rsidR="00F208CE" w:rsidRDefault="00F208CE">
            <w:pPr>
              <w:spacing w:after="0"/>
              <w:rPr>
                <w:rFonts w:ascii="Times New Roman" w:eastAsia="Times New Roman" w:hAnsi="Times New Roman" w:cs="Times New Roman"/>
                <w:noProof/>
                <w:color w:val="006100"/>
              </w:rPr>
            </w:pPr>
          </w:p>
        </w:tc>
        <w:tc>
          <w:tcPr>
            <w:tcW w:w="1440" w:type="dxa"/>
            <w:tcBorders>
              <w:top w:val="single" w:sz="4" w:space="0" w:color="auto"/>
              <w:left w:val="nil"/>
              <w:bottom w:val="single" w:sz="4" w:space="0" w:color="auto"/>
              <w:right w:val="single" w:sz="4" w:space="0" w:color="auto"/>
            </w:tcBorders>
            <w:shd w:val="clear" w:color="auto" w:fill="C6EFCE"/>
            <w:noWrap/>
            <w:vAlign w:val="center"/>
            <w:hideMark/>
          </w:tcPr>
          <w:p w14:paraId="7BB292F0" w14:textId="77777777" w:rsidR="00F208CE" w:rsidRDefault="00513E84">
            <w:pPr>
              <w:pStyle w:val="P68B1DB1-Normal8"/>
              <w:spacing w:after="0"/>
              <w:rPr>
                <w:rFonts w:eastAsia="Times New Roman" w:cs="Times New Roman"/>
                <w:noProof/>
              </w:rPr>
            </w:pPr>
            <w:r>
              <w:rPr>
                <w:noProof/>
              </w:rPr>
              <w:t>Proyectos</w:t>
            </w: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0CBBFC39" w14:textId="77777777" w:rsidR="00F208CE" w:rsidRDefault="00513E84">
            <w:pPr>
              <w:pStyle w:val="P68B1DB1-Normal8"/>
              <w:spacing w:after="0"/>
              <w:jc w:val="right"/>
              <w:rPr>
                <w:rFonts w:eastAsia="Times New Roman" w:cs="Times New Roman"/>
                <w:noProof/>
              </w:rPr>
            </w:pPr>
            <w:r>
              <w:rPr>
                <w:noProof/>
              </w:rPr>
              <w:t>0</w:t>
            </w:r>
          </w:p>
        </w:tc>
        <w:tc>
          <w:tcPr>
            <w:tcW w:w="720" w:type="dxa"/>
            <w:tcBorders>
              <w:top w:val="single" w:sz="4" w:space="0" w:color="auto"/>
              <w:left w:val="nil"/>
              <w:bottom w:val="single" w:sz="4" w:space="0" w:color="auto"/>
              <w:right w:val="single" w:sz="4" w:space="0" w:color="auto"/>
            </w:tcBorders>
            <w:shd w:val="clear" w:color="auto" w:fill="C6EFCE"/>
            <w:noWrap/>
            <w:vAlign w:val="center"/>
            <w:hideMark/>
          </w:tcPr>
          <w:p w14:paraId="22C7D413" w14:textId="68E04F0B" w:rsidR="00F208CE" w:rsidRDefault="00513E84">
            <w:pPr>
              <w:pStyle w:val="P68B1DB1-Normal8"/>
              <w:spacing w:after="0"/>
              <w:jc w:val="right"/>
              <w:rPr>
                <w:rFonts w:eastAsia="Times New Roman" w:cs="Times New Roman"/>
                <w:noProof/>
              </w:rPr>
            </w:pPr>
            <w:r>
              <w:rPr>
                <w:noProof/>
              </w:rPr>
              <w:t>2</w:t>
            </w: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671FADAC" w14:textId="77777777" w:rsidR="00F208CE" w:rsidRDefault="00513E84">
            <w:pPr>
              <w:pStyle w:val="P68B1DB1-Normal8"/>
              <w:spacing w:after="0"/>
              <w:jc w:val="center"/>
              <w:rPr>
                <w:rFonts w:eastAsia="Times New Roman" w:cs="Times New Roman"/>
                <w:noProof/>
              </w:rPr>
            </w:pPr>
            <w:r>
              <w:rPr>
                <w:noProof/>
              </w:rPr>
              <w:t>TERCER TRIMESTRE 3</w:t>
            </w:r>
          </w:p>
        </w:tc>
        <w:tc>
          <w:tcPr>
            <w:tcW w:w="840" w:type="dxa"/>
            <w:tcBorders>
              <w:top w:val="single" w:sz="4" w:space="0" w:color="auto"/>
              <w:left w:val="nil"/>
              <w:bottom w:val="single" w:sz="4" w:space="0" w:color="auto"/>
              <w:right w:val="single" w:sz="4" w:space="0" w:color="auto"/>
            </w:tcBorders>
            <w:shd w:val="clear" w:color="auto" w:fill="C6EFCE"/>
            <w:noWrap/>
            <w:vAlign w:val="center"/>
            <w:hideMark/>
          </w:tcPr>
          <w:p w14:paraId="45569858" w14:textId="77777777" w:rsidR="00F208CE" w:rsidRDefault="00513E84">
            <w:pPr>
              <w:pStyle w:val="P68B1DB1-Normal8"/>
              <w:spacing w:after="0"/>
              <w:jc w:val="center"/>
              <w:rPr>
                <w:rFonts w:eastAsia="Times New Roman" w:cs="Times New Roman"/>
                <w:noProof/>
              </w:rPr>
            </w:pPr>
            <w:r>
              <w:rPr>
                <w:noProof/>
              </w:rPr>
              <w:t>2023</w:t>
            </w:r>
          </w:p>
        </w:tc>
        <w:tc>
          <w:tcPr>
            <w:tcW w:w="359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42E0A34" w14:textId="2229C891" w:rsidR="00F208CE" w:rsidRDefault="00513E84">
            <w:pPr>
              <w:pStyle w:val="P68B1DB1-Normal17"/>
              <w:spacing w:after="0"/>
              <w:rPr>
                <w:rFonts w:cs="Times New Roman"/>
                <w:noProof/>
              </w:rPr>
            </w:pPr>
            <w:r>
              <w:rPr>
                <w:noProof/>
              </w:rPr>
              <w:t>Ampliación del metro Charleroi — WAL (I-3.07)</w:t>
            </w:r>
          </w:p>
          <w:p w14:paraId="154A3E57" w14:textId="77777777" w:rsidR="00F208CE" w:rsidRDefault="00513E84">
            <w:pPr>
              <w:pStyle w:val="P68B1DB1-ListParagraph10"/>
              <w:numPr>
                <w:ilvl w:val="0"/>
                <w:numId w:val="26"/>
              </w:numPr>
              <w:spacing w:after="0" w:line="240" w:lineRule="auto"/>
              <w:ind w:left="584" w:hanging="357"/>
              <w:rPr>
                <w:rFonts w:eastAsia="Times New Roman" w:cs="Times New Roman"/>
                <w:noProof/>
              </w:rPr>
            </w:pPr>
            <w:r>
              <w:rPr>
                <w:noProof/>
              </w:rPr>
              <w:t>Entrega de todos los permisos de construcción y medioambientales</w:t>
            </w:r>
          </w:p>
          <w:p w14:paraId="5C465417" w14:textId="5D6B5380" w:rsidR="00F208CE" w:rsidRDefault="00513E84">
            <w:pPr>
              <w:pStyle w:val="P68B1DB1-Normal17"/>
              <w:spacing w:after="0"/>
              <w:rPr>
                <w:rFonts w:cs="Times New Roman"/>
                <w:noProof/>
              </w:rPr>
            </w:pPr>
            <w:r>
              <w:rPr>
                <w:noProof/>
              </w:rPr>
              <w:t>Señales viales inteligentes — WAL (I-3.08)</w:t>
            </w:r>
          </w:p>
          <w:p w14:paraId="1114D0F2" w14:textId="77777777" w:rsidR="00F208CE" w:rsidRDefault="00513E84">
            <w:pPr>
              <w:pStyle w:val="P68B1DB1-ListParagraph10"/>
              <w:numPr>
                <w:ilvl w:val="0"/>
                <w:numId w:val="26"/>
              </w:numPr>
              <w:spacing w:after="0" w:line="240" w:lineRule="auto"/>
              <w:ind w:left="584" w:hanging="357"/>
              <w:rPr>
                <w:rFonts w:eastAsia="Times New Roman" w:cs="Times New Roman"/>
                <w:noProof/>
              </w:rPr>
            </w:pPr>
            <w:r>
              <w:rPr>
                <w:noProof/>
              </w:rPr>
              <w:t>Adjudicación de contratos para todas las obras públicas (se ha publicado la notificación de adjudicaci</w:t>
            </w:r>
            <w:r>
              <w:rPr>
                <w:noProof/>
              </w:rPr>
              <w:t>ón del contrato)</w:t>
            </w:r>
          </w:p>
        </w:tc>
      </w:tr>
      <w:tr w:rsidR="00F208CE" w14:paraId="7B4232D0" w14:textId="77777777">
        <w:trPr>
          <w:gridAfter w:val="1"/>
          <w:wAfter w:w="33" w:type="dxa"/>
          <w:trHeight w:val="309"/>
          <w:jc w:val="center"/>
        </w:trPr>
        <w:tc>
          <w:tcPr>
            <w:tcW w:w="696" w:type="dxa"/>
            <w:tcBorders>
              <w:top w:val="nil"/>
              <w:left w:val="single" w:sz="4" w:space="0" w:color="auto"/>
              <w:bottom w:val="single" w:sz="4" w:space="0" w:color="auto"/>
              <w:right w:val="single" w:sz="4" w:space="0" w:color="auto"/>
            </w:tcBorders>
            <w:shd w:val="clear" w:color="auto" w:fill="C6EFCE"/>
            <w:noWrap/>
            <w:vAlign w:val="center"/>
            <w:hideMark/>
          </w:tcPr>
          <w:p w14:paraId="3AEF110A" w14:textId="77777777" w:rsidR="00F208CE" w:rsidRDefault="00513E84">
            <w:pPr>
              <w:pStyle w:val="P68B1DB1-Normal8"/>
              <w:spacing w:after="0"/>
              <w:jc w:val="center"/>
              <w:rPr>
                <w:rFonts w:eastAsia="Times New Roman" w:cs="Times New Roman"/>
                <w:noProof/>
              </w:rPr>
            </w:pPr>
            <w:r>
              <w:rPr>
                <w:noProof/>
              </w:rPr>
              <w:t>100</w:t>
            </w:r>
          </w:p>
        </w:tc>
        <w:tc>
          <w:tcPr>
            <w:tcW w:w="1459" w:type="dxa"/>
            <w:tcBorders>
              <w:top w:val="nil"/>
              <w:left w:val="single" w:sz="4" w:space="0" w:color="auto"/>
              <w:bottom w:val="single" w:sz="4" w:space="0" w:color="auto"/>
              <w:right w:val="single" w:sz="4" w:space="0" w:color="auto"/>
            </w:tcBorders>
            <w:shd w:val="clear" w:color="auto" w:fill="C6EFCE"/>
            <w:noWrap/>
            <w:vAlign w:val="center"/>
            <w:hideMark/>
          </w:tcPr>
          <w:p w14:paraId="006D7E9C" w14:textId="77777777" w:rsidR="00F208CE" w:rsidRDefault="00513E84">
            <w:pPr>
              <w:pStyle w:val="P68B1DB1-Normal8"/>
              <w:spacing w:after="0"/>
              <w:rPr>
                <w:rFonts w:eastAsia="Times New Roman" w:cs="Times New Roman"/>
                <w:noProof/>
              </w:rPr>
            </w:pPr>
            <w:r>
              <w:rPr>
                <w:noProof/>
              </w:rPr>
              <w:t>Mejora del transporte público en Valonia (I-3b)</w:t>
            </w:r>
          </w:p>
        </w:tc>
        <w:tc>
          <w:tcPr>
            <w:tcW w:w="1200" w:type="dxa"/>
            <w:tcBorders>
              <w:top w:val="nil"/>
              <w:left w:val="nil"/>
              <w:bottom w:val="single" w:sz="4" w:space="0" w:color="auto"/>
              <w:right w:val="single" w:sz="4" w:space="0" w:color="auto"/>
            </w:tcBorders>
            <w:shd w:val="clear" w:color="auto" w:fill="C6EFCE"/>
            <w:noWrap/>
            <w:vAlign w:val="center"/>
            <w:hideMark/>
          </w:tcPr>
          <w:p w14:paraId="039ECF36" w14:textId="6B6384AF" w:rsidR="00F208CE" w:rsidRDefault="00513E84">
            <w:pPr>
              <w:pStyle w:val="P68B1DB1-Normal8"/>
              <w:spacing w:after="0"/>
              <w:rPr>
                <w:rFonts w:eastAsia="Times New Roman"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hideMark/>
          </w:tcPr>
          <w:p w14:paraId="7E80085B" w14:textId="0EAA24AC" w:rsidR="00F208CE" w:rsidRDefault="00513E84">
            <w:pPr>
              <w:pStyle w:val="P68B1DB1-Normal8"/>
              <w:spacing w:after="0"/>
              <w:rPr>
                <w:rFonts w:eastAsia="Times New Roman" w:cs="Times New Roman"/>
                <w:noProof/>
              </w:rPr>
            </w:pPr>
            <w:r>
              <w:rPr>
                <w:noProof/>
              </w:rPr>
              <w:t>Puesta en marcha de los semáforos inteligentes</w:t>
            </w:r>
          </w:p>
        </w:tc>
        <w:tc>
          <w:tcPr>
            <w:tcW w:w="1680" w:type="dxa"/>
            <w:tcBorders>
              <w:top w:val="nil"/>
              <w:left w:val="single" w:sz="4" w:space="0" w:color="auto"/>
              <w:bottom w:val="single" w:sz="4" w:space="0" w:color="auto"/>
              <w:right w:val="single" w:sz="4" w:space="0" w:color="auto"/>
            </w:tcBorders>
            <w:shd w:val="clear" w:color="auto" w:fill="C6EFCE"/>
            <w:noWrap/>
            <w:vAlign w:val="center"/>
            <w:hideMark/>
          </w:tcPr>
          <w:p w14:paraId="10CD8A2C"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hideMark/>
          </w:tcPr>
          <w:p w14:paraId="3726BB47" w14:textId="796F3315" w:rsidR="00F208CE" w:rsidRDefault="00513E84">
            <w:pPr>
              <w:pStyle w:val="P68B1DB1-Normal8"/>
              <w:spacing w:after="0"/>
              <w:rPr>
                <w:rFonts w:eastAsia="Times New Roman" w:cs="Times New Roman"/>
                <w:noProof/>
              </w:rPr>
            </w:pPr>
            <w:r>
              <w:rPr>
                <w:noProof/>
              </w:rPr>
              <w:t xml:space="preserve">Número de cruces con semáforos inteligentes en la plataforma centralizada </w:t>
            </w:r>
          </w:p>
        </w:tc>
        <w:tc>
          <w:tcPr>
            <w:tcW w:w="1080" w:type="dxa"/>
            <w:tcBorders>
              <w:top w:val="nil"/>
              <w:left w:val="nil"/>
              <w:bottom w:val="single" w:sz="4" w:space="0" w:color="auto"/>
              <w:right w:val="single" w:sz="4" w:space="0" w:color="auto"/>
            </w:tcBorders>
            <w:shd w:val="clear" w:color="auto" w:fill="C6EFCE"/>
            <w:noWrap/>
            <w:vAlign w:val="center"/>
            <w:hideMark/>
          </w:tcPr>
          <w:p w14:paraId="6870321F" w14:textId="77777777" w:rsidR="00F208CE" w:rsidRDefault="00513E84">
            <w:pPr>
              <w:pStyle w:val="P68B1DB1-Normal8"/>
              <w:spacing w:after="0"/>
              <w:jc w:val="right"/>
              <w:rPr>
                <w:rFonts w:cs="Times New Roman"/>
                <w:noProof/>
              </w:rPr>
            </w:pPr>
            <w:r>
              <w:rPr>
                <w:noProof/>
              </w:rPr>
              <w:t>0</w:t>
            </w:r>
          </w:p>
          <w:p w14:paraId="58D8DE5A" w14:textId="3A07A7D0"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hideMark/>
          </w:tcPr>
          <w:p w14:paraId="5D831B5A" w14:textId="1AE0A96E" w:rsidR="00F208CE" w:rsidRDefault="00513E84">
            <w:pPr>
              <w:pStyle w:val="P68B1DB1-Normal8"/>
              <w:spacing w:after="0"/>
              <w:jc w:val="right"/>
              <w:rPr>
                <w:rFonts w:eastAsia="Times New Roman" w:cs="Times New Roman"/>
                <w:noProof/>
              </w:rPr>
            </w:pPr>
            <w:r>
              <w:rPr>
                <w:noProof/>
              </w:rPr>
              <w:t>260</w:t>
            </w:r>
          </w:p>
        </w:tc>
        <w:tc>
          <w:tcPr>
            <w:tcW w:w="1080" w:type="dxa"/>
            <w:tcBorders>
              <w:top w:val="nil"/>
              <w:left w:val="nil"/>
              <w:bottom w:val="single" w:sz="4" w:space="0" w:color="auto"/>
              <w:right w:val="single" w:sz="4" w:space="0" w:color="auto"/>
            </w:tcBorders>
            <w:shd w:val="clear" w:color="auto" w:fill="C6EFCE"/>
            <w:noWrap/>
            <w:vAlign w:val="center"/>
            <w:hideMark/>
          </w:tcPr>
          <w:p w14:paraId="09BD3CEA" w14:textId="5AE09B92" w:rsidR="00F208CE" w:rsidRDefault="00513E84">
            <w:pPr>
              <w:pStyle w:val="P68B1DB1-Normal8"/>
              <w:spacing w:after="0"/>
              <w:jc w:val="center"/>
              <w:rPr>
                <w:rFonts w:eastAsia="Times New Roman" w:cs="Times New Roman"/>
                <w:noProof/>
              </w:rPr>
            </w:pPr>
            <w:r>
              <w:rPr>
                <w:noProof/>
              </w:rPr>
              <w:t>TERCER TRIMESTRE 2</w:t>
            </w:r>
          </w:p>
        </w:tc>
        <w:tc>
          <w:tcPr>
            <w:tcW w:w="840" w:type="dxa"/>
            <w:tcBorders>
              <w:top w:val="nil"/>
              <w:left w:val="nil"/>
              <w:bottom w:val="single" w:sz="4" w:space="0" w:color="auto"/>
              <w:right w:val="single" w:sz="4" w:space="0" w:color="auto"/>
            </w:tcBorders>
            <w:shd w:val="clear" w:color="auto" w:fill="C6EFCE"/>
            <w:noWrap/>
            <w:vAlign w:val="center"/>
            <w:hideMark/>
          </w:tcPr>
          <w:p w14:paraId="3BD6A218" w14:textId="70B7E854" w:rsidR="00F208CE" w:rsidRDefault="00513E84">
            <w:pPr>
              <w:pStyle w:val="P68B1DB1-Normal8"/>
              <w:spacing w:after="0"/>
              <w:jc w:val="center"/>
              <w:rPr>
                <w:rFonts w:eastAsia="Times New Roman" w:cs="Times New Roman"/>
                <w:noProof/>
              </w:rPr>
            </w:pPr>
            <w:r>
              <w:rPr>
                <w:noProof/>
              </w:rPr>
              <w:t>2025</w:t>
            </w:r>
          </w:p>
        </w:tc>
        <w:tc>
          <w:tcPr>
            <w:tcW w:w="3594" w:type="dxa"/>
            <w:tcBorders>
              <w:top w:val="nil"/>
              <w:left w:val="single" w:sz="4" w:space="0" w:color="auto"/>
              <w:bottom w:val="single" w:sz="4" w:space="0" w:color="auto"/>
              <w:right w:val="single" w:sz="4" w:space="0" w:color="auto"/>
            </w:tcBorders>
            <w:shd w:val="clear" w:color="auto" w:fill="C6EFCE"/>
            <w:noWrap/>
            <w:vAlign w:val="center"/>
            <w:hideMark/>
          </w:tcPr>
          <w:p w14:paraId="1E0ECE79" w14:textId="77777777" w:rsidR="00F208CE" w:rsidRDefault="00513E84">
            <w:pPr>
              <w:pStyle w:val="P68B1DB1-Normal17"/>
              <w:spacing w:after="0"/>
              <w:rPr>
                <w:rFonts w:cs="Times New Roman"/>
                <w:noProof/>
              </w:rPr>
            </w:pPr>
            <w:r>
              <w:rPr>
                <w:noProof/>
              </w:rPr>
              <w:t xml:space="preserve">Señales viales inteligentes — </w:t>
            </w:r>
            <w:r>
              <w:rPr>
                <w:noProof/>
              </w:rPr>
              <w:t>WAL (I-3.08)</w:t>
            </w:r>
          </w:p>
          <w:p w14:paraId="51C7DBA5" w14:textId="3913BA7E" w:rsidR="00F208CE" w:rsidRDefault="00513E84">
            <w:pPr>
              <w:pStyle w:val="P68B1DB1-ListParagraph10"/>
              <w:numPr>
                <w:ilvl w:val="0"/>
                <w:numId w:val="26"/>
              </w:numPr>
              <w:spacing w:after="0" w:line="240" w:lineRule="auto"/>
              <w:ind w:left="584" w:hanging="357"/>
              <w:rPr>
                <w:rFonts w:eastAsia="Times New Roman" w:cs="Times New Roman"/>
                <w:noProof/>
              </w:rPr>
            </w:pPr>
            <w:r>
              <w:rPr>
                <w:noProof/>
              </w:rPr>
              <w:t>Equipo de 260 cruces con señales viales inteligentes.</w:t>
            </w:r>
          </w:p>
        </w:tc>
      </w:tr>
      <w:tr w:rsidR="00F208CE" w14:paraId="2B229D63" w14:textId="77777777">
        <w:trPr>
          <w:gridAfter w:val="1"/>
          <w:wAfter w:w="33" w:type="dxa"/>
          <w:trHeight w:val="309"/>
          <w:jc w:val="center"/>
        </w:trPr>
        <w:tc>
          <w:tcPr>
            <w:tcW w:w="696" w:type="dxa"/>
            <w:tcBorders>
              <w:top w:val="nil"/>
              <w:left w:val="single" w:sz="4" w:space="0" w:color="auto"/>
              <w:bottom w:val="single" w:sz="4" w:space="0" w:color="auto"/>
              <w:right w:val="single" w:sz="4" w:space="0" w:color="auto"/>
            </w:tcBorders>
            <w:shd w:val="clear" w:color="auto" w:fill="C6EFCE"/>
            <w:noWrap/>
            <w:vAlign w:val="center"/>
            <w:hideMark/>
          </w:tcPr>
          <w:p w14:paraId="35A448A7" w14:textId="77777777" w:rsidR="00F208CE" w:rsidRDefault="00513E84">
            <w:pPr>
              <w:pStyle w:val="P68B1DB1-Normal8"/>
              <w:spacing w:after="0"/>
              <w:jc w:val="center"/>
              <w:rPr>
                <w:rFonts w:eastAsia="Times New Roman" w:cs="Times New Roman"/>
                <w:noProof/>
              </w:rPr>
            </w:pPr>
            <w:r>
              <w:rPr>
                <w:noProof/>
              </w:rPr>
              <w:t>101</w:t>
            </w:r>
          </w:p>
        </w:tc>
        <w:tc>
          <w:tcPr>
            <w:tcW w:w="1459" w:type="dxa"/>
            <w:tcBorders>
              <w:top w:val="nil"/>
              <w:left w:val="single" w:sz="4" w:space="0" w:color="auto"/>
              <w:bottom w:val="single" w:sz="4" w:space="0" w:color="auto"/>
              <w:right w:val="single" w:sz="4" w:space="0" w:color="auto"/>
            </w:tcBorders>
            <w:shd w:val="clear" w:color="auto" w:fill="C6EFCE"/>
            <w:noWrap/>
            <w:vAlign w:val="center"/>
            <w:hideMark/>
          </w:tcPr>
          <w:p w14:paraId="7A840881" w14:textId="77777777" w:rsidR="00F208CE" w:rsidRDefault="00513E84">
            <w:pPr>
              <w:pStyle w:val="P68B1DB1-Normal8"/>
              <w:spacing w:after="0"/>
              <w:rPr>
                <w:rFonts w:eastAsia="Times New Roman" w:cs="Times New Roman"/>
                <w:noProof/>
              </w:rPr>
            </w:pPr>
            <w:r>
              <w:rPr>
                <w:noProof/>
              </w:rPr>
              <w:t>Mejora del transporte público en Valonia (I-3b)</w:t>
            </w:r>
          </w:p>
        </w:tc>
        <w:tc>
          <w:tcPr>
            <w:tcW w:w="1200" w:type="dxa"/>
            <w:tcBorders>
              <w:top w:val="nil"/>
              <w:left w:val="nil"/>
              <w:bottom w:val="single" w:sz="4" w:space="0" w:color="auto"/>
              <w:right w:val="single" w:sz="4" w:space="0" w:color="auto"/>
            </w:tcBorders>
            <w:shd w:val="clear" w:color="auto" w:fill="C6EFCE"/>
            <w:noWrap/>
            <w:vAlign w:val="center"/>
            <w:hideMark/>
          </w:tcPr>
          <w:p w14:paraId="364734E6" w14:textId="436ED94C" w:rsidR="00F208CE" w:rsidRDefault="00513E84">
            <w:pPr>
              <w:pStyle w:val="P68B1DB1-Normal8"/>
              <w:spacing w:after="0"/>
              <w:rPr>
                <w:rFonts w:eastAsia="Times New Roman"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hideMark/>
          </w:tcPr>
          <w:p w14:paraId="64C53518" w14:textId="77777777" w:rsidR="00F208CE" w:rsidRDefault="00513E84">
            <w:pPr>
              <w:pStyle w:val="P68B1DB1-Normal8"/>
              <w:spacing w:after="0"/>
              <w:rPr>
                <w:rFonts w:eastAsia="Times New Roman" w:cs="Times New Roman"/>
                <w:noProof/>
              </w:rPr>
            </w:pPr>
            <w:r>
              <w:rPr>
                <w:noProof/>
              </w:rPr>
              <w:t>Finalización de las obras y encrucijada con semáforos inteligentes</w:t>
            </w:r>
          </w:p>
        </w:tc>
        <w:tc>
          <w:tcPr>
            <w:tcW w:w="1680" w:type="dxa"/>
            <w:tcBorders>
              <w:top w:val="nil"/>
              <w:left w:val="single" w:sz="4" w:space="0" w:color="auto"/>
              <w:bottom w:val="single" w:sz="4" w:space="0" w:color="auto"/>
              <w:right w:val="single" w:sz="4" w:space="0" w:color="auto"/>
            </w:tcBorders>
            <w:shd w:val="clear" w:color="auto" w:fill="C6EFCE"/>
            <w:noWrap/>
            <w:vAlign w:val="center"/>
            <w:hideMark/>
          </w:tcPr>
          <w:p w14:paraId="7C92B5E1"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hideMark/>
          </w:tcPr>
          <w:p w14:paraId="2358629D" w14:textId="77777777" w:rsidR="00F208CE" w:rsidRDefault="00513E84">
            <w:pPr>
              <w:pStyle w:val="P68B1DB1-Normal8"/>
              <w:spacing w:after="0"/>
              <w:rPr>
                <w:rFonts w:cs="Times New Roman"/>
                <w:noProof/>
              </w:rPr>
            </w:pPr>
            <w:r>
              <w:rPr>
                <w:noProof/>
              </w:rPr>
              <w:t>Km:</w:t>
            </w:r>
          </w:p>
          <w:p w14:paraId="10CBEDD7" w14:textId="77777777" w:rsidR="00F208CE" w:rsidRDefault="00513E84">
            <w:pPr>
              <w:pStyle w:val="P68B1DB1-Normal8"/>
              <w:spacing w:after="0"/>
              <w:rPr>
                <w:rFonts w:eastAsia="Times New Roman" w:cs="Times New Roman"/>
                <w:noProof/>
              </w:rPr>
            </w:pPr>
            <w:r>
              <w:rPr>
                <w:noProof/>
              </w:rPr>
              <w:t xml:space="preserve">Número de cruces con semáforos inteligentes en la plataforma </w:t>
            </w:r>
            <w:r>
              <w:rPr>
                <w:noProof/>
              </w:rPr>
              <w:t>centralizada</w:t>
            </w:r>
          </w:p>
        </w:tc>
        <w:tc>
          <w:tcPr>
            <w:tcW w:w="1080" w:type="dxa"/>
            <w:tcBorders>
              <w:top w:val="nil"/>
              <w:left w:val="nil"/>
              <w:bottom w:val="single" w:sz="4" w:space="0" w:color="auto"/>
              <w:right w:val="single" w:sz="4" w:space="0" w:color="auto"/>
            </w:tcBorders>
            <w:shd w:val="clear" w:color="auto" w:fill="C6EFCE"/>
            <w:noWrap/>
            <w:vAlign w:val="center"/>
            <w:hideMark/>
          </w:tcPr>
          <w:p w14:paraId="44E65900" w14:textId="77777777" w:rsidR="00F208CE" w:rsidRDefault="00513E84">
            <w:pPr>
              <w:pStyle w:val="P68B1DB1-Normal8"/>
              <w:spacing w:after="0"/>
              <w:jc w:val="center"/>
              <w:rPr>
                <w:rFonts w:cs="Times New Roman"/>
                <w:noProof/>
              </w:rPr>
            </w:pPr>
            <w:r>
              <w:rPr>
                <w:noProof/>
              </w:rPr>
              <w:t>0</w:t>
            </w:r>
          </w:p>
          <w:p w14:paraId="3777EDC6" w14:textId="53F13E0C" w:rsidR="00F208CE" w:rsidRDefault="00513E84">
            <w:pPr>
              <w:pStyle w:val="P68B1DB1-Normal8"/>
              <w:spacing w:after="0"/>
              <w:jc w:val="right"/>
              <w:rPr>
                <w:rFonts w:eastAsia="Times New Roman" w:cs="Times New Roman"/>
                <w:noProof/>
              </w:rPr>
            </w:pPr>
            <w:r>
              <w:rPr>
                <w:noProof/>
              </w:rPr>
              <w:t>260</w:t>
            </w:r>
          </w:p>
        </w:tc>
        <w:tc>
          <w:tcPr>
            <w:tcW w:w="720" w:type="dxa"/>
            <w:tcBorders>
              <w:top w:val="nil"/>
              <w:left w:val="nil"/>
              <w:bottom w:val="single" w:sz="4" w:space="0" w:color="auto"/>
              <w:right w:val="single" w:sz="4" w:space="0" w:color="auto"/>
            </w:tcBorders>
            <w:shd w:val="clear" w:color="auto" w:fill="C6EFCE"/>
            <w:noWrap/>
            <w:vAlign w:val="center"/>
            <w:hideMark/>
          </w:tcPr>
          <w:p w14:paraId="6506067C" w14:textId="276F21EE" w:rsidR="00F208CE" w:rsidRDefault="00513E84">
            <w:pPr>
              <w:pStyle w:val="P68B1DB1-Normal8"/>
              <w:spacing w:after="0"/>
              <w:jc w:val="right"/>
              <w:rPr>
                <w:rFonts w:cs="Times New Roman"/>
                <w:noProof/>
              </w:rPr>
            </w:pPr>
            <w:r>
              <w:rPr>
                <w:noProof/>
              </w:rPr>
              <w:t>5.5</w:t>
            </w:r>
          </w:p>
          <w:p w14:paraId="337CBD3D" w14:textId="3333B6F6" w:rsidR="00F208CE" w:rsidRDefault="00513E84">
            <w:pPr>
              <w:pStyle w:val="P68B1DB1-Normal8"/>
              <w:spacing w:after="0"/>
              <w:jc w:val="right"/>
              <w:rPr>
                <w:rFonts w:eastAsia="Times New Roman" w:cs="Times New Roman"/>
                <w:noProof/>
              </w:rPr>
            </w:pPr>
            <w:r>
              <w:rPr>
                <w:noProof/>
              </w:rPr>
              <w:t>400</w:t>
            </w:r>
          </w:p>
        </w:tc>
        <w:tc>
          <w:tcPr>
            <w:tcW w:w="1080" w:type="dxa"/>
            <w:tcBorders>
              <w:top w:val="nil"/>
              <w:left w:val="nil"/>
              <w:bottom w:val="single" w:sz="4" w:space="0" w:color="auto"/>
              <w:right w:val="single" w:sz="4" w:space="0" w:color="auto"/>
            </w:tcBorders>
            <w:shd w:val="clear" w:color="auto" w:fill="C6EFCE"/>
            <w:noWrap/>
            <w:vAlign w:val="center"/>
            <w:hideMark/>
          </w:tcPr>
          <w:p w14:paraId="5374A68C" w14:textId="0843440F" w:rsidR="00F208CE" w:rsidRDefault="00513E84">
            <w:pPr>
              <w:pStyle w:val="P68B1DB1-Normal8"/>
              <w:spacing w:after="0"/>
              <w:jc w:val="center"/>
              <w:rPr>
                <w:rFonts w:eastAsia="Times New Roman" w:cs="Times New Roman"/>
                <w:noProof/>
              </w:rPr>
            </w:pPr>
            <w:r>
              <w:rPr>
                <w:noProof/>
              </w:rPr>
              <w:t>TERCER TRIMESTRE 2</w:t>
            </w:r>
          </w:p>
        </w:tc>
        <w:tc>
          <w:tcPr>
            <w:tcW w:w="840" w:type="dxa"/>
            <w:tcBorders>
              <w:top w:val="nil"/>
              <w:left w:val="nil"/>
              <w:bottom w:val="single" w:sz="4" w:space="0" w:color="auto"/>
              <w:right w:val="single" w:sz="4" w:space="0" w:color="auto"/>
            </w:tcBorders>
            <w:shd w:val="clear" w:color="auto" w:fill="C6EFCE"/>
            <w:noWrap/>
            <w:vAlign w:val="center"/>
            <w:hideMark/>
          </w:tcPr>
          <w:p w14:paraId="3D263D73" w14:textId="0A1B7D70" w:rsidR="00F208CE" w:rsidRDefault="00513E84">
            <w:pPr>
              <w:pStyle w:val="P68B1DB1-Normal8"/>
              <w:spacing w:after="0"/>
              <w:jc w:val="center"/>
              <w:rPr>
                <w:rFonts w:eastAsia="Times New Roman" w:cs="Times New Roman"/>
                <w:noProof/>
              </w:rPr>
            </w:pPr>
            <w:r>
              <w:rPr>
                <w:noProof/>
              </w:rPr>
              <w:t>2026</w:t>
            </w:r>
          </w:p>
        </w:tc>
        <w:tc>
          <w:tcPr>
            <w:tcW w:w="3594" w:type="dxa"/>
            <w:tcBorders>
              <w:top w:val="nil"/>
              <w:left w:val="single" w:sz="4" w:space="0" w:color="auto"/>
              <w:bottom w:val="single" w:sz="4" w:space="0" w:color="auto"/>
              <w:right w:val="single" w:sz="4" w:space="0" w:color="auto"/>
            </w:tcBorders>
            <w:shd w:val="clear" w:color="auto" w:fill="C6EFCE"/>
            <w:noWrap/>
            <w:vAlign w:val="center"/>
            <w:hideMark/>
          </w:tcPr>
          <w:p w14:paraId="7F103087" w14:textId="4AF4D1EF" w:rsidR="00F208CE" w:rsidRDefault="00513E84">
            <w:pPr>
              <w:pStyle w:val="P68B1DB1-Normal8"/>
              <w:spacing w:after="0"/>
              <w:rPr>
                <w:rFonts w:cs="Times New Roman"/>
                <w:noProof/>
              </w:rPr>
            </w:pPr>
            <w:r>
              <w:rPr>
                <w:noProof/>
              </w:rPr>
              <w:t>La finalización de las obras de 5,5 km de infraestructura adicional de transporte público para la ampliación del metro (Charleroi) y 400 cruces con semáforos inteligentes para autobuses de transporte públi</w:t>
            </w:r>
            <w:r>
              <w:rPr>
                <w:noProof/>
              </w:rPr>
              <w:t>co están operativas en una plataforma centralizada de señalización vial.</w:t>
            </w:r>
          </w:p>
        </w:tc>
      </w:tr>
      <w:tr w:rsidR="00F208CE" w14:paraId="6D736F2A" w14:textId="77777777">
        <w:trPr>
          <w:gridAfter w:val="1"/>
          <w:wAfter w:w="33" w:type="dxa"/>
          <w:trHeight w:val="309"/>
          <w:jc w:val="center"/>
        </w:trPr>
        <w:tc>
          <w:tcPr>
            <w:tcW w:w="696" w:type="dxa"/>
            <w:tcBorders>
              <w:top w:val="nil"/>
              <w:left w:val="single" w:sz="4" w:space="0" w:color="auto"/>
              <w:bottom w:val="single" w:sz="4" w:space="0" w:color="auto"/>
              <w:right w:val="single" w:sz="4" w:space="0" w:color="auto"/>
            </w:tcBorders>
            <w:shd w:val="clear" w:color="auto" w:fill="C6EFCE"/>
            <w:noWrap/>
            <w:vAlign w:val="center"/>
            <w:hideMark/>
          </w:tcPr>
          <w:p w14:paraId="69FC99A2" w14:textId="77777777" w:rsidR="00F208CE" w:rsidRDefault="00513E84">
            <w:pPr>
              <w:pStyle w:val="P68B1DB1-Normal8"/>
              <w:spacing w:after="0"/>
              <w:jc w:val="center"/>
              <w:rPr>
                <w:rFonts w:eastAsia="Times New Roman" w:cs="Times New Roman"/>
                <w:noProof/>
              </w:rPr>
            </w:pPr>
            <w:r>
              <w:rPr>
                <w:noProof/>
              </w:rPr>
              <w:t>102</w:t>
            </w:r>
          </w:p>
        </w:tc>
        <w:tc>
          <w:tcPr>
            <w:tcW w:w="1459" w:type="dxa"/>
            <w:tcBorders>
              <w:top w:val="nil"/>
              <w:left w:val="single" w:sz="4" w:space="0" w:color="auto"/>
              <w:bottom w:val="single" w:sz="4" w:space="0" w:color="auto"/>
              <w:right w:val="single" w:sz="4" w:space="0" w:color="auto"/>
            </w:tcBorders>
            <w:shd w:val="clear" w:color="auto" w:fill="C6EFCE"/>
            <w:noWrap/>
            <w:vAlign w:val="center"/>
            <w:hideMark/>
          </w:tcPr>
          <w:p w14:paraId="1A9EBE4F" w14:textId="77777777" w:rsidR="00F208CE" w:rsidRDefault="00513E84">
            <w:pPr>
              <w:pStyle w:val="P68B1DB1-Normal8"/>
              <w:spacing w:after="0"/>
              <w:rPr>
                <w:rFonts w:eastAsia="Times New Roman" w:cs="Times New Roman"/>
                <w:noProof/>
              </w:rPr>
            </w:pPr>
            <w:r>
              <w:rPr>
                <w:noProof/>
              </w:rPr>
              <w:t>Mejora del transporte público en Valonia (I-3b)</w:t>
            </w:r>
          </w:p>
        </w:tc>
        <w:tc>
          <w:tcPr>
            <w:tcW w:w="1200" w:type="dxa"/>
            <w:tcBorders>
              <w:top w:val="nil"/>
              <w:left w:val="nil"/>
              <w:bottom w:val="single" w:sz="4" w:space="0" w:color="auto"/>
              <w:right w:val="single" w:sz="4" w:space="0" w:color="auto"/>
            </w:tcBorders>
            <w:shd w:val="clear" w:color="auto" w:fill="C6EFCE"/>
            <w:noWrap/>
            <w:vAlign w:val="center"/>
            <w:hideMark/>
          </w:tcPr>
          <w:p w14:paraId="56F7AA19" w14:textId="6C344DC7" w:rsidR="00F208CE" w:rsidRDefault="00513E84">
            <w:pPr>
              <w:pStyle w:val="P68B1DB1-Normal8"/>
              <w:spacing w:after="0"/>
              <w:rPr>
                <w:rFonts w:eastAsia="Times New Roman"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hideMark/>
          </w:tcPr>
          <w:p w14:paraId="76457345" w14:textId="2D26ADD8" w:rsidR="00F208CE" w:rsidRDefault="00513E84">
            <w:pPr>
              <w:pStyle w:val="P68B1DB1-Normal8"/>
              <w:spacing w:after="0"/>
              <w:rPr>
                <w:rFonts w:eastAsia="Times New Roman" w:cs="Times New Roman"/>
                <w:noProof/>
              </w:rPr>
            </w:pPr>
            <w:r>
              <w:rPr>
                <w:noProof/>
              </w:rPr>
              <w:t>Firma del contrato de servicio público revisado de OTW («OĂateur de Transport de Wallonie»)</w:t>
            </w:r>
          </w:p>
        </w:tc>
        <w:tc>
          <w:tcPr>
            <w:tcW w:w="1680" w:type="dxa"/>
            <w:tcBorders>
              <w:top w:val="nil"/>
              <w:left w:val="single" w:sz="4" w:space="0" w:color="auto"/>
              <w:bottom w:val="single" w:sz="4" w:space="0" w:color="auto"/>
              <w:right w:val="single" w:sz="4" w:space="0" w:color="auto"/>
            </w:tcBorders>
            <w:shd w:val="clear" w:color="auto" w:fill="C6EFCE"/>
            <w:noWrap/>
            <w:vAlign w:val="center"/>
            <w:hideMark/>
          </w:tcPr>
          <w:p w14:paraId="61641760" w14:textId="3FE80026" w:rsidR="00F208CE" w:rsidRDefault="00513E84">
            <w:pPr>
              <w:pStyle w:val="P68B1DB1-Normal8"/>
              <w:spacing w:after="0"/>
              <w:rPr>
                <w:rFonts w:eastAsia="Times New Roman" w:cs="Times New Roman"/>
                <w:noProof/>
              </w:rPr>
            </w:pPr>
            <w:r>
              <w:rPr>
                <w:noProof/>
              </w:rPr>
              <w:t>Contrato de servicio público revisado de OTW</w:t>
            </w:r>
            <w:r>
              <w:rPr>
                <w:noProof/>
              </w:rPr>
              <w:t xml:space="preserve"> («OĂateur de Transport de Wallonie»)</w:t>
            </w:r>
          </w:p>
        </w:tc>
        <w:tc>
          <w:tcPr>
            <w:tcW w:w="1440" w:type="dxa"/>
            <w:tcBorders>
              <w:top w:val="nil"/>
              <w:left w:val="nil"/>
              <w:bottom w:val="single" w:sz="4" w:space="0" w:color="auto"/>
              <w:right w:val="single" w:sz="4" w:space="0" w:color="auto"/>
            </w:tcBorders>
            <w:shd w:val="clear" w:color="auto" w:fill="C6EFCE"/>
            <w:noWrap/>
            <w:vAlign w:val="center"/>
            <w:hideMark/>
          </w:tcPr>
          <w:p w14:paraId="57E19AB6" w14:textId="72D72952"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04F913FC" w14:textId="5E4AB38E"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hideMark/>
          </w:tcPr>
          <w:p w14:paraId="6280522F" w14:textId="0CCE3818"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6FDDB248" w14:textId="77777777" w:rsidR="00F208CE" w:rsidRDefault="00513E84">
            <w:pPr>
              <w:pStyle w:val="P68B1DB1-Normal8"/>
              <w:spacing w:after="0"/>
              <w:jc w:val="center"/>
              <w:rPr>
                <w:rFonts w:eastAsia="Times New Roman" w:cs="Times New Roman"/>
                <w:noProof/>
              </w:rPr>
            </w:pPr>
            <w:r>
              <w:rPr>
                <w:noProof/>
              </w:rPr>
              <w:t>TERCER TRIMESTRE 2</w:t>
            </w:r>
          </w:p>
        </w:tc>
        <w:tc>
          <w:tcPr>
            <w:tcW w:w="840" w:type="dxa"/>
            <w:tcBorders>
              <w:top w:val="nil"/>
              <w:left w:val="nil"/>
              <w:bottom w:val="single" w:sz="4" w:space="0" w:color="auto"/>
              <w:right w:val="single" w:sz="4" w:space="0" w:color="auto"/>
            </w:tcBorders>
            <w:shd w:val="clear" w:color="auto" w:fill="C6EFCE"/>
            <w:noWrap/>
            <w:vAlign w:val="center"/>
            <w:hideMark/>
          </w:tcPr>
          <w:p w14:paraId="270D72DD" w14:textId="77777777" w:rsidR="00F208CE" w:rsidRDefault="00513E84">
            <w:pPr>
              <w:pStyle w:val="P68B1DB1-Normal8"/>
              <w:spacing w:after="0"/>
              <w:jc w:val="center"/>
              <w:rPr>
                <w:rFonts w:eastAsia="Times New Roman" w:cs="Times New Roman"/>
                <w:noProof/>
              </w:rPr>
            </w:pPr>
            <w:r>
              <w:rPr>
                <w:noProof/>
              </w:rPr>
              <w:t>2024</w:t>
            </w:r>
          </w:p>
        </w:tc>
        <w:tc>
          <w:tcPr>
            <w:tcW w:w="3594" w:type="dxa"/>
            <w:tcBorders>
              <w:top w:val="nil"/>
              <w:left w:val="single" w:sz="4" w:space="0" w:color="auto"/>
              <w:bottom w:val="single" w:sz="4" w:space="0" w:color="auto"/>
              <w:right w:val="single" w:sz="4" w:space="0" w:color="auto"/>
            </w:tcBorders>
            <w:shd w:val="clear" w:color="auto" w:fill="C6EFCE"/>
            <w:noWrap/>
            <w:vAlign w:val="center"/>
            <w:hideMark/>
          </w:tcPr>
          <w:p w14:paraId="49FC41C1" w14:textId="68148BB5" w:rsidR="00F208CE" w:rsidRDefault="00513E84">
            <w:pPr>
              <w:pStyle w:val="P68B1DB1-Normal8"/>
              <w:spacing w:after="0"/>
              <w:rPr>
                <w:rFonts w:eastAsia="Times New Roman" w:cs="Times New Roman"/>
                <w:noProof/>
              </w:rPr>
            </w:pPr>
            <w:r>
              <w:rPr>
                <w:noProof/>
              </w:rPr>
              <w:t>Firma del contrato de servicio público revisado de OTW («OĂateur de Transport de Wallonie») con una compensación comprometida por los gastos operativos adicionales del metro de Charleroi.</w:t>
            </w:r>
          </w:p>
        </w:tc>
      </w:tr>
      <w:tr w:rsidR="00F208CE" w14:paraId="68D2693A" w14:textId="77777777">
        <w:trPr>
          <w:trHeight w:val="309"/>
          <w:jc w:val="center"/>
        </w:trPr>
        <w:tc>
          <w:tcPr>
            <w:tcW w:w="696" w:type="dxa"/>
            <w:tcBorders>
              <w:top w:val="nil"/>
              <w:left w:val="single" w:sz="4" w:space="0" w:color="auto"/>
              <w:bottom w:val="single" w:sz="4" w:space="0" w:color="auto"/>
              <w:right w:val="single" w:sz="4" w:space="0" w:color="auto"/>
            </w:tcBorders>
            <w:shd w:val="clear" w:color="auto" w:fill="C6EFCE"/>
            <w:vAlign w:val="center"/>
            <w:hideMark/>
          </w:tcPr>
          <w:p w14:paraId="007C873D" w14:textId="77777777" w:rsidR="00F208CE" w:rsidRDefault="00513E84">
            <w:pPr>
              <w:pStyle w:val="P68B1DB1-Normal8"/>
              <w:spacing w:after="0"/>
              <w:jc w:val="center"/>
              <w:rPr>
                <w:rFonts w:eastAsia="Times New Roman" w:cs="Times New Roman"/>
                <w:noProof/>
              </w:rPr>
            </w:pPr>
            <w:r>
              <w:rPr>
                <w:noProof/>
              </w:rPr>
              <w:t>103</w:t>
            </w:r>
          </w:p>
        </w:tc>
        <w:tc>
          <w:tcPr>
            <w:tcW w:w="1459" w:type="dxa"/>
            <w:tcBorders>
              <w:top w:val="nil"/>
              <w:left w:val="single" w:sz="4" w:space="0" w:color="auto"/>
              <w:bottom w:val="single" w:sz="4" w:space="0" w:color="auto"/>
              <w:right w:val="single" w:sz="4" w:space="0" w:color="auto"/>
            </w:tcBorders>
            <w:shd w:val="clear" w:color="auto" w:fill="C6EFCE"/>
            <w:vAlign w:val="center"/>
            <w:hideMark/>
          </w:tcPr>
          <w:p w14:paraId="445CCEB4" w14:textId="77777777" w:rsidR="00F208CE" w:rsidRDefault="00513E84">
            <w:pPr>
              <w:pStyle w:val="P68B1DB1-Normal8"/>
              <w:spacing w:after="0"/>
              <w:rPr>
                <w:rFonts w:eastAsia="Times New Roman" w:cs="Times New Roman"/>
                <w:noProof/>
              </w:rPr>
            </w:pPr>
            <w:r>
              <w:rPr>
                <w:noProof/>
              </w:rPr>
              <w:t>Obr</w:t>
            </w:r>
            <w:r>
              <w:rPr>
                <w:noProof/>
              </w:rPr>
              <w:t>as de acondicionamiento y accesibilidad de las estaciones (I-3C)</w:t>
            </w:r>
          </w:p>
        </w:tc>
        <w:tc>
          <w:tcPr>
            <w:tcW w:w="1200" w:type="dxa"/>
            <w:tcBorders>
              <w:top w:val="nil"/>
              <w:left w:val="nil"/>
              <w:bottom w:val="single" w:sz="4" w:space="0" w:color="auto"/>
              <w:right w:val="single" w:sz="4" w:space="0" w:color="auto"/>
            </w:tcBorders>
            <w:shd w:val="clear" w:color="auto" w:fill="C6EFCE"/>
            <w:vAlign w:val="center"/>
            <w:hideMark/>
          </w:tcPr>
          <w:p w14:paraId="3772BB4A" w14:textId="2BC67625" w:rsidR="00F208CE" w:rsidRDefault="00513E84">
            <w:pPr>
              <w:pStyle w:val="P68B1DB1-Normal8"/>
              <w:spacing w:after="0"/>
              <w:rPr>
                <w:rFonts w:eastAsia="Times New Roman"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vAlign w:val="center"/>
            <w:hideMark/>
          </w:tcPr>
          <w:p w14:paraId="4787DA67" w14:textId="77777777" w:rsidR="00F208CE" w:rsidRDefault="00513E84">
            <w:pPr>
              <w:pStyle w:val="P68B1DB1-Normal8"/>
              <w:spacing w:after="0"/>
              <w:rPr>
                <w:rFonts w:eastAsia="Times New Roman" w:cs="Times New Roman"/>
                <w:noProof/>
              </w:rPr>
            </w:pPr>
            <w:r>
              <w:rPr>
                <w:noProof/>
              </w:rPr>
              <w:t>Finalización de las obras de renovación y modernización de los ferrocarriles y de accesibilidad de las estaciones (etapa 1)</w:t>
            </w:r>
          </w:p>
        </w:tc>
        <w:tc>
          <w:tcPr>
            <w:tcW w:w="1680" w:type="dxa"/>
            <w:tcBorders>
              <w:top w:val="nil"/>
              <w:left w:val="single" w:sz="4" w:space="0" w:color="auto"/>
              <w:bottom w:val="single" w:sz="4" w:space="0" w:color="auto"/>
              <w:right w:val="single" w:sz="4" w:space="0" w:color="auto"/>
            </w:tcBorders>
            <w:shd w:val="clear" w:color="auto" w:fill="C6EFCE"/>
            <w:vAlign w:val="center"/>
            <w:hideMark/>
          </w:tcPr>
          <w:p w14:paraId="41D27710" w14:textId="77777777" w:rsidR="00F208CE" w:rsidRDefault="00F208CE">
            <w:pPr>
              <w:spacing w:after="0"/>
              <w:rPr>
                <w:rFonts w:ascii="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vAlign w:val="center"/>
            <w:hideMark/>
          </w:tcPr>
          <w:p w14:paraId="422E6BE4" w14:textId="77777777" w:rsidR="00F208CE" w:rsidRDefault="00513E84">
            <w:pPr>
              <w:pStyle w:val="P68B1DB1-Normal8"/>
              <w:spacing w:after="0"/>
              <w:rPr>
                <w:rFonts w:eastAsia="Times New Roman" w:cs="Times New Roman"/>
                <w:noProof/>
              </w:rPr>
            </w:pPr>
            <w:r>
              <w:rPr>
                <w:noProof/>
              </w:rPr>
              <w:t>Obras finalizadas</w:t>
            </w:r>
          </w:p>
        </w:tc>
        <w:tc>
          <w:tcPr>
            <w:tcW w:w="1080" w:type="dxa"/>
            <w:tcBorders>
              <w:top w:val="nil"/>
              <w:left w:val="nil"/>
              <w:bottom w:val="single" w:sz="4" w:space="0" w:color="auto"/>
              <w:right w:val="single" w:sz="4" w:space="0" w:color="auto"/>
            </w:tcBorders>
            <w:shd w:val="clear" w:color="auto" w:fill="C6EFCE"/>
            <w:vAlign w:val="center"/>
            <w:hideMark/>
          </w:tcPr>
          <w:p w14:paraId="09EDE3D2"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vAlign w:val="center"/>
            <w:hideMark/>
          </w:tcPr>
          <w:p w14:paraId="0649A88A" w14:textId="4859EF10" w:rsidR="00F208CE" w:rsidRDefault="00513E84">
            <w:pPr>
              <w:pStyle w:val="P68B1DB1-Normal8"/>
              <w:spacing w:after="0"/>
              <w:rPr>
                <w:rFonts w:eastAsia="Times New Roman" w:cs="Times New Roman"/>
                <w:noProof/>
              </w:rPr>
            </w:pPr>
            <w:r>
              <w:rPr>
                <w:noProof/>
              </w:rPr>
              <w:t>32</w:t>
            </w:r>
          </w:p>
        </w:tc>
        <w:tc>
          <w:tcPr>
            <w:tcW w:w="1080" w:type="dxa"/>
            <w:tcBorders>
              <w:top w:val="nil"/>
              <w:left w:val="nil"/>
              <w:bottom w:val="single" w:sz="4" w:space="0" w:color="auto"/>
              <w:right w:val="single" w:sz="4" w:space="0" w:color="auto"/>
            </w:tcBorders>
            <w:shd w:val="clear" w:color="auto" w:fill="C6EFCE"/>
            <w:vAlign w:val="center"/>
            <w:hideMark/>
          </w:tcPr>
          <w:p w14:paraId="52D360EB" w14:textId="77777777" w:rsidR="00F208CE" w:rsidRDefault="00513E84">
            <w:pPr>
              <w:pStyle w:val="P68B1DB1-Normal8"/>
              <w:spacing w:after="0"/>
              <w:jc w:val="center"/>
              <w:rPr>
                <w:rFonts w:eastAsia="Times New Roman" w:cs="Times New Roman"/>
                <w:noProof/>
              </w:rPr>
            </w:pPr>
            <w:r>
              <w:rPr>
                <w:noProof/>
              </w:rPr>
              <w:t>TERCER TRIMESTRE 3</w:t>
            </w:r>
          </w:p>
        </w:tc>
        <w:tc>
          <w:tcPr>
            <w:tcW w:w="840" w:type="dxa"/>
            <w:tcBorders>
              <w:top w:val="nil"/>
              <w:left w:val="nil"/>
              <w:bottom w:val="single" w:sz="4" w:space="0" w:color="auto"/>
              <w:right w:val="single" w:sz="4" w:space="0" w:color="auto"/>
            </w:tcBorders>
            <w:shd w:val="clear" w:color="auto" w:fill="C6EFCE"/>
            <w:vAlign w:val="center"/>
            <w:hideMark/>
          </w:tcPr>
          <w:p w14:paraId="1239E659" w14:textId="77777777" w:rsidR="00F208CE" w:rsidRDefault="00513E84">
            <w:pPr>
              <w:pStyle w:val="P68B1DB1-Normal8"/>
              <w:spacing w:after="0"/>
              <w:jc w:val="center"/>
              <w:rPr>
                <w:rFonts w:eastAsia="Times New Roman" w:cs="Times New Roman"/>
                <w:noProof/>
              </w:rPr>
            </w:pPr>
            <w:r>
              <w:rPr>
                <w:noProof/>
              </w:rPr>
              <w:t>2022</w:t>
            </w:r>
          </w:p>
        </w:tc>
        <w:tc>
          <w:tcPr>
            <w:tcW w:w="3627" w:type="dxa"/>
            <w:gridSpan w:val="2"/>
            <w:tcBorders>
              <w:top w:val="nil"/>
              <w:left w:val="single" w:sz="4" w:space="0" w:color="auto"/>
              <w:bottom w:val="single" w:sz="4" w:space="0" w:color="auto"/>
              <w:right w:val="single" w:sz="4" w:space="0" w:color="auto"/>
            </w:tcBorders>
            <w:shd w:val="clear" w:color="auto" w:fill="C6EFCE"/>
            <w:vAlign w:val="center"/>
            <w:hideMark/>
          </w:tcPr>
          <w:p w14:paraId="5246A90A" w14:textId="687B5084" w:rsidR="00F208CE" w:rsidRDefault="00513E84">
            <w:pPr>
              <w:pStyle w:val="P68B1DB1-Normal8"/>
              <w:spacing w:after="0" w:line="240" w:lineRule="auto"/>
              <w:textAlignment w:val="baseline"/>
              <w:rPr>
                <w:rFonts w:cs="Times New Roman"/>
                <w:noProof/>
              </w:rPr>
            </w:pPr>
            <w:r>
              <w:rPr>
                <w:noProof/>
              </w:rPr>
              <w:t>Finalización de 2</w:t>
            </w:r>
            <w:r>
              <w:rPr>
                <w:noProof/>
              </w:rPr>
              <w:t>7 intervenciones para mejorar la infraestructura ferroviaria (I-3.10) y hacer accesibles 5 estaciones (I-3.09) de conformidad con el Reglamento (UE) n.º 1300/2014 de la Comisión sobre al menos 4 criterios:</w:t>
            </w:r>
          </w:p>
          <w:p w14:paraId="7BCFD41F" w14:textId="77777777" w:rsidR="00F208CE" w:rsidRDefault="00513E84">
            <w:pPr>
              <w:pStyle w:val="P68B1DB1-Normal8"/>
              <w:spacing w:after="0" w:line="240" w:lineRule="auto"/>
              <w:textAlignment w:val="baseline"/>
              <w:rPr>
                <w:rFonts w:cs="Times New Roman"/>
                <w:noProof/>
              </w:rPr>
            </w:pPr>
            <w:r>
              <w:rPr>
                <w:noProof/>
              </w:rPr>
              <w:t>— plataformas de alta velocidad (76 cm);</w:t>
            </w:r>
          </w:p>
          <w:p w14:paraId="6F09B440" w14:textId="77777777" w:rsidR="00F208CE" w:rsidRDefault="00513E84">
            <w:pPr>
              <w:pStyle w:val="P68B1DB1-Normal8"/>
              <w:spacing w:after="0" w:line="240" w:lineRule="auto"/>
              <w:textAlignment w:val="baseline"/>
              <w:rPr>
                <w:rFonts w:cs="Times New Roman"/>
                <w:noProof/>
              </w:rPr>
            </w:pPr>
            <w:r>
              <w:rPr>
                <w:noProof/>
              </w:rPr>
              <w:t>— platafo</w:t>
            </w:r>
            <w:r>
              <w:rPr>
                <w:noProof/>
              </w:rPr>
              <w:t>rmas accesibles a través de rampas o ascensores;</w:t>
            </w:r>
          </w:p>
          <w:p w14:paraId="6254F95A" w14:textId="77777777" w:rsidR="00F208CE" w:rsidRDefault="00513E84">
            <w:pPr>
              <w:pStyle w:val="P68B1DB1-Normal8"/>
              <w:spacing w:after="0" w:line="240" w:lineRule="auto"/>
              <w:textAlignment w:val="baseline"/>
              <w:rPr>
                <w:rFonts w:cs="Times New Roman"/>
                <w:noProof/>
              </w:rPr>
            </w:pPr>
            <w:r>
              <w:rPr>
                <w:noProof/>
              </w:rPr>
              <w:t>— sistema de guiado de la superficie de advertencia táctil; y</w:t>
            </w:r>
          </w:p>
          <w:p w14:paraId="0B0E7B30" w14:textId="0AD1EF4C" w:rsidR="00F208CE" w:rsidRDefault="00513E84">
            <w:pPr>
              <w:pStyle w:val="P68B1DB1-Normal8"/>
              <w:spacing w:after="0" w:line="240" w:lineRule="auto"/>
              <w:textAlignment w:val="baseline"/>
              <w:rPr>
                <w:rFonts w:cs="Times New Roman"/>
                <w:noProof/>
              </w:rPr>
            </w:pPr>
            <w:r>
              <w:rPr>
                <w:noProof/>
              </w:rPr>
              <w:t xml:space="preserve">— al menos una máquina expendedora de billetes accesible a las personas con movilidad reducida. </w:t>
            </w:r>
          </w:p>
          <w:p w14:paraId="180DE9E3" w14:textId="57207415" w:rsidR="00F208CE" w:rsidRDefault="00513E84">
            <w:pPr>
              <w:pStyle w:val="P68B1DB1-Normal8"/>
              <w:spacing w:after="0" w:line="240" w:lineRule="auto"/>
              <w:textAlignment w:val="baseline"/>
              <w:rPr>
                <w:rFonts w:cs="Times New Roman"/>
                <w:noProof/>
              </w:rPr>
            </w:pPr>
            <w:r>
              <w:rPr>
                <w:noProof/>
              </w:rPr>
              <w:t>Y añadir 6 000 plazas de aparcamiento para bicic</w:t>
            </w:r>
            <w:r>
              <w:rPr>
                <w:noProof/>
              </w:rPr>
              <w:t>letas.</w:t>
            </w:r>
          </w:p>
        </w:tc>
      </w:tr>
      <w:tr w:rsidR="00F208CE" w14:paraId="5C4A2939" w14:textId="77777777">
        <w:trPr>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vAlign w:val="center"/>
          </w:tcPr>
          <w:p w14:paraId="6B1BC603" w14:textId="77777777" w:rsidR="00F208CE" w:rsidRDefault="00513E84">
            <w:pPr>
              <w:pStyle w:val="P68B1DB1-Normal8"/>
              <w:spacing w:after="0"/>
              <w:jc w:val="center"/>
              <w:rPr>
                <w:rFonts w:eastAsia="Times New Roman" w:cs="Times New Roman"/>
                <w:noProof/>
              </w:rPr>
            </w:pPr>
            <w:r>
              <w:rPr>
                <w:noProof/>
              </w:rPr>
              <w:t>104</w:t>
            </w:r>
          </w:p>
        </w:tc>
        <w:tc>
          <w:tcPr>
            <w:tcW w:w="1459" w:type="dxa"/>
            <w:tcBorders>
              <w:top w:val="nil"/>
              <w:left w:val="single" w:sz="4" w:space="0" w:color="auto"/>
              <w:bottom w:val="single" w:sz="4" w:space="0" w:color="auto"/>
              <w:right w:val="single" w:sz="4" w:space="0" w:color="auto"/>
            </w:tcBorders>
            <w:shd w:val="clear" w:color="auto" w:fill="C6EFCE"/>
            <w:vAlign w:val="center"/>
          </w:tcPr>
          <w:p w14:paraId="2388492B" w14:textId="77777777" w:rsidR="00F208CE" w:rsidRDefault="00513E84">
            <w:pPr>
              <w:pStyle w:val="P68B1DB1-Normal8"/>
              <w:spacing w:after="0"/>
              <w:rPr>
                <w:rFonts w:cs="Times New Roman"/>
                <w:noProof/>
              </w:rPr>
            </w:pPr>
            <w:r>
              <w:rPr>
                <w:noProof/>
              </w:rPr>
              <w:t>Obras de acondicionamiento y accesibilidad de las estaciones (I-3C)</w:t>
            </w:r>
          </w:p>
        </w:tc>
        <w:tc>
          <w:tcPr>
            <w:tcW w:w="1200" w:type="dxa"/>
            <w:tcBorders>
              <w:top w:val="nil"/>
              <w:left w:val="nil"/>
              <w:bottom w:val="single" w:sz="4" w:space="0" w:color="auto"/>
              <w:right w:val="single" w:sz="4" w:space="0" w:color="auto"/>
            </w:tcBorders>
            <w:shd w:val="clear" w:color="auto" w:fill="C6EFCE"/>
            <w:vAlign w:val="center"/>
          </w:tcPr>
          <w:p w14:paraId="3E6BB5A3" w14:textId="5D86E2BC"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vAlign w:val="center"/>
          </w:tcPr>
          <w:p w14:paraId="4523FED6" w14:textId="77777777" w:rsidR="00F208CE" w:rsidRDefault="00513E84">
            <w:pPr>
              <w:pStyle w:val="P68B1DB1-Normal8"/>
              <w:spacing w:after="0"/>
              <w:rPr>
                <w:rFonts w:cs="Times New Roman"/>
                <w:noProof/>
              </w:rPr>
            </w:pPr>
            <w:r>
              <w:rPr>
                <w:noProof/>
              </w:rPr>
              <w:t>Finalización de las obras de renovación y modernización de los ferrocarriles y de accesibilidad de las estaciones (etapa 2)</w:t>
            </w:r>
          </w:p>
        </w:tc>
        <w:tc>
          <w:tcPr>
            <w:tcW w:w="1680" w:type="dxa"/>
            <w:tcBorders>
              <w:top w:val="nil"/>
              <w:left w:val="single" w:sz="4" w:space="0" w:color="auto"/>
              <w:bottom w:val="single" w:sz="4" w:space="0" w:color="auto"/>
              <w:right w:val="single" w:sz="4" w:space="0" w:color="auto"/>
            </w:tcBorders>
            <w:shd w:val="clear" w:color="auto" w:fill="C6EFCE"/>
            <w:vAlign w:val="center"/>
          </w:tcPr>
          <w:p w14:paraId="10F442AB" w14:textId="77777777" w:rsidR="00F208CE" w:rsidRDefault="00F208CE">
            <w:pPr>
              <w:spacing w:after="0"/>
              <w:rPr>
                <w:rFonts w:ascii="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vAlign w:val="center"/>
          </w:tcPr>
          <w:p w14:paraId="05AE5551" w14:textId="77777777" w:rsidR="00F208CE" w:rsidRDefault="00513E84">
            <w:pPr>
              <w:pStyle w:val="P68B1DB1-Normal8"/>
              <w:spacing w:after="0"/>
              <w:rPr>
                <w:rFonts w:eastAsia="Times New Roman" w:cs="Times New Roman"/>
                <w:noProof/>
              </w:rPr>
            </w:pPr>
            <w:r>
              <w:rPr>
                <w:noProof/>
              </w:rPr>
              <w:t>Obras finalizadas</w:t>
            </w:r>
          </w:p>
        </w:tc>
        <w:tc>
          <w:tcPr>
            <w:tcW w:w="1080" w:type="dxa"/>
            <w:tcBorders>
              <w:top w:val="nil"/>
              <w:left w:val="nil"/>
              <w:bottom w:val="single" w:sz="4" w:space="0" w:color="auto"/>
              <w:right w:val="single" w:sz="4" w:space="0" w:color="auto"/>
            </w:tcBorders>
            <w:shd w:val="clear" w:color="auto" w:fill="C6EFCE"/>
            <w:vAlign w:val="center"/>
          </w:tcPr>
          <w:p w14:paraId="0C0BCAF0" w14:textId="77777777" w:rsidR="00F208CE" w:rsidRDefault="00513E84">
            <w:pPr>
              <w:pStyle w:val="P68B1DB1-Normal8"/>
              <w:spacing w:after="0"/>
              <w:rPr>
                <w:rFonts w:eastAsia="Times New Roman" w:cs="Times New Roman"/>
                <w:noProof/>
              </w:rPr>
            </w:pPr>
            <w:r>
              <w:rPr>
                <w:noProof/>
              </w:rPr>
              <w:t>32</w:t>
            </w:r>
          </w:p>
        </w:tc>
        <w:tc>
          <w:tcPr>
            <w:tcW w:w="720" w:type="dxa"/>
            <w:tcBorders>
              <w:top w:val="nil"/>
              <w:left w:val="nil"/>
              <w:bottom w:val="single" w:sz="4" w:space="0" w:color="auto"/>
              <w:right w:val="single" w:sz="4" w:space="0" w:color="auto"/>
            </w:tcBorders>
            <w:shd w:val="clear" w:color="auto" w:fill="C6EFCE"/>
            <w:vAlign w:val="center"/>
          </w:tcPr>
          <w:p w14:paraId="3B7509BE" w14:textId="77777777" w:rsidR="00F208CE" w:rsidRDefault="00513E84">
            <w:pPr>
              <w:pStyle w:val="P68B1DB1-Normal8"/>
              <w:spacing w:after="0"/>
              <w:rPr>
                <w:rFonts w:eastAsia="Times New Roman" w:cs="Times New Roman"/>
                <w:noProof/>
              </w:rPr>
            </w:pPr>
            <w:r>
              <w:rPr>
                <w:noProof/>
              </w:rPr>
              <w:t>62</w:t>
            </w:r>
          </w:p>
        </w:tc>
        <w:tc>
          <w:tcPr>
            <w:tcW w:w="1080" w:type="dxa"/>
            <w:tcBorders>
              <w:top w:val="nil"/>
              <w:left w:val="nil"/>
              <w:bottom w:val="single" w:sz="4" w:space="0" w:color="auto"/>
              <w:right w:val="single" w:sz="4" w:space="0" w:color="auto"/>
            </w:tcBorders>
            <w:shd w:val="clear" w:color="auto" w:fill="C6EFCE"/>
            <w:vAlign w:val="center"/>
          </w:tcPr>
          <w:p w14:paraId="14038C7A" w14:textId="77777777" w:rsidR="00F208CE" w:rsidRDefault="00513E84">
            <w:pPr>
              <w:pStyle w:val="P68B1DB1-Normal8"/>
              <w:spacing w:after="0"/>
              <w:jc w:val="center"/>
              <w:rPr>
                <w:rFonts w:eastAsia="Times New Roman" w:cs="Times New Roman"/>
                <w:noProof/>
              </w:rPr>
            </w:pPr>
            <w:r>
              <w:rPr>
                <w:noProof/>
              </w:rPr>
              <w:t>TERCER TRIMESTRE 3</w:t>
            </w:r>
          </w:p>
        </w:tc>
        <w:tc>
          <w:tcPr>
            <w:tcW w:w="840" w:type="dxa"/>
            <w:tcBorders>
              <w:top w:val="nil"/>
              <w:left w:val="nil"/>
              <w:bottom w:val="single" w:sz="4" w:space="0" w:color="auto"/>
              <w:right w:val="single" w:sz="4" w:space="0" w:color="auto"/>
            </w:tcBorders>
            <w:shd w:val="clear" w:color="auto" w:fill="C6EFCE"/>
            <w:vAlign w:val="center"/>
          </w:tcPr>
          <w:p w14:paraId="6730DE9D" w14:textId="77777777" w:rsidR="00F208CE" w:rsidRDefault="00513E84">
            <w:pPr>
              <w:pStyle w:val="P68B1DB1-Normal8"/>
              <w:spacing w:after="0"/>
              <w:jc w:val="center"/>
              <w:rPr>
                <w:rFonts w:eastAsia="Times New Roman" w:cs="Times New Roman"/>
                <w:noProof/>
              </w:rPr>
            </w:pPr>
            <w:r>
              <w:rPr>
                <w:noProof/>
              </w:rPr>
              <w:t>2023</w:t>
            </w:r>
          </w:p>
        </w:tc>
        <w:tc>
          <w:tcPr>
            <w:tcW w:w="3627" w:type="dxa"/>
            <w:gridSpan w:val="2"/>
            <w:tcBorders>
              <w:top w:val="nil"/>
              <w:left w:val="single" w:sz="4" w:space="0" w:color="auto"/>
              <w:bottom w:val="single" w:sz="4" w:space="0" w:color="auto"/>
              <w:right w:val="single" w:sz="4" w:space="0" w:color="auto"/>
            </w:tcBorders>
            <w:shd w:val="clear" w:color="auto" w:fill="C6EFCE"/>
            <w:vAlign w:val="center"/>
          </w:tcPr>
          <w:p w14:paraId="58D91303" w14:textId="32D5FD31" w:rsidR="00F208CE" w:rsidRDefault="00513E84">
            <w:pPr>
              <w:pStyle w:val="P68B1DB1-Normal8"/>
              <w:spacing w:after="0"/>
              <w:rPr>
                <w:rFonts w:cs="Times New Roman"/>
                <w:noProof/>
              </w:rPr>
            </w:pPr>
            <w:r>
              <w:rPr>
                <w:noProof/>
              </w:rPr>
              <w:t>Finalización de 50 intervenciones para mejorar la infraestructura ferroviaria (I-3.10) y hacer accesibles 12 estaciones (I-3.09) de conformidad con el Reglamento (UE) n.º 1300/2014 de la Comisión sobre al menos 4 criterios:</w:t>
            </w:r>
          </w:p>
          <w:p w14:paraId="1ABB3C19" w14:textId="77777777" w:rsidR="00F208CE" w:rsidRDefault="00513E84">
            <w:pPr>
              <w:pStyle w:val="P68B1DB1-Normal8"/>
              <w:spacing w:after="0"/>
              <w:rPr>
                <w:rFonts w:cs="Times New Roman"/>
                <w:noProof/>
              </w:rPr>
            </w:pPr>
            <w:r>
              <w:rPr>
                <w:noProof/>
              </w:rPr>
              <w:t xml:space="preserve">— plataformas de alta velocidad </w:t>
            </w:r>
            <w:r>
              <w:rPr>
                <w:noProof/>
              </w:rPr>
              <w:t>(76 cm);</w:t>
            </w:r>
          </w:p>
          <w:p w14:paraId="1BFD550A" w14:textId="77777777" w:rsidR="00F208CE" w:rsidRDefault="00513E84">
            <w:pPr>
              <w:pStyle w:val="P68B1DB1-Normal8"/>
              <w:spacing w:after="0"/>
              <w:rPr>
                <w:rFonts w:cs="Times New Roman"/>
                <w:noProof/>
              </w:rPr>
            </w:pPr>
            <w:r>
              <w:rPr>
                <w:noProof/>
              </w:rPr>
              <w:t>— plataformas accesibles a través de rampas o ascensores;</w:t>
            </w:r>
          </w:p>
          <w:p w14:paraId="60B41ED2" w14:textId="77777777" w:rsidR="00F208CE" w:rsidRDefault="00513E84">
            <w:pPr>
              <w:pStyle w:val="P68B1DB1-Normal8"/>
              <w:spacing w:after="0"/>
              <w:rPr>
                <w:rFonts w:cs="Times New Roman"/>
                <w:noProof/>
              </w:rPr>
            </w:pPr>
            <w:r>
              <w:rPr>
                <w:noProof/>
              </w:rPr>
              <w:t>— sistema de guiado de la superficie de advertencia táctil; y</w:t>
            </w:r>
          </w:p>
          <w:p w14:paraId="790F5559" w14:textId="77777777" w:rsidR="00F208CE" w:rsidRDefault="00513E84">
            <w:pPr>
              <w:pStyle w:val="P68B1DB1-Normal8"/>
              <w:spacing w:after="0"/>
              <w:rPr>
                <w:rFonts w:cs="Times New Roman"/>
                <w:noProof/>
              </w:rPr>
            </w:pPr>
            <w:r>
              <w:rPr>
                <w:noProof/>
              </w:rPr>
              <w:t>— al menos una máquina expendedora de billetes accesible a las personas con movilidad reducida.</w:t>
            </w:r>
          </w:p>
        </w:tc>
      </w:tr>
      <w:tr w:rsidR="00F208CE" w14:paraId="62149424"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1C4D25" w14:textId="77777777" w:rsidR="00F208CE" w:rsidRDefault="00513E84">
            <w:pPr>
              <w:pStyle w:val="P68B1DB1-Normal8"/>
              <w:spacing w:after="0"/>
              <w:jc w:val="center"/>
              <w:rPr>
                <w:rFonts w:eastAsia="Times New Roman" w:cs="Times New Roman"/>
                <w:noProof/>
              </w:rPr>
            </w:pPr>
            <w:r>
              <w:rPr>
                <w:noProof/>
              </w:rPr>
              <w:t>105</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6CC84B52" w14:textId="77777777" w:rsidR="00F208CE" w:rsidRDefault="00513E84">
            <w:pPr>
              <w:pStyle w:val="P68B1DB1-Normal8"/>
              <w:spacing w:after="0"/>
              <w:rPr>
                <w:rFonts w:cs="Times New Roman"/>
                <w:noProof/>
              </w:rPr>
            </w:pPr>
            <w:r>
              <w:rPr>
                <w:noProof/>
              </w:rPr>
              <w:t>Obras</w:t>
            </w:r>
            <w:r>
              <w:rPr>
                <w:noProof/>
              </w:rPr>
              <w:t xml:space="preserve"> de acondicionamiento y accesibilidad de las estaciones (I-3C)</w:t>
            </w:r>
          </w:p>
        </w:tc>
        <w:tc>
          <w:tcPr>
            <w:tcW w:w="1200" w:type="dxa"/>
            <w:tcBorders>
              <w:top w:val="nil"/>
              <w:left w:val="nil"/>
              <w:bottom w:val="single" w:sz="4" w:space="0" w:color="auto"/>
              <w:right w:val="single" w:sz="4" w:space="0" w:color="auto"/>
            </w:tcBorders>
            <w:shd w:val="clear" w:color="auto" w:fill="C6EFCE"/>
            <w:noWrap/>
            <w:vAlign w:val="center"/>
          </w:tcPr>
          <w:p w14:paraId="5AFE828C" w14:textId="433BCF7C"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tcPr>
          <w:p w14:paraId="70E31524" w14:textId="77777777" w:rsidR="00F208CE" w:rsidRDefault="00513E84">
            <w:pPr>
              <w:pStyle w:val="P68B1DB1-Normal8"/>
              <w:spacing w:after="0"/>
              <w:rPr>
                <w:rFonts w:cs="Times New Roman"/>
                <w:noProof/>
              </w:rPr>
            </w:pPr>
            <w:r>
              <w:rPr>
                <w:noProof/>
              </w:rPr>
              <w:t>Finalización de las obras de renovación y modernización de los ferrocarriles y de accesibilidad de las estaciones (etapa 3)</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52AEEF94" w14:textId="77777777" w:rsidR="00F208CE" w:rsidRDefault="00F208CE">
            <w:pPr>
              <w:spacing w:after="0"/>
              <w:rPr>
                <w:rFonts w:ascii="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1C29D104" w14:textId="77777777" w:rsidR="00F208CE" w:rsidRDefault="00513E84">
            <w:pPr>
              <w:pStyle w:val="P68B1DB1-Normal8"/>
              <w:spacing w:after="0"/>
              <w:rPr>
                <w:rFonts w:eastAsia="Times New Roman" w:cs="Times New Roman"/>
                <w:noProof/>
              </w:rPr>
            </w:pPr>
            <w:r>
              <w:rPr>
                <w:noProof/>
              </w:rPr>
              <w:t>Obras finalizadas</w:t>
            </w:r>
          </w:p>
        </w:tc>
        <w:tc>
          <w:tcPr>
            <w:tcW w:w="1080" w:type="dxa"/>
            <w:tcBorders>
              <w:top w:val="nil"/>
              <w:left w:val="nil"/>
              <w:bottom w:val="single" w:sz="4" w:space="0" w:color="auto"/>
              <w:right w:val="single" w:sz="4" w:space="0" w:color="auto"/>
            </w:tcBorders>
            <w:shd w:val="clear" w:color="auto" w:fill="C6EFCE"/>
            <w:noWrap/>
            <w:vAlign w:val="center"/>
          </w:tcPr>
          <w:p w14:paraId="0B444E8A" w14:textId="77777777" w:rsidR="00F208CE" w:rsidRDefault="00513E84">
            <w:pPr>
              <w:pStyle w:val="P68B1DB1-Normal8"/>
              <w:spacing w:after="0"/>
              <w:rPr>
                <w:rFonts w:eastAsia="Times New Roman" w:cs="Times New Roman"/>
                <w:noProof/>
              </w:rPr>
            </w:pPr>
            <w:r>
              <w:rPr>
                <w:noProof/>
              </w:rPr>
              <w:t>62</w:t>
            </w:r>
          </w:p>
        </w:tc>
        <w:tc>
          <w:tcPr>
            <w:tcW w:w="720" w:type="dxa"/>
            <w:tcBorders>
              <w:top w:val="nil"/>
              <w:left w:val="nil"/>
              <w:bottom w:val="single" w:sz="4" w:space="0" w:color="auto"/>
              <w:right w:val="single" w:sz="4" w:space="0" w:color="auto"/>
            </w:tcBorders>
            <w:shd w:val="clear" w:color="auto" w:fill="C6EFCE"/>
            <w:noWrap/>
            <w:vAlign w:val="center"/>
          </w:tcPr>
          <w:p w14:paraId="5685AD91" w14:textId="565F1EAF" w:rsidR="00F208CE" w:rsidRDefault="00513E84">
            <w:pPr>
              <w:pStyle w:val="P68B1DB1-Normal8"/>
              <w:spacing w:after="0"/>
              <w:rPr>
                <w:rFonts w:eastAsia="Times New Roman" w:cs="Times New Roman"/>
                <w:noProof/>
              </w:rPr>
            </w:pPr>
            <w:r>
              <w:rPr>
                <w:noProof/>
              </w:rPr>
              <w:t>84</w:t>
            </w:r>
          </w:p>
        </w:tc>
        <w:tc>
          <w:tcPr>
            <w:tcW w:w="1080" w:type="dxa"/>
            <w:tcBorders>
              <w:top w:val="nil"/>
              <w:left w:val="nil"/>
              <w:bottom w:val="single" w:sz="4" w:space="0" w:color="auto"/>
              <w:right w:val="single" w:sz="4" w:space="0" w:color="auto"/>
            </w:tcBorders>
            <w:shd w:val="clear" w:color="auto" w:fill="C6EFCE"/>
            <w:noWrap/>
            <w:vAlign w:val="center"/>
          </w:tcPr>
          <w:p w14:paraId="61607EAC" w14:textId="77777777" w:rsidR="00F208CE" w:rsidRDefault="00513E84">
            <w:pPr>
              <w:pStyle w:val="P68B1DB1-Normal8"/>
              <w:spacing w:after="0"/>
              <w:jc w:val="center"/>
              <w:rPr>
                <w:rFonts w:eastAsia="Times New Roman" w:cs="Times New Roman"/>
                <w:noProof/>
              </w:rPr>
            </w:pPr>
            <w:r>
              <w:rPr>
                <w:noProof/>
              </w:rPr>
              <w:t>TERCER TRIMESTRE 2</w:t>
            </w:r>
          </w:p>
        </w:tc>
        <w:tc>
          <w:tcPr>
            <w:tcW w:w="840" w:type="dxa"/>
            <w:tcBorders>
              <w:top w:val="nil"/>
              <w:left w:val="nil"/>
              <w:bottom w:val="single" w:sz="4" w:space="0" w:color="auto"/>
              <w:right w:val="single" w:sz="4" w:space="0" w:color="auto"/>
            </w:tcBorders>
            <w:shd w:val="clear" w:color="auto" w:fill="C6EFCE"/>
            <w:noWrap/>
            <w:vAlign w:val="center"/>
          </w:tcPr>
          <w:p w14:paraId="4DE87502" w14:textId="77777777" w:rsidR="00F208CE" w:rsidRDefault="00513E84">
            <w:pPr>
              <w:pStyle w:val="P68B1DB1-Normal8"/>
              <w:spacing w:after="0"/>
              <w:jc w:val="center"/>
              <w:rPr>
                <w:rFonts w:eastAsia="Times New Roman" w:cs="Times New Roman"/>
                <w:noProof/>
              </w:rPr>
            </w:pPr>
            <w:r>
              <w:rPr>
                <w:noProof/>
              </w:rPr>
              <w:t>2026</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69DDB679" w14:textId="3461E1BC" w:rsidR="00F208CE" w:rsidRDefault="00513E84">
            <w:pPr>
              <w:pStyle w:val="P68B1DB1-Normal8"/>
              <w:spacing w:after="0"/>
              <w:rPr>
                <w:rFonts w:cs="Times New Roman"/>
                <w:noProof/>
              </w:rPr>
            </w:pPr>
            <w:r>
              <w:rPr>
                <w:noProof/>
              </w:rPr>
              <w:t>Finalización de 59</w:t>
            </w:r>
            <w:r>
              <w:rPr>
                <w:noProof/>
              </w:rPr>
              <w:t xml:space="preserve"> intervenciones para mejorar la infraestructura ferroviaria y hacer accesibles 25 estaciones (I-3.09) de conformidad con el Reglamento (UE) n.º 1300/2014 de la Comisión sobre al menos 4 criterios:</w:t>
            </w:r>
          </w:p>
          <w:p w14:paraId="79AE3D9C" w14:textId="77777777" w:rsidR="00F208CE" w:rsidRDefault="00513E84">
            <w:pPr>
              <w:pStyle w:val="P68B1DB1-Normal8"/>
              <w:spacing w:after="0"/>
              <w:rPr>
                <w:rFonts w:cs="Times New Roman"/>
                <w:noProof/>
              </w:rPr>
            </w:pPr>
            <w:r>
              <w:rPr>
                <w:noProof/>
              </w:rPr>
              <w:t>— plataformas de alta velocidad (76 cm);</w:t>
            </w:r>
          </w:p>
          <w:p w14:paraId="2C7E7AF7" w14:textId="77777777" w:rsidR="00F208CE" w:rsidRDefault="00513E84">
            <w:pPr>
              <w:pStyle w:val="P68B1DB1-Normal8"/>
              <w:spacing w:after="0"/>
              <w:rPr>
                <w:rFonts w:cs="Times New Roman"/>
                <w:noProof/>
              </w:rPr>
            </w:pPr>
            <w:r>
              <w:rPr>
                <w:noProof/>
              </w:rPr>
              <w:t>— plataformas acce</w:t>
            </w:r>
            <w:r>
              <w:rPr>
                <w:noProof/>
              </w:rPr>
              <w:t>sibles a través de rampas o ascensores;</w:t>
            </w:r>
          </w:p>
          <w:p w14:paraId="0B4021C9" w14:textId="77777777" w:rsidR="00F208CE" w:rsidRDefault="00513E84">
            <w:pPr>
              <w:pStyle w:val="P68B1DB1-Normal8"/>
              <w:spacing w:after="0"/>
              <w:rPr>
                <w:rFonts w:cs="Times New Roman"/>
                <w:noProof/>
              </w:rPr>
            </w:pPr>
            <w:r>
              <w:rPr>
                <w:noProof/>
              </w:rPr>
              <w:t>— sistema de guiado de la superficie de advertencia táctil; y</w:t>
            </w:r>
          </w:p>
          <w:p w14:paraId="23AA94A0" w14:textId="23C36742" w:rsidR="00F208CE" w:rsidRDefault="00513E84">
            <w:pPr>
              <w:pStyle w:val="P68B1DB1-Normal8"/>
              <w:spacing w:after="0"/>
              <w:rPr>
                <w:rFonts w:cs="Times New Roman"/>
                <w:noProof/>
              </w:rPr>
            </w:pPr>
            <w:r>
              <w:rPr>
                <w:noProof/>
              </w:rPr>
              <w:t>— al menos una máquina expendedora de billetes accesible a las personas con movilidad reducida.</w:t>
            </w:r>
          </w:p>
        </w:tc>
      </w:tr>
      <w:tr w:rsidR="00F208CE" w14:paraId="31F22158"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8416FF" w14:textId="77777777" w:rsidR="00F208CE" w:rsidRDefault="00513E84">
            <w:pPr>
              <w:pStyle w:val="P68B1DB1-Normal8"/>
              <w:spacing w:after="0"/>
              <w:jc w:val="center"/>
              <w:rPr>
                <w:rFonts w:eastAsia="Times New Roman" w:cs="Times New Roman"/>
                <w:noProof/>
              </w:rPr>
            </w:pPr>
            <w:r>
              <w:rPr>
                <w:noProof/>
              </w:rPr>
              <w:t>106</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48732062" w14:textId="6FFDAA3B" w:rsidR="00F208CE" w:rsidRDefault="00513E84">
            <w:pPr>
              <w:pStyle w:val="P68B1DB1-Normal8"/>
              <w:spacing w:after="0"/>
              <w:rPr>
                <w:rFonts w:cs="Times New Roman"/>
                <w:noProof/>
              </w:rPr>
            </w:pPr>
            <w:r>
              <w:rPr>
                <w:noProof/>
              </w:rPr>
              <w:t>Canal Albert y Trilogiport (I-3.11)</w:t>
            </w:r>
          </w:p>
        </w:tc>
        <w:tc>
          <w:tcPr>
            <w:tcW w:w="1200" w:type="dxa"/>
            <w:tcBorders>
              <w:top w:val="nil"/>
              <w:left w:val="nil"/>
              <w:bottom w:val="single" w:sz="4" w:space="0" w:color="auto"/>
              <w:right w:val="single" w:sz="4" w:space="0" w:color="auto"/>
            </w:tcBorders>
            <w:shd w:val="clear" w:color="auto" w:fill="C6EFCE"/>
            <w:noWrap/>
            <w:vAlign w:val="center"/>
          </w:tcPr>
          <w:p w14:paraId="03AE3116" w14:textId="5781F43D" w:rsidR="00F208CE" w:rsidRDefault="00513E84">
            <w:pPr>
              <w:pStyle w:val="P68B1DB1-Normal8"/>
              <w:spacing w:after="0"/>
              <w:rPr>
                <w:rFonts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4C9DD888" w14:textId="77777777" w:rsidR="00F208CE" w:rsidRDefault="00513E84">
            <w:pPr>
              <w:pStyle w:val="P68B1DB1-Normal8"/>
              <w:spacing w:after="0"/>
              <w:rPr>
                <w:rFonts w:cs="Times New Roman"/>
                <w:noProof/>
              </w:rPr>
            </w:pPr>
            <w:r>
              <w:rPr>
                <w:noProof/>
              </w:rPr>
              <w:t>Adjudicación de con</w:t>
            </w:r>
            <w:r>
              <w:rPr>
                <w:noProof/>
              </w:rPr>
              <w:t xml:space="preserve">tratos para las obras de los puentes sobre Canal Albert/y una nueva plataforma en Trilogiport </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5E88B471" w14:textId="77777777" w:rsidR="00F208CE" w:rsidRDefault="00513E84">
            <w:pPr>
              <w:pStyle w:val="P68B1DB1-Normal8"/>
              <w:spacing w:after="0"/>
              <w:rPr>
                <w:rFonts w:eastAsia="Times New Roman" w:cs="Times New Roman"/>
                <w:noProof/>
              </w:rPr>
            </w:pPr>
            <w:r>
              <w:rPr>
                <w:noProof/>
              </w:rPr>
              <w:t>Notificación escrita de la adjudicación de contratos</w:t>
            </w:r>
          </w:p>
        </w:tc>
        <w:tc>
          <w:tcPr>
            <w:tcW w:w="1440" w:type="dxa"/>
            <w:tcBorders>
              <w:top w:val="nil"/>
              <w:left w:val="nil"/>
              <w:bottom w:val="single" w:sz="4" w:space="0" w:color="auto"/>
              <w:right w:val="single" w:sz="4" w:space="0" w:color="auto"/>
            </w:tcBorders>
            <w:shd w:val="clear" w:color="auto" w:fill="C6EFCE"/>
            <w:noWrap/>
            <w:vAlign w:val="center"/>
          </w:tcPr>
          <w:p w14:paraId="3D7F477D" w14:textId="09A990D9"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56E66A97" w14:textId="647578D6"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6093F713" w14:textId="465C780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277A740A" w14:textId="541E7883" w:rsidR="00F208CE" w:rsidRDefault="00513E84">
            <w:pPr>
              <w:pStyle w:val="P68B1DB1-Normal8"/>
              <w:spacing w:after="0"/>
              <w:jc w:val="center"/>
              <w:rPr>
                <w:rFonts w:eastAsia="Times New Roman" w:cs="Times New Roman"/>
                <w:noProof/>
              </w:rPr>
            </w:pPr>
            <w:r>
              <w:rPr>
                <w:noProof/>
              </w:rPr>
              <w:t>TERCER TRIMESTRE 1</w:t>
            </w:r>
          </w:p>
        </w:tc>
        <w:tc>
          <w:tcPr>
            <w:tcW w:w="840" w:type="dxa"/>
            <w:tcBorders>
              <w:top w:val="nil"/>
              <w:left w:val="nil"/>
              <w:bottom w:val="single" w:sz="4" w:space="0" w:color="auto"/>
              <w:right w:val="single" w:sz="4" w:space="0" w:color="auto"/>
            </w:tcBorders>
            <w:shd w:val="clear" w:color="auto" w:fill="C6EFCE"/>
            <w:noWrap/>
            <w:vAlign w:val="center"/>
          </w:tcPr>
          <w:p w14:paraId="1FC258D6" w14:textId="30022BC8" w:rsidR="00F208CE" w:rsidRDefault="00513E84">
            <w:pPr>
              <w:pStyle w:val="P68B1DB1-Normal8"/>
              <w:spacing w:after="0"/>
              <w:jc w:val="center"/>
              <w:rPr>
                <w:rFonts w:eastAsia="Times New Roman" w:cs="Times New Roman"/>
                <w:noProof/>
              </w:rPr>
            </w:pPr>
            <w:r>
              <w:rPr>
                <w:noProof/>
              </w:rPr>
              <w:t>2025</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7DD6BBDE" w14:textId="77777777" w:rsidR="00F208CE" w:rsidRDefault="00513E84">
            <w:pPr>
              <w:pStyle w:val="P68B1DB1-Normal8"/>
              <w:spacing w:after="0"/>
              <w:rPr>
                <w:rFonts w:eastAsia="Times New Roman" w:cs="Times New Roman"/>
                <w:noProof/>
              </w:rPr>
            </w:pPr>
            <w:r>
              <w:rPr>
                <w:noProof/>
              </w:rPr>
              <w:t>Adjudicación de todos los contratos de obras de la nueva plataforma multimodal de</w:t>
            </w:r>
            <w:r>
              <w:rPr>
                <w:noProof/>
              </w:rPr>
              <w:t xml:space="preserve"> Trilogiport en Lieja y de los 4 puentes sobre el canal de Albert-Canal (puentes Lanaye, Lixhe, Haccourt y Hermalle-sous-Argenteau).</w:t>
            </w:r>
          </w:p>
        </w:tc>
      </w:tr>
      <w:tr w:rsidR="00F208CE" w14:paraId="28734752"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F603D0" w14:textId="77777777" w:rsidR="00F208CE" w:rsidRDefault="00513E84">
            <w:pPr>
              <w:pStyle w:val="P68B1DB1-Normal8"/>
              <w:spacing w:after="0"/>
              <w:jc w:val="center"/>
              <w:rPr>
                <w:rFonts w:eastAsia="Times New Roman" w:cs="Times New Roman"/>
                <w:noProof/>
              </w:rPr>
            </w:pPr>
            <w:r>
              <w:rPr>
                <w:noProof/>
              </w:rPr>
              <w:t>107</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68FD0A0B" w14:textId="5E566A9A" w:rsidR="00F208CE" w:rsidRDefault="00513E84">
            <w:pPr>
              <w:pStyle w:val="P68B1DB1-Normal8"/>
              <w:spacing w:after="0"/>
              <w:rPr>
                <w:rFonts w:cs="Times New Roman"/>
                <w:noProof/>
              </w:rPr>
            </w:pPr>
            <w:r>
              <w:rPr>
                <w:noProof/>
              </w:rPr>
              <w:t>Canal Albert y Trilogiport (I-3.11)</w:t>
            </w:r>
          </w:p>
        </w:tc>
        <w:tc>
          <w:tcPr>
            <w:tcW w:w="1200" w:type="dxa"/>
            <w:tcBorders>
              <w:top w:val="nil"/>
              <w:left w:val="nil"/>
              <w:bottom w:val="single" w:sz="4" w:space="0" w:color="auto"/>
              <w:right w:val="single" w:sz="4" w:space="0" w:color="auto"/>
            </w:tcBorders>
            <w:shd w:val="clear" w:color="auto" w:fill="C6EFCE"/>
            <w:noWrap/>
            <w:vAlign w:val="center"/>
          </w:tcPr>
          <w:p w14:paraId="4E772CC6" w14:textId="3CD49435"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tcPr>
          <w:p w14:paraId="4CFD8D88" w14:textId="77777777" w:rsidR="00F208CE" w:rsidRDefault="00513E84">
            <w:pPr>
              <w:pStyle w:val="P68B1DB1-Normal8"/>
              <w:spacing w:after="0"/>
              <w:rPr>
                <w:rFonts w:cs="Times New Roman"/>
                <w:noProof/>
              </w:rPr>
            </w:pPr>
            <w:r>
              <w:rPr>
                <w:noProof/>
              </w:rPr>
              <w:t xml:space="preserve">Finalización de las obras de los puentes sobre Canal Albert/y una nueva plataforma </w:t>
            </w:r>
            <w:r>
              <w:rPr>
                <w:noProof/>
              </w:rPr>
              <w:t>en Trilogiport</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362B7FEF"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3DD7D262" w14:textId="77777777" w:rsidR="00F208CE" w:rsidRDefault="00513E84">
            <w:pPr>
              <w:pStyle w:val="P68B1DB1-Normal8"/>
              <w:spacing w:after="0"/>
              <w:rPr>
                <w:rFonts w:eastAsia="Times New Roman" w:cs="Times New Roman"/>
                <w:noProof/>
              </w:rPr>
            </w:pPr>
            <w:r>
              <w:rPr>
                <w:noProof/>
              </w:rPr>
              <w:t>Número de obras</w:t>
            </w:r>
          </w:p>
        </w:tc>
        <w:tc>
          <w:tcPr>
            <w:tcW w:w="1080" w:type="dxa"/>
            <w:tcBorders>
              <w:top w:val="nil"/>
              <w:left w:val="nil"/>
              <w:bottom w:val="single" w:sz="4" w:space="0" w:color="auto"/>
              <w:right w:val="single" w:sz="4" w:space="0" w:color="auto"/>
            </w:tcBorders>
            <w:shd w:val="clear" w:color="auto" w:fill="C6EFCE"/>
            <w:noWrap/>
            <w:vAlign w:val="center"/>
          </w:tcPr>
          <w:p w14:paraId="1BAEDC49"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1E459877" w14:textId="77777777" w:rsidR="00F208CE" w:rsidRDefault="00513E84">
            <w:pPr>
              <w:pStyle w:val="P68B1DB1-Normal8"/>
              <w:spacing w:after="0"/>
              <w:rPr>
                <w:rFonts w:eastAsia="Times New Roman" w:cs="Times New Roman"/>
                <w:noProof/>
              </w:rPr>
            </w:pPr>
            <w:r>
              <w:rPr>
                <w:noProof/>
              </w:rPr>
              <w:t>5</w:t>
            </w:r>
          </w:p>
        </w:tc>
        <w:tc>
          <w:tcPr>
            <w:tcW w:w="1080" w:type="dxa"/>
            <w:tcBorders>
              <w:top w:val="nil"/>
              <w:left w:val="nil"/>
              <w:bottom w:val="single" w:sz="4" w:space="0" w:color="auto"/>
              <w:right w:val="single" w:sz="4" w:space="0" w:color="auto"/>
            </w:tcBorders>
            <w:shd w:val="clear" w:color="auto" w:fill="C6EFCE"/>
            <w:noWrap/>
            <w:vAlign w:val="center"/>
          </w:tcPr>
          <w:p w14:paraId="6EF6CCB1" w14:textId="344472B5" w:rsidR="00F208CE" w:rsidRDefault="00513E84">
            <w:pPr>
              <w:pStyle w:val="P68B1DB1-Normal8"/>
              <w:spacing w:after="0"/>
              <w:jc w:val="center"/>
              <w:rPr>
                <w:rFonts w:eastAsia="Times New Roman" w:cs="Times New Roman"/>
                <w:noProof/>
              </w:rPr>
            </w:pPr>
            <w:r>
              <w:rPr>
                <w:noProof/>
              </w:rPr>
              <w:t>TERCER TRIMESTRE 2</w:t>
            </w:r>
          </w:p>
        </w:tc>
        <w:tc>
          <w:tcPr>
            <w:tcW w:w="840" w:type="dxa"/>
            <w:tcBorders>
              <w:top w:val="nil"/>
              <w:left w:val="nil"/>
              <w:bottom w:val="single" w:sz="4" w:space="0" w:color="auto"/>
              <w:right w:val="single" w:sz="4" w:space="0" w:color="auto"/>
            </w:tcBorders>
            <w:shd w:val="clear" w:color="auto" w:fill="C6EFCE"/>
            <w:noWrap/>
            <w:vAlign w:val="center"/>
          </w:tcPr>
          <w:p w14:paraId="0D179CBD" w14:textId="40F15EA6" w:rsidR="00F208CE" w:rsidRDefault="00513E84">
            <w:pPr>
              <w:pStyle w:val="P68B1DB1-Normal8"/>
              <w:spacing w:after="0"/>
              <w:jc w:val="center"/>
              <w:rPr>
                <w:rFonts w:eastAsia="Times New Roman" w:cs="Times New Roman"/>
                <w:noProof/>
              </w:rPr>
            </w:pPr>
            <w:r>
              <w:rPr>
                <w:noProof/>
              </w:rPr>
              <w:t>2026</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5DE4AAA4" w14:textId="774091B1" w:rsidR="00F208CE" w:rsidRDefault="00513E84">
            <w:pPr>
              <w:pStyle w:val="P68B1DB1-Normal8"/>
              <w:spacing w:after="0"/>
              <w:rPr>
                <w:rFonts w:cs="Times New Roman"/>
                <w:noProof/>
              </w:rPr>
            </w:pPr>
            <w:r>
              <w:rPr>
                <w:noProof/>
              </w:rPr>
              <w:t>Finalización de las obras en la plataforma multimodal de Trilogiport en Lieja (recepción de «procès-verbal de reception provisoire») y de las obras para aumentar la altura de 3 puentes sobre el Ca</w:t>
            </w:r>
            <w:r>
              <w:rPr>
                <w:noProof/>
              </w:rPr>
              <w:t>nal de Albert-(puentes Lixhe, Haccourt y Hermalle-sous-Argenteau) e instalación de señalización complementaria en un puente sobre el Canal de Albert-Canal (Lanaye).</w:t>
            </w:r>
          </w:p>
        </w:tc>
      </w:tr>
      <w:tr w:rsidR="00F208CE" w14:paraId="57267D25"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83E449" w14:textId="77777777" w:rsidR="00F208CE" w:rsidRDefault="00513E84">
            <w:pPr>
              <w:pStyle w:val="P68B1DB1-Normal8"/>
              <w:spacing w:after="0"/>
              <w:jc w:val="center"/>
              <w:rPr>
                <w:rFonts w:eastAsia="Times New Roman" w:cs="Times New Roman"/>
                <w:noProof/>
              </w:rPr>
            </w:pPr>
            <w:r>
              <w:rPr>
                <w:noProof/>
              </w:rPr>
              <w:t>108</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03D9BA03" w14:textId="77777777" w:rsidR="00F208CE" w:rsidRDefault="00513E84">
            <w:pPr>
              <w:pStyle w:val="P68B1DB1-Normal8"/>
              <w:spacing w:after="0"/>
              <w:rPr>
                <w:rFonts w:cs="Times New Roman"/>
                <w:noProof/>
              </w:rPr>
            </w:pPr>
            <w:r>
              <w:rPr>
                <w:noProof/>
              </w:rPr>
              <w:t xml:space="preserve">Desbloqueo de los datos abiertos para la aplicación de movilidad inteligente (I-3D) </w:t>
            </w:r>
          </w:p>
        </w:tc>
        <w:tc>
          <w:tcPr>
            <w:tcW w:w="1200" w:type="dxa"/>
            <w:tcBorders>
              <w:top w:val="nil"/>
              <w:left w:val="nil"/>
              <w:bottom w:val="single" w:sz="4" w:space="0" w:color="auto"/>
              <w:right w:val="single" w:sz="4" w:space="0" w:color="auto"/>
            </w:tcBorders>
            <w:shd w:val="clear" w:color="auto" w:fill="C6EFCE"/>
            <w:noWrap/>
            <w:vAlign w:val="center"/>
          </w:tcPr>
          <w:p w14:paraId="52C1B15F" w14:textId="18490EBA"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tcPr>
          <w:p w14:paraId="6BBE70C3" w14:textId="77777777" w:rsidR="00F208CE" w:rsidRDefault="00513E84">
            <w:pPr>
              <w:pStyle w:val="P68B1DB1-Normal8"/>
              <w:spacing w:after="0"/>
              <w:rPr>
                <w:rFonts w:cs="Times New Roman"/>
                <w:noProof/>
              </w:rPr>
            </w:pPr>
            <w:r>
              <w:rPr>
                <w:noProof/>
              </w:rPr>
              <w:t xml:space="preserve">Desbloqueo de los datos abiertos para la aplicación de movilidad inteligente </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03F8CE39"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7B0C0B0A" w14:textId="77777777" w:rsidR="00F208CE" w:rsidRDefault="00513E84">
            <w:pPr>
              <w:pStyle w:val="P68B1DB1-Normal8"/>
              <w:spacing w:after="0"/>
              <w:rPr>
                <w:rFonts w:eastAsia="Times New Roman" w:cs="Times New Roman"/>
                <w:noProof/>
              </w:rPr>
            </w:pPr>
            <w:r>
              <w:rPr>
                <w:noProof/>
              </w:rPr>
              <w:t>Proyectos</w:t>
            </w:r>
          </w:p>
        </w:tc>
        <w:tc>
          <w:tcPr>
            <w:tcW w:w="1080" w:type="dxa"/>
            <w:tcBorders>
              <w:top w:val="nil"/>
              <w:left w:val="nil"/>
              <w:bottom w:val="single" w:sz="4" w:space="0" w:color="auto"/>
              <w:right w:val="single" w:sz="4" w:space="0" w:color="auto"/>
            </w:tcBorders>
            <w:shd w:val="clear" w:color="auto" w:fill="C6EFCE"/>
            <w:noWrap/>
            <w:vAlign w:val="center"/>
          </w:tcPr>
          <w:p w14:paraId="18107087"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49B9A21D" w14:textId="77777777" w:rsidR="00F208CE" w:rsidRDefault="00513E84">
            <w:pPr>
              <w:pStyle w:val="P68B1DB1-Normal8"/>
              <w:spacing w:after="0"/>
              <w:rPr>
                <w:rFonts w:eastAsia="Times New Roman" w:cs="Times New Roman"/>
                <w:noProof/>
              </w:rPr>
            </w:pPr>
            <w:r>
              <w:rPr>
                <w:noProof/>
              </w:rPr>
              <w:t>3</w:t>
            </w:r>
          </w:p>
        </w:tc>
        <w:tc>
          <w:tcPr>
            <w:tcW w:w="1080" w:type="dxa"/>
            <w:tcBorders>
              <w:top w:val="nil"/>
              <w:left w:val="nil"/>
              <w:bottom w:val="single" w:sz="4" w:space="0" w:color="auto"/>
              <w:right w:val="single" w:sz="4" w:space="0" w:color="auto"/>
            </w:tcBorders>
            <w:shd w:val="clear" w:color="auto" w:fill="C6EFCE"/>
            <w:noWrap/>
            <w:vAlign w:val="center"/>
          </w:tcPr>
          <w:p w14:paraId="718D1FC7" w14:textId="77777777" w:rsidR="00F208CE" w:rsidRDefault="00513E84">
            <w:pPr>
              <w:pStyle w:val="P68B1DB1-Normal8"/>
              <w:spacing w:after="0"/>
              <w:jc w:val="center"/>
              <w:rPr>
                <w:rFonts w:eastAsia="Times New Roman" w:cs="Times New Roman"/>
                <w:noProof/>
              </w:rPr>
            </w:pPr>
            <w:r>
              <w:rPr>
                <w:noProof/>
              </w:rPr>
              <w:t>TERCER TRIMESTRE 1</w:t>
            </w:r>
          </w:p>
        </w:tc>
        <w:tc>
          <w:tcPr>
            <w:tcW w:w="840" w:type="dxa"/>
            <w:tcBorders>
              <w:top w:val="nil"/>
              <w:left w:val="nil"/>
              <w:bottom w:val="single" w:sz="4" w:space="0" w:color="auto"/>
              <w:right w:val="single" w:sz="4" w:space="0" w:color="auto"/>
            </w:tcBorders>
            <w:shd w:val="clear" w:color="auto" w:fill="C6EFCE"/>
            <w:noWrap/>
            <w:vAlign w:val="center"/>
          </w:tcPr>
          <w:p w14:paraId="4E090F0D" w14:textId="77777777" w:rsidR="00F208CE" w:rsidRDefault="00513E84">
            <w:pPr>
              <w:pStyle w:val="P68B1DB1-Normal8"/>
              <w:spacing w:after="0"/>
              <w:jc w:val="center"/>
              <w:rPr>
                <w:rFonts w:eastAsia="Times New Roman" w:cs="Times New Roman"/>
                <w:noProof/>
              </w:rPr>
            </w:pPr>
            <w:r>
              <w:rPr>
                <w:noProof/>
              </w:rPr>
              <w:t>2025</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4C934601" w14:textId="77777777" w:rsidR="00F208CE" w:rsidRDefault="00513E84">
            <w:pPr>
              <w:pStyle w:val="P68B1DB1-Normal8"/>
              <w:spacing w:after="0"/>
              <w:rPr>
                <w:rFonts w:cs="Times New Roman"/>
                <w:noProof/>
              </w:rPr>
            </w:pPr>
            <w:r>
              <w:rPr>
                <w:noProof/>
              </w:rPr>
              <w:t>Desbloqueo de los datos abiertos para la aplicación</w:t>
            </w:r>
            <w:r>
              <w:rPr>
                <w:noProof/>
              </w:rPr>
              <w:t xml:space="preserve"> de movilidad inteligente:</w:t>
            </w:r>
          </w:p>
          <w:p w14:paraId="48F17DDD" w14:textId="77777777" w:rsidR="00F208CE" w:rsidRDefault="00513E84">
            <w:pPr>
              <w:pStyle w:val="P68B1DB1-Normal8"/>
              <w:spacing w:after="0"/>
              <w:rPr>
                <w:rFonts w:cs="Times New Roman"/>
                <w:noProof/>
              </w:rPr>
            </w:pPr>
            <w:r>
              <w:rPr>
                <w:noProof/>
              </w:rPr>
              <w:t>— Venta de billetes SNCB (1 proyecto),</w:t>
            </w:r>
          </w:p>
          <w:p w14:paraId="73765788" w14:textId="77777777" w:rsidR="00F208CE" w:rsidRDefault="00513E84">
            <w:pPr>
              <w:pStyle w:val="P68B1DB1-Normal8"/>
              <w:spacing w:after="0"/>
              <w:rPr>
                <w:rFonts w:cs="Times New Roman"/>
                <w:noProof/>
              </w:rPr>
            </w:pPr>
            <w:r>
              <w:rPr>
                <w:noProof/>
              </w:rPr>
              <w:t>— Planificación de la SNCB — Datos temporales (proyecto 1)</w:t>
            </w:r>
          </w:p>
          <w:p w14:paraId="1E08EADA" w14:textId="77777777" w:rsidR="00F208CE" w:rsidRDefault="00513E84">
            <w:pPr>
              <w:pStyle w:val="P68B1DB1-Normal8"/>
              <w:spacing w:after="0"/>
              <w:rPr>
                <w:rFonts w:eastAsia="Times New Roman" w:cs="Times New Roman"/>
                <w:noProof/>
              </w:rPr>
            </w:pPr>
            <w:r>
              <w:rPr>
                <w:noProof/>
              </w:rPr>
              <w:t>Servicios de movilidad de Bruselas (1 proyecto)</w:t>
            </w:r>
          </w:p>
        </w:tc>
      </w:tr>
      <w:tr w:rsidR="00F208CE" w14:paraId="29B19588"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9BC702" w14:textId="77777777" w:rsidR="00F208CE" w:rsidRDefault="00513E84">
            <w:pPr>
              <w:pStyle w:val="P68B1DB1-Normal8"/>
              <w:spacing w:after="0"/>
              <w:jc w:val="center"/>
              <w:rPr>
                <w:rFonts w:eastAsia="Times New Roman" w:cs="Times New Roman"/>
                <w:noProof/>
              </w:rPr>
            </w:pPr>
            <w:r>
              <w:rPr>
                <w:noProof/>
              </w:rPr>
              <w:t>109</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452E9E5F" w14:textId="77777777" w:rsidR="00F208CE" w:rsidRDefault="00513E84">
            <w:pPr>
              <w:pStyle w:val="P68B1DB1-Normal8"/>
              <w:spacing w:after="0"/>
              <w:rPr>
                <w:rFonts w:cs="Times New Roman"/>
                <w:noProof/>
              </w:rPr>
            </w:pPr>
            <w:r>
              <w:rPr>
                <w:noProof/>
              </w:rPr>
              <w:t>Ir en funcionamiento de los módulos informáticos ferroviarios (I-3E)</w:t>
            </w:r>
          </w:p>
        </w:tc>
        <w:tc>
          <w:tcPr>
            <w:tcW w:w="1200" w:type="dxa"/>
            <w:tcBorders>
              <w:top w:val="nil"/>
              <w:left w:val="nil"/>
              <w:bottom w:val="single" w:sz="4" w:space="0" w:color="auto"/>
              <w:right w:val="single" w:sz="4" w:space="0" w:color="auto"/>
            </w:tcBorders>
            <w:shd w:val="clear" w:color="auto" w:fill="C6EFCE"/>
            <w:noWrap/>
            <w:vAlign w:val="center"/>
          </w:tcPr>
          <w:p w14:paraId="287E8C16" w14:textId="0EC70D55"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tcPr>
          <w:p w14:paraId="19D0FF36" w14:textId="77777777" w:rsidR="00F208CE" w:rsidRDefault="00513E84">
            <w:pPr>
              <w:pStyle w:val="P68B1DB1-Normal8"/>
              <w:spacing w:after="0"/>
              <w:rPr>
                <w:rFonts w:cs="Times New Roman"/>
                <w:noProof/>
              </w:rPr>
            </w:pPr>
            <w:r>
              <w:rPr>
                <w:noProof/>
              </w:rPr>
              <w:t>Ir en directo de los módulos informáticos ferroviarios</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01DB7E95" w14:textId="77777777" w:rsidR="00F208CE" w:rsidRDefault="00F208CE">
            <w:pPr>
              <w:spacing w:after="0"/>
              <w:rPr>
                <w:rFonts w:ascii="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5C93C3F0" w14:textId="77777777" w:rsidR="00F208CE" w:rsidRDefault="00513E84">
            <w:pPr>
              <w:pStyle w:val="P68B1DB1-Normal8"/>
              <w:spacing w:after="0"/>
              <w:rPr>
                <w:rFonts w:cs="Times New Roman"/>
                <w:noProof/>
              </w:rPr>
            </w:pPr>
            <w:r>
              <w:rPr>
                <w:noProof/>
              </w:rPr>
              <w:t>Módulos</w:t>
            </w:r>
          </w:p>
        </w:tc>
        <w:tc>
          <w:tcPr>
            <w:tcW w:w="1080" w:type="dxa"/>
            <w:tcBorders>
              <w:top w:val="nil"/>
              <w:left w:val="nil"/>
              <w:bottom w:val="single" w:sz="4" w:space="0" w:color="auto"/>
              <w:right w:val="single" w:sz="4" w:space="0" w:color="auto"/>
            </w:tcBorders>
            <w:shd w:val="clear" w:color="auto" w:fill="C6EFCE"/>
            <w:noWrap/>
            <w:vAlign w:val="center"/>
          </w:tcPr>
          <w:p w14:paraId="2BD0B5AB"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00D625AF" w14:textId="77777777" w:rsidR="00F208CE" w:rsidRDefault="00513E84">
            <w:pPr>
              <w:pStyle w:val="P68B1DB1-Normal8"/>
              <w:spacing w:after="0"/>
              <w:rPr>
                <w:rFonts w:eastAsia="Times New Roman" w:cs="Times New Roman"/>
                <w:noProof/>
              </w:rPr>
            </w:pPr>
            <w:r>
              <w:rPr>
                <w:noProof/>
              </w:rPr>
              <w:t>10</w:t>
            </w:r>
          </w:p>
        </w:tc>
        <w:tc>
          <w:tcPr>
            <w:tcW w:w="1080" w:type="dxa"/>
            <w:tcBorders>
              <w:top w:val="nil"/>
              <w:left w:val="nil"/>
              <w:bottom w:val="single" w:sz="4" w:space="0" w:color="auto"/>
              <w:right w:val="single" w:sz="4" w:space="0" w:color="auto"/>
            </w:tcBorders>
            <w:shd w:val="clear" w:color="auto" w:fill="C6EFCE"/>
            <w:noWrap/>
            <w:vAlign w:val="center"/>
          </w:tcPr>
          <w:p w14:paraId="327065C5" w14:textId="77777777" w:rsidR="00F208CE" w:rsidRDefault="00513E84">
            <w:pPr>
              <w:pStyle w:val="P68B1DB1-Normal8"/>
              <w:spacing w:after="0"/>
              <w:jc w:val="center"/>
              <w:rPr>
                <w:rFonts w:eastAsia="Times New Roman" w:cs="Times New Roman"/>
                <w:noProof/>
              </w:rPr>
            </w:pPr>
            <w:r>
              <w:rPr>
                <w:noProof/>
              </w:rPr>
              <w:t>TERCER TRIMESTRE 4</w:t>
            </w:r>
          </w:p>
        </w:tc>
        <w:tc>
          <w:tcPr>
            <w:tcW w:w="840" w:type="dxa"/>
            <w:tcBorders>
              <w:top w:val="nil"/>
              <w:left w:val="nil"/>
              <w:bottom w:val="single" w:sz="4" w:space="0" w:color="auto"/>
              <w:right w:val="single" w:sz="4" w:space="0" w:color="auto"/>
            </w:tcBorders>
            <w:shd w:val="clear" w:color="auto" w:fill="C6EFCE"/>
            <w:noWrap/>
            <w:vAlign w:val="center"/>
          </w:tcPr>
          <w:p w14:paraId="1CFCFD14" w14:textId="77777777" w:rsidR="00F208CE" w:rsidRDefault="00513E84">
            <w:pPr>
              <w:pStyle w:val="P68B1DB1-Normal8"/>
              <w:spacing w:after="0"/>
              <w:jc w:val="center"/>
              <w:rPr>
                <w:rFonts w:eastAsia="Times New Roman" w:cs="Times New Roman"/>
                <w:noProof/>
              </w:rPr>
            </w:pPr>
            <w:r>
              <w:rPr>
                <w:noProof/>
              </w:rPr>
              <w:t>2024</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3085A452" w14:textId="77777777" w:rsidR="00F208CE" w:rsidRDefault="00513E84">
            <w:pPr>
              <w:pStyle w:val="P68B1DB1-Normal8"/>
              <w:spacing w:after="0"/>
              <w:rPr>
                <w:rFonts w:cs="Times New Roman"/>
                <w:noProof/>
              </w:rPr>
            </w:pPr>
            <w:r>
              <w:rPr>
                <w:noProof/>
              </w:rPr>
              <w:t>Ir en directo de los módulos informáticos ferroviarios: Sistema de gestión del tráfico de Infrabel (módulo 1)</w:t>
            </w:r>
          </w:p>
          <w:p w14:paraId="11FDBAE4" w14:textId="77777777" w:rsidR="00F208CE" w:rsidRDefault="00513E84">
            <w:pPr>
              <w:pStyle w:val="P68B1DB1-Normal8"/>
              <w:spacing w:after="0"/>
              <w:rPr>
                <w:rFonts w:cs="Times New Roman"/>
                <w:noProof/>
              </w:rPr>
            </w:pPr>
            <w:r>
              <w:rPr>
                <w:noProof/>
              </w:rPr>
              <w:t>Planificador de rutas SNCB-NMBS (módulo 1)</w:t>
            </w:r>
          </w:p>
          <w:p w14:paraId="4DF77789" w14:textId="77777777" w:rsidR="00F208CE" w:rsidRDefault="00513E84">
            <w:pPr>
              <w:pStyle w:val="P68B1DB1-Normal8"/>
              <w:spacing w:after="0"/>
              <w:rPr>
                <w:rFonts w:eastAsia="Times New Roman" w:cs="Times New Roman"/>
                <w:noProof/>
              </w:rPr>
            </w:pPr>
            <w:r>
              <w:rPr>
                <w:noProof/>
              </w:rPr>
              <w:t>Componente</w:t>
            </w:r>
            <w:r>
              <w:rPr>
                <w:noProof/>
              </w:rPr>
              <w:t>s de venta de billetes SNCB-NMBS (8 módulos) que permiten mejorar las operaciones y la experiencia de los clientes en el transporte ferroviario de mercancías y pasajeros.</w:t>
            </w:r>
          </w:p>
        </w:tc>
      </w:tr>
      <w:tr w:rsidR="00F208CE" w14:paraId="4F444083"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C23A9B" w14:textId="77777777" w:rsidR="00F208CE" w:rsidRDefault="00513E84">
            <w:pPr>
              <w:pStyle w:val="P68B1DB1-Normal8"/>
              <w:spacing w:after="0"/>
              <w:jc w:val="center"/>
              <w:rPr>
                <w:rFonts w:eastAsia="Times New Roman" w:cs="Times New Roman"/>
                <w:noProof/>
              </w:rPr>
            </w:pPr>
            <w:r>
              <w:rPr>
                <w:noProof/>
              </w:rPr>
              <w:t>110</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624F08A0" w14:textId="77777777" w:rsidR="00F208CE" w:rsidRDefault="00513E84">
            <w:pPr>
              <w:pStyle w:val="P68B1DB1-Normal8"/>
              <w:spacing w:after="0"/>
              <w:rPr>
                <w:rFonts w:cs="Times New Roman"/>
                <w:noProof/>
              </w:rPr>
            </w:pPr>
            <w:r>
              <w:rPr>
                <w:noProof/>
              </w:rPr>
              <w:t>Presupuesto de Mobiliteits(R-3.02)</w:t>
            </w:r>
          </w:p>
        </w:tc>
        <w:tc>
          <w:tcPr>
            <w:tcW w:w="1200" w:type="dxa"/>
            <w:tcBorders>
              <w:top w:val="nil"/>
              <w:left w:val="nil"/>
              <w:bottom w:val="single" w:sz="4" w:space="0" w:color="auto"/>
              <w:right w:val="single" w:sz="4" w:space="0" w:color="auto"/>
            </w:tcBorders>
            <w:shd w:val="clear" w:color="auto" w:fill="C6EFCE"/>
            <w:noWrap/>
            <w:vAlign w:val="center"/>
          </w:tcPr>
          <w:p w14:paraId="0D0AC46F" w14:textId="12058696" w:rsidR="00F208CE" w:rsidRDefault="00513E84">
            <w:pPr>
              <w:pStyle w:val="P68B1DB1-Normal8"/>
              <w:spacing w:after="0"/>
              <w:rPr>
                <w:rFonts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711E95C9" w14:textId="77777777" w:rsidR="00F208CE" w:rsidRDefault="00513E84">
            <w:pPr>
              <w:pStyle w:val="P68B1DB1-Normal8"/>
              <w:spacing w:after="0"/>
              <w:rPr>
                <w:rFonts w:cs="Times New Roman"/>
                <w:noProof/>
              </w:rPr>
            </w:pPr>
            <w:r>
              <w:rPr>
                <w:noProof/>
              </w:rPr>
              <w:t>Aprobación del presupuesto para movilidad</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3D653A74" w14:textId="77777777" w:rsidR="00F208CE" w:rsidRDefault="00513E84">
            <w:pPr>
              <w:pStyle w:val="P68B1DB1-Normal8"/>
              <w:spacing w:after="0"/>
              <w:rPr>
                <w:rFonts w:eastAsia="Times New Roman" w:cs="Times New Roman"/>
                <w:noProof/>
              </w:rPr>
            </w:pPr>
            <w:r>
              <w:rPr>
                <w:noProof/>
              </w:rPr>
              <w:t>Aprob</w:t>
            </w:r>
            <w:r>
              <w:rPr>
                <w:noProof/>
              </w:rPr>
              <w:t>ación del presupuesto para movilidad</w:t>
            </w:r>
          </w:p>
        </w:tc>
        <w:tc>
          <w:tcPr>
            <w:tcW w:w="1440" w:type="dxa"/>
            <w:tcBorders>
              <w:top w:val="nil"/>
              <w:left w:val="nil"/>
              <w:bottom w:val="single" w:sz="4" w:space="0" w:color="auto"/>
              <w:right w:val="single" w:sz="4" w:space="0" w:color="auto"/>
            </w:tcBorders>
            <w:shd w:val="clear" w:color="auto" w:fill="C6EFCE"/>
            <w:noWrap/>
            <w:vAlign w:val="center"/>
          </w:tcPr>
          <w:p w14:paraId="6F80467C" w14:textId="77777777" w:rsidR="00F208CE" w:rsidRDefault="00513E84">
            <w:pPr>
              <w:pStyle w:val="P68B1DB1-Normal8"/>
              <w:spacing w:after="0"/>
              <w:rPr>
                <w:rFonts w:eastAsia="Times New Roman" w:cs="Times New Roman"/>
                <w:noProof/>
              </w:rPr>
            </w:pPr>
            <w:r>
              <w:rPr>
                <w:noProof/>
              </w:rPr>
              <w:t>—</w:t>
            </w:r>
          </w:p>
        </w:tc>
        <w:tc>
          <w:tcPr>
            <w:tcW w:w="1080" w:type="dxa"/>
            <w:tcBorders>
              <w:top w:val="nil"/>
              <w:left w:val="nil"/>
              <w:bottom w:val="single" w:sz="4" w:space="0" w:color="auto"/>
              <w:right w:val="single" w:sz="4" w:space="0" w:color="auto"/>
            </w:tcBorders>
            <w:shd w:val="clear" w:color="auto" w:fill="C6EFCE"/>
            <w:noWrap/>
            <w:vAlign w:val="center"/>
          </w:tcPr>
          <w:p w14:paraId="271CF4CA" w14:textId="77777777" w:rsidR="00F208CE" w:rsidRDefault="00513E84">
            <w:pPr>
              <w:pStyle w:val="P68B1DB1-Normal8"/>
              <w:spacing w:after="0"/>
              <w:rPr>
                <w:rFonts w:eastAsia="Times New Roman" w:cs="Times New Roman"/>
                <w:noProof/>
              </w:rPr>
            </w:pPr>
            <w:r>
              <w:rPr>
                <w:noProof/>
              </w:rPr>
              <w:t>—</w:t>
            </w:r>
          </w:p>
        </w:tc>
        <w:tc>
          <w:tcPr>
            <w:tcW w:w="720" w:type="dxa"/>
            <w:tcBorders>
              <w:top w:val="nil"/>
              <w:left w:val="nil"/>
              <w:bottom w:val="single" w:sz="4" w:space="0" w:color="auto"/>
              <w:right w:val="single" w:sz="4" w:space="0" w:color="auto"/>
            </w:tcBorders>
            <w:shd w:val="clear" w:color="auto" w:fill="C6EFCE"/>
            <w:noWrap/>
            <w:vAlign w:val="center"/>
          </w:tcPr>
          <w:p w14:paraId="1CE7B909" w14:textId="77777777" w:rsidR="00F208CE" w:rsidRDefault="00513E84">
            <w:pPr>
              <w:pStyle w:val="P68B1DB1-Normal8"/>
              <w:spacing w:after="0"/>
              <w:rPr>
                <w:rFonts w:eastAsia="Times New Roman" w:cs="Times New Roman"/>
                <w:noProof/>
              </w:rPr>
            </w:pPr>
            <w:r>
              <w:rPr>
                <w:noProof/>
              </w:rPr>
              <w:t>—</w:t>
            </w:r>
          </w:p>
        </w:tc>
        <w:tc>
          <w:tcPr>
            <w:tcW w:w="1080" w:type="dxa"/>
            <w:tcBorders>
              <w:top w:val="nil"/>
              <w:left w:val="nil"/>
              <w:bottom w:val="single" w:sz="4" w:space="0" w:color="auto"/>
              <w:right w:val="single" w:sz="4" w:space="0" w:color="auto"/>
            </w:tcBorders>
            <w:shd w:val="clear" w:color="auto" w:fill="C6EFCE"/>
            <w:noWrap/>
            <w:vAlign w:val="center"/>
          </w:tcPr>
          <w:p w14:paraId="00B244F9" w14:textId="77777777" w:rsidR="00F208CE" w:rsidRDefault="00513E84">
            <w:pPr>
              <w:pStyle w:val="P68B1DB1-Normal8"/>
              <w:spacing w:after="0"/>
              <w:jc w:val="center"/>
              <w:rPr>
                <w:rFonts w:eastAsia="Times New Roman" w:cs="Times New Roman"/>
                <w:noProof/>
              </w:rPr>
            </w:pPr>
            <w:r>
              <w:rPr>
                <w:noProof/>
              </w:rPr>
              <w:t>TERCER TRIMESTRE 3</w:t>
            </w:r>
          </w:p>
        </w:tc>
        <w:tc>
          <w:tcPr>
            <w:tcW w:w="840" w:type="dxa"/>
            <w:tcBorders>
              <w:top w:val="nil"/>
              <w:left w:val="nil"/>
              <w:bottom w:val="single" w:sz="4" w:space="0" w:color="auto"/>
              <w:right w:val="single" w:sz="4" w:space="0" w:color="auto"/>
            </w:tcBorders>
            <w:shd w:val="clear" w:color="auto" w:fill="C6EFCE"/>
            <w:noWrap/>
            <w:vAlign w:val="center"/>
          </w:tcPr>
          <w:p w14:paraId="520CA87F" w14:textId="77777777" w:rsidR="00F208CE" w:rsidRDefault="00513E84">
            <w:pPr>
              <w:pStyle w:val="P68B1DB1-Normal8"/>
              <w:spacing w:after="0"/>
              <w:jc w:val="center"/>
              <w:rPr>
                <w:rFonts w:eastAsia="Times New Roman" w:cs="Times New Roman"/>
                <w:noProof/>
              </w:rPr>
            </w:pPr>
            <w:r>
              <w:rPr>
                <w:noProof/>
              </w:rPr>
              <w:t>2021</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4AA8F823" w14:textId="77777777" w:rsidR="00F208CE" w:rsidRDefault="00513E84">
            <w:pPr>
              <w:pStyle w:val="P68B1DB1-Normal8"/>
              <w:spacing w:after="0"/>
              <w:rPr>
                <w:rFonts w:eastAsia="Times New Roman" w:cs="Times New Roman"/>
                <w:noProof/>
              </w:rPr>
            </w:pPr>
            <w:r>
              <w:rPr>
                <w:noProof/>
              </w:rPr>
              <w:t>Adopción del presupuesto para movilidad.</w:t>
            </w:r>
          </w:p>
        </w:tc>
      </w:tr>
      <w:tr w:rsidR="00F208CE" w14:paraId="35D00F79"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6BCDB7" w14:textId="77777777" w:rsidR="00F208CE" w:rsidRDefault="00513E84">
            <w:pPr>
              <w:pStyle w:val="P68B1DB1-Normal8"/>
              <w:spacing w:after="0"/>
              <w:jc w:val="center"/>
              <w:rPr>
                <w:rFonts w:eastAsia="Times New Roman" w:cs="Times New Roman"/>
                <w:noProof/>
              </w:rPr>
            </w:pPr>
            <w:r>
              <w:rPr>
                <w:noProof/>
              </w:rPr>
              <w:t>111</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2ABF9D14" w14:textId="77777777" w:rsidR="00F208CE" w:rsidRDefault="00513E84">
            <w:pPr>
              <w:pStyle w:val="P68B1DB1-Normal8"/>
              <w:spacing w:after="0"/>
              <w:rPr>
                <w:rFonts w:cs="Times New Roman"/>
                <w:noProof/>
              </w:rPr>
            </w:pPr>
            <w:r>
              <w:rPr>
                <w:noProof/>
              </w:rPr>
              <w:t>Rendimiento SNCB/INFRABEL (R-3.01)</w:t>
            </w:r>
          </w:p>
        </w:tc>
        <w:tc>
          <w:tcPr>
            <w:tcW w:w="1200" w:type="dxa"/>
            <w:tcBorders>
              <w:top w:val="nil"/>
              <w:left w:val="nil"/>
              <w:bottom w:val="single" w:sz="4" w:space="0" w:color="auto"/>
              <w:right w:val="single" w:sz="4" w:space="0" w:color="auto"/>
            </w:tcBorders>
            <w:shd w:val="clear" w:color="auto" w:fill="C6EFCE"/>
            <w:noWrap/>
            <w:vAlign w:val="center"/>
          </w:tcPr>
          <w:p w14:paraId="13F9D991" w14:textId="3816D13D" w:rsidR="00F208CE" w:rsidRDefault="00513E84">
            <w:pPr>
              <w:pStyle w:val="P68B1DB1-Normal8"/>
              <w:spacing w:after="0"/>
              <w:rPr>
                <w:rFonts w:cs="Times New Roman"/>
                <w:noProof/>
              </w:rPr>
            </w:pPr>
            <w:r>
              <w:rPr>
                <w:noProof/>
              </w:rPr>
              <w:t>M</w:t>
            </w:r>
          </w:p>
        </w:tc>
        <w:tc>
          <w:tcPr>
            <w:tcW w:w="1680" w:type="dxa"/>
            <w:tcBorders>
              <w:top w:val="nil"/>
              <w:left w:val="nil"/>
              <w:bottom w:val="single" w:sz="4" w:space="0" w:color="auto"/>
              <w:right w:val="single" w:sz="4" w:space="0" w:color="auto"/>
            </w:tcBorders>
            <w:shd w:val="clear" w:color="auto" w:fill="C6EFCE"/>
            <w:noWrap/>
            <w:vAlign w:val="center"/>
          </w:tcPr>
          <w:p w14:paraId="731C4639" w14:textId="77777777" w:rsidR="00F208CE" w:rsidRDefault="00513E84">
            <w:pPr>
              <w:pStyle w:val="P68B1DB1-Normal8"/>
              <w:spacing w:after="0"/>
              <w:rPr>
                <w:rFonts w:cs="Times New Roman"/>
                <w:noProof/>
              </w:rPr>
            </w:pPr>
            <w:r>
              <w:rPr>
                <w:noProof/>
              </w:rPr>
              <w:t>Aprobación de los nuevos contratos de ejecución de NMBS-SNCB e Infrabel y del plan plurianual de inversiones, contrato</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1EBEDB8A" w14:textId="77777777" w:rsidR="00F208CE" w:rsidRDefault="00513E84">
            <w:pPr>
              <w:pStyle w:val="P68B1DB1-Normal8"/>
              <w:spacing w:after="0"/>
              <w:rPr>
                <w:rFonts w:eastAsia="Times New Roman" w:cs="Times New Roman"/>
                <w:noProof/>
              </w:rPr>
            </w:pPr>
            <w:r>
              <w:rPr>
                <w:noProof/>
              </w:rPr>
              <w:t>Aprobación de los contratos</w:t>
            </w:r>
          </w:p>
        </w:tc>
        <w:tc>
          <w:tcPr>
            <w:tcW w:w="1440" w:type="dxa"/>
            <w:tcBorders>
              <w:top w:val="nil"/>
              <w:left w:val="nil"/>
              <w:bottom w:val="single" w:sz="4" w:space="0" w:color="auto"/>
              <w:right w:val="single" w:sz="4" w:space="0" w:color="auto"/>
            </w:tcBorders>
            <w:shd w:val="clear" w:color="auto" w:fill="C6EFCE"/>
            <w:noWrap/>
            <w:vAlign w:val="center"/>
          </w:tcPr>
          <w:p w14:paraId="1AF90717" w14:textId="77777777" w:rsidR="00F208CE" w:rsidRDefault="00513E84">
            <w:pPr>
              <w:pStyle w:val="P68B1DB1-Normal8"/>
              <w:spacing w:after="0"/>
              <w:rPr>
                <w:rFonts w:eastAsia="Times New Roman" w:cs="Times New Roman"/>
                <w:noProof/>
              </w:rPr>
            </w:pPr>
            <w:r>
              <w:rPr>
                <w:noProof/>
              </w:rPr>
              <w:t>—</w:t>
            </w:r>
          </w:p>
        </w:tc>
        <w:tc>
          <w:tcPr>
            <w:tcW w:w="1080" w:type="dxa"/>
            <w:tcBorders>
              <w:top w:val="nil"/>
              <w:left w:val="nil"/>
              <w:bottom w:val="single" w:sz="4" w:space="0" w:color="auto"/>
              <w:right w:val="single" w:sz="4" w:space="0" w:color="auto"/>
            </w:tcBorders>
            <w:shd w:val="clear" w:color="auto" w:fill="C6EFCE"/>
            <w:noWrap/>
            <w:vAlign w:val="center"/>
          </w:tcPr>
          <w:p w14:paraId="5E91BB8B" w14:textId="77777777" w:rsidR="00F208CE" w:rsidRDefault="00513E84">
            <w:pPr>
              <w:pStyle w:val="P68B1DB1-Normal8"/>
              <w:spacing w:after="0"/>
              <w:rPr>
                <w:rFonts w:eastAsia="Times New Roman" w:cs="Times New Roman"/>
                <w:noProof/>
              </w:rPr>
            </w:pPr>
            <w:r>
              <w:rPr>
                <w:noProof/>
              </w:rPr>
              <w:t>—</w:t>
            </w:r>
          </w:p>
        </w:tc>
        <w:tc>
          <w:tcPr>
            <w:tcW w:w="720" w:type="dxa"/>
            <w:tcBorders>
              <w:top w:val="nil"/>
              <w:left w:val="nil"/>
              <w:bottom w:val="single" w:sz="4" w:space="0" w:color="auto"/>
              <w:right w:val="single" w:sz="4" w:space="0" w:color="auto"/>
            </w:tcBorders>
            <w:shd w:val="clear" w:color="auto" w:fill="C6EFCE"/>
            <w:noWrap/>
            <w:vAlign w:val="center"/>
          </w:tcPr>
          <w:p w14:paraId="17D4BA8F" w14:textId="77777777" w:rsidR="00F208CE" w:rsidRDefault="00513E84">
            <w:pPr>
              <w:pStyle w:val="P68B1DB1-Normal8"/>
              <w:spacing w:after="0"/>
              <w:rPr>
                <w:rFonts w:eastAsia="Times New Roman" w:cs="Times New Roman"/>
                <w:noProof/>
              </w:rPr>
            </w:pPr>
            <w:r>
              <w:rPr>
                <w:noProof/>
              </w:rPr>
              <w:t>—</w:t>
            </w:r>
          </w:p>
        </w:tc>
        <w:tc>
          <w:tcPr>
            <w:tcW w:w="1080" w:type="dxa"/>
            <w:tcBorders>
              <w:top w:val="nil"/>
              <w:left w:val="nil"/>
              <w:bottom w:val="single" w:sz="4" w:space="0" w:color="auto"/>
              <w:right w:val="single" w:sz="4" w:space="0" w:color="auto"/>
            </w:tcBorders>
            <w:shd w:val="clear" w:color="auto" w:fill="C6EFCE"/>
            <w:noWrap/>
            <w:vAlign w:val="center"/>
          </w:tcPr>
          <w:p w14:paraId="5705CB7A" w14:textId="77777777" w:rsidR="00F208CE" w:rsidRDefault="00513E84">
            <w:pPr>
              <w:pStyle w:val="P68B1DB1-Normal8"/>
              <w:spacing w:after="0"/>
              <w:jc w:val="center"/>
              <w:rPr>
                <w:rFonts w:eastAsia="Times New Roman" w:cs="Times New Roman"/>
                <w:noProof/>
              </w:rPr>
            </w:pPr>
            <w:r>
              <w:rPr>
                <w:noProof/>
              </w:rPr>
              <w:t>TERCER TRIMESTRE 2</w:t>
            </w:r>
          </w:p>
        </w:tc>
        <w:tc>
          <w:tcPr>
            <w:tcW w:w="840" w:type="dxa"/>
            <w:tcBorders>
              <w:top w:val="nil"/>
              <w:left w:val="nil"/>
              <w:bottom w:val="single" w:sz="4" w:space="0" w:color="auto"/>
              <w:right w:val="single" w:sz="4" w:space="0" w:color="auto"/>
            </w:tcBorders>
            <w:shd w:val="clear" w:color="auto" w:fill="C6EFCE"/>
            <w:noWrap/>
            <w:vAlign w:val="center"/>
          </w:tcPr>
          <w:p w14:paraId="145BE4C2" w14:textId="77777777" w:rsidR="00F208CE" w:rsidRDefault="00513E84">
            <w:pPr>
              <w:pStyle w:val="P68B1DB1-Normal8"/>
              <w:spacing w:after="0"/>
              <w:jc w:val="center"/>
              <w:rPr>
                <w:rFonts w:eastAsia="Times New Roman" w:cs="Times New Roman"/>
                <w:noProof/>
              </w:rPr>
            </w:pPr>
            <w:r>
              <w:rPr>
                <w:noProof/>
              </w:rPr>
              <w:t>2023</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2463AD5C" w14:textId="77777777" w:rsidR="00F208CE" w:rsidRDefault="00513E84">
            <w:pPr>
              <w:pStyle w:val="P68B1DB1-Normal8"/>
              <w:spacing w:after="0"/>
              <w:rPr>
                <w:rFonts w:cs="Times New Roman"/>
                <w:noProof/>
              </w:rPr>
            </w:pPr>
            <w:r>
              <w:rPr>
                <w:noProof/>
              </w:rPr>
              <w:t>El nuevo contrato de ejecución incluirá d</w:t>
            </w:r>
            <w:r>
              <w:rPr>
                <w:noProof/>
              </w:rPr>
              <w:t>isposiciones para garantizar:</w:t>
            </w:r>
          </w:p>
          <w:p w14:paraId="1EFE75D2" w14:textId="77777777" w:rsidR="00F208CE" w:rsidRDefault="00513E84">
            <w:pPr>
              <w:pStyle w:val="P68B1DB1-Normal8"/>
              <w:spacing w:after="0"/>
              <w:rPr>
                <w:rFonts w:eastAsia="Times New Roman" w:cs="Times New Roman"/>
                <w:noProof/>
              </w:rPr>
            </w:pPr>
            <w:r>
              <w:rPr>
                <w:noProof/>
              </w:rPr>
              <w:t>— la ejecución a tiempo de las obras para el RER-GEN de conformidad con la ley por la que se aprueba el acuerdo de cooperación interregional sobre inversiones ferroviarias estratégicas (anexo Ia de la Loi portant assentiment à</w:t>
            </w:r>
            <w:r>
              <w:rPr>
                <w:noProof/>
              </w:rPr>
              <w:t xml:space="preserve"> l’accord de coopération du 5 octobre 2018 entre l’Etat fédéral, la Région flamande, la Région wallonne et la Région de Bruxelles-Capitale relatif au financement des infracaires stratégiques/Wet houdende instemming met het samenwerkingsakkoord van 5 oktobe</w:t>
            </w:r>
            <w:r>
              <w:rPr>
                <w:noProof/>
              </w:rPr>
              <w:t>r 2018 tussen de Federale Staat, het Gehet de Vheofren, Monitorst Gehet Gehet.</w:t>
            </w:r>
          </w:p>
          <w:p w14:paraId="22FAB323" w14:textId="77777777" w:rsidR="00F208CE" w:rsidRDefault="00513E84">
            <w:pPr>
              <w:pStyle w:val="P68B1DB1-Normal8"/>
              <w:spacing w:after="0"/>
              <w:rPr>
                <w:rFonts w:eastAsia="Times New Roman" w:cs="Times New Roman"/>
                <w:noProof/>
              </w:rPr>
            </w:pPr>
            <w:r>
              <w:rPr>
                <w:noProof/>
              </w:rPr>
              <w:t>— Incentivos adecuados para la eficiencia y la calidad del servicio integrados en el contrato</w:t>
            </w:r>
          </w:p>
          <w:p w14:paraId="06B701E3" w14:textId="77777777" w:rsidR="00F208CE" w:rsidRDefault="00513E84">
            <w:pPr>
              <w:pStyle w:val="P68B1DB1-Normal8"/>
              <w:spacing w:after="0"/>
              <w:rPr>
                <w:rFonts w:eastAsia="Times New Roman" w:cs="Times New Roman"/>
                <w:noProof/>
              </w:rPr>
            </w:pPr>
            <w:r>
              <w:rPr>
                <w:noProof/>
              </w:rPr>
              <w:t>— la finalización de las inversiones I-3.09 «Estaciones ferroviarias accesibles y m</w:t>
            </w:r>
            <w:r>
              <w:rPr>
                <w:noProof/>
              </w:rPr>
              <w:t>ultimodales — FED», I-3.10 «Ferrocarril — Red eficiente — FED» e I-3.12 «Ferrocarril — Movilidad inteligente — FED», incluidas en este componente del PRR</w:t>
            </w:r>
          </w:p>
        </w:tc>
      </w:tr>
      <w:tr w:rsidR="00F208CE" w14:paraId="5686CCBB"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EE5CAB" w14:textId="3ED262BB" w:rsidR="00F208CE" w:rsidRDefault="00513E84">
            <w:pPr>
              <w:pStyle w:val="P68B1DB1-Normal8"/>
              <w:spacing w:after="0"/>
              <w:jc w:val="center"/>
              <w:rPr>
                <w:rFonts w:eastAsia="Times New Roman" w:cs="Times New Roman"/>
                <w:noProof/>
              </w:rPr>
            </w:pPr>
            <w:r>
              <w:rPr>
                <w:noProof/>
              </w:rPr>
              <w:t>112</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1865B915" w14:textId="166A13B5" w:rsidR="00F208CE" w:rsidRDefault="00513E84">
            <w:pPr>
              <w:spacing w:after="0"/>
              <w:rPr>
                <w:rFonts w:ascii="Times New Roman" w:hAnsi="Times New Roman" w:cs="Times New Roman"/>
                <w:noProof/>
                <w:color w:val="006100"/>
              </w:rPr>
            </w:pPr>
            <w:r>
              <w:rPr>
                <w:rFonts w:ascii="Times New Roman" w:hAnsi="Times New Roman"/>
                <w:noProof/>
                <w:color w:val="006100"/>
              </w:rPr>
              <w:t>«Herramientas de movilidad inteligente» de la Región de Bruselas-Capital (I-3H)</w:t>
            </w:r>
            <w:r>
              <w:rPr>
                <w:noProof/>
              </w:rPr>
              <w:t xml:space="preserve"> </w:t>
            </w:r>
          </w:p>
        </w:tc>
        <w:tc>
          <w:tcPr>
            <w:tcW w:w="1200" w:type="dxa"/>
            <w:tcBorders>
              <w:top w:val="nil"/>
              <w:left w:val="nil"/>
              <w:bottom w:val="single" w:sz="4" w:space="0" w:color="auto"/>
              <w:right w:val="single" w:sz="4" w:space="0" w:color="auto"/>
            </w:tcBorders>
            <w:shd w:val="clear" w:color="auto" w:fill="C6EFCE"/>
            <w:noWrap/>
            <w:vAlign w:val="center"/>
          </w:tcPr>
          <w:p w14:paraId="117A0D82" w14:textId="03222592"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tcPr>
          <w:p w14:paraId="1264F485" w14:textId="5ECE2A5E" w:rsidR="00F208CE" w:rsidRDefault="00513E84">
            <w:pPr>
              <w:pStyle w:val="P68B1DB1-Normal8"/>
              <w:spacing w:after="0"/>
              <w:rPr>
                <w:rFonts w:cs="Times New Roman"/>
                <w:noProof/>
              </w:rPr>
            </w:pPr>
            <w:r>
              <w:rPr>
                <w:noProof/>
              </w:rPr>
              <w:t>Las herramientas d</w:t>
            </w:r>
            <w:r>
              <w:rPr>
                <w:noProof/>
              </w:rPr>
              <w:t xml:space="preserve">e movilidad inteligente están en funcionamiento  </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46053FF3" w14:textId="263C404D"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52731881" w14:textId="658DE801" w:rsidR="00F208CE" w:rsidRDefault="00513E84">
            <w:pPr>
              <w:pStyle w:val="P68B1DB1-Normal8"/>
              <w:spacing w:after="0"/>
              <w:rPr>
                <w:rFonts w:eastAsia="Times New Roman" w:cs="Times New Roman"/>
                <w:noProof/>
              </w:rPr>
            </w:pPr>
            <w:r>
              <w:rPr>
                <w:noProof/>
              </w:rPr>
              <w:t>Cámaras</w:t>
            </w:r>
          </w:p>
        </w:tc>
        <w:tc>
          <w:tcPr>
            <w:tcW w:w="1080" w:type="dxa"/>
            <w:tcBorders>
              <w:top w:val="nil"/>
              <w:left w:val="nil"/>
              <w:bottom w:val="single" w:sz="4" w:space="0" w:color="auto"/>
              <w:right w:val="single" w:sz="4" w:space="0" w:color="auto"/>
            </w:tcBorders>
            <w:shd w:val="clear" w:color="auto" w:fill="C6EFCE"/>
            <w:noWrap/>
            <w:vAlign w:val="center"/>
          </w:tcPr>
          <w:p w14:paraId="247FF4CA" w14:textId="5CB137F5"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5BDEC0BF" w14:textId="50FFA906" w:rsidR="00F208CE" w:rsidRDefault="00513E84">
            <w:pPr>
              <w:pStyle w:val="P68B1DB1-Normal8"/>
              <w:spacing w:after="0"/>
              <w:rPr>
                <w:rFonts w:eastAsia="Times New Roman" w:cs="Times New Roman"/>
                <w:noProof/>
              </w:rPr>
            </w:pPr>
            <w:r>
              <w:rPr>
                <w:noProof/>
              </w:rPr>
              <w:t>159</w:t>
            </w:r>
          </w:p>
        </w:tc>
        <w:tc>
          <w:tcPr>
            <w:tcW w:w="1080" w:type="dxa"/>
            <w:tcBorders>
              <w:top w:val="nil"/>
              <w:left w:val="nil"/>
              <w:bottom w:val="single" w:sz="4" w:space="0" w:color="auto"/>
              <w:right w:val="single" w:sz="4" w:space="0" w:color="auto"/>
            </w:tcBorders>
            <w:shd w:val="clear" w:color="auto" w:fill="C6EFCE"/>
            <w:noWrap/>
            <w:vAlign w:val="center"/>
          </w:tcPr>
          <w:p w14:paraId="0B9557A6" w14:textId="707B8FE1" w:rsidR="00F208CE" w:rsidRDefault="00513E84">
            <w:pPr>
              <w:pStyle w:val="P68B1DB1-Normal8"/>
              <w:spacing w:after="0"/>
              <w:jc w:val="center"/>
              <w:rPr>
                <w:rFonts w:eastAsia="Times New Roman" w:cs="Times New Roman"/>
                <w:noProof/>
              </w:rPr>
            </w:pPr>
            <w:r>
              <w:rPr>
                <w:noProof/>
              </w:rPr>
              <w:t>TERCER TRIMESTRE 3</w:t>
            </w:r>
          </w:p>
        </w:tc>
        <w:tc>
          <w:tcPr>
            <w:tcW w:w="840" w:type="dxa"/>
            <w:tcBorders>
              <w:top w:val="nil"/>
              <w:left w:val="nil"/>
              <w:bottom w:val="single" w:sz="4" w:space="0" w:color="auto"/>
              <w:right w:val="single" w:sz="4" w:space="0" w:color="auto"/>
            </w:tcBorders>
            <w:shd w:val="clear" w:color="auto" w:fill="C6EFCE"/>
            <w:noWrap/>
            <w:vAlign w:val="center"/>
          </w:tcPr>
          <w:p w14:paraId="7B50433C" w14:textId="4F4B96A2" w:rsidR="00F208CE" w:rsidRDefault="00513E84">
            <w:pPr>
              <w:pStyle w:val="P68B1DB1-Normal8"/>
              <w:spacing w:after="0"/>
              <w:jc w:val="center"/>
              <w:rPr>
                <w:rFonts w:eastAsia="Times New Roman" w:cs="Times New Roman"/>
                <w:noProof/>
              </w:rPr>
            </w:pPr>
            <w:r>
              <w:rPr>
                <w:noProof/>
              </w:rPr>
              <w:t>2023</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7BED3BC2" w14:textId="7DEF3225" w:rsidR="00F208CE" w:rsidRDefault="00513E84">
            <w:pPr>
              <w:pStyle w:val="P68B1DB1-Normal8"/>
              <w:spacing w:after="0"/>
              <w:rPr>
                <w:rFonts w:cs="Times New Roman"/>
                <w:noProof/>
              </w:rPr>
            </w:pPr>
            <w:r>
              <w:rPr>
                <w:noProof/>
              </w:rPr>
              <w:t>Están instaladas y en funcionamiento 159 cámaras ANPR (I-3.15b).</w:t>
            </w:r>
          </w:p>
          <w:p w14:paraId="0A1D764B" w14:textId="6A00EEDD" w:rsidR="00F208CE" w:rsidRDefault="00513E84">
            <w:pPr>
              <w:pStyle w:val="P68B1DB1-Normal8"/>
              <w:spacing w:after="0"/>
              <w:rPr>
                <w:rFonts w:cs="Times New Roman"/>
                <w:noProof/>
              </w:rPr>
            </w:pPr>
            <w:r>
              <w:rPr>
                <w:noProof/>
              </w:rPr>
              <w:t xml:space="preserve">Además, la aplicación FLOYA está en funcionamiento (I-3.15.a).  </w:t>
            </w:r>
          </w:p>
          <w:p w14:paraId="42A1DC22" w14:textId="274FCDE6" w:rsidR="00F208CE" w:rsidRDefault="00F208CE">
            <w:pPr>
              <w:spacing w:after="0"/>
              <w:rPr>
                <w:rFonts w:ascii="Times New Roman" w:eastAsia="Times New Roman" w:hAnsi="Times New Roman" w:cs="Times New Roman"/>
                <w:noProof/>
                <w:color w:val="006100"/>
              </w:rPr>
            </w:pPr>
          </w:p>
        </w:tc>
      </w:tr>
      <w:tr w:rsidR="00F208CE" w14:paraId="2A131E84" w14:textId="77777777">
        <w:trPr>
          <w:gridAfter w:val="1"/>
          <w:wAfter w:w="33" w:type="dxa"/>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690D9C" w14:textId="77777777" w:rsidR="00F208CE" w:rsidRDefault="00513E84">
            <w:pPr>
              <w:pStyle w:val="P68B1DB1-Normal8"/>
              <w:spacing w:after="0"/>
              <w:jc w:val="center"/>
              <w:rPr>
                <w:rFonts w:eastAsia="Times New Roman" w:cs="Times New Roman"/>
                <w:noProof/>
              </w:rPr>
            </w:pPr>
            <w:r>
              <w:rPr>
                <w:noProof/>
              </w:rPr>
              <w:t>113</w:t>
            </w:r>
          </w:p>
        </w:tc>
        <w:tc>
          <w:tcPr>
            <w:tcW w:w="1459" w:type="dxa"/>
            <w:tcBorders>
              <w:top w:val="nil"/>
              <w:left w:val="single" w:sz="4" w:space="0" w:color="auto"/>
              <w:bottom w:val="single" w:sz="4" w:space="0" w:color="auto"/>
              <w:right w:val="single" w:sz="4" w:space="0" w:color="auto"/>
            </w:tcBorders>
            <w:shd w:val="clear" w:color="auto" w:fill="C6EFCE"/>
            <w:noWrap/>
            <w:vAlign w:val="center"/>
          </w:tcPr>
          <w:p w14:paraId="353BCDD3" w14:textId="77777777" w:rsidR="00F208CE" w:rsidRDefault="00513E84">
            <w:pPr>
              <w:pStyle w:val="P68B1DB1-Normal8"/>
              <w:spacing w:after="0"/>
              <w:rPr>
                <w:rFonts w:cs="Times New Roman"/>
                <w:noProof/>
              </w:rPr>
            </w:pPr>
            <w:r>
              <w:rPr>
                <w:noProof/>
              </w:rPr>
              <w:t>Subvenciones de transferencia entre modos de transporte (I-3.14)</w:t>
            </w:r>
          </w:p>
        </w:tc>
        <w:tc>
          <w:tcPr>
            <w:tcW w:w="1200" w:type="dxa"/>
            <w:tcBorders>
              <w:top w:val="nil"/>
              <w:left w:val="nil"/>
              <w:bottom w:val="single" w:sz="4" w:space="0" w:color="auto"/>
              <w:right w:val="single" w:sz="4" w:space="0" w:color="auto"/>
            </w:tcBorders>
            <w:shd w:val="clear" w:color="auto" w:fill="C6EFCE"/>
            <w:noWrap/>
            <w:vAlign w:val="center"/>
          </w:tcPr>
          <w:p w14:paraId="5253DB50" w14:textId="4A9BCF5F" w:rsidR="00F208CE" w:rsidRDefault="00513E84">
            <w:pPr>
              <w:pStyle w:val="P68B1DB1-Normal8"/>
              <w:spacing w:after="0"/>
              <w:rPr>
                <w:rFonts w:cs="Times New Roman"/>
                <w:noProof/>
              </w:rPr>
            </w:pPr>
            <w:r>
              <w:rPr>
                <w:noProof/>
              </w:rPr>
              <w:t>T</w:t>
            </w:r>
          </w:p>
        </w:tc>
        <w:tc>
          <w:tcPr>
            <w:tcW w:w="1680" w:type="dxa"/>
            <w:tcBorders>
              <w:top w:val="nil"/>
              <w:left w:val="nil"/>
              <w:bottom w:val="single" w:sz="4" w:space="0" w:color="auto"/>
              <w:right w:val="single" w:sz="4" w:space="0" w:color="auto"/>
            </w:tcBorders>
            <w:shd w:val="clear" w:color="auto" w:fill="C6EFCE"/>
            <w:noWrap/>
            <w:vAlign w:val="center"/>
          </w:tcPr>
          <w:p w14:paraId="761166B9" w14:textId="53C7FFB8" w:rsidR="00F208CE" w:rsidRDefault="00513E84">
            <w:pPr>
              <w:pStyle w:val="P68B1DB1-Normal8"/>
              <w:spacing w:after="0"/>
              <w:rPr>
                <w:rFonts w:cs="Times New Roman"/>
                <w:noProof/>
              </w:rPr>
            </w:pPr>
            <w:r>
              <w:rPr>
                <w:noProof/>
              </w:rPr>
              <w:t>Primeras 4 375 nuevas solicitudes de subvenciones de transferencia entre modos de transporte</w:t>
            </w:r>
          </w:p>
        </w:tc>
        <w:tc>
          <w:tcPr>
            <w:tcW w:w="1680" w:type="dxa"/>
            <w:tcBorders>
              <w:top w:val="nil"/>
              <w:left w:val="single" w:sz="4" w:space="0" w:color="auto"/>
              <w:bottom w:val="single" w:sz="4" w:space="0" w:color="auto"/>
              <w:right w:val="single" w:sz="4" w:space="0" w:color="auto"/>
            </w:tcBorders>
            <w:shd w:val="clear" w:color="auto" w:fill="C6EFCE"/>
            <w:noWrap/>
            <w:vAlign w:val="center"/>
          </w:tcPr>
          <w:p w14:paraId="149EBF2C"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2918A71E" w14:textId="77777777" w:rsidR="00F208CE" w:rsidRDefault="00513E84">
            <w:pPr>
              <w:pStyle w:val="P68B1DB1-Normal8"/>
              <w:spacing w:after="0"/>
              <w:rPr>
                <w:rFonts w:eastAsia="Times New Roman" w:cs="Times New Roman"/>
                <w:noProof/>
              </w:rPr>
            </w:pPr>
            <w:r>
              <w:rPr>
                <w:noProof/>
              </w:rPr>
              <w:t>Número</w:t>
            </w:r>
          </w:p>
        </w:tc>
        <w:tc>
          <w:tcPr>
            <w:tcW w:w="1080" w:type="dxa"/>
            <w:tcBorders>
              <w:top w:val="nil"/>
              <w:left w:val="nil"/>
              <w:bottom w:val="single" w:sz="4" w:space="0" w:color="auto"/>
              <w:right w:val="single" w:sz="4" w:space="0" w:color="auto"/>
            </w:tcBorders>
            <w:shd w:val="clear" w:color="auto" w:fill="C6EFCE"/>
            <w:noWrap/>
            <w:vAlign w:val="center"/>
          </w:tcPr>
          <w:p w14:paraId="31D00337"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7C002008" w14:textId="74477132" w:rsidR="00F208CE" w:rsidRDefault="00513E84">
            <w:pPr>
              <w:pStyle w:val="P68B1DB1-Normal8"/>
              <w:spacing w:after="0"/>
              <w:rPr>
                <w:rFonts w:eastAsia="Times New Roman" w:cs="Times New Roman"/>
                <w:noProof/>
              </w:rPr>
            </w:pPr>
            <w:r>
              <w:rPr>
                <w:noProof/>
              </w:rPr>
              <w:t>4 375</w:t>
            </w:r>
          </w:p>
        </w:tc>
        <w:tc>
          <w:tcPr>
            <w:tcW w:w="1080" w:type="dxa"/>
            <w:tcBorders>
              <w:top w:val="nil"/>
              <w:left w:val="nil"/>
              <w:bottom w:val="single" w:sz="4" w:space="0" w:color="auto"/>
              <w:right w:val="single" w:sz="4" w:space="0" w:color="auto"/>
            </w:tcBorders>
            <w:shd w:val="clear" w:color="auto" w:fill="C6EFCE"/>
            <w:noWrap/>
            <w:vAlign w:val="center"/>
          </w:tcPr>
          <w:p w14:paraId="2BD9C4E0" w14:textId="77777777" w:rsidR="00F208CE" w:rsidRDefault="00513E84">
            <w:pPr>
              <w:pStyle w:val="P68B1DB1-Normal8"/>
              <w:spacing w:after="0"/>
              <w:jc w:val="center"/>
              <w:rPr>
                <w:rFonts w:eastAsia="Times New Roman" w:cs="Times New Roman"/>
                <w:noProof/>
              </w:rPr>
            </w:pPr>
            <w:r>
              <w:rPr>
                <w:noProof/>
              </w:rPr>
              <w:t>TERCER TRIMESTRE 4</w:t>
            </w:r>
          </w:p>
        </w:tc>
        <w:tc>
          <w:tcPr>
            <w:tcW w:w="840" w:type="dxa"/>
            <w:tcBorders>
              <w:top w:val="nil"/>
              <w:left w:val="nil"/>
              <w:bottom w:val="single" w:sz="4" w:space="0" w:color="auto"/>
              <w:right w:val="single" w:sz="4" w:space="0" w:color="auto"/>
            </w:tcBorders>
            <w:shd w:val="clear" w:color="auto" w:fill="C6EFCE"/>
            <w:noWrap/>
            <w:vAlign w:val="center"/>
          </w:tcPr>
          <w:p w14:paraId="5C62837D" w14:textId="77777777" w:rsidR="00F208CE" w:rsidRDefault="00513E84">
            <w:pPr>
              <w:pStyle w:val="P68B1DB1-Normal8"/>
              <w:spacing w:after="0"/>
              <w:jc w:val="center"/>
              <w:rPr>
                <w:rFonts w:eastAsia="Times New Roman" w:cs="Times New Roman"/>
                <w:noProof/>
              </w:rPr>
            </w:pPr>
            <w:r>
              <w:rPr>
                <w:noProof/>
              </w:rPr>
              <w:t>2023</w:t>
            </w:r>
          </w:p>
        </w:tc>
        <w:tc>
          <w:tcPr>
            <w:tcW w:w="3594" w:type="dxa"/>
            <w:tcBorders>
              <w:top w:val="nil"/>
              <w:left w:val="single" w:sz="4" w:space="0" w:color="auto"/>
              <w:bottom w:val="single" w:sz="4" w:space="0" w:color="auto"/>
              <w:right w:val="single" w:sz="4" w:space="0" w:color="auto"/>
            </w:tcBorders>
            <w:shd w:val="clear" w:color="auto" w:fill="C6EFCE"/>
            <w:noWrap/>
            <w:vAlign w:val="center"/>
          </w:tcPr>
          <w:p w14:paraId="4A5B4281" w14:textId="3C0B6484" w:rsidR="00F208CE" w:rsidRDefault="00513E84">
            <w:pPr>
              <w:pStyle w:val="P68B1DB1-Normal8"/>
              <w:spacing w:after="0"/>
              <w:rPr>
                <w:rFonts w:eastAsia="Times New Roman" w:cs="Times New Roman"/>
                <w:noProof/>
              </w:rPr>
            </w:pPr>
            <w:r>
              <w:rPr>
                <w:noProof/>
              </w:rPr>
              <w:t>Se han solicitado las primeras 4 375 nuevas subvencione</w:t>
            </w:r>
            <w:r>
              <w:rPr>
                <w:noProof/>
              </w:rPr>
              <w:t>s de transferencia entre modos de transporte.</w:t>
            </w:r>
          </w:p>
        </w:tc>
      </w:tr>
    </w:tbl>
    <w:p w14:paraId="3A8664A7" w14:textId="77777777" w:rsidR="00F208CE" w:rsidRDefault="00F208CE">
      <w:pPr>
        <w:pStyle w:val="Text1"/>
        <w:ind w:left="709"/>
        <w:rPr>
          <w:noProof/>
          <w:sz w:val="22"/>
        </w:rPr>
      </w:pPr>
    </w:p>
    <w:p w14:paraId="50D02512" w14:textId="77777777" w:rsidR="00F208CE" w:rsidRDefault="00F208CE">
      <w:pPr>
        <w:ind w:left="709"/>
        <w:rPr>
          <w:rFonts w:ascii="Times New Roman" w:hAnsi="Times New Roman" w:cs="Times New Roman"/>
          <w:noProof/>
        </w:rPr>
        <w:sectPr w:rsidR="00F208CE" w:rsidSect="008A4840">
          <w:headerReference w:type="default" r:id="rId100"/>
          <w:footerReference w:type="default" r:id="rId101"/>
          <w:pgSz w:w="16839" w:h="11907" w:orient="landscape"/>
          <w:pgMar w:top="1134" w:right="1134" w:bottom="1134" w:left="1134" w:header="567" w:footer="567" w:gutter="0"/>
          <w:cols w:space="720"/>
          <w:docGrid w:linePitch="360"/>
        </w:sectPr>
      </w:pPr>
    </w:p>
    <w:p w14:paraId="5C2B0B8A" w14:textId="4D7B40D8" w:rsidR="00F208CE" w:rsidRDefault="00513E84">
      <w:pPr>
        <w:pStyle w:val="ManualHeading1"/>
        <w:spacing w:before="120"/>
        <w:ind w:left="0" w:firstLine="0"/>
        <w:rPr>
          <w:noProof/>
        </w:rPr>
      </w:pPr>
      <w:r>
        <w:rPr>
          <w:noProof/>
        </w:rPr>
        <w:t>I. COMPONENTE 3.3: Ecologización del transporte por carretera</w:t>
      </w:r>
    </w:p>
    <w:p w14:paraId="7A668B77" w14:textId="77777777" w:rsidR="00F208CE" w:rsidRDefault="00513E84">
      <w:pPr>
        <w:pStyle w:val="P68B1DB1-Normal1"/>
        <w:spacing w:before="120" w:after="120" w:line="240" w:lineRule="auto"/>
        <w:jc w:val="both"/>
        <w:rPr>
          <w:rFonts w:cs="Times New Roman"/>
          <w:noProof/>
        </w:rPr>
      </w:pPr>
      <w:r>
        <w:rPr>
          <w:noProof/>
        </w:rPr>
        <w:t xml:space="preserve">Las medidas propuestas en el marco de este componente del plan belga de recuperación y </w:t>
      </w:r>
      <w:r>
        <w:rPr>
          <w:noProof/>
        </w:rPr>
        <w:t>resiliencia tienen por objeto apoyar el transporte por carretera de bajas emisiones.</w:t>
      </w:r>
    </w:p>
    <w:p w14:paraId="4B01485E" w14:textId="77777777" w:rsidR="00F208CE" w:rsidRDefault="00513E84">
      <w:pPr>
        <w:pStyle w:val="P68B1DB1-Normal1"/>
        <w:spacing w:before="120" w:after="120" w:line="240" w:lineRule="auto"/>
        <w:jc w:val="both"/>
        <w:rPr>
          <w:rFonts w:eastAsia="Times New Roman" w:cs="Times New Roman"/>
          <w:noProof/>
        </w:rPr>
      </w:pPr>
      <w:r>
        <w:rPr>
          <w:noProof/>
        </w:rPr>
        <w:t>El componente contribuye a abordar la recomendación específica por país n.º 2019.3 de centrar la política económica relacionada con la inversión en el transporte sostenibl</w:t>
      </w:r>
      <w:r>
        <w:rPr>
          <w:noProof/>
        </w:rPr>
        <w:t>e, incluida la mejora de la infraestructura ferroviaria, la transición energética y con bajas emisiones de carbono [...] Taúa los crecientes retos en materia de movilidad, reforzando los incentivos y eliminando los obstáculos para aumentar la oferta y la d</w:t>
      </w:r>
      <w:r>
        <w:rPr>
          <w:noProof/>
        </w:rPr>
        <w:t>emanda de transporte colectivo y de bajas emisiones y la Recomendación específica por país n.º 2020.3 para centrar la inversión en la transición ecológica y digital, en particular en infraestructuras para un transporte sostenible.</w:t>
      </w:r>
    </w:p>
    <w:p w14:paraId="0B422CF9" w14:textId="77777777" w:rsidR="00F208CE" w:rsidRDefault="00513E84">
      <w:pPr>
        <w:pStyle w:val="P68B1DB1-Normal1"/>
        <w:spacing w:before="120" w:after="120" w:line="240" w:lineRule="auto"/>
        <w:jc w:val="both"/>
        <w:rPr>
          <w:rFonts w:cs="Times New Roman"/>
          <w:noProof/>
        </w:rPr>
      </w:pPr>
      <w:r>
        <w:rPr>
          <w:noProof/>
        </w:rPr>
        <w:t>Se espera que ninguna med</w:t>
      </w:r>
      <w:r>
        <w:rPr>
          <w:noProof/>
        </w:rPr>
        <w:t>ida de este componente perjudique significativamente a los objetivos medioambientales en el sentido del artículo 17 del Reglamento (UE) 2020/852, teniendo en cuenta la descripción de las medidas y las medidas atenuantes establecidas en el plan de recuperac</w:t>
      </w:r>
      <w:r>
        <w:rPr>
          <w:noProof/>
        </w:rPr>
        <w:t>ión y resiliencia de conformidad con las orientaciones técnicas de DNSH (2021/C58/01).</w:t>
      </w:r>
    </w:p>
    <w:p w14:paraId="04C3F260" w14:textId="77777777" w:rsidR="00F208CE" w:rsidRDefault="00513E84">
      <w:pPr>
        <w:jc w:val="both"/>
        <w:rPr>
          <w:rFonts w:ascii="Times New Roman" w:hAnsi="Times New Roman" w:cs="Times New Roman"/>
          <w:b/>
          <w:noProof/>
          <w:u w:val="single"/>
        </w:rPr>
      </w:pPr>
      <w:r>
        <w:rPr>
          <w:rFonts w:ascii="Times New Roman" w:hAnsi="Times New Roman"/>
          <w:b/>
          <w:noProof/>
          <w:u w:val="single"/>
        </w:rPr>
        <w:t xml:space="preserve">I.1. </w:t>
      </w:r>
      <w:r>
        <w:rPr>
          <w:noProof/>
        </w:rPr>
        <w:t xml:space="preserve"> </w:t>
      </w:r>
      <w:r>
        <w:rPr>
          <w:rFonts w:ascii="Times New Roman" w:hAnsi="Times New Roman"/>
          <w:b/>
          <w:noProof/>
          <w:u w:val="single"/>
        </w:rPr>
        <w:t>Descripción de las reformas e inversiones para la ayuda financiera no reembolsable</w:t>
      </w:r>
    </w:p>
    <w:p w14:paraId="6C35FCE7" w14:textId="77777777" w:rsidR="00F208CE" w:rsidRDefault="00513E84">
      <w:pPr>
        <w:pStyle w:val="P68B1DB1-Text19"/>
        <w:ind w:left="0"/>
        <w:rPr>
          <w:noProof/>
        </w:rPr>
      </w:pPr>
      <w:r>
        <w:rPr>
          <w:noProof/>
        </w:rPr>
        <w:t>Inversión I-3F: «Estaciones de carga»</w:t>
      </w:r>
    </w:p>
    <w:p w14:paraId="6E341450" w14:textId="77777777" w:rsidR="00F208CE" w:rsidRDefault="00513E84">
      <w:pPr>
        <w:pStyle w:val="P68B1DB1-Text13"/>
        <w:ind w:left="0"/>
        <w:rPr>
          <w:noProof/>
          <w:color w:val="000000"/>
        </w:rPr>
      </w:pPr>
      <w:r>
        <w:rPr>
          <w:noProof/>
        </w:rPr>
        <w:t>Los objetivos de la inversión son el despl</w:t>
      </w:r>
      <w:r>
        <w:rPr>
          <w:noProof/>
        </w:rPr>
        <w:t>iegue de estaciones de recarga eléctrica. Esta medida se compone de las cuatro submedidas siguientes:</w:t>
      </w:r>
    </w:p>
    <w:p w14:paraId="5EFC3E91" w14:textId="77777777" w:rsidR="00F208CE" w:rsidRDefault="00513E84">
      <w:pPr>
        <w:pStyle w:val="Text1"/>
        <w:numPr>
          <w:ilvl w:val="0"/>
          <w:numId w:val="53"/>
        </w:numPr>
        <w:contextualSpacing/>
        <w:rPr>
          <w:noProof/>
        </w:rPr>
      </w:pPr>
      <w:r>
        <w:rPr>
          <w:noProof/>
        </w:rPr>
        <w:t>Reforma R-3.04: «Estaciones de recarga — WAL» de la Región Valona</w:t>
      </w:r>
    </w:p>
    <w:p w14:paraId="0DF9241C" w14:textId="77777777" w:rsidR="00F208CE" w:rsidRDefault="00513E84">
      <w:pPr>
        <w:pStyle w:val="Text1"/>
        <w:numPr>
          <w:ilvl w:val="0"/>
          <w:numId w:val="53"/>
        </w:numPr>
        <w:contextualSpacing/>
        <w:rPr>
          <w:noProof/>
        </w:rPr>
      </w:pPr>
      <w:r>
        <w:rPr>
          <w:noProof/>
        </w:rPr>
        <w:t>Reforma R-3.05: «Estaciones de recarga — RBC» de la Región de Bruselas-Capital</w:t>
      </w:r>
    </w:p>
    <w:p w14:paraId="29EAFB13" w14:textId="77777777" w:rsidR="00F208CE" w:rsidRDefault="00513E84">
      <w:pPr>
        <w:pStyle w:val="Text1"/>
        <w:numPr>
          <w:ilvl w:val="0"/>
          <w:numId w:val="53"/>
        </w:numPr>
        <w:contextualSpacing/>
        <w:rPr>
          <w:noProof/>
        </w:rPr>
      </w:pPr>
      <w:r>
        <w:rPr>
          <w:noProof/>
        </w:rPr>
        <w:t>Inversión</w:t>
      </w:r>
      <w:r>
        <w:rPr>
          <w:noProof/>
        </w:rPr>
        <w:t xml:space="preserve"> I-3.18: «Estaciones de recarga — FED» del Estado Federal</w:t>
      </w:r>
    </w:p>
    <w:p w14:paraId="36AEC485" w14:textId="77777777" w:rsidR="00F208CE" w:rsidRDefault="00513E84">
      <w:pPr>
        <w:pStyle w:val="Text1"/>
        <w:numPr>
          <w:ilvl w:val="0"/>
          <w:numId w:val="53"/>
        </w:numPr>
        <w:contextualSpacing/>
        <w:rPr>
          <w:noProof/>
        </w:rPr>
      </w:pPr>
      <w:r>
        <w:rPr>
          <w:noProof/>
        </w:rPr>
        <w:t>Inversión I-3.19: «Estaciones de recarga — VLA» de la Región Flamenca</w:t>
      </w:r>
    </w:p>
    <w:p w14:paraId="69B5FA21" w14:textId="77777777" w:rsidR="00F208CE" w:rsidRDefault="00F208CE">
      <w:pPr>
        <w:pStyle w:val="Text1"/>
        <w:ind w:left="0"/>
        <w:rPr>
          <w:noProof/>
          <w:color w:val="000000"/>
        </w:rPr>
      </w:pPr>
    </w:p>
    <w:p w14:paraId="0549BFB3" w14:textId="77777777" w:rsidR="00F208CE" w:rsidRDefault="00513E84">
      <w:pPr>
        <w:pStyle w:val="P68B1DB1-Text12"/>
        <w:ind w:left="0"/>
        <w:rPr>
          <w:noProof/>
          <w:color w:val="000000"/>
        </w:rPr>
      </w:pPr>
      <w:r>
        <w:rPr>
          <w:noProof/>
        </w:rPr>
        <w:t>Inversión I-3G: «Ecologización de la flota de autobuses»</w:t>
      </w:r>
    </w:p>
    <w:p w14:paraId="794BE53B" w14:textId="77777777" w:rsidR="00F208CE" w:rsidRDefault="00513E84">
      <w:pPr>
        <w:pStyle w:val="Text1"/>
        <w:numPr>
          <w:ilvl w:val="0"/>
          <w:numId w:val="54"/>
        </w:numPr>
        <w:contextualSpacing/>
        <w:rPr>
          <w:noProof/>
        </w:rPr>
      </w:pPr>
      <w:r>
        <w:rPr>
          <w:noProof/>
        </w:rPr>
        <w:t>Inversión I-3.16: «Ecologización de la flota de autobuses — VLA» de la</w:t>
      </w:r>
      <w:r>
        <w:rPr>
          <w:noProof/>
        </w:rPr>
        <w:t xml:space="preserve"> Región Flamenca</w:t>
      </w:r>
    </w:p>
    <w:p w14:paraId="6FA5F2E7" w14:textId="48C273E4" w:rsidR="00F208CE" w:rsidRDefault="00513E84">
      <w:pPr>
        <w:pStyle w:val="Text1"/>
        <w:numPr>
          <w:ilvl w:val="0"/>
          <w:numId w:val="54"/>
        </w:numPr>
        <w:contextualSpacing/>
        <w:rPr>
          <w:noProof/>
        </w:rPr>
      </w:pPr>
      <w:r>
        <w:rPr>
          <w:noProof/>
        </w:rPr>
        <w:t>Inversión I-3.17: «Ecologización de la flota de autobuses — RBC» de la Región de Bruselas-Capital</w:t>
      </w:r>
    </w:p>
    <w:p w14:paraId="66E4BB55" w14:textId="40D875C4" w:rsidR="00F208CE" w:rsidRDefault="00513E84">
      <w:pPr>
        <w:pStyle w:val="Text1"/>
        <w:numPr>
          <w:ilvl w:val="0"/>
          <w:numId w:val="54"/>
        </w:numPr>
        <w:contextualSpacing/>
        <w:rPr>
          <w:noProof/>
        </w:rPr>
      </w:pPr>
      <w:r>
        <w:rPr>
          <w:noProof/>
        </w:rPr>
        <w:t>Inversión I-3.20: «Ecologización de la flota de autobuses — WAL» de la Región Valona</w:t>
      </w:r>
    </w:p>
    <w:p w14:paraId="4C648C77" w14:textId="77777777" w:rsidR="00F208CE" w:rsidRDefault="00F208CE">
      <w:pPr>
        <w:pStyle w:val="Text1"/>
        <w:ind w:left="0"/>
        <w:rPr>
          <w:noProof/>
          <w:u w:val="single"/>
        </w:rPr>
      </w:pPr>
    </w:p>
    <w:p w14:paraId="486D9782" w14:textId="77777777" w:rsidR="00F208CE" w:rsidRDefault="00513E84">
      <w:pPr>
        <w:pStyle w:val="P68B1DB1-Text19"/>
        <w:ind w:left="0"/>
        <w:rPr>
          <w:noProof/>
        </w:rPr>
      </w:pPr>
      <w:r>
        <w:rPr>
          <w:noProof/>
        </w:rPr>
        <w:t>Reforma R-3.03: «Vehículos de empresa de emisiones cero</w:t>
      </w:r>
      <w:r>
        <w:rPr>
          <w:noProof/>
        </w:rPr>
        <w:t xml:space="preserve"> — FED» del Estado Federal</w:t>
      </w:r>
    </w:p>
    <w:p w14:paraId="2F5A2DBF" w14:textId="3054EFF6" w:rsidR="00F208CE" w:rsidRDefault="00513E84">
      <w:pPr>
        <w:pStyle w:val="P68B1DB1-Normal1"/>
        <w:jc w:val="both"/>
        <w:rPr>
          <w:rFonts w:cs="Times New Roman"/>
          <w:noProof/>
        </w:rPr>
      </w:pPr>
      <w:r>
        <w:rPr>
          <w:noProof/>
        </w:rPr>
        <w:t>Esta reforma consiste en eliminar progresivamente el régimen actual del impuesto de sociedades aplicable a los vehículos convencionales y limitarlo a partir de 2026 a los vehículos eléctricos. El régimen de imposición de los auto</w:t>
      </w:r>
      <w:r>
        <w:rPr>
          <w:noProof/>
        </w:rPr>
        <w:t>móviles de empresa reformado deberá prever: (1) no es posible deducir los vehículos de empresa convencionales adquiridos a partir de 2026 (2) una reducción progresiva del tipo de deducción fiscal de los automóviles de empresa convencionales, adquiridos ent</w:t>
      </w:r>
      <w:r>
        <w:rPr>
          <w:noProof/>
        </w:rPr>
        <w:t>re el 1 de julio y el 31 de diciembre de 2025, hasta alcanzar el 0 % en 2028, (3) una reducción progresiva del tipo de deducción fiscal de los automóviles de empresa de emisión cero hasta alcanzar como máximo el 67,5 % de aquí a 2031, y (4) una deducibilid</w:t>
      </w:r>
      <w:r>
        <w:rPr>
          <w:noProof/>
        </w:rPr>
        <w:t>ad fiscal de la gasolina y el gasóleo para los vehículos híbridos de empresa, adquiridos entre 2023 y 2025, reducida al 50 % en enero de 2023. Además, (5) en el caso de los vehículos convencionales adquiridos a partir del 1 de julio de 2023, la contribució</w:t>
      </w:r>
      <w:r>
        <w:rPr>
          <w:noProof/>
        </w:rPr>
        <w:t>n de CO2 aumentará a un tipo de 2.25 a partir del 1 de julio de 2023 y aumentará progresivamente en 2025, 2026 hasta un factor de 5.50 en 2027. (6) en el caso de los vehículos de empresa de emisión cero, adquiridos a partir del 1 de julio de 2023, la contr</w:t>
      </w:r>
      <w:r>
        <w:rPr>
          <w:noProof/>
        </w:rPr>
        <w:t>ibución solidaria mínima aumentará, a partir del año 2025, de tal manera que, a largo plazo, para el vehículo de empresa medio, se adeudará el mismo importe de cotizaciones a la seguridad social que en el momento de la adopción del plan. La reforma, inclui</w:t>
      </w:r>
      <w:r>
        <w:rPr>
          <w:noProof/>
        </w:rPr>
        <w:t>dos los períodos transitorios y las fases de aplicación antes mencionados, se adoptará a más tardar el 30 de septiembre de 2021 y entrará en vigor el 1 de enero de 2023.</w:t>
      </w:r>
    </w:p>
    <w:p w14:paraId="3199B1DC" w14:textId="77777777" w:rsidR="00F208CE" w:rsidRDefault="00513E84">
      <w:pPr>
        <w:pStyle w:val="P68B1DB1-Text19"/>
        <w:pageBreakBefore/>
        <w:ind w:left="0"/>
        <w:rPr>
          <w:noProof/>
        </w:rPr>
      </w:pPr>
      <w:r>
        <w:rPr>
          <w:noProof/>
        </w:rPr>
        <w:t>Reforma R-3.04: «Estaciones de recarga — WAL» de la Región Valona</w:t>
      </w:r>
    </w:p>
    <w:p w14:paraId="7049049C" w14:textId="42FED4D9" w:rsidR="00F208CE" w:rsidRDefault="00513E84">
      <w:pPr>
        <w:pStyle w:val="P68B1DB1-Normal13"/>
        <w:spacing w:before="120" w:after="120" w:line="240" w:lineRule="auto"/>
        <w:jc w:val="both"/>
        <w:rPr>
          <w:rFonts w:cs="Times New Roman"/>
          <w:noProof/>
          <w:sz w:val="24"/>
        </w:rPr>
      </w:pPr>
      <w:r>
        <w:rPr>
          <w:noProof/>
          <w:sz w:val="24"/>
        </w:rPr>
        <w:t>Esta reforma consist</w:t>
      </w:r>
      <w:r>
        <w:rPr>
          <w:noProof/>
          <w:sz w:val="24"/>
        </w:rPr>
        <w:t>e en adoptar un marco legislativo y adjudicar concesiones para infraestructuras de recarga en la Región Valona e instalar 4</w:t>
      </w:r>
      <w:r>
        <w:rPr>
          <w:noProof/>
          <w:color w:val="006100"/>
        </w:rPr>
        <w:t xml:space="preserve"> </w:t>
      </w:r>
      <w:r>
        <w:rPr>
          <w:noProof/>
          <w:sz w:val="24"/>
        </w:rPr>
        <w:t>708 puntos de recarga públicos equivalentes. El objetivo relativo al número de puntos de recarga públicos equivalentes (ECP) que deb</w:t>
      </w:r>
      <w:r>
        <w:rPr>
          <w:noProof/>
          <w:sz w:val="24"/>
        </w:rPr>
        <w:t>en instalarse tendrá en cuenta el objetivo indicativo de un ECP para diez vehículos eléctricos. El plan de despliegue de estaciones de recarga eléctrica será adoptado por el Gobierno valón a más tardar el 30 de septiembre de 2022.</w:t>
      </w:r>
    </w:p>
    <w:p w14:paraId="3C42BDA6" w14:textId="77777777" w:rsidR="00F208CE" w:rsidRDefault="00513E84">
      <w:pPr>
        <w:pStyle w:val="P68B1DB1-Text19"/>
        <w:ind w:left="0"/>
        <w:rPr>
          <w:noProof/>
        </w:rPr>
      </w:pPr>
      <w:r>
        <w:rPr>
          <w:noProof/>
        </w:rPr>
        <w:t>Reforma R-3.05: «Estacion</w:t>
      </w:r>
      <w:r>
        <w:rPr>
          <w:noProof/>
        </w:rPr>
        <w:t>es de recarga — RBC» de la Región de Bruselas-Capital</w:t>
      </w:r>
    </w:p>
    <w:p w14:paraId="67724F36" w14:textId="453856E8" w:rsidR="00F208CE" w:rsidRDefault="00513E84">
      <w:pPr>
        <w:pStyle w:val="P68B1DB1-Normal1"/>
        <w:spacing w:before="120" w:after="120" w:line="240" w:lineRule="auto"/>
        <w:jc w:val="both"/>
        <w:rPr>
          <w:rFonts w:cs="Times New Roman"/>
          <w:noProof/>
          <w:color w:val="000000" w:themeColor="text1"/>
        </w:rPr>
      </w:pPr>
      <w:r>
        <w:rPr>
          <w:noProof/>
        </w:rPr>
        <w:t>Esta medida consiste en la adopción de un marco legislativo y la adjudicación de concesiones de infraestructuras de recarga en la Región de Bruselas-Capital y la instalación de 360 puntos públicos equiv</w:t>
      </w:r>
      <w:r>
        <w:rPr>
          <w:noProof/>
        </w:rPr>
        <w:t>alentes para el 31 de diciembre de 2023. Este plan estará en consonancia con la Directiva 2014/94/UE relativa a la infraestructura para los combustibles alternativos. El decreto en el que se especifican las normas de seguridad que deben seguirse para la in</w:t>
      </w:r>
      <w:r>
        <w:rPr>
          <w:noProof/>
        </w:rPr>
        <w:t xml:space="preserve">stalación de puntos de recarga fuera de la vía pública en la Región de Bruselas-Capital se adoptará a más tardar el 1 de marzo de 2022 y entrará en </w:t>
      </w:r>
      <w:r>
        <w:rPr>
          <w:noProof/>
          <w:color w:val="000000" w:themeColor="text1"/>
        </w:rPr>
        <w:t>vigor el 31 de julio de 2022. La ejecución de la medida en su conjunto deberá estar terminada a más tardar e</w:t>
      </w:r>
      <w:r>
        <w:rPr>
          <w:noProof/>
          <w:color w:val="000000" w:themeColor="text1"/>
        </w:rPr>
        <w:t xml:space="preserve">l 30 de junio de 2026. </w:t>
      </w:r>
    </w:p>
    <w:p w14:paraId="2755B684" w14:textId="77777777" w:rsidR="00F208CE" w:rsidRDefault="00513E84">
      <w:pPr>
        <w:pStyle w:val="P68B1DB1-Text19"/>
        <w:ind w:left="0"/>
        <w:rPr>
          <w:noProof/>
        </w:rPr>
      </w:pPr>
      <w:r>
        <w:rPr>
          <w:noProof/>
        </w:rPr>
        <w:t>Reforma R-3.06: «Fomento del transporte sin emisiones — VLA» de la Región Flamenca</w:t>
      </w:r>
    </w:p>
    <w:p w14:paraId="1E47AF03" w14:textId="5421F8FF" w:rsidR="00F208CE" w:rsidRDefault="00513E84">
      <w:pPr>
        <w:pStyle w:val="P68B1DB1-Normal1"/>
        <w:spacing w:before="120" w:after="120" w:line="240" w:lineRule="auto"/>
        <w:jc w:val="both"/>
        <w:rPr>
          <w:rFonts w:cs="Times New Roman"/>
          <w:noProof/>
        </w:rPr>
      </w:pPr>
      <w:r>
        <w:rPr>
          <w:noProof/>
        </w:rPr>
        <w:t>Esta medida consiste en adoptar un marco legislativo para incentivar el despliegue de puntos de recarga públicos a través de concesiones y puntos sem</w:t>
      </w:r>
      <w:r>
        <w:rPr>
          <w:noProof/>
        </w:rPr>
        <w:t xml:space="preserve">ipúblicos mediante subvenciones en la Región Flamenca. El marco legislativo permitirá cartografiar los futuros puntos de recarga, convocar licitaciones de concesión para puntos de recarga públicos, estimular el despliegue de puntos de recarga semipúblicos </w:t>
      </w:r>
      <w:r>
        <w:rPr>
          <w:noProof/>
        </w:rPr>
        <w:t xml:space="preserve">en propiedades privadas, reducir la carga administrativa para acortar el plazo para la instalación de puntos de recarga y estimular la recarga inteligente de electricidad para equilibrar la oferta y la demanda de electricidad. El marco legislativo entrará </w:t>
      </w:r>
      <w:r>
        <w:rPr>
          <w:noProof/>
        </w:rPr>
        <w:t>en vigor como máximo el 1 de enero de 2022.</w:t>
      </w:r>
    </w:p>
    <w:p w14:paraId="3F11BD63" w14:textId="77777777" w:rsidR="00F208CE" w:rsidRDefault="00513E84">
      <w:pPr>
        <w:pStyle w:val="P68B1DB1-Text19"/>
        <w:ind w:left="0"/>
        <w:rPr>
          <w:noProof/>
        </w:rPr>
      </w:pPr>
      <w:r>
        <w:rPr>
          <w:noProof/>
        </w:rPr>
        <w:t>Reforma R-3.07: «Fraude en materia de emisiones» de la Región Flamenca</w:t>
      </w:r>
    </w:p>
    <w:p w14:paraId="269B5AC1" w14:textId="77777777" w:rsidR="00F208CE" w:rsidRDefault="00513E84">
      <w:pPr>
        <w:pStyle w:val="P68B1DB1-Normal1"/>
        <w:spacing w:before="120" w:after="120" w:line="240" w:lineRule="auto"/>
        <w:jc w:val="both"/>
        <w:rPr>
          <w:rFonts w:cs="Times New Roman"/>
          <w:noProof/>
        </w:rPr>
      </w:pPr>
      <w:r>
        <w:rPr>
          <w:noProof/>
        </w:rPr>
        <w:t>Esta medida consiste en i) la adopción de un nuevo marco jurídico para las pruebas de NOx (si la investigación en curso da lugar a un procedi</w:t>
      </w:r>
      <w:r>
        <w:rPr>
          <w:noProof/>
        </w:rPr>
        <w:t>miento viable), el seguimiento a gran escala de las emisiones de vehículos, la mejora de las inspecciones en carretera y un programa de ensayos de conformidad en servicio eficaz, y ii) un sistema informático que integre los datos de emisiones con observaci</w:t>
      </w:r>
      <w:r>
        <w:rPr>
          <w:noProof/>
        </w:rPr>
        <w:t xml:space="preserve">ones de inspecciones técnicas y en carretera periódicas para seguir mejorando el programa de ensayos de conformidad en servicio. </w:t>
      </w:r>
    </w:p>
    <w:p w14:paraId="30F56526" w14:textId="03F5ED11" w:rsidR="00F208CE" w:rsidRDefault="00513E84">
      <w:pPr>
        <w:pStyle w:val="P68B1DB1-Normal1"/>
        <w:spacing w:before="120" w:after="120" w:line="240" w:lineRule="auto"/>
        <w:jc w:val="both"/>
        <w:rPr>
          <w:rFonts w:cs="Times New Roman"/>
          <w:noProof/>
        </w:rPr>
      </w:pPr>
      <w:r>
        <w:rPr>
          <w:noProof/>
        </w:rPr>
        <w:t>El marco jurídico se publicará a más tardar en abril de 2023 y entrará en vigor con arreglo al siguiente calendario. Antes del</w:t>
      </w:r>
      <w:r>
        <w:rPr>
          <w:noProof/>
        </w:rPr>
        <w:t xml:space="preserve"> 1 de julio de 2023 se desplegará un seguimiento a gran escala de las emisiones de los vehículos, se llevarán a cabo inspecciones en carretera mejoradas y se pondrá en marcha un programa de ensayos de conformidad en circulación eficiente. En caso de que se</w:t>
      </w:r>
      <w:r>
        <w:rPr>
          <w:noProof/>
        </w:rPr>
        <w:t xml:space="preserve"> elabore un procedimiento de ensayo de NOx viable para la inspección técnica antes del 31 de marzo de 2022, se aplicará en 2023. A más tardar el 31 de diciembre de 2024, se completará y aplicará la medida completa (finalización completa del sistema informá</w:t>
      </w:r>
      <w:r>
        <w:rPr>
          <w:noProof/>
        </w:rPr>
        <w:t xml:space="preserve">tico que permite una mayor integración de las inspecciones técnicas en carretera y periódicas con el programa de conformidad en circulación). </w:t>
      </w:r>
    </w:p>
    <w:p w14:paraId="51361DC6" w14:textId="77777777" w:rsidR="00F208CE" w:rsidRDefault="00513E84">
      <w:pPr>
        <w:pStyle w:val="P68B1DB1-Text19"/>
        <w:ind w:left="0"/>
        <w:rPr>
          <w:noProof/>
        </w:rPr>
      </w:pPr>
      <w:r>
        <w:rPr>
          <w:noProof/>
        </w:rPr>
        <w:t>Inversión I-3.16: «Ecologización de la flota de autobuses — VLA» de la Región Flamenca</w:t>
      </w:r>
    </w:p>
    <w:p w14:paraId="24210CE6" w14:textId="77777777" w:rsidR="00F208CE" w:rsidRDefault="00513E84">
      <w:pPr>
        <w:pStyle w:val="P68B1DB1-Normal1"/>
        <w:spacing w:before="120" w:after="120" w:line="240" w:lineRule="auto"/>
        <w:jc w:val="both"/>
        <w:rPr>
          <w:rFonts w:cs="Times New Roman"/>
          <w:noProof/>
        </w:rPr>
      </w:pPr>
      <w:r>
        <w:rPr>
          <w:noProof/>
        </w:rPr>
        <w:t>Esta inversión realizada p</w:t>
      </w:r>
      <w:r>
        <w:rPr>
          <w:noProof/>
        </w:rPr>
        <w:t>ara «VVM-De Lijn», el operador regional flamenco de transporte público, consiste en:</w:t>
      </w:r>
    </w:p>
    <w:p w14:paraId="22F89079" w14:textId="18D4D1E7" w:rsidR="00F208CE" w:rsidRDefault="00513E84">
      <w:pPr>
        <w:pStyle w:val="P68B1DB1-ListParagraph16"/>
        <w:numPr>
          <w:ilvl w:val="0"/>
          <w:numId w:val="55"/>
        </w:numPr>
        <w:spacing w:before="120" w:after="120" w:line="240" w:lineRule="auto"/>
        <w:jc w:val="both"/>
        <w:rPr>
          <w:rFonts w:cs="Times New Roman"/>
          <w:noProof/>
        </w:rPr>
      </w:pPr>
      <w:r>
        <w:rPr>
          <w:noProof/>
        </w:rPr>
        <w:t>retroadaptación de al menos 225 autobuses híbridos de piso bajo M3 a autobuses híbridos enchufables,</w:t>
      </w:r>
    </w:p>
    <w:p w14:paraId="34CB3F49" w14:textId="646CC4B6" w:rsidR="00F208CE" w:rsidRDefault="00513E84">
      <w:pPr>
        <w:pStyle w:val="P68B1DB1-ListParagraph16"/>
        <w:numPr>
          <w:ilvl w:val="0"/>
          <w:numId w:val="55"/>
        </w:numPr>
        <w:spacing w:before="120" w:after="120" w:line="240" w:lineRule="auto"/>
        <w:jc w:val="both"/>
        <w:rPr>
          <w:rFonts w:cs="Times New Roman"/>
          <w:noProof/>
        </w:rPr>
      </w:pPr>
      <w:r>
        <w:rPr>
          <w:noProof/>
        </w:rPr>
        <w:t>adquisición de al menos 32 M3 de autobuses híbridos enchufables de pis</w:t>
      </w:r>
      <w:r>
        <w:rPr>
          <w:noProof/>
        </w:rPr>
        <w:t>o bajo,</w:t>
      </w:r>
    </w:p>
    <w:p w14:paraId="74479860" w14:textId="470D5185" w:rsidR="00F208CE" w:rsidRDefault="00513E84">
      <w:pPr>
        <w:pStyle w:val="P68B1DB1-ListParagraph16"/>
        <w:numPr>
          <w:ilvl w:val="0"/>
          <w:numId w:val="55"/>
        </w:numPr>
        <w:spacing w:before="120" w:after="120" w:line="240" w:lineRule="auto"/>
        <w:jc w:val="both"/>
        <w:rPr>
          <w:rFonts w:cs="Times New Roman"/>
          <w:noProof/>
        </w:rPr>
      </w:pPr>
      <w:r>
        <w:rPr>
          <w:noProof/>
        </w:rPr>
        <w:t>contratación pública de autobuses eléctricos de piso bajo de al menos 54 M3,</w:t>
      </w:r>
    </w:p>
    <w:p w14:paraId="79AD984D" w14:textId="22DC029C" w:rsidR="00F208CE" w:rsidRDefault="00513E84">
      <w:pPr>
        <w:pStyle w:val="P68B1DB1-ListParagraph16"/>
        <w:numPr>
          <w:ilvl w:val="0"/>
          <w:numId w:val="55"/>
        </w:numPr>
        <w:spacing w:before="120" w:after="120" w:line="240" w:lineRule="auto"/>
        <w:jc w:val="both"/>
        <w:rPr>
          <w:rFonts w:cs="Times New Roman"/>
          <w:noProof/>
        </w:rPr>
      </w:pPr>
      <w:r>
        <w:rPr>
          <w:noProof/>
        </w:rPr>
        <w:t>instalación de al menos 345 estaciones de recarga de autobuses.</w:t>
      </w:r>
    </w:p>
    <w:p w14:paraId="13B8C4E0" w14:textId="77777777" w:rsidR="00F208CE" w:rsidRDefault="00513E84">
      <w:pPr>
        <w:pStyle w:val="P68B1DB1-Normal1"/>
        <w:spacing w:before="120" w:after="120" w:line="240" w:lineRule="auto"/>
        <w:jc w:val="both"/>
        <w:rPr>
          <w:rFonts w:cs="Times New Roman"/>
          <w:noProof/>
        </w:rPr>
      </w:pPr>
      <w:r>
        <w:rPr>
          <w:noProof/>
        </w:rPr>
        <w:t>La ejecución de la inversión deberá estar terminada a más tardar el 31 de diciembre de 2025.</w:t>
      </w:r>
    </w:p>
    <w:p w14:paraId="32658571" w14:textId="77777777" w:rsidR="00F208CE" w:rsidRDefault="00513E84">
      <w:pPr>
        <w:pStyle w:val="P68B1DB1-Text19"/>
        <w:pageBreakBefore/>
        <w:ind w:left="0"/>
        <w:rPr>
          <w:noProof/>
        </w:rPr>
      </w:pPr>
      <w:r>
        <w:rPr>
          <w:noProof/>
        </w:rPr>
        <w:t xml:space="preserve">Inversión I-3.17: «Ecologización de la flota de autobuses — RBC» de la Región de Bruselas-Capital </w:t>
      </w:r>
    </w:p>
    <w:p w14:paraId="6A9BE489" w14:textId="1B545921" w:rsidR="00F208CE" w:rsidRDefault="00513E84">
      <w:pPr>
        <w:pStyle w:val="P68B1DB1-Normal1"/>
        <w:spacing w:before="120" w:after="120" w:line="240" w:lineRule="auto"/>
        <w:jc w:val="both"/>
        <w:rPr>
          <w:rFonts w:cs="Times New Roman"/>
          <w:noProof/>
        </w:rPr>
      </w:pPr>
      <w:r>
        <w:rPr>
          <w:noProof/>
        </w:rPr>
        <w:t>Esta inversión realizada para «STIB-MIVB», el operador de transporte público de la Región de Bruselas-Capital, consiste en la adquisición de 33 autobuses elé</w:t>
      </w:r>
      <w:r>
        <w:rPr>
          <w:noProof/>
        </w:rPr>
        <w:t>ctricos articulados de piso bajo. La ejecución de la inversión deberá estar terminada a más tardar el 31 de diciembre de 2025.</w:t>
      </w:r>
    </w:p>
    <w:p w14:paraId="799B40FF" w14:textId="77777777" w:rsidR="00F208CE" w:rsidRDefault="00513E84">
      <w:pPr>
        <w:pStyle w:val="P68B1DB1-Text19"/>
        <w:ind w:left="0"/>
        <w:rPr>
          <w:noProof/>
        </w:rPr>
      </w:pPr>
      <w:r>
        <w:rPr>
          <w:noProof/>
        </w:rPr>
        <w:t xml:space="preserve">Inversión I-3.18: «Estaciones de recarga — FED» del Estado Federal </w:t>
      </w:r>
    </w:p>
    <w:p w14:paraId="580B567C" w14:textId="26D4F348" w:rsidR="00F208CE" w:rsidRDefault="00513E84">
      <w:pPr>
        <w:pStyle w:val="P68B1DB1-Normal1"/>
        <w:spacing w:before="120" w:after="120" w:line="240" w:lineRule="auto"/>
        <w:jc w:val="both"/>
        <w:rPr>
          <w:rFonts w:cs="Times New Roman"/>
          <w:noProof/>
        </w:rPr>
      </w:pPr>
      <w:r>
        <w:rPr>
          <w:noProof/>
        </w:rPr>
        <w:t>Esta inversión consiste en apoyar un incentivo fiscal para es</w:t>
      </w:r>
      <w:r>
        <w:rPr>
          <w:noProof/>
        </w:rPr>
        <w:t>taciones de recarga privadas y semipúblicas para coches eléctricos. El incentivo fiscal permite deducir los costes de instalación de un punto de recarga en casa y en centros comerciales, supermercados y aparcamientos empresariales. El incentivo fiscal perm</w:t>
      </w:r>
      <w:r>
        <w:rPr>
          <w:noProof/>
        </w:rPr>
        <w:t>itirá la implantación de al menos 36 551 puntos de recarga privados. El incentivo fiscal entrará en vigor como máximo el 30 de septiembre de 2021. Es posible que otros fondos de la UE contribuyan también a la instalación de estaciones de recarga que se ben</w:t>
      </w:r>
      <w:r>
        <w:rPr>
          <w:noProof/>
        </w:rPr>
        <w:t>eficien de este incentivo fiscal.</w:t>
      </w:r>
    </w:p>
    <w:p w14:paraId="6C78AFE3" w14:textId="4BF01401" w:rsidR="00F208CE" w:rsidRDefault="00513E84">
      <w:pPr>
        <w:pStyle w:val="P68B1DB1-Text19"/>
        <w:ind w:left="0"/>
        <w:rPr>
          <w:noProof/>
        </w:rPr>
      </w:pPr>
      <w:r>
        <w:rPr>
          <w:noProof/>
        </w:rPr>
        <w:t>Inversión I-3.19: «Estaciones de recarga — VLA» de la Región Flamenca</w:t>
      </w:r>
    </w:p>
    <w:p w14:paraId="6D008635" w14:textId="5286AC58" w:rsidR="00F208CE" w:rsidRDefault="00513E84">
      <w:pPr>
        <w:pStyle w:val="P68B1DB1-Normal1"/>
        <w:spacing w:before="120" w:after="120" w:line="240" w:lineRule="auto"/>
        <w:jc w:val="both"/>
        <w:rPr>
          <w:rFonts w:cs="Times New Roman"/>
          <w:noProof/>
        </w:rPr>
      </w:pPr>
      <w:r>
        <w:rPr>
          <w:noProof/>
        </w:rPr>
        <w:t>Esta inversión consiste en la instalación de 27 000 puntos de recarga equivalentes (puntos de recarga públicos y semipúblicos) en toda la Región Flamenc</w:t>
      </w:r>
      <w:r>
        <w:rPr>
          <w:noProof/>
        </w:rPr>
        <w:t xml:space="preserve">a. La Región Flamenca desarrollará planes para optimizar el despliegue de puntos de recarga accesibles durante 24 horas y apoyar el desarrollo de instalaciones de almacenamiento en zonas alejadas de las zonas de carga de las autopistas. La ejecución de la </w:t>
      </w:r>
      <w:r>
        <w:rPr>
          <w:noProof/>
        </w:rPr>
        <w:t>inversión deberá estar terminada a más tardar el 30 de junio de 2026.</w:t>
      </w:r>
    </w:p>
    <w:p w14:paraId="6254B2B7" w14:textId="77D920CC" w:rsidR="00F208CE" w:rsidRDefault="00513E84">
      <w:pPr>
        <w:pStyle w:val="P68B1DB1-Normal11"/>
        <w:spacing w:before="120" w:after="120" w:line="240" w:lineRule="auto"/>
        <w:jc w:val="both"/>
        <w:rPr>
          <w:rFonts w:cs="Times New Roman"/>
          <w:noProof/>
        </w:rPr>
      </w:pPr>
      <w:r>
        <w:rPr>
          <w:noProof/>
        </w:rPr>
        <w:t>Inversión I-3.20: «Ecologización de la flota de autobuses — WAL» de la Región Valona</w:t>
      </w:r>
    </w:p>
    <w:p w14:paraId="47B236E6" w14:textId="0DEBFC31" w:rsidR="00F208CE" w:rsidRDefault="00513E84">
      <w:pPr>
        <w:pStyle w:val="P68B1DB1-Normal1"/>
        <w:spacing w:before="120" w:after="120" w:line="240" w:lineRule="auto"/>
        <w:jc w:val="both"/>
        <w:rPr>
          <w:rFonts w:cs="Times New Roman"/>
          <w:noProof/>
        </w:rPr>
      </w:pPr>
      <w:r>
        <w:rPr>
          <w:noProof/>
        </w:rPr>
        <w:t>Esta inversión realizada para «Le TEC-OTW», el operador de transporte público de la Región Valona, co</w:t>
      </w:r>
      <w:r>
        <w:rPr>
          <w:noProof/>
        </w:rPr>
        <w:t>nsiste en la adquisición de 14 autobuses eléctricos articulados, 18 autobuses eléctricos biarticulados, estaciones de recarga lenta y rápida, y la construcción de un depósito de autobuses para la flota eléctrica. La ejecución de la inversión deberá estar t</w:t>
      </w:r>
      <w:r>
        <w:rPr>
          <w:noProof/>
        </w:rPr>
        <w:t>erminada a más tardar el 30 de junio de 2026.</w:t>
      </w:r>
    </w:p>
    <w:p w14:paraId="1BE202E8" w14:textId="5927AF12" w:rsidR="00F208CE" w:rsidRDefault="00513E84">
      <w:pPr>
        <w:pStyle w:val="P68B1DB1-Normal11"/>
        <w:spacing w:before="120" w:after="120" w:line="240" w:lineRule="auto"/>
        <w:jc w:val="both"/>
        <w:rPr>
          <w:rFonts w:cs="Times New Roman"/>
          <w:noProof/>
        </w:rPr>
      </w:pPr>
      <w:r>
        <w:rPr>
          <w:noProof/>
        </w:rPr>
        <w:t>Inversión I-3.21: «Infraestructura de recarga para autobuses» de la Región de Bruselas-Capital</w:t>
      </w:r>
    </w:p>
    <w:p w14:paraId="017BED06" w14:textId="74738070" w:rsidR="00F208CE" w:rsidRDefault="00513E84">
      <w:pPr>
        <w:pStyle w:val="P68B1DB1-Normal1"/>
        <w:jc w:val="both"/>
        <w:rPr>
          <w:rFonts w:eastAsia="Yu Gothic Light" w:cs="Times New Roman"/>
          <w:noProof/>
        </w:rPr>
        <w:sectPr w:rsidR="00F208CE" w:rsidSect="008A4840">
          <w:headerReference w:type="even" r:id="rId102"/>
          <w:headerReference w:type="default" r:id="rId103"/>
          <w:footerReference w:type="even" r:id="rId104"/>
          <w:footerReference w:type="default" r:id="rId105"/>
          <w:headerReference w:type="first" r:id="rId106"/>
          <w:footerReference w:type="first" r:id="rId107"/>
          <w:pgSz w:w="11907" w:h="16839"/>
          <w:pgMar w:top="1134" w:right="1134" w:bottom="1134" w:left="1134" w:header="567" w:footer="567" w:gutter="0"/>
          <w:cols w:space="720"/>
          <w:docGrid w:linePitch="360"/>
        </w:sectPr>
      </w:pPr>
      <w:r>
        <w:rPr>
          <w:noProof/>
        </w:rPr>
        <w:t>Esta inversión consiste en la instalación de infraestruc</w:t>
      </w:r>
      <w:r>
        <w:rPr>
          <w:noProof/>
        </w:rPr>
        <w:t xml:space="preserve">turas de recarga para autobuses eléctricos en la Región de Bruselas-Capital. La infraestructura de recarga incluirá estaciones de recarga nocturnas y de oportunidad con la infraestructura eléctrica correspondiente en un depósito de autobuses, y estaciones </w:t>
      </w:r>
      <w:r>
        <w:rPr>
          <w:noProof/>
        </w:rPr>
        <w:t>de recarga de oportunidad con la infraestructura eléctrica correspondiente en cinco terminales de líneas de autobuses. La ejecución de la medida estará terminada a más tardar el 30 de junio de 2026.</w:t>
      </w:r>
    </w:p>
    <w:p w14:paraId="731CDC7E" w14:textId="6100BD85" w:rsidR="00F208CE" w:rsidRDefault="00513E84">
      <w:pPr>
        <w:pStyle w:val="Text1"/>
        <w:ind w:left="0"/>
        <w:rPr>
          <w:b/>
          <w:noProof/>
          <w:u w:val="single"/>
        </w:rPr>
      </w:pPr>
      <w:r>
        <w:rPr>
          <w:b/>
          <w:noProof/>
          <w:u w:val="single"/>
        </w:rPr>
        <w:t xml:space="preserve">I.2. </w:t>
      </w:r>
      <w:r>
        <w:rPr>
          <w:noProof/>
        </w:rPr>
        <w:t xml:space="preserve"> </w:t>
      </w:r>
      <w:r>
        <w:rPr>
          <w:b/>
          <w:noProof/>
          <w:u w:val="single"/>
        </w:rPr>
        <w:t>Hitos, metas, indicadores y calendario para el segu</w:t>
      </w:r>
      <w:r>
        <w:rPr>
          <w:b/>
          <w:noProof/>
          <w:u w:val="single"/>
        </w:rPr>
        <w:t>imiento y la ejecución de la ayuda financiera no reembolsable</w:t>
      </w:r>
    </w:p>
    <w:tbl>
      <w:tblPr>
        <w:tblW w:w="15139" w:type="dxa"/>
        <w:tblInd w:w="-147" w:type="dxa"/>
        <w:tblLayout w:type="fixed"/>
        <w:tblLook w:val="04A0" w:firstRow="1" w:lastRow="0" w:firstColumn="1" w:lastColumn="0" w:noHBand="0" w:noVBand="1"/>
      </w:tblPr>
      <w:tblGrid>
        <w:gridCol w:w="709"/>
        <w:gridCol w:w="1418"/>
        <w:gridCol w:w="1134"/>
        <w:gridCol w:w="1559"/>
        <w:gridCol w:w="1442"/>
        <w:gridCol w:w="1080"/>
        <w:gridCol w:w="1022"/>
        <w:gridCol w:w="850"/>
        <w:gridCol w:w="1248"/>
        <w:gridCol w:w="720"/>
        <w:gridCol w:w="3957"/>
      </w:tblGrid>
      <w:tr w:rsidR="00F208CE" w14:paraId="130D913F" w14:textId="77777777">
        <w:trPr>
          <w:trHeight w:val="927"/>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04CBCB" w14:textId="26CB4634" w:rsidR="00F208CE" w:rsidRDefault="00513E84">
            <w:pPr>
              <w:pStyle w:val="P68B1DB1-Normal15"/>
              <w:spacing w:after="0"/>
              <w:jc w:val="center"/>
              <w:rPr>
                <w:rFonts w:eastAsia="Times New Roman" w:cs="Times New Roman"/>
                <w:noProof/>
              </w:rPr>
            </w:pPr>
            <w:r>
              <w:rPr>
                <w:noProof/>
              </w:rPr>
              <w:t>Código N.B.:</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0B14EB"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E63F9" w14:textId="77777777" w:rsidR="00F208CE" w:rsidRDefault="00513E84">
            <w:pPr>
              <w:pStyle w:val="P68B1DB1-Normal15"/>
              <w:spacing w:after="0"/>
              <w:jc w:val="center"/>
              <w:rPr>
                <w:rFonts w:eastAsia="Times New Roman" w:cs="Times New Roman"/>
                <w:noProof/>
              </w:rPr>
            </w:pPr>
            <w:r>
              <w:rPr>
                <w:noProof/>
              </w:rPr>
              <w:t>Hito/Objetivo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CBE10CF" w14:textId="77777777" w:rsidR="00F208CE" w:rsidRDefault="00513E84">
            <w:pPr>
              <w:pStyle w:val="P68B1DB1-Normal15"/>
              <w:spacing w:after="0"/>
              <w:jc w:val="center"/>
              <w:rPr>
                <w:rFonts w:eastAsia="Times New Roman" w:cs="Times New Roman"/>
                <w:noProof/>
              </w:rPr>
            </w:pPr>
            <w:r>
              <w:rPr>
                <w:noProof/>
              </w:rPr>
              <w:t>Nombre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97CEBD"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295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4E2CD9A"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968"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5BF6557A"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3A1392"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0E51C20F" w14:textId="77777777">
        <w:trPr>
          <w:trHeight w:val="10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89E320" w14:textId="77777777" w:rsidR="00F208CE" w:rsidRDefault="00F208CE">
            <w:pPr>
              <w:spacing w:after="0"/>
              <w:rPr>
                <w:rFonts w:ascii="Times New Roman" w:eastAsia="Times New Roman" w:hAnsi="Times New Roman" w:cs="Times New Roman"/>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DAEFCE" w14:textId="77777777" w:rsidR="00F208CE" w:rsidRDefault="00F208CE">
            <w:pPr>
              <w:spacing w:after="0"/>
              <w:rPr>
                <w:rFonts w:ascii="Times New Roman" w:eastAsia="Times New Roman" w:hAnsi="Times New Roman" w:cs="Times New Roman"/>
                <w:b/>
                <w:noProof/>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2E9FFA" w14:textId="77777777" w:rsidR="00F208CE" w:rsidRDefault="00F208CE">
            <w:pPr>
              <w:spacing w:after="0"/>
              <w:rPr>
                <w:rFonts w:ascii="Times New Roman" w:eastAsia="Times New Roman" w:hAnsi="Times New Roman" w:cs="Times New Roman"/>
                <w:b/>
                <w:noProof/>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BC3A79" w14:textId="77777777" w:rsidR="00F208CE" w:rsidRDefault="00F208CE">
            <w:pPr>
              <w:spacing w:after="0"/>
              <w:rPr>
                <w:rFonts w:ascii="Times New Roman" w:eastAsia="Times New Roman" w:hAnsi="Times New Roman" w:cs="Times New Roman"/>
                <w:b/>
                <w:noProof/>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631C0926" w14:textId="77777777" w:rsidR="00F208CE" w:rsidRDefault="00F208CE">
            <w:pPr>
              <w:spacing w:after="0"/>
              <w:rPr>
                <w:rFonts w:ascii="Times New Roman" w:eastAsia="Times New Roman" w:hAnsi="Times New Roman" w:cs="Times New Roman"/>
                <w:b/>
                <w:noProof/>
              </w:rPr>
            </w:pP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597E4CD" w14:textId="77777777" w:rsidR="00F208CE" w:rsidRDefault="00513E84">
            <w:pPr>
              <w:pStyle w:val="P68B1DB1-Normal15"/>
              <w:spacing w:after="0"/>
              <w:jc w:val="center"/>
              <w:rPr>
                <w:rFonts w:eastAsia="Times New Roman" w:cs="Times New Roman"/>
                <w:noProof/>
              </w:rPr>
            </w:pPr>
            <w:r>
              <w:rPr>
                <w:noProof/>
              </w:rPr>
              <w:t>Unidad de medida</w:t>
            </w:r>
          </w:p>
        </w:tc>
        <w:tc>
          <w:tcPr>
            <w:tcW w:w="1022" w:type="dxa"/>
            <w:tcBorders>
              <w:top w:val="nil"/>
              <w:left w:val="single" w:sz="4" w:space="0" w:color="auto"/>
              <w:bottom w:val="single" w:sz="4" w:space="0" w:color="auto"/>
              <w:right w:val="single" w:sz="4" w:space="0" w:color="auto"/>
            </w:tcBorders>
            <w:shd w:val="clear" w:color="auto" w:fill="BDD7EE"/>
            <w:vAlign w:val="center"/>
            <w:hideMark/>
          </w:tcPr>
          <w:p w14:paraId="6F3158D2" w14:textId="0EE84F66" w:rsidR="00F208CE" w:rsidRDefault="00513E84">
            <w:pPr>
              <w:pStyle w:val="P68B1DB1-Normal15"/>
              <w:spacing w:after="0"/>
              <w:jc w:val="center"/>
              <w:rPr>
                <w:rFonts w:eastAsia="Times New Roman" w:cs="Times New Roman"/>
                <w:noProof/>
              </w:rPr>
            </w:pPr>
            <w:r>
              <w:rPr>
                <w:noProof/>
              </w:rPr>
              <w:t>Basal</w:t>
            </w:r>
          </w:p>
        </w:tc>
        <w:tc>
          <w:tcPr>
            <w:tcW w:w="850" w:type="dxa"/>
            <w:tcBorders>
              <w:top w:val="nil"/>
              <w:left w:val="nil"/>
              <w:bottom w:val="single" w:sz="4" w:space="0" w:color="auto"/>
              <w:right w:val="single" w:sz="4" w:space="0" w:color="auto"/>
            </w:tcBorders>
            <w:shd w:val="clear" w:color="auto" w:fill="BDD7EE"/>
            <w:vAlign w:val="center"/>
            <w:hideMark/>
          </w:tcPr>
          <w:p w14:paraId="53297403" w14:textId="44CB8FF4" w:rsidR="00F208CE" w:rsidRDefault="00513E84">
            <w:pPr>
              <w:pStyle w:val="P68B1DB1-Normal15"/>
              <w:spacing w:after="0"/>
              <w:jc w:val="center"/>
              <w:rPr>
                <w:rFonts w:eastAsia="Times New Roman" w:cs="Times New Roman"/>
                <w:noProof/>
              </w:rPr>
            </w:pPr>
            <w:r>
              <w:rPr>
                <w:noProof/>
              </w:rPr>
              <w:t>Meta</w:t>
            </w:r>
          </w:p>
        </w:tc>
        <w:tc>
          <w:tcPr>
            <w:tcW w:w="1248" w:type="dxa"/>
            <w:tcBorders>
              <w:top w:val="nil"/>
              <w:left w:val="nil"/>
              <w:bottom w:val="single" w:sz="4" w:space="0" w:color="auto"/>
              <w:right w:val="single" w:sz="4" w:space="0" w:color="auto"/>
            </w:tcBorders>
            <w:shd w:val="clear" w:color="auto" w:fill="BDD7EE"/>
            <w:vAlign w:val="center"/>
            <w:hideMark/>
          </w:tcPr>
          <w:p w14:paraId="78547D84" w14:textId="77777777" w:rsidR="00F208CE" w:rsidRDefault="00513E84">
            <w:pPr>
              <w:pStyle w:val="P68B1DB1-Normal15"/>
              <w:spacing w:after="0"/>
              <w:jc w:val="center"/>
              <w:rPr>
                <w:rFonts w:eastAsia="Times New Roman" w:cs="Times New Roman"/>
                <w:noProof/>
              </w:rPr>
            </w:pPr>
            <w:r>
              <w:rPr>
                <w:noProof/>
              </w:rPr>
              <w:t>Trimestre</w:t>
            </w:r>
          </w:p>
        </w:tc>
        <w:tc>
          <w:tcPr>
            <w:tcW w:w="720" w:type="dxa"/>
            <w:tcBorders>
              <w:top w:val="nil"/>
              <w:left w:val="nil"/>
              <w:bottom w:val="single" w:sz="4" w:space="0" w:color="auto"/>
              <w:right w:val="single" w:sz="4" w:space="0" w:color="auto"/>
            </w:tcBorders>
            <w:shd w:val="clear" w:color="auto" w:fill="BDD7EE"/>
            <w:vAlign w:val="center"/>
            <w:hideMark/>
          </w:tcPr>
          <w:p w14:paraId="5C601668" w14:textId="77777777" w:rsidR="00F208CE" w:rsidRDefault="00513E84">
            <w:pPr>
              <w:pStyle w:val="P68B1DB1-Normal15"/>
              <w:spacing w:after="0"/>
              <w:jc w:val="center"/>
              <w:rPr>
                <w:rFonts w:eastAsia="Times New Roman" w:cs="Times New Roman"/>
                <w:noProof/>
              </w:rPr>
            </w:pPr>
            <w:r>
              <w:rPr>
                <w:noProof/>
              </w:rPr>
              <w:t>Año</w:t>
            </w:r>
          </w:p>
        </w:tc>
        <w:tc>
          <w:tcPr>
            <w:tcW w:w="3957" w:type="dxa"/>
            <w:vMerge/>
            <w:tcBorders>
              <w:top w:val="single" w:sz="4" w:space="0" w:color="auto"/>
              <w:bottom w:val="single" w:sz="4" w:space="0" w:color="auto"/>
              <w:right w:val="single" w:sz="4" w:space="0" w:color="auto"/>
            </w:tcBorders>
            <w:vAlign w:val="center"/>
            <w:hideMark/>
          </w:tcPr>
          <w:p w14:paraId="6D486B85" w14:textId="77777777" w:rsidR="00F208CE" w:rsidRDefault="00F208CE">
            <w:pPr>
              <w:spacing w:after="0"/>
              <w:rPr>
                <w:rFonts w:ascii="Times New Roman" w:eastAsia="Times New Roman" w:hAnsi="Times New Roman" w:cs="Times New Roman"/>
                <w:b/>
                <w:noProof/>
              </w:rPr>
            </w:pPr>
          </w:p>
        </w:tc>
      </w:tr>
      <w:tr w:rsidR="00F208CE" w14:paraId="6167AC20"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18E6CEC" w14:textId="77777777" w:rsidR="00F208CE" w:rsidRDefault="00513E84">
            <w:pPr>
              <w:pStyle w:val="P68B1DB1-Normal8"/>
              <w:spacing w:after="0"/>
              <w:jc w:val="center"/>
              <w:rPr>
                <w:rFonts w:eastAsia="Times New Roman" w:cs="Times New Roman"/>
                <w:noProof/>
              </w:rPr>
            </w:pPr>
            <w:r>
              <w:rPr>
                <w:noProof/>
              </w:rPr>
              <w:t>114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FF591C4" w14:textId="77777777" w:rsidR="00F208CE" w:rsidRDefault="00513E84">
            <w:pPr>
              <w:pStyle w:val="P68B1DB1-Normal8"/>
              <w:spacing w:after="0"/>
              <w:rPr>
                <w:rFonts w:eastAsia="Times New Roman" w:cs="Times New Roman"/>
                <w:noProof/>
              </w:rPr>
            </w:pPr>
            <w:r>
              <w:rPr>
                <w:noProof/>
              </w:rPr>
              <w:t>Ecologización de la flota de autobuses (I-3G)</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0AE60C1C" w14:textId="0BC4AC27" w:rsidR="00F208CE" w:rsidRDefault="00513E84">
            <w:pPr>
              <w:pStyle w:val="P68B1DB1-Normal8"/>
              <w:spacing w:after="0"/>
              <w:rPr>
                <w:rFonts w:eastAsia="Times New Roman" w:cs="Times New Roman"/>
                <w:noProof/>
              </w:rPr>
            </w:pPr>
            <w:r>
              <w:rPr>
                <w:noProof/>
              </w:rPr>
              <w:t>T</w:t>
            </w:r>
          </w:p>
        </w:tc>
        <w:tc>
          <w:tcPr>
            <w:tcW w:w="1559" w:type="dxa"/>
            <w:tcBorders>
              <w:top w:val="single" w:sz="4" w:space="0" w:color="auto"/>
              <w:left w:val="nil"/>
              <w:bottom w:val="single" w:sz="4" w:space="0" w:color="auto"/>
              <w:right w:val="single" w:sz="4" w:space="0" w:color="auto"/>
            </w:tcBorders>
            <w:shd w:val="clear" w:color="auto" w:fill="C6EFCE"/>
            <w:noWrap/>
            <w:vAlign w:val="center"/>
            <w:hideMark/>
          </w:tcPr>
          <w:p w14:paraId="366B440C" w14:textId="77777777" w:rsidR="00F208CE" w:rsidRDefault="00513E84">
            <w:pPr>
              <w:pStyle w:val="P68B1DB1-Normal8"/>
              <w:spacing w:after="0"/>
              <w:rPr>
                <w:rFonts w:eastAsia="Times New Roman" w:cs="Times New Roman"/>
                <w:noProof/>
              </w:rPr>
            </w:pPr>
            <w:r>
              <w:rPr>
                <w:noProof/>
              </w:rPr>
              <w:t xml:space="preserve">Orden formal para autobuses verdes e infraestructura de recarga conexa en </w:t>
            </w:r>
            <w:r>
              <w:rPr>
                <w:noProof/>
              </w:rPr>
              <w:t>Flandes y Bruselas</w:t>
            </w:r>
          </w:p>
        </w:tc>
        <w:tc>
          <w:tcPr>
            <w:tcW w:w="1442" w:type="dxa"/>
            <w:tcBorders>
              <w:top w:val="single" w:sz="4" w:space="0" w:color="auto"/>
              <w:left w:val="nil"/>
              <w:bottom w:val="single" w:sz="4" w:space="0" w:color="auto"/>
              <w:right w:val="single" w:sz="4" w:space="0" w:color="auto"/>
            </w:tcBorders>
            <w:shd w:val="clear" w:color="auto" w:fill="C6EFCE"/>
            <w:noWrap/>
            <w:vAlign w:val="center"/>
            <w:hideMark/>
          </w:tcPr>
          <w:p w14:paraId="4C1E4AD6" w14:textId="77777777" w:rsidR="00F208CE" w:rsidRDefault="00F208CE">
            <w:pPr>
              <w:spacing w:after="0"/>
              <w:rPr>
                <w:rFonts w:ascii="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4129E2B6" w14:textId="313695EE" w:rsidR="00F208CE" w:rsidRDefault="00513E84">
            <w:pPr>
              <w:pStyle w:val="P68B1DB1-Normal8"/>
              <w:spacing w:after="0"/>
              <w:rPr>
                <w:rFonts w:eastAsia="Times New Roman" w:cs="Times New Roman"/>
                <w:noProof/>
              </w:rPr>
            </w:pPr>
            <w:r>
              <w:rPr>
                <w:noProof/>
              </w:rPr>
              <w:t xml:space="preserve">Pedidos </w:t>
            </w:r>
          </w:p>
        </w:tc>
        <w:tc>
          <w:tcPr>
            <w:tcW w:w="1022" w:type="dxa"/>
            <w:tcBorders>
              <w:top w:val="single" w:sz="4" w:space="0" w:color="auto"/>
              <w:left w:val="nil"/>
              <w:bottom w:val="single" w:sz="4" w:space="0" w:color="auto"/>
              <w:right w:val="single" w:sz="4" w:space="0" w:color="auto"/>
            </w:tcBorders>
            <w:shd w:val="clear" w:color="auto" w:fill="C6EFCE"/>
            <w:noWrap/>
            <w:vAlign w:val="center"/>
            <w:hideMark/>
          </w:tcPr>
          <w:p w14:paraId="7EEB3A54" w14:textId="309F890E" w:rsidR="00F208CE" w:rsidRDefault="00513E84">
            <w:pPr>
              <w:pStyle w:val="P68B1DB1-Normal8"/>
              <w:spacing w:after="0"/>
              <w:jc w:val="right"/>
              <w:rPr>
                <w:rFonts w:eastAsia="Times New Roman" w:cs="Times New Roman"/>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vAlign w:val="center"/>
            <w:hideMark/>
          </w:tcPr>
          <w:p w14:paraId="21299D08" w14:textId="162292CC" w:rsidR="00F208CE" w:rsidRDefault="00513E84">
            <w:pPr>
              <w:pStyle w:val="P68B1DB1-Normal8"/>
              <w:spacing w:after="0"/>
              <w:jc w:val="right"/>
              <w:rPr>
                <w:rFonts w:eastAsia="Times New Roman" w:cs="Times New Roman"/>
                <w:noProof/>
              </w:rPr>
            </w:pPr>
            <w:r>
              <w:rPr>
                <w:noProof/>
              </w:rPr>
              <w:t>5</w:t>
            </w:r>
          </w:p>
        </w:tc>
        <w:tc>
          <w:tcPr>
            <w:tcW w:w="1248" w:type="dxa"/>
            <w:tcBorders>
              <w:top w:val="nil"/>
              <w:left w:val="nil"/>
              <w:bottom w:val="single" w:sz="4" w:space="0" w:color="auto"/>
              <w:right w:val="single" w:sz="4" w:space="0" w:color="auto"/>
            </w:tcBorders>
            <w:shd w:val="clear" w:color="auto" w:fill="C6EFCE"/>
            <w:noWrap/>
            <w:vAlign w:val="center"/>
            <w:hideMark/>
          </w:tcPr>
          <w:p w14:paraId="547A00C4"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hideMark/>
          </w:tcPr>
          <w:p w14:paraId="677C3645" w14:textId="77777777" w:rsidR="00F208CE" w:rsidRDefault="00513E84">
            <w:pPr>
              <w:pStyle w:val="P68B1DB1-Normal8"/>
              <w:spacing w:after="0"/>
              <w:jc w:val="center"/>
              <w:rPr>
                <w:rFonts w:eastAsia="Times New Roman" w:cs="Times New Roman"/>
                <w:noProof/>
              </w:rPr>
            </w:pPr>
            <w:r>
              <w:rPr>
                <w:noProof/>
              </w:rPr>
              <w:t>2024</w:t>
            </w:r>
          </w:p>
        </w:tc>
        <w:tc>
          <w:tcPr>
            <w:tcW w:w="395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11C0F51" w14:textId="77777777" w:rsidR="00F208CE" w:rsidRDefault="00513E84">
            <w:pPr>
              <w:pStyle w:val="P68B1DB1-Normal8"/>
              <w:spacing w:after="0"/>
              <w:rPr>
                <w:rFonts w:cs="Times New Roman"/>
                <w:noProof/>
              </w:rPr>
            </w:pPr>
            <w:r>
              <w:rPr>
                <w:noProof/>
              </w:rPr>
              <w:t>Ecologización de la flota de autobuses — VLA</w:t>
            </w:r>
          </w:p>
          <w:p w14:paraId="7C845BE2" w14:textId="77777777" w:rsidR="00F208CE" w:rsidRDefault="00513E84">
            <w:pPr>
              <w:pStyle w:val="P68B1DB1-ListParagraph10"/>
              <w:numPr>
                <w:ilvl w:val="0"/>
                <w:numId w:val="26"/>
              </w:numPr>
              <w:spacing w:after="0" w:line="240" w:lineRule="auto"/>
              <w:ind w:left="527" w:hanging="357"/>
              <w:rPr>
                <w:rFonts w:eastAsia="Times New Roman" w:cs="Times New Roman"/>
                <w:noProof/>
              </w:rPr>
            </w:pPr>
            <w:r>
              <w:rPr>
                <w:noProof/>
              </w:rPr>
              <w:t>Pedido para la retroadaptación de autobuses híbridos a autobuses híbridos mediante una modificación del contrato marco existente</w:t>
            </w:r>
          </w:p>
          <w:p w14:paraId="7CC5D58C" w14:textId="77777777" w:rsidR="00F208CE" w:rsidRDefault="00513E84">
            <w:pPr>
              <w:pStyle w:val="P68B1DB1-ListParagraph10"/>
              <w:numPr>
                <w:ilvl w:val="0"/>
                <w:numId w:val="26"/>
              </w:numPr>
              <w:spacing w:after="0" w:line="240" w:lineRule="auto"/>
              <w:ind w:left="527" w:hanging="357"/>
              <w:rPr>
                <w:rFonts w:eastAsia="Times New Roman" w:cs="Times New Roman"/>
                <w:noProof/>
              </w:rPr>
            </w:pPr>
            <w:r>
              <w:rPr>
                <w:noProof/>
              </w:rPr>
              <w:t>Pedido de autobuses híbri</w:t>
            </w:r>
            <w:r>
              <w:rPr>
                <w:noProof/>
              </w:rPr>
              <w:t>dos enchufables dentro del contrato marco vigente</w:t>
            </w:r>
          </w:p>
          <w:p w14:paraId="4C9E6427" w14:textId="77777777" w:rsidR="00F208CE" w:rsidRDefault="00513E84">
            <w:pPr>
              <w:pStyle w:val="P68B1DB1-ListParagraph10"/>
              <w:numPr>
                <w:ilvl w:val="0"/>
                <w:numId w:val="26"/>
              </w:numPr>
              <w:spacing w:after="0" w:line="240" w:lineRule="auto"/>
              <w:ind w:left="527" w:hanging="357"/>
              <w:rPr>
                <w:rFonts w:eastAsia="Times New Roman" w:cs="Times New Roman"/>
                <w:noProof/>
              </w:rPr>
            </w:pPr>
            <w:r>
              <w:rPr>
                <w:noProof/>
              </w:rPr>
              <w:t xml:space="preserve">Pedido de autobuses totalmente eléctricos </w:t>
            </w:r>
          </w:p>
          <w:p w14:paraId="73751597" w14:textId="77777777" w:rsidR="00F208CE" w:rsidRDefault="00513E84">
            <w:pPr>
              <w:pStyle w:val="P68B1DB1-ListParagraph10"/>
              <w:numPr>
                <w:ilvl w:val="0"/>
                <w:numId w:val="26"/>
              </w:numPr>
              <w:spacing w:after="0" w:line="240" w:lineRule="auto"/>
              <w:ind w:left="527" w:hanging="357"/>
              <w:rPr>
                <w:rFonts w:eastAsia="Times New Roman" w:cs="Times New Roman"/>
                <w:noProof/>
              </w:rPr>
            </w:pPr>
            <w:r>
              <w:rPr>
                <w:noProof/>
              </w:rPr>
              <w:t>Orden de instalación de la infraestructura de recarga en los depósitos de los autobuses (totalmente) eléctricos y de los autobuses híbridos enchufables</w:t>
            </w:r>
          </w:p>
          <w:p w14:paraId="6DCA317F" w14:textId="77777777" w:rsidR="00F208CE" w:rsidRDefault="00513E84">
            <w:pPr>
              <w:pStyle w:val="P68B1DB1-Normal8"/>
              <w:spacing w:after="0"/>
              <w:rPr>
                <w:rFonts w:cs="Times New Roman"/>
                <w:noProof/>
              </w:rPr>
            </w:pPr>
            <w:r>
              <w:rPr>
                <w:noProof/>
              </w:rPr>
              <w:t>Ecologizaci</w:t>
            </w:r>
            <w:r>
              <w:rPr>
                <w:noProof/>
              </w:rPr>
              <w:t>ón de la flota de autobuses — RBC</w:t>
            </w:r>
          </w:p>
          <w:p w14:paraId="7E5015F7" w14:textId="47664C96" w:rsidR="00F208CE" w:rsidRDefault="00513E84">
            <w:pPr>
              <w:pStyle w:val="P68B1DB1-ListParagraph10"/>
              <w:numPr>
                <w:ilvl w:val="0"/>
                <w:numId w:val="26"/>
              </w:numPr>
              <w:spacing w:after="0" w:line="240" w:lineRule="auto"/>
              <w:ind w:left="527" w:hanging="357"/>
              <w:rPr>
                <w:rFonts w:cs="Times New Roman"/>
                <w:noProof/>
              </w:rPr>
            </w:pPr>
            <w:r>
              <w:rPr>
                <w:noProof/>
              </w:rPr>
              <w:t>Orden colocada para 12 autobuses eléctricos completos articulados</w:t>
            </w:r>
          </w:p>
        </w:tc>
      </w:tr>
      <w:tr w:rsidR="00F208CE" w14:paraId="27996DAD" w14:textId="77777777">
        <w:trPr>
          <w:trHeight w:val="309"/>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14:paraId="61432A27" w14:textId="77777777" w:rsidR="00F208CE" w:rsidRDefault="00513E84">
            <w:pPr>
              <w:pStyle w:val="P68B1DB1-Normal8"/>
              <w:spacing w:after="0"/>
              <w:jc w:val="center"/>
              <w:rPr>
                <w:rFonts w:eastAsia="Times New Roman" w:cs="Times New Roman"/>
                <w:noProof/>
              </w:rPr>
            </w:pPr>
            <w:r>
              <w:rPr>
                <w:noProof/>
              </w:rPr>
              <w:t>115</w:t>
            </w:r>
          </w:p>
        </w:tc>
        <w:tc>
          <w:tcPr>
            <w:tcW w:w="1418" w:type="dxa"/>
            <w:tcBorders>
              <w:top w:val="nil"/>
              <w:left w:val="single" w:sz="4" w:space="0" w:color="auto"/>
              <w:bottom w:val="single" w:sz="4" w:space="0" w:color="auto"/>
              <w:right w:val="single" w:sz="4" w:space="0" w:color="auto"/>
            </w:tcBorders>
            <w:shd w:val="clear" w:color="auto" w:fill="C6EFCE"/>
            <w:noWrap/>
            <w:vAlign w:val="center"/>
            <w:hideMark/>
          </w:tcPr>
          <w:p w14:paraId="68B514E6" w14:textId="77777777" w:rsidR="00F208CE" w:rsidRDefault="00513E84">
            <w:pPr>
              <w:pStyle w:val="P68B1DB1-Normal8"/>
              <w:spacing w:after="0"/>
              <w:rPr>
                <w:rFonts w:eastAsia="Times New Roman" w:cs="Times New Roman"/>
                <w:noProof/>
              </w:rPr>
            </w:pPr>
            <w:r>
              <w:rPr>
                <w:noProof/>
              </w:rPr>
              <w:t>Ecologización de la flota de autobuses — (I-3G)</w:t>
            </w:r>
          </w:p>
        </w:tc>
        <w:tc>
          <w:tcPr>
            <w:tcW w:w="1134" w:type="dxa"/>
            <w:tcBorders>
              <w:top w:val="nil"/>
              <w:left w:val="nil"/>
              <w:bottom w:val="single" w:sz="4" w:space="0" w:color="auto"/>
              <w:right w:val="single" w:sz="4" w:space="0" w:color="auto"/>
            </w:tcBorders>
            <w:shd w:val="clear" w:color="auto" w:fill="C6EFCE"/>
            <w:noWrap/>
            <w:vAlign w:val="center"/>
            <w:hideMark/>
          </w:tcPr>
          <w:p w14:paraId="05EFA9A1" w14:textId="13B627B0" w:rsidR="00F208CE" w:rsidRDefault="00513E84">
            <w:pPr>
              <w:pStyle w:val="P68B1DB1-Normal8"/>
              <w:spacing w:after="0"/>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hideMark/>
          </w:tcPr>
          <w:p w14:paraId="564B3272" w14:textId="390B9ECE" w:rsidR="00F208CE" w:rsidRDefault="00513E84">
            <w:pPr>
              <w:pStyle w:val="P68B1DB1-Normal8"/>
              <w:spacing w:after="0"/>
              <w:rPr>
                <w:rFonts w:eastAsia="Times New Roman" w:cs="Times New Roman"/>
                <w:noProof/>
              </w:rPr>
            </w:pPr>
            <w:r>
              <w:rPr>
                <w:noProof/>
              </w:rPr>
              <w:t xml:space="preserve">Autobuses verdes puestos en servicio y depósitos técnicamente adaptados en Flandes, Bruselas y </w:t>
            </w:r>
            <w:r>
              <w:rPr>
                <w:noProof/>
              </w:rPr>
              <w:t>Valonia</w:t>
            </w:r>
          </w:p>
        </w:tc>
        <w:tc>
          <w:tcPr>
            <w:tcW w:w="1442" w:type="dxa"/>
            <w:tcBorders>
              <w:top w:val="nil"/>
              <w:left w:val="nil"/>
              <w:bottom w:val="single" w:sz="4" w:space="0" w:color="auto"/>
              <w:right w:val="single" w:sz="4" w:space="0" w:color="auto"/>
            </w:tcBorders>
            <w:shd w:val="clear" w:color="auto" w:fill="C6EFCE"/>
            <w:noWrap/>
            <w:vAlign w:val="center"/>
            <w:hideMark/>
          </w:tcPr>
          <w:p w14:paraId="1DDB18A8" w14:textId="77777777" w:rsidR="00F208CE" w:rsidRDefault="00F208CE">
            <w:pPr>
              <w:spacing w:after="0"/>
              <w:rPr>
                <w:rFonts w:ascii="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794DA551" w14:textId="77777777" w:rsidR="00F208CE" w:rsidRDefault="00513E84">
            <w:pPr>
              <w:pStyle w:val="P68B1DB1-Normal8"/>
              <w:spacing w:after="0"/>
              <w:rPr>
                <w:rFonts w:eastAsia="Times New Roman" w:cs="Times New Roman"/>
                <w:noProof/>
              </w:rPr>
            </w:pPr>
            <w:r>
              <w:rPr>
                <w:noProof/>
              </w:rPr>
              <w:t>Vehículos</w:t>
            </w:r>
          </w:p>
        </w:tc>
        <w:tc>
          <w:tcPr>
            <w:tcW w:w="1022" w:type="dxa"/>
            <w:tcBorders>
              <w:top w:val="nil"/>
              <w:left w:val="nil"/>
              <w:bottom w:val="single" w:sz="4" w:space="0" w:color="auto"/>
              <w:right w:val="single" w:sz="4" w:space="0" w:color="auto"/>
            </w:tcBorders>
            <w:shd w:val="clear" w:color="auto" w:fill="C6EFCE"/>
            <w:noWrap/>
            <w:vAlign w:val="center"/>
            <w:hideMark/>
          </w:tcPr>
          <w:p w14:paraId="32CC0EC9" w14:textId="77777777" w:rsidR="00F208CE" w:rsidRDefault="00513E84">
            <w:pPr>
              <w:pStyle w:val="P68B1DB1-Normal8"/>
              <w:spacing w:after="0"/>
              <w:jc w:val="right"/>
              <w:rPr>
                <w:rFonts w:eastAsia="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vAlign w:val="center"/>
            <w:hideMark/>
          </w:tcPr>
          <w:p w14:paraId="52F938AF" w14:textId="3A950456" w:rsidR="00F208CE" w:rsidRDefault="00513E84">
            <w:pPr>
              <w:pStyle w:val="P68B1DB1-Normal8"/>
              <w:spacing w:after="0"/>
              <w:jc w:val="right"/>
              <w:rPr>
                <w:rFonts w:eastAsia="Times New Roman" w:cs="Times New Roman"/>
                <w:noProof/>
              </w:rPr>
            </w:pPr>
            <w:r>
              <w:rPr>
                <w:noProof/>
              </w:rPr>
              <w:t>363</w:t>
            </w:r>
          </w:p>
        </w:tc>
        <w:tc>
          <w:tcPr>
            <w:tcW w:w="1248" w:type="dxa"/>
            <w:tcBorders>
              <w:top w:val="nil"/>
              <w:left w:val="nil"/>
              <w:bottom w:val="single" w:sz="4" w:space="0" w:color="auto"/>
              <w:right w:val="single" w:sz="4" w:space="0" w:color="auto"/>
            </w:tcBorders>
            <w:shd w:val="clear" w:color="auto" w:fill="C6EFCE"/>
            <w:noWrap/>
            <w:vAlign w:val="center"/>
            <w:hideMark/>
          </w:tcPr>
          <w:p w14:paraId="3E0064D2" w14:textId="0F7536A3"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30289E90" w14:textId="667C1B25" w:rsidR="00F208CE" w:rsidRDefault="00513E84">
            <w:pPr>
              <w:pStyle w:val="P68B1DB1-Normal8"/>
              <w:spacing w:after="0"/>
              <w:jc w:val="center"/>
              <w:rPr>
                <w:rFonts w:eastAsia="Times New Roman" w:cs="Times New Roman"/>
                <w:noProof/>
              </w:rPr>
            </w:pPr>
            <w:r>
              <w:rPr>
                <w:noProof/>
              </w:rPr>
              <w:t>2025</w:t>
            </w:r>
          </w:p>
        </w:tc>
        <w:tc>
          <w:tcPr>
            <w:tcW w:w="3957" w:type="dxa"/>
            <w:tcBorders>
              <w:top w:val="nil"/>
              <w:left w:val="single" w:sz="4" w:space="0" w:color="auto"/>
              <w:bottom w:val="single" w:sz="4" w:space="0" w:color="auto"/>
              <w:right w:val="single" w:sz="4" w:space="0" w:color="auto"/>
            </w:tcBorders>
            <w:shd w:val="clear" w:color="auto" w:fill="C6EFCE"/>
            <w:noWrap/>
            <w:vAlign w:val="center"/>
            <w:hideMark/>
          </w:tcPr>
          <w:p w14:paraId="53D26B0C" w14:textId="77777777" w:rsidR="00F208CE" w:rsidRDefault="00513E84">
            <w:pPr>
              <w:pStyle w:val="P68B1DB1-Normal8"/>
              <w:spacing w:after="0"/>
              <w:rPr>
                <w:rFonts w:cs="Times New Roman"/>
                <w:noProof/>
              </w:rPr>
            </w:pPr>
            <w:r>
              <w:rPr>
                <w:noProof/>
              </w:rPr>
              <w:t>Ecologización de la flota de autobuses — VLA</w:t>
            </w:r>
          </w:p>
          <w:p w14:paraId="4A618D84" w14:textId="77777777" w:rsidR="00F208CE" w:rsidRDefault="00513E84">
            <w:pPr>
              <w:pStyle w:val="P68B1DB1-ListParagraph10"/>
              <w:numPr>
                <w:ilvl w:val="0"/>
                <w:numId w:val="26"/>
              </w:numPr>
              <w:spacing w:after="0" w:line="240" w:lineRule="auto"/>
              <w:ind w:left="527" w:hanging="357"/>
              <w:rPr>
                <w:rFonts w:cs="Times New Roman"/>
                <w:noProof/>
              </w:rPr>
            </w:pPr>
            <w:r>
              <w:rPr>
                <w:noProof/>
              </w:rPr>
              <w:t>257 autobuses híbridos eléctricos nuevos y retroadaptados se entregan y ponen en servicio (los autobuses están adaptados para prestar servicios en la zona en la q</w:t>
            </w:r>
            <w:r>
              <w:rPr>
                <w:noProof/>
              </w:rPr>
              <w:t>ue están asignados)</w:t>
            </w:r>
          </w:p>
          <w:p w14:paraId="1B7ED8D9" w14:textId="77777777" w:rsidR="00F208CE" w:rsidRDefault="00513E84">
            <w:pPr>
              <w:pStyle w:val="P68B1DB1-ListParagraph10"/>
              <w:numPr>
                <w:ilvl w:val="0"/>
                <w:numId w:val="26"/>
              </w:numPr>
              <w:spacing w:after="0" w:line="240" w:lineRule="auto"/>
              <w:ind w:left="527" w:hanging="357"/>
              <w:rPr>
                <w:rFonts w:cs="Times New Roman"/>
                <w:noProof/>
              </w:rPr>
            </w:pPr>
            <w:r>
              <w:rPr>
                <w:noProof/>
              </w:rPr>
              <w:t>54 autobuses totalmente eléctricos se entregan y ponen en servicio (los autobuses están adaptados para prestar servicios en la zona en la que están asignados</w:t>
            </w:r>
          </w:p>
          <w:p w14:paraId="6C51B2C7" w14:textId="77777777" w:rsidR="00F208CE" w:rsidRDefault="00513E84">
            <w:pPr>
              <w:pStyle w:val="P68B1DB1-ListParagraph10"/>
              <w:numPr>
                <w:ilvl w:val="0"/>
                <w:numId w:val="26"/>
              </w:numPr>
              <w:spacing w:after="0" w:line="240" w:lineRule="auto"/>
              <w:ind w:left="527" w:hanging="357"/>
              <w:rPr>
                <w:rFonts w:cs="Times New Roman"/>
                <w:noProof/>
              </w:rPr>
            </w:pPr>
            <w:r>
              <w:rPr>
                <w:noProof/>
              </w:rPr>
              <w:t>La infraestructura de recarga se pone en servicio en los depósitos de autobuse</w:t>
            </w:r>
            <w:r>
              <w:rPr>
                <w:noProof/>
              </w:rPr>
              <w:t>s de las zonas asignadas</w:t>
            </w:r>
          </w:p>
          <w:p w14:paraId="1544741B" w14:textId="77777777" w:rsidR="00F208CE" w:rsidRDefault="00513E84">
            <w:pPr>
              <w:pStyle w:val="P68B1DB1-Normal8"/>
              <w:spacing w:after="0"/>
              <w:rPr>
                <w:rFonts w:cs="Times New Roman"/>
                <w:noProof/>
              </w:rPr>
            </w:pPr>
            <w:r>
              <w:rPr>
                <w:noProof/>
              </w:rPr>
              <w:t>Ecologización de la flota de autobuses — RBC</w:t>
            </w:r>
          </w:p>
          <w:p w14:paraId="7E26F45D" w14:textId="460F716B" w:rsidR="00F208CE" w:rsidRDefault="00513E84">
            <w:pPr>
              <w:pStyle w:val="P68B1DB1-ListParagraph10"/>
              <w:numPr>
                <w:ilvl w:val="0"/>
                <w:numId w:val="26"/>
              </w:numPr>
              <w:spacing w:after="0" w:line="240" w:lineRule="auto"/>
              <w:ind w:left="527" w:hanging="357"/>
              <w:rPr>
                <w:rFonts w:eastAsia="Times New Roman" w:cs="Times New Roman"/>
                <w:noProof/>
              </w:rPr>
            </w:pPr>
            <w:r>
              <w:rPr>
                <w:noProof/>
              </w:rPr>
              <w:t>Entrega de 33 autobuses eléctricos articulados y ensayos</w:t>
            </w:r>
          </w:p>
          <w:p w14:paraId="37799BB5" w14:textId="77777777" w:rsidR="00F208CE" w:rsidRDefault="00513E84">
            <w:pPr>
              <w:pStyle w:val="P68B1DB1-Normal8"/>
              <w:spacing w:after="0"/>
              <w:rPr>
                <w:rFonts w:cs="Times New Roman"/>
                <w:noProof/>
              </w:rPr>
            </w:pPr>
            <w:r>
              <w:rPr>
                <w:noProof/>
              </w:rPr>
              <w:t>Ecologización de la flota de autobuses — WAL</w:t>
            </w:r>
          </w:p>
          <w:p w14:paraId="5FA8E1FF" w14:textId="777F6D9D" w:rsidR="00F208CE" w:rsidRDefault="00513E84">
            <w:pPr>
              <w:pStyle w:val="P68B1DB1-ListParagraph10"/>
              <w:numPr>
                <w:ilvl w:val="0"/>
                <w:numId w:val="26"/>
              </w:numPr>
              <w:spacing w:after="0" w:line="240" w:lineRule="auto"/>
              <w:ind w:left="527" w:hanging="357"/>
              <w:rPr>
                <w:noProof/>
              </w:rPr>
            </w:pPr>
            <w:r>
              <w:rPr>
                <w:noProof/>
              </w:rPr>
              <w:t>Entrega de 14 autobuses eléctricos completos articulados</w:t>
            </w:r>
          </w:p>
          <w:p w14:paraId="14DAC3E2" w14:textId="6E9D2003" w:rsidR="00F208CE" w:rsidRDefault="00513E84">
            <w:pPr>
              <w:pStyle w:val="P68B1DB1-ListParagraph10"/>
              <w:numPr>
                <w:ilvl w:val="0"/>
                <w:numId w:val="26"/>
              </w:numPr>
              <w:spacing w:after="0" w:line="240" w:lineRule="auto"/>
              <w:ind w:left="527" w:hanging="357"/>
              <w:rPr>
                <w:rFonts w:eastAsia="Times New Roman" w:cs="Times New Roman"/>
                <w:noProof/>
              </w:rPr>
            </w:pPr>
            <w:r>
              <w:rPr>
                <w:noProof/>
              </w:rPr>
              <w:t>Entrega de 5 autobuses eléc</w:t>
            </w:r>
            <w:r>
              <w:rPr>
                <w:noProof/>
              </w:rPr>
              <w:t>tricos completos biarticulados</w:t>
            </w:r>
          </w:p>
        </w:tc>
      </w:tr>
      <w:tr w:rsidR="00F208CE" w14:paraId="403645FA" w14:textId="77777777">
        <w:trPr>
          <w:trHeight w:val="309"/>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5E68761F" w14:textId="05B54E71" w:rsidR="00F208CE" w:rsidRDefault="00513E84">
            <w:pPr>
              <w:pStyle w:val="P68B1DB1-Normal8"/>
              <w:spacing w:after="0"/>
              <w:jc w:val="center"/>
              <w:rPr>
                <w:rFonts w:eastAsia="Times New Roman" w:cs="Times New Roman"/>
                <w:noProof/>
              </w:rPr>
            </w:pPr>
            <w:r>
              <w:rPr>
                <w:noProof/>
              </w:rPr>
              <w:t>115 b)</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68887B4B" w14:textId="2D122543" w:rsidR="00F208CE" w:rsidRDefault="00513E84">
            <w:pPr>
              <w:pStyle w:val="P68B1DB1-Normal8"/>
              <w:spacing w:after="0"/>
              <w:rPr>
                <w:rFonts w:cs="Times New Roman"/>
                <w:noProof/>
              </w:rPr>
            </w:pPr>
            <w:r>
              <w:rPr>
                <w:noProof/>
              </w:rPr>
              <w:t>Ecologización de la flota de autobuses — (I-3G)</w:t>
            </w:r>
          </w:p>
        </w:tc>
        <w:tc>
          <w:tcPr>
            <w:tcW w:w="1134" w:type="dxa"/>
            <w:tcBorders>
              <w:top w:val="nil"/>
              <w:left w:val="nil"/>
              <w:bottom w:val="single" w:sz="4" w:space="0" w:color="auto"/>
              <w:right w:val="single" w:sz="4" w:space="0" w:color="auto"/>
            </w:tcBorders>
            <w:shd w:val="clear" w:color="auto" w:fill="C6EFCE"/>
            <w:noWrap/>
            <w:vAlign w:val="center"/>
          </w:tcPr>
          <w:p w14:paraId="56EEEBFF" w14:textId="679CC7AF" w:rsidR="00F208CE" w:rsidRDefault="00513E84">
            <w:pPr>
              <w:pStyle w:val="P68B1DB1-Normal8"/>
              <w:spacing w:after="0"/>
              <w:rPr>
                <w:rFonts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26E08A3A" w14:textId="04A58322" w:rsidR="00F208CE" w:rsidRDefault="00513E84">
            <w:pPr>
              <w:pStyle w:val="P68B1DB1-Normal8"/>
              <w:spacing w:after="0"/>
              <w:rPr>
                <w:rFonts w:cs="Times New Roman"/>
                <w:noProof/>
              </w:rPr>
            </w:pPr>
            <w:r>
              <w:rPr>
                <w:noProof/>
              </w:rPr>
              <w:t>Autobuses verdes puestos en servicio y depósito de nueva construcción en Valonia</w:t>
            </w:r>
          </w:p>
        </w:tc>
        <w:tc>
          <w:tcPr>
            <w:tcW w:w="1442" w:type="dxa"/>
            <w:tcBorders>
              <w:top w:val="nil"/>
              <w:left w:val="nil"/>
              <w:bottom w:val="single" w:sz="4" w:space="0" w:color="auto"/>
              <w:right w:val="single" w:sz="4" w:space="0" w:color="auto"/>
            </w:tcBorders>
            <w:shd w:val="clear" w:color="auto" w:fill="C6EFCE"/>
            <w:noWrap/>
            <w:vAlign w:val="center"/>
          </w:tcPr>
          <w:p w14:paraId="0F239ED3" w14:textId="77777777" w:rsidR="00F208CE" w:rsidRDefault="00F208CE">
            <w:pPr>
              <w:spacing w:after="0"/>
              <w:rPr>
                <w:rFonts w:ascii="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6490D0A1" w14:textId="5CA45ACF" w:rsidR="00F208CE" w:rsidRDefault="00513E84">
            <w:pPr>
              <w:pStyle w:val="P68B1DB1-Normal8"/>
              <w:spacing w:after="0"/>
              <w:rPr>
                <w:rFonts w:cs="Times New Roman"/>
                <w:noProof/>
              </w:rPr>
            </w:pPr>
            <w:r>
              <w:rPr>
                <w:noProof/>
              </w:rPr>
              <w:t>Vehículos</w:t>
            </w:r>
          </w:p>
        </w:tc>
        <w:tc>
          <w:tcPr>
            <w:tcW w:w="1022" w:type="dxa"/>
            <w:tcBorders>
              <w:top w:val="nil"/>
              <w:left w:val="nil"/>
              <w:bottom w:val="single" w:sz="4" w:space="0" w:color="auto"/>
              <w:right w:val="single" w:sz="4" w:space="0" w:color="auto"/>
            </w:tcBorders>
            <w:shd w:val="clear" w:color="auto" w:fill="C6EFCE"/>
            <w:noWrap/>
            <w:vAlign w:val="center"/>
          </w:tcPr>
          <w:p w14:paraId="22A0915F" w14:textId="1CE1F639" w:rsidR="00F208CE" w:rsidRDefault="00513E84">
            <w:pPr>
              <w:pStyle w:val="P68B1DB1-Normal8"/>
              <w:spacing w:after="0"/>
              <w:jc w:val="right"/>
              <w:rPr>
                <w:rFonts w:cs="Times New Roman"/>
                <w:noProof/>
              </w:rPr>
            </w:pPr>
            <w:r>
              <w:rPr>
                <w:noProof/>
              </w:rPr>
              <w:t>363</w:t>
            </w:r>
          </w:p>
        </w:tc>
        <w:tc>
          <w:tcPr>
            <w:tcW w:w="850" w:type="dxa"/>
            <w:tcBorders>
              <w:top w:val="nil"/>
              <w:left w:val="nil"/>
              <w:bottom w:val="single" w:sz="4" w:space="0" w:color="auto"/>
              <w:right w:val="single" w:sz="4" w:space="0" w:color="auto"/>
            </w:tcBorders>
            <w:shd w:val="clear" w:color="auto" w:fill="C6EFCE"/>
            <w:noWrap/>
            <w:vAlign w:val="center"/>
          </w:tcPr>
          <w:p w14:paraId="04F5BE09" w14:textId="23AFA82C" w:rsidR="00F208CE" w:rsidRDefault="00513E84">
            <w:pPr>
              <w:pStyle w:val="P68B1DB1-Normal8"/>
              <w:spacing w:after="0"/>
              <w:jc w:val="right"/>
              <w:rPr>
                <w:rFonts w:cs="Times New Roman"/>
                <w:noProof/>
              </w:rPr>
            </w:pPr>
            <w:r>
              <w:rPr>
                <w:noProof/>
              </w:rPr>
              <w:t>376</w:t>
            </w:r>
          </w:p>
        </w:tc>
        <w:tc>
          <w:tcPr>
            <w:tcW w:w="1248" w:type="dxa"/>
            <w:tcBorders>
              <w:top w:val="nil"/>
              <w:left w:val="nil"/>
              <w:bottom w:val="single" w:sz="4" w:space="0" w:color="auto"/>
              <w:right w:val="single" w:sz="4" w:space="0" w:color="auto"/>
            </w:tcBorders>
            <w:shd w:val="clear" w:color="auto" w:fill="C6EFCE"/>
            <w:noWrap/>
            <w:vAlign w:val="center"/>
          </w:tcPr>
          <w:p w14:paraId="62880E8C" w14:textId="166F440C" w:rsidR="00F208CE" w:rsidRDefault="00513E84">
            <w:pPr>
              <w:pStyle w:val="P68B1DB1-Normal8"/>
              <w:spacing w:after="0"/>
              <w:jc w:val="center"/>
              <w:rPr>
                <w:rFonts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18A3024E" w14:textId="4592454B" w:rsidR="00F208CE" w:rsidRDefault="00513E84">
            <w:pPr>
              <w:pStyle w:val="P68B1DB1-Normal8"/>
              <w:spacing w:after="0"/>
              <w:jc w:val="center"/>
              <w:rPr>
                <w:rFonts w:cs="Times New Roman"/>
                <w:noProof/>
              </w:rPr>
            </w:pPr>
            <w:r>
              <w:rPr>
                <w:noProof/>
              </w:rPr>
              <w:t>2026</w:t>
            </w:r>
          </w:p>
        </w:tc>
        <w:tc>
          <w:tcPr>
            <w:tcW w:w="3957" w:type="dxa"/>
            <w:tcBorders>
              <w:top w:val="nil"/>
              <w:left w:val="single" w:sz="4" w:space="0" w:color="auto"/>
              <w:bottom w:val="single" w:sz="4" w:space="0" w:color="auto"/>
              <w:right w:val="single" w:sz="4" w:space="0" w:color="auto"/>
            </w:tcBorders>
            <w:shd w:val="clear" w:color="auto" w:fill="C6EFCE"/>
            <w:noWrap/>
            <w:vAlign w:val="center"/>
          </w:tcPr>
          <w:p w14:paraId="3C9032A9" w14:textId="77777777" w:rsidR="00F208CE" w:rsidRDefault="00513E84">
            <w:pPr>
              <w:pStyle w:val="P68B1DB1-Normal8"/>
              <w:spacing w:after="0" w:line="240" w:lineRule="auto"/>
              <w:rPr>
                <w:noProof/>
              </w:rPr>
            </w:pPr>
            <w:r>
              <w:rPr>
                <w:noProof/>
              </w:rPr>
              <w:t xml:space="preserve">Ecologización de la flota de autobuses — </w:t>
            </w:r>
            <w:r>
              <w:rPr>
                <w:noProof/>
              </w:rPr>
              <w:t>WAL</w:t>
            </w:r>
          </w:p>
          <w:p w14:paraId="02F45C55" w14:textId="24D3740E" w:rsidR="00F208CE" w:rsidRDefault="00513E84">
            <w:pPr>
              <w:pStyle w:val="P68B1DB1-ListParagraph10"/>
              <w:numPr>
                <w:ilvl w:val="0"/>
                <w:numId w:val="26"/>
              </w:numPr>
              <w:spacing w:after="0" w:line="240" w:lineRule="auto"/>
              <w:ind w:left="527" w:hanging="357"/>
              <w:rPr>
                <w:noProof/>
              </w:rPr>
            </w:pPr>
            <w:r>
              <w:rPr>
                <w:noProof/>
              </w:rPr>
              <w:t>Entrega de 13 autobuses eléctricos completos biarticulados</w:t>
            </w:r>
          </w:p>
          <w:p w14:paraId="7386E1AC" w14:textId="77777777" w:rsidR="00F208CE" w:rsidRDefault="00513E84">
            <w:pPr>
              <w:pStyle w:val="P68B1DB1-ListParagraph10"/>
              <w:numPr>
                <w:ilvl w:val="0"/>
                <w:numId w:val="26"/>
              </w:numPr>
              <w:spacing w:after="0" w:line="240" w:lineRule="auto"/>
              <w:ind w:left="527" w:hanging="357"/>
              <w:rPr>
                <w:noProof/>
              </w:rPr>
            </w:pPr>
            <w:r>
              <w:rPr>
                <w:noProof/>
              </w:rPr>
              <w:t>Instalación de 32 estaciones de recarga «lenta» y 2 estaciones de recarga «rápidas» (una en el depósito de autobuses y otra en una línea terminal)</w:t>
            </w:r>
          </w:p>
          <w:p w14:paraId="188C778E" w14:textId="77777777" w:rsidR="00F208CE" w:rsidRDefault="00513E84">
            <w:pPr>
              <w:pStyle w:val="P68B1DB1-ListParagraph10"/>
              <w:numPr>
                <w:ilvl w:val="0"/>
                <w:numId w:val="26"/>
              </w:numPr>
              <w:spacing w:after="0" w:line="240" w:lineRule="auto"/>
              <w:ind w:left="527" w:hanging="357"/>
              <w:rPr>
                <w:noProof/>
              </w:rPr>
            </w:pPr>
            <w:r>
              <w:rPr>
                <w:noProof/>
              </w:rPr>
              <w:t>El depósito del autobús está operativo.</w:t>
            </w:r>
          </w:p>
          <w:p w14:paraId="409C1DF6" w14:textId="77777777" w:rsidR="00F208CE" w:rsidRDefault="00F208CE">
            <w:pPr>
              <w:spacing w:after="0"/>
              <w:rPr>
                <w:rFonts w:ascii="Times New Roman" w:hAnsi="Times New Roman" w:cs="Times New Roman"/>
                <w:noProof/>
                <w:color w:val="006100"/>
              </w:rPr>
            </w:pPr>
          </w:p>
        </w:tc>
      </w:tr>
      <w:tr w:rsidR="00F208CE" w14:paraId="6DD8C654" w14:textId="77777777">
        <w:trPr>
          <w:trHeight w:val="309"/>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14:paraId="44113EA5" w14:textId="77777777" w:rsidR="00F208CE" w:rsidRDefault="00513E84">
            <w:pPr>
              <w:pStyle w:val="P68B1DB1-Normal8"/>
              <w:spacing w:after="0"/>
              <w:jc w:val="center"/>
              <w:rPr>
                <w:rFonts w:eastAsia="Times New Roman" w:cs="Times New Roman"/>
                <w:noProof/>
              </w:rPr>
            </w:pPr>
            <w:r>
              <w:rPr>
                <w:noProof/>
              </w:rPr>
              <w:t>116</w:t>
            </w:r>
          </w:p>
        </w:tc>
        <w:tc>
          <w:tcPr>
            <w:tcW w:w="1418" w:type="dxa"/>
            <w:tcBorders>
              <w:top w:val="nil"/>
              <w:left w:val="single" w:sz="4" w:space="0" w:color="auto"/>
              <w:bottom w:val="single" w:sz="4" w:space="0" w:color="auto"/>
              <w:right w:val="single" w:sz="4" w:space="0" w:color="auto"/>
            </w:tcBorders>
            <w:shd w:val="clear" w:color="auto" w:fill="C6EFCE"/>
            <w:noWrap/>
            <w:vAlign w:val="center"/>
            <w:hideMark/>
          </w:tcPr>
          <w:p w14:paraId="649D0DA4" w14:textId="77777777" w:rsidR="00F208CE" w:rsidRDefault="00513E84">
            <w:pPr>
              <w:pStyle w:val="P68B1DB1-Normal8"/>
              <w:spacing w:after="0"/>
              <w:rPr>
                <w:rFonts w:eastAsia="Times New Roman" w:cs="Times New Roman"/>
                <w:noProof/>
              </w:rPr>
            </w:pPr>
            <w:r>
              <w:rPr>
                <w:noProof/>
              </w:rPr>
              <w:t>Estimular el transporte sin emisiones — VLA (R-3.06)</w:t>
            </w:r>
          </w:p>
        </w:tc>
        <w:tc>
          <w:tcPr>
            <w:tcW w:w="1134" w:type="dxa"/>
            <w:tcBorders>
              <w:top w:val="nil"/>
              <w:left w:val="nil"/>
              <w:bottom w:val="single" w:sz="4" w:space="0" w:color="auto"/>
              <w:right w:val="single" w:sz="4" w:space="0" w:color="auto"/>
            </w:tcBorders>
            <w:shd w:val="clear" w:color="auto" w:fill="C6EFCE"/>
            <w:noWrap/>
            <w:vAlign w:val="center"/>
            <w:hideMark/>
          </w:tcPr>
          <w:p w14:paraId="78213447" w14:textId="21029F11"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hideMark/>
          </w:tcPr>
          <w:p w14:paraId="2CDF709F" w14:textId="77777777" w:rsidR="00F208CE" w:rsidRDefault="00513E84">
            <w:pPr>
              <w:pStyle w:val="P68B1DB1-Normal8"/>
              <w:spacing w:after="0"/>
              <w:rPr>
                <w:rFonts w:eastAsia="Times New Roman" w:cs="Times New Roman"/>
                <w:noProof/>
              </w:rPr>
            </w:pPr>
            <w:r>
              <w:rPr>
                <w:noProof/>
              </w:rPr>
              <w:t>Adopción de un marco para el despliegue de infraestructuras de recarga en la Región Flamenca</w:t>
            </w:r>
          </w:p>
        </w:tc>
        <w:tc>
          <w:tcPr>
            <w:tcW w:w="1442" w:type="dxa"/>
            <w:tcBorders>
              <w:top w:val="nil"/>
              <w:left w:val="nil"/>
              <w:bottom w:val="single" w:sz="4" w:space="0" w:color="auto"/>
              <w:right w:val="single" w:sz="4" w:space="0" w:color="auto"/>
            </w:tcBorders>
            <w:shd w:val="clear" w:color="auto" w:fill="C6EFCE"/>
            <w:noWrap/>
            <w:vAlign w:val="center"/>
            <w:hideMark/>
          </w:tcPr>
          <w:p w14:paraId="12F03BBC" w14:textId="77777777" w:rsidR="00F208CE" w:rsidRDefault="00513E84">
            <w:pPr>
              <w:pStyle w:val="P68B1DB1-Normal8"/>
              <w:spacing w:after="0"/>
              <w:rPr>
                <w:rFonts w:eastAsia="Times New Roman" w:cs="Times New Roman"/>
                <w:noProof/>
              </w:rPr>
            </w:pPr>
            <w:r>
              <w:rPr>
                <w:noProof/>
              </w:rPr>
              <w:t>Adopción del marco</w:t>
            </w:r>
          </w:p>
        </w:tc>
        <w:tc>
          <w:tcPr>
            <w:tcW w:w="1080" w:type="dxa"/>
            <w:tcBorders>
              <w:top w:val="nil"/>
              <w:left w:val="nil"/>
              <w:bottom w:val="single" w:sz="4" w:space="0" w:color="auto"/>
              <w:right w:val="single" w:sz="4" w:space="0" w:color="auto"/>
            </w:tcBorders>
            <w:shd w:val="clear" w:color="auto" w:fill="C6EFCE"/>
            <w:noWrap/>
            <w:vAlign w:val="center"/>
            <w:hideMark/>
          </w:tcPr>
          <w:p w14:paraId="25306913" w14:textId="361C272C" w:rsidR="00F208CE" w:rsidRDefault="00F208CE">
            <w:pPr>
              <w:spacing w:after="0"/>
              <w:rPr>
                <w:rFonts w:ascii="Times New Roman" w:eastAsia="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hideMark/>
          </w:tcPr>
          <w:p w14:paraId="4D3BC635" w14:textId="291739CF"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hideMark/>
          </w:tcPr>
          <w:p w14:paraId="092FC3F6" w14:textId="6F97138F" w:rsidR="00F208CE" w:rsidRDefault="00F208CE">
            <w:pPr>
              <w:spacing w:after="0"/>
              <w:rPr>
                <w:rFonts w:ascii="Times New Roman" w:eastAsia="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hideMark/>
          </w:tcPr>
          <w:p w14:paraId="087D6CA4"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4EBD92DD" w14:textId="77777777" w:rsidR="00F208CE" w:rsidRDefault="00513E84">
            <w:pPr>
              <w:pStyle w:val="P68B1DB1-Normal8"/>
              <w:spacing w:after="0"/>
              <w:jc w:val="center"/>
              <w:rPr>
                <w:rFonts w:eastAsia="Times New Roman" w:cs="Times New Roman"/>
                <w:noProof/>
              </w:rPr>
            </w:pPr>
            <w:r>
              <w:rPr>
                <w:noProof/>
              </w:rPr>
              <w:t>2021</w:t>
            </w:r>
          </w:p>
        </w:tc>
        <w:tc>
          <w:tcPr>
            <w:tcW w:w="3957" w:type="dxa"/>
            <w:tcBorders>
              <w:top w:val="nil"/>
              <w:left w:val="single" w:sz="4" w:space="0" w:color="000000" w:themeColor="text1"/>
              <w:bottom w:val="single" w:sz="4" w:space="0" w:color="000000" w:themeColor="text1"/>
              <w:right w:val="single" w:sz="4" w:space="0" w:color="000000" w:themeColor="text1"/>
            </w:tcBorders>
            <w:shd w:val="clear" w:color="auto" w:fill="C6EFCE"/>
            <w:noWrap/>
            <w:vAlign w:val="center"/>
            <w:hideMark/>
          </w:tcPr>
          <w:p w14:paraId="59B80678" w14:textId="77777777" w:rsidR="00F208CE" w:rsidRDefault="00513E84">
            <w:pPr>
              <w:pStyle w:val="P68B1DB1-Normal8"/>
              <w:spacing w:after="0"/>
              <w:rPr>
                <w:rFonts w:cs="Times New Roman"/>
                <w:noProof/>
              </w:rPr>
            </w:pPr>
            <w:r>
              <w:rPr>
                <w:noProof/>
              </w:rPr>
              <w:t xml:space="preserve">Adopción de un marco político para el despliegue de </w:t>
            </w:r>
            <w:r>
              <w:rPr>
                <w:noProof/>
              </w:rPr>
              <w:t>infraestructuras de recarga en la Región Flamenca. El marco político permitirá:</w:t>
            </w:r>
          </w:p>
          <w:p w14:paraId="03DD0FCD" w14:textId="77777777" w:rsidR="00F208CE" w:rsidRDefault="00513E84">
            <w:pPr>
              <w:pStyle w:val="P68B1DB1-Normal8"/>
              <w:spacing w:after="0"/>
              <w:rPr>
                <w:rFonts w:cs="Times New Roman"/>
                <w:noProof/>
              </w:rPr>
            </w:pPr>
            <w:r>
              <w:rPr>
                <w:noProof/>
              </w:rPr>
              <w:t>— cartografiar los futuros puntos de recarga</w:t>
            </w:r>
          </w:p>
          <w:p w14:paraId="52B3D5A8" w14:textId="77777777" w:rsidR="00F208CE" w:rsidRDefault="00513E84">
            <w:pPr>
              <w:pStyle w:val="P68B1DB1-Normal8"/>
              <w:spacing w:after="0"/>
              <w:rPr>
                <w:rFonts w:cs="Times New Roman"/>
                <w:noProof/>
              </w:rPr>
            </w:pPr>
            <w:r>
              <w:rPr>
                <w:noProof/>
              </w:rPr>
              <w:t>— poner en marcha las licitaciones de concesión para puntos de recarga de dominio público</w:t>
            </w:r>
          </w:p>
          <w:p w14:paraId="581871FC" w14:textId="411174F8" w:rsidR="00F208CE" w:rsidRDefault="00513E84">
            <w:pPr>
              <w:pStyle w:val="P68B1DB1-Normal8"/>
              <w:spacing w:after="0"/>
              <w:rPr>
                <w:rFonts w:cs="Times New Roman"/>
                <w:noProof/>
              </w:rPr>
            </w:pPr>
            <w:r>
              <w:rPr>
                <w:noProof/>
              </w:rPr>
              <w:t>— estimular el despliegue de puntos de re</w:t>
            </w:r>
            <w:r>
              <w:rPr>
                <w:noProof/>
              </w:rPr>
              <w:t>carga (semi) públicos en el ámbito privado</w:t>
            </w:r>
          </w:p>
          <w:p w14:paraId="3CD9B63A" w14:textId="77777777" w:rsidR="00F208CE" w:rsidRDefault="00513E84">
            <w:pPr>
              <w:pStyle w:val="P68B1DB1-Normal8"/>
              <w:spacing w:after="0"/>
              <w:rPr>
                <w:rFonts w:cs="Times New Roman"/>
                <w:noProof/>
              </w:rPr>
            </w:pPr>
            <w:r>
              <w:rPr>
                <w:noProof/>
              </w:rPr>
              <w:t>— acortar el plazo para la instalación de puntos de recarga reduciendo la carga administrativa</w:t>
            </w:r>
          </w:p>
          <w:p w14:paraId="07309535" w14:textId="77777777" w:rsidR="00F208CE" w:rsidRDefault="00513E84">
            <w:pPr>
              <w:pStyle w:val="P68B1DB1-Normal8"/>
              <w:spacing w:after="0"/>
              <w:rPr>
                <w:rFonts w:cs="Times New Roman"/>
                <w:noProof/>
              </w:rPr>
            </w:pPr>
            <w:r>
              <w:rPr>
                <w:noProof/>
              </w:rPr>
              <w:t>— estimular la recarga inteligente de la electricidad</w:t>
            </w:r>
          </w:p>
        </w:tc>
      </w:tr>
      <w:tr w:rsidR="00F208CE" w14:paraId="7DE25BBD" w14:textId="77777777">
        <w:trPr>
          <w:trHeight w:val="309"/>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14:paraId="303D6792" w14:textId="77777777" w:rsidR="00F208CE" w:rsidRDefault="00513E84">
            <w:pPr>
              <w:pStyle w:val="P68B1DB1-Normal8"/>
              <w:spacing w:after="0"/>
              <w:jc w:val="center"/>
              <w:rPr>
                <w:rFonts w:eastAsia="Times New Roman" w:cs="Times New Roman"/>
                <w:noProof/>
              </w:rPr>
            </w:pPr>
            <w:r>
              <w:rPr>
                <w:noProof/>
              </w:rPr>
              <w:t>117</w:t>
            </w:r>
          </w:p>
        </w:tc>
        <w:tc>
          <w:tcPr>
            <w:tcW w:w="1418" w:type="dxa"/>
            <w:tcBorders>
              <w:top w:val="nil"/>
              <w:left w:val="single" w:sz="4" w:space="0" w:color="auto"/>
              <w:bottom w:val="single" w:sz="4" w:space="0" w:color="auto"/>
              <w:right w:val="single" w:sz="4" w:space="0" w:color="auto"/>
            </w:tcBorders>
            <w:shd w:val="clear" w:color="auto" w:fill="C6EFCE"/>
            <w:noWrap/>
            <w:vAlign w:val="center"/>
            <w:hideMark/>
          </w:tcPr>
          <w:p w14:paraId="3EBB2AF9" w14:textId="77777777" w:rsidR="00F208CE" w:rsidRDefault="00513E84">
            <w:pPr>
              <w:pStyle w:val="P68B1DB1-Normal8"/>
              <w:spacing w:after="0"/>
              <w:rPr>
                <w:rFonts w:eastAsia="Times New Roman" w:cs="Times New Roman"/>
                <w:noProof/>
              </w:rPr>
            </w:pPr>
            <w:r>
              <w:rPr>
                <w:noProof/>
              </w:rPr>
              <w:t>Estaciones de recarga — VLA (I-3.19)</w:t>
            </w:r>
          </w:p>
        </w:tc>
        <w:tc>
          <w:tcPr>
            <w:tcW w:w="1134" w:type="dxa"/>
            <w:tcBorders>
              <w:top w:val="nil"/>
              <w:left w:val="nil"/>
              <w:bottom w:val="single" w:sz="4" w:space="0" w:color="auto"/>
              <w:right w:val="single" w:sz="4" w:space="0" w:color="auto"/>
            </w:tcBorders>
            <w:shd w:val="clear" w:color="auto" w:fill="C6EFCE"/>
            <w:noWrap/>
            <w:vAlign w:val="center"/>
            <w:hideMark/>
          </w:tcPr>
          <w:p w14:paraId="2D6C719E" w14:textId="44FC5C80"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hideMark/>
          </w:tcPr>
          <w:p w14:paraId="344F881A" w14:textId="77777777" w:rsidR="00F208CE" w:rsidRDefault="00513E84">
            <w:pPr>
              <w:pStyle w:val="P68B1DB1-Normal8"/>
              <w:spacing w:after="0"/>
              <w:rPr>
                <w:rFonts w:eastAsia="Times New Roman" w:cs="Times New Roman"/>
                <w:noProof/>
              </w:rPr>
            </w:pPr>
            <w:r>
              <w:rPr>
                <w:noProof/>
              </w:rPr>
              <w:t xml:space="preserve">Adjudicación de </w:t>
            </w:r>
            <w:r>
              <w:rPr>
                <w:noProof/>
              </w:rPr>
              <w:t>concesiones para infraestructuras de recarga</w:t>
            </w:r>
          </w:p>
        </w:tc>
        <w:tc>
          <w:tcPr>
            <w:tcW w:w="1442" w:type="dxa"/>
            <w:tcBorders>
              <w:top w:val="nil"/>
              <w:left w:val="nil"/>
              <w:bottom w:val="single" w:sz="4" w:space="0" w:color="auto"/>
              <w:right w:val="single" w:sz="4" w:space="0" w:color="auto"/>
            </w:tcBorders>
            <w:shd w:val="clear" w:color="auto" w:fill="C6EFCE"/>
            <w:noWrap/>
            <w:vAlign w:val="center"/>
            <w:hideMark/>
          </w:tcPr>
          <w:p w14:paraId="6A250EC8" w14:textId="77777777" w:rsidR="00F208CE" w:rsidRDefault="00513E84">
            <w:pPr>
              <w:pStyle w:val="P68B1DB1-Normal8"/>
              <w:spacing w:after="0"/>
              <w:rPr>
                <w:rFonts w:eastAsia="Times New Roman" w:cs="Times New Roman"/>
                <w:noProof/>
              </w:rPr>
            </w:pPr>
            <w:r>
              <w:rPr>
                <w:noProof/>
              </w:rPr>
              <w:t>Notificación escrita de la adjudicación de contratos a los candidatos seleccionados</w:t>
            </w:r>
          </w:p>
        </w:tc>
        <w:tc>
          <w:tcPr>
            <w:tcW w:w="1080" w:type="dxa"/>
            <w:tcBorders>
              <w:top w:val="nil"/>
              <w:left w:val="nil"/>
              <w:bottom w:val="single" w:sz="4" w:space="0" w:color="auto"/>
              <w:right w:val="single" w:sz="4" w:space="0" w:color="auto"/>
            </w:tcBorders>
            <w:shd w:val="clear" w:color="auto" w:fill="C6EFCE"/>
            <w:noWrap/>
            <w:vAlign w:val="center"/>
            <w:hideMark/>
          </w:tcPr>
          <w:p w14:paraId="2AB4F77C" w14:textId="34960BBE" w:rsidR="00F208CE" w:rsidRDefault="00F208CE">
            <w:pPr>
              <w:spacing w:after="0"/>
              <w:rPr>
                <w:rFonts w:ascii="Times New Roman" w:eastAsia="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hideMark/>
          </w:tcPr>
          <w:p w14:paraId="7B8707F1" w14:textId="5946CAB7"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hideMark/>
          </w:tcPr>
          <w:p w14:paraId="064895BA" w14:textId="771A539E" w:rsidR="00F208CE" w:rsidRDefault="00F208CE">
            <w:pPr>
              <w:spacing w:after="0"/>
              <w:rPr>
                <w:rFonts w:ascii="Times New Roman" w:eastAsia="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hideMark/>
          </w:tcPr>
          <w:p w14:paraId="29A4A6B6"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2C9C590D" w14:textId="77777777" w:rsidR="00F208CE" w:rsidRDefault="00513E84">
            <w:pPr>
              <w:pStyle w:val="P68B1DB1-Normal8"/>
              <w:spacing w:after="0"/>
              <w:jc w:val="center"/>
              <w:rPr>
                <w:rFonts w:eastAsia="Times New Roman" w:cs="Times New Roman"/>
                <w:noProof/>
              </w:rPr>
            </w:pPr>
            <w:r>
              <w:rPr>
                <w:noProof/>
              </w:rPr>
              <w:t>2022</w:t>
            </w:r>
          </w:p>
        </w:tc>
        <w:tc>
          <w:tcPr>
            <w:tcW w:w="3957" w:type="dxa"/>
            <w:tcBorders>
              <w:top w:val="nil"/>
              <w:left w:val="single" w:sz="4" w:space="0" w:color="auto"/>
              <w:bottom w:val="single" w:sz="4" w:space="0" w:color="auto"/>
              <w:right w:val="single" w:sz="4" w:space="0" w:color="auto"/>
            </w:tcBorders>
            <w:shd w:val="clear" w:color="auto" w:fill="C6EFCE"/>
            <w:noWrap/>
            <w:vAlign w:val="center"/>
            <w:hideMark/>
          </w:tcPr>
          <w:p w14:paraId="051125C3" w14:textId="77777777" w:rsidR="00F208CE" w:rsidRDefault="00513E84">
            <w:pPr>
              <w:pStyle w:val="P68B1DB1-Normal8"/>
              <w:spacing w:after="0"/>
              <w:rPr>
                <w:rFonts w:eastAsia="Times New Roman" w:cs="Times New Roman"/>
                <w:noProof/>
              </w:rPr>
            </w:pPr>
            <w:r>
              <w:rPr>
                <w:noProof/>
              </w:rPr>
              <w:t>Adjudicación de concesiones para infraestructuras de recarga. El marco para el despliegue de la infr</w:t>
            </w:r>
            <w:r>
              <w:rPr>
                <w:noProof/>
              </w:rPr>
              <w:t>aestructura de recarga pública se garantiza mediante concesiones adjudicadas por el Gobierno flamenco, mientras que el despliegue se deja a disposición de operadores privados.</w:t>
            </w:r>
          </w:p>
        </w:tc>
      </w:tr>
      <w:tr w:rsidR="00F208CE" w14:paraId="3083101C" w14:textId="77777777">
        <w:trPr>
          <w:trHeight w:val="309"/>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14:paraId="6FE660D0" w14:textId="77777777" w:rsidR="00F208CE" w:rsidRDefault="00513E84">
            <w:pPr>
              <w:pStyle w:val="P68B1DB1-Normal8"/>
              <w:spacing w:after="0"/>
              <w:jc w:val="center"/>
              <w:rPr>
                <w:rFonts w:eastAsia="Times New Roman" w:cs="Times New Roman"/>
                <w:noProof/>
              </w:rPr>
            </w:pPr>
            <w:r>
              <w:rPr>
                <w:noProof/>
              </w:rPr>
              <w:t>118</w:t>
            </w:r>
          </w:p>
        </w:tc>
        <w:tc>
          <w:tcPr>
            <w:tcW w:w="1418" w:type="dxa"/>
            <w:tcBorders>
              <w:top w:val="nil"/>
              <w:left w:val="single" w:sz="4" w:space="0" w:color="auto"/>
              <w:bottom w:val="single" w:sz="4" w:space="0" w:color="auto"/>
              <w:right w:val="single" w:sz="4" w:space="0" w:color="auto"/>
            </w:tcBorders>
            <w:shd w:val="clear" w:color="auto" w:fill="C6EFCE"/>
            <w:noWrap/>
            <w:vAlign w:val="center"/>
            <w:hideMark/>
          </w:tcPr>
          <w:p w14:paraId="741CEED7" w14:textId="77777777" w:rsidR="00F208CE" w:rsidRDefault="00513E84">
            <w:pPr>
              <w:pStyle w:val="P68B1DB1-Normal8"/>
              <w:spacing w:after="0"/>
              <w:rPr>
                <w:rFonts w:eastAsia="Times New Roman" w:cs="Times New Roman"/>
                <w:noProof/>
              </w:rPr>
            </w:pPr>
            <w:r>
              <w:rPr>
                <w:noProof/>
              </w:rPr>
              <w:t>Estaciones de recarga — RBC (R-3.05)</w:t>
            </w:r>
          </w:p>
        </w:tc>
        <w:tc>
          <w:tcPr>
            <w:tcW w:w="1134" w:type="dxa"/>
            <w:tcBorders>
              <w:top w:val="nil"/>
              <w:left w:val="nil"/>
              <w:bottom w:val="single" w:sz="4" w:space="0" w:color="auto"/>
              <w:right w:val="single" w:sz="4" w:space="0" w:color="auto"/>
            </w:tcBorders>
            <w:shd w:val="clear" w:color="auto" w:fill="C6EFCE"/>
            <w:noWrap/>
            <w:vAlign w:val="center"/>
            <w:hideMark/>
          </w:tcPr>
          <w:p w14:paraId="1503A1DF" w14:textId="7EF38101"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hideMark/>
          </w:tcPr>
          <w:p w14:paraId="4765B3EA" w14:textId="77777777" w:rsidR="00F208CE" w:rsidRDefault="00513E84">
            <w:pPr>
              <w:pStyle w:val="P68B1DB1-Normal8"/>
              <w:spacing w:after="0"/>
              <w:rPr>
                <w:rFonts w:eastAsia="Times New Roman" w:cs="Times New Roman"/>
                <w:noProof/>
              </w:rPr>
            </w:pPr>
            <w:r>
              <w:rPr>
                <w:noProof/>
              </w:rPr>
              <w:t xml:space="preserve">Adopción de un decreto en el que se </w:t>
            </w:r>
            <w:r>
              <w:rPr>
                <w:noProof/>
              </w:rPr>
              <w:t>especifiquen las normas de seguridad y un plan de ejecución de la infraestructura</w:t>
            </w:r>
          </w:p>
        </w:tc>
        <w:tc>
          <w:tcPr>
            <w:tcW w:w="1442" w:type="dxa"/>
            <w:tcBorders>
              <w:top w:val="nil"/>
              <w:left w:val="nil"/>
              <w:bottom w:val="single" w:sz="4" w:space="0" w:color="auto"/>
              <w:right w:val="single" w:sz="4" w:space="0" w:color="auto"/>
            </w:tcBorders>
            <w:shd w:val="clear" w:color="auto" w:fill="C6EFCE"/>
            <w:noWrap/>
            <w:vAlign w:val="center"/>
            <w:hideMark/>
          </w:tcPr>
          <w:p w14:paraId="23B3F1EC" w14:textId="77777777" w:rsidR="00F208CE" w:rsidRDefault="00513E84">
            <w:pPr>
              <w:pStyle w:val="P68B1DB1-Normal8"/>
              <w:spacing w:after="0"/>
              <w:rPr>
                <w:rFonts w:eastAsia="Times New Roman" w:cs="Times New Roman"/>
                <w:noProof/>
              </w:rPr>
            </w:pPr>
            <w:r>
              <w:rPr>
                <w:noProof/>
              </w:rPr>
              <w:t>Adopción del decreto por el que se especifican las normas de seguridad y un plan de ejecución de la infraestructura</w:t>
            </w:r>
          </w:p>
        </w:tc>
        <w:tc>
          <w:tcPr>
            <w:tcW w:w="1080" w:type="dxa"/>
            <w:tcBorders>
              <w:top w:val="nil"/>
              <w:left w:val="nil"/>
              <w:bottom w:val="single" w:sz="4" w:space="0" w:color="auto"/>
              <w:right w:val="single" w:sz="4" w:space="0" w:color="auto"/>
            </w:tcBorders>
            <w:shd w:val="clear" w:color="auto" w:fill="C6EFCE"/>
            <w:noWrap/>
            <w:vAlign w:val="center"/>
            <w:hideMark/>
          </w:tcPr>
          <w:p w14:paraId="4954C360" w14:textId="348104CC" w:rsidR="00F208CE" w:rsidRDefault="00F208CE">
            <w:pPr>
              <w:spacing w:after="0"/>
              <w:rPr>
                <w:rFonts w:ascii="Times New Roman" w:eastAsia="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hideMark/>
          </w:tcPr>
          <w:p w14:paraId="53D80F24" w14:textId="2E278BF6"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hideMark/>
          </w:tcPr>
          <w:p w14:paraId="22C9CD0B" w14:textId="15980242" w:rsidR="00F208CE" w:rsidRDefault="00F208CE">
            <w:pPr>
              <w:spacing w:after="0"/>
              <w:rPr>
                <w:rFonts w:ascii="Times New Roman" w:eastAsia="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hideMark/>
          </w:tcPr>
          <w:p w14:paraId="32CBE73A"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000000" w:themeColor="text1"/>
              <w:right w:val="single" w:sz="4" w:space="0" w:color="000000" w:themeColor="text1"/>
            </w:tcBorders>
            <w:shd w:val="clear" w:color="auto" w:fill="C6EFCE"/>
            <w:noWrap/>
            <w:vAlign w:val="center"/>
            <w:hideMark/>
          </w:tcPr>
          <w:p w14:paraId="537279CE" w14:textId="77777777" w:rsidR="00F208CE" w:rsidRDefault="00513E84">
            <w:pPr>
              <w:pStyle w:val="P68B1DB1-Normal18"/>
              <w:spacing w:after="0"/>
              <w:jc w:val="center"/>
              <w:rPr>
                <w:rFonts w:eastAsia="Times New Roman" w:cs="Times New Roman"/>
                <w:noProof/>
                <w:color w:val="006100"/>
              </w:rPr>
            </w:pPr>
            <w:r>
              <w:rPr>
                <w:noProof/>
              </w:rPr>
              <w:t>2022</w:t>
            </w:r>
          </w:p>
        </w:tc>
        <w:tc>
          <w:tcPr>
            <w:tcW w:w="3957" w:type="dxa"/>
            <w:tcBorders>
              <w:top w:val="nil"/>
              <w:left w:val="single" w:sz="4" w:space="0" w:color="auto"/>
              <w:bottom w:val="single" w:sz="4" w:space="0" w:color="auto"/>
              <w:right w:val="single" w:sz="4" w:space="0" w:color="auto"/>
            </w:tcBorders>
            <w:shd w:val="clear" w:color="auto" w:fill="C6EFCE"/>
            <w:noWrap/>
            <w:vAlign w:val="center"/>
            <w:hideMark/>
          </w:tcPr>
          <w:p w14:paraId="69B7B697" w14:textId="77777777" w:rsidR="00F208CE" w:rsidRDefault="00513E84">
            <w:pPr>
              <w:pStyle w:val="P68B1DB1-Normal8"/>
              <w:spacing w:after="0"/>
              <w:rPr>
                <w:rFonts w:cs="Times New Roman"/>
                <w:noProof/>
              </w:rPr>
            </w:pPr>
            <w:r>
              <w:rPr>
                <w:noProof/>
              </w:rPr>
              <w:t>Adopción de un decreto en el qu</w:t>
            </w:r>
            <w:r>
              <w:rPr>
                <w:noProof/>
              </w:rPr>
              <w:t>e se especifiquen las normas de seguridad que deben seguirse para instalar puntos de recarga fuera de la calle en la Región de Bruselas-Capital, incluida una relación mínima que deberá instalarse en cada aparcamiento a más tardar el 31 de diciembre de 2025</w:t>
            </w:r>
            <w:r>
              <w:rPr>
                <w:noProof/>
              </w:rPr>
              <w:t xml:space="preserve">. Y la adopción de un plan de ejecución de infraestructuras, que incluirá: Distribución geográfica de los puntos de recarga públicos que se instalarán en Bruselas, que se actualizará posteriormente cada tres años. </w:t>
            </w:r>
          </w:p>
          <w:p w14:paraId="47E4A821" w14:textId="5F180F48" w:rsidR="00F208CE" w:rsidRDefault="00513E84">
            <w:pPr>
              <w:spacing w:after="0"/>
              <w:rPr>
                <w:rFonts w:ascii="Times New Roman" w:hAnsi="Times New Roman" w:cs="Times New Roman"/>
                <w:noProof/>
                <w:color w:val="006100"/>
              </w:rPr>
            </w:pPr>
            <w:r>
              <w:rPr>
                <w:rFonts w:ascii="Times New Roman" w:hAnsi="Times New Roman"/>
                <w:noProof/>
                <w:color w:val="006100"/>
              </w:rPr>
              <w:t>— Una distribución geográfica de los punt</w:t>
            </w:r>
            <w:r>
              <w:rPr>
                <w:rFonts w:ascii="Times New Roman" w:hAnsi="Times New Roman"/>
                <w:noProof/>
                <w:color w:val="006100"/>
              </w:rPr>
              <w:t>os de recarga públicos que se instalarán en Bruselas, que se actualizará posteriormente.</w:t>
            </w:r>
            <w:r>
              <w:rPr>
                <w:noProof/>
              </w:rPr>
              <w:t xml:space="preserve">  </w:t>
            </w:r>
            <w:r>
              <w:rPr>
                <w:noProof/>
              </w:rPr>
              <w:br/>
            </w:r>
            <w:r>
              <w:rPr>
                <w:rFonts w:ascii="Times New Roman" w:hAnsi="Times New Roman"/>
                <w:noProof/>
                <w:color w:val="006100"/>
              </w:rPr>
              <w:t>— Objetivo de los puntos de recarga públicos que se instalarán durante el período 2022-2024</w:t>
            </w:r>
            <w:r>
              <w:rPr>
                <w:noProof/>
              </w:rPr>
              <w:t xml:space="preserve"> </w:t>
            </w:r>
            <w:r>
              <w:rPr>
                <w:noProof/>
              </w:rPr>
              <w:br/>
              <w:t xml:space="preserve"> </w:t>
            </w:r>
            <w:r>
              <w:rPr>
                <w:rFonts w:ascii="Times New Roman" w:hAnsi="Times New Roman"/>
                <w:noProof/>
                <w:color w:val="006100"/>
              </w:rPr>
              <w:t>— Un plan de instalación de cargadores rápidos en la ciudad</w:t>
            </w:r>
            <w:r>
              <w:rPr>
                <w:noProof/>
              </w:rPr>
              <w:t xml:space="preserve"> </w:t>
            </w:r>
            <w:r>
              <w:rPr>
                <w:noProof/>
              </w:rPr>
              <w:br/>
              <w:t xml:space="preserve"> </w:t>
            </w:r>
            <w:r>
              <w:rPr>
                <w:rFonts w:ascii="Times New Roman" w:hAnsi="Times New Roman"/>
                <w:noProof/>
                <w:color w:val="006100"/>
              </w:rPr>
              <w:t>— Un plan</w:t>
            </w:r>
            <w:r>
              <w:rPr>
                <w:rFonts w:ascii="Times New Roman" w:hAnsi="Times New Roman"/>
                <w:noProof/>
                <w:color w:val="006100"/>
              </w:rPr>
              <w:t xml:space="preserve"> de instalación de infraestructuras de recarga fuera de la vía pública, debatido con todas las partes interesadas pertinentes (como los aparcamientos públicos, el sector minorista, el sector de la vivienda y el sector de la construcción de oficinas).</w:t>
            </w:r>
          </w:p>
          <w:p w14:paraId="2A12DBB2" w14:textId="390F20F6" w:rsidR="00F208CE" w:rsidRDefault="00513E84">
            <w:pPr>
              <w:pStyle w:val="P68B1DB1-Normal8"/>
              <w:spacing w:after="0"/>
              <w:rPr>
                <w:rFonts w:cs="Times New Roman"/>
                <w:noProof/>
              </w:rPr>
            </w:pPr>
            <w:r>
              <w:rPr>
                <w:noProof/>
              </w:rPr>
              <w:t xml:space="preserve">Este </w:t>
            </w:r>
            <w:r>
              <w:rPr>
                <w:noProof/>
              </w:rPr>
              <w:t>plan estará en consonancia con la Directiva sobre la infraestructura para los combustibles alternativos.</w:t>
            </w:r>
          </w:p>
        </w:tc>
      </w:tr>
      <w:tr w:rsidR="00F208CE" w14:paraId="44EB4F5C"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0DD0D9" w14:textId="77777777" w:rsidR="00F208CE" w:rsidRDefault="00513E84">
            <w:pPr>
              <w:pStyle w:val="P68B1DB1-Normal8"/>
              <w:spacing w:after="0"/>
              <w:jc w:val="center"/>
              <w:rPr>
                <w:rFonts w:eastAsia="Times New Roman" w:cs="Times New Roman"/>
                <w:noProof/>
              </w:rPr>
            </w:pPr>
            <w:r>
              <w:rPr>
                <w:noProof/>
              </w:rPr>
              <w:t>119</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4011E408" w14:textId="77777777" w:rsidR="00F208CE" w:rsidRDefault="00513E84">
            <w:pPr>
              <w:pStyle w:val="P68B1DB1-Normal8"/>
              <w:spacing w:after="0"/>
              <w:rPr>
                <w:rFonts w:cs="Times New Roman"/>
                <w:noProof/>
              </w:rPr>
            </w:pPr>
            <w:r>
              <w:rPr>
                <w:noProof/>
              </w:rPr>
              <w:t>Estaciones de recarga — WAL (R-3.04)</w:t>
            </w:r>
          </w:p>
        </w:tc>
        <w:tc>
          <w:tcPr>
            <w:tcW w:w="1134" w:type="dxa"/>
            <w:tcBorders>
              <w:top w:val="nil"/>
              <w:left w:val="nil"/>
              <w:bottom w:val="single" w:sz="4" w:space="0" w:color="auto"/>
              <w:right w:val="single" w:sz="4" w:space="0" w:color="auto"/>
            </w:tcBorders>
            <w:shd w:val="clear" w:color="auto" w:fill="C6EFCE"/>
            <w:noWrap/>
            <w:vAlign w:val="center"/>
          </w:tcPr>
          <w:p w14:paraId="0965E086" w14:textId="45A3E833" w:rsidR="00F208CE" w:rsidRDefault="00513E84">
            <w:pPr>
              <w:pStyle w:val="P68B1DB1-Normal8"/>
              <w:spacing w:after="0"/>
              <w:rPr>
                <w:rFonts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24633173" w14:textId="77777777" w:rsidR="00F208CE" w:rsidRDefault="00513E84">
            <w:pPr>
              <w:pStyle w:val="P68B1DB1-Normal8"/>
              <w:spacing w:after="0"/>
              <w:rPr>
                <w:rFonts w:cs="Times New Roman"/>
                <w:noProof/>
              </w:rPr>
            </w:pPr>
            <w:r>
              <w:rPr>
                <w:noProof/>
              </w:rPr>
              <w:t>Adopción de un plan de despliegue de estaciones de recarga eléctrica</w:t>
            </w:r>
          </w:p>
        </w:tc>
        <w:tc>
          <w:tcPr>
            <w:tcW w:w="1442" w:type="dxa"/>
            <w:tcBorders>
              <w:top w:val="nil"/>
              <w:left w:val="nil"/>
              <w:bottom w:val="single" w:sz="4" w:space="0" w:color="auto"/>
              <w:right w:val="single" w:sz="4" w:space="0" w:color="auto"/>
            </w:tcBorders>
            <w:shd w:val="clear" w:color="auto" w:fill="C6EFCE"/>
            <w:noWrap/>
            <w:vAlign w:val="center"/>
          </w:tcPr>
          <w:p w14:paraId="0C6CC82C" w14:textId="77777777" w:rsidR="00F208CE" w:rsidRDefault="00513E84">
            <w:pPr>
              <w:pStyle w:val="P68B1DB1-Normal8"/>
              <w:spacing w:after="0"/>
              <w:rPr>
                <w:rFonts w:cs="Times New Roman"/>
                <w:noProof/>
              </w:rPr>
            </w:pPr>
            <w:r>
              <w:rPr>
                <w:noProof/>
              </w:rPr>
              <w:t xml:space="preserve">Adopción de un plan de despliegue de </w:t>
            </w:r>
            <w:r>
              <w:rPr>
                <w:noProof/>
              </w:rPr>
              <w:t>estaciones de recarga eléctrica</w:t>
            </w:r>
          </w:p>
        </w:tc>
        <w:tc>
          <w:tcPr>
            <w:tcW w:w="1080" w:type="dxa"/>
            <w:tcBorders>
              <w:top w:val="nil"/>
              <w:left w:val="nil"/>
              <w:bottom w:val="single" w:sz="4" w:space="0" w:color="auto"/>
              <w:right w:val="single" w:sz="4" w:space="0" w:color="auto"/>
            </w:tcBorders>
            <w:shd w:val="clear" w:color="auto" w:fill="C6EFCE"/>
            <w:noWrap/>
            <w:vAlign w:val="center"/>
          </w:tcPr>
          <w:p w14:paraId="4447E6B9" w14:textId="77777777" w:rsidR="00F208CE" w:rsidRDefault="00F208CE">
            <w:pPr>
              <w:spacing w:after="0"/>
              <w:rPr>
                <w:rFonts w:ascii="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tcPr>
          <w:p w14:paraId="156B1D87" w14:textId="77777777" w:rsidR="00F208CE" w:rsidRDefault="00F208CE">
            <w:pPr>
              <w:spacing w:after="0"/>
              <w:rPr>
                <w:rFonts w:ascii="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4958811C" w14:textId="77777777" w:rsidR="00F208CE" w:rsidRDefault="00F208CE">
            <w:pPr>
              <w:spacing w:after="0"/>
              <w:rPr>
                <w:rFonts w:ascii="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tcPr>
          <w:p w14:paraId="635DEA6F" w14:textId="77777777" w:rsidR="00F208CE" w:rsidRDefault="00513E84">
            <w:pPr>
              <w:pStyle w:val="P68B1DB1-Normal8"/>
              <w:spacing w:after="0"/>
              <w:jc w:val="center"/>
              <w:rPr>
                <w:rFonts w:cs="Times New Roman"/>
                <w:noProof/>
              </w:rPr>
            </w:pPr>
            <w:r>
              <w:rPr>
                <w:noProof/>
              </w:rPr>
              <w:t>TERCER TRIMESTRE 3</w:t>
            </w:r>
          </w:p>
        </w:tc>
        <w:tc>
          <w:tcPr>
            <w:tcW w:w="720" w:type="dxa"/>
            <w:tcBorders>
              <w:top w:val="nil"/>
              <w:left w:val="nil"/>
              <w:bottom w:val="single" w:sz="4" w:space="0" w:color="auto"/>
              <w:right w:val="single" w:sz="4" w:space="0" w:color="auto"/>
            </w:tcBorders>
            <w:shd w:val="clear" w:color="auto" w:fill="C6EFCE"/>
            <w:noWrap/>
            <w:vAlign w:val="center"/>
          </w:tcPr>
          <w:p w14:paraId="24F7874E" w14:textId="77777777" w:rsidR="00F208CE" w:rsidRDefault="00513E84">
            <w:pPr>
              <w:pStyle w:val="P68B1DB1-Normal8"/>
              <w:spacing w:after="0"/>
              <w:jc w:val="center"/>
              <w:rPr>
                <w:rFonts w:cs="Times New Roman"/>
                <w:noProof/>
              </w:rPr>
            </w:pPr>
            <w:r>
              <w:rPr>
                <w:noProof/>
              </w:rPr>
              <w:t>2022</w:t>
            </w:r>
          </w:p>
        </w:tc>
        <w:tc>
          <w:tcPr>
            <w:tcW w:w="3957" w:type="dxa"/>
            <w:tcBorders>
              <w:top w:val="nil"/>
              <w:left w:val="single" w:sz="4" w:space="0" w:color="auto"/>
              <w:bottom w:val="single" w:sz="4" w:space="0" w:color="auto"/>
              <w:right w:val="single" w:sz="4" w:space="0" w:color="auto"/>
            </w:tcBorders>
            <w:shd w:val="clear" w:color="auto" w:fill="C6EFCE"/>
            <w:noWrap/>
            <w:vAlign w:val="center"/>
          </w:tcPr>
          <w:p w14:paraId="470E9327" w14:textId="77777777" w:rsidR="00F208CE" w:rsidRDefault="00513E84">
            <w:pPr>
              <w:pStyle w:val="P68B1DB1-Normal8"/>
              <w:spacing w:after="0"/>
              <w:rPr>
                <w:rFonts w:cs="Times New Roman"/>
                <w:noProof/>
              </w:rPr>
            </w:pPr>
            <w:r>
              <w:rPr>
                <w:noProof/>
              </w:rPr>
              <w:t>Adopción de un plan de despliegue de estaciones de recarga, que incluirá:</w:t>
            </w:r>
          </w:p>
          <w:p w14:paraId="15301484" w14:textId="172BF61D" w:rsidR="00F208CE" w:rsidRDefault="00513E84">
            <w:pPr>
              <w:pStyle w:val="P68B1DB1-Normal8"/>
              <w:spacing w:after="0"/>
              <w:rPr>
                <w:rFonts w:cs="Times New Roman"/>
                <w:noProof/>
              </w:rPr>
            </w:pPr>
            <w:r>
              <w:rPr>
                <w:noProof/>
              </w:rPr>
              <w:t>— El número de puntos de recarga que deben instalarse a más tardar el 31 de agosto de 2026</w:t>
            </w:r>
          </w:p>
          <w:p w14:paraId="708FBB28" w14:textId="77777777" w:rsidR="00F208CE" w:rsidRDefault="00513E84">
            <w:pPr>
              <w:pStyle w:val="P68B1DB1-Normal8"/>
              <w:spacing w:after="0"/>
              <w:rPr>
                <w:rFonts w:cs="Times New Roman"/>
                <w:noProof/>
              </w:rPr>
            </w:pPr>
            <w:r>
              <w:rPr>
                <w:noProof/>
              </w:rPr>
              <w:t>— Los procedimientos para desple</w:t>
            </w:r>
            <w:r>
              <w:rPr>
                <w:noProof/>
              </w:rPr>
              <w:t>gar la infraestructura</w:t>
            </w:r>
          </w:p>
          <w:p w14:paraId="550BD801" w14:textId="347DE18C" w:rsidR="00F208CE" w:rsidRDefault="00F208CE">
            <w:pPr>
              <w:spacing w:after="0"/>
              <w:rPr>
                <w:rFonts w:ascii="Times New Roman" w:hAnsi="Times New Roman" w:cs="Times New Roman"/>
                <w:noProof/>
                <w:color w:val="006100"/>
              </w:rPr>
            </w:pPr>
          </w:p>
          <w:p w14:paraId="426A7C8C" w14:textId="77777777" w:rsidR="00F208CE" w:rsidRDefault="00513E84">
            <w:pPr>
              <w:pStyle w:val="P68B1DB1-Normal8"/>
              <w:spacing w:after="0"/>
              <w:rPr>
                <w:rFonts w:cs="Times New Roman"/>
                <w:noProof/>
              </w:rPr>
            </w:pPr>
            <w:r>
              <w:rPr>
                <w:noProof/>
              </w:rPr>
              <w:t>— La base necesaria para poner en marcha las licitaciones</w:t>
            </w:r>
          </w:p>
          <w:p w14:paraId="0A38ED11" w14:textId="445D1020" w:rsidR="00F208CE" w:rsidRDefault="00513E84">
            <w:pPr>
              <w:pStyle w:val="P68B1DB1-Normal8"/>
              <w:spacing w:after="0"/>
              <w:rPr>
                <w:rFonts w:cs="Times New Roman"/>
                <w:noProof/>
              </w:rPr>
            </w:pPr>
            <w:r>
              <w:rPr>
                <w:noProof/>
              </w:rPr>
              <w:t>— El objetivo para el número de puntos de recarga públicos equivalentes (CPE) que deben instalarse hasta 2026, que tendrá en cuenta el objetivo indicativo de un PCE para diez</w:t>
            </w:r>
            <w:r>
              <w:rPr>
                <w:noProof/>
              </w:rPr>
              <w:t xml:space="preserve"> vehículos eléctricos.</w:t>
            </w:r>
          </w:p>
        </w:tc>
      </w:tr>
      <w:tr w:rsidR="00F208CE" w14:paraId="31B1362D"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506061" w14:textId="77777777" w:rsidR="00F208CE" w:rsidRDefault="00513E84">
            <w:pPr>
              <w:pStyle w:val="P68B1DB1-Normal8"/>
              <w:spacing w:after="0"/>
              <w:jc w:val="center"/>
              <w:rPr>
                <w:rFonts w:eastAsia="Times New Roman" w:cs="Times New Roman"/>
                <w:noProof/>
              </w:rPr>
            </w:pPr>
            <w:r>
              <w:rPr>
                <w:noProof/>
              </w:rPr>
              <w:t>120</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308E288E" w14:textId="77777777" w:rsidR="00F208CE" w:rsidRDefault="00513E84">
            <w:pPr>
              <w:pStyle w:val="P68B1DB1-Normal8"/>
              <w:spacing w:after="0"/>
              <w:rPr>
                <w:rFonts w:cs="Times New Roman"/>
                <w:noProof/>
              </w:rPr>
            </w:pPr>
            <w:r>
              <w:rPr>
                <w:noProof/>
              </w:rPr>
              <w:t>Estaciones de recarga — FED (I-3.18)</w:t>
            </w:r>
          </w:p>
        </w:tc>
        <w:tc>
          <w:tcPr>
            <w:tcW w:w="1134" w:type="dxa"/>
            <w:tcBorders>
              <w:top w:val="nil"/>
              <w:left w:val="nil"/>
              <w:bottom w:val="single" w:sz="4" w:space="0" w:color="auto"/>
              <w:right w:val="single" w:sz="4" w:space="0" w:color="auto"/>
            </w:tcBorders>
            <w:shd w:val="clear" w:color="auto" w:fill="C6EFCE"/>
            <w:noWrap/>
            <w:vAlign w:val="center"/>
          </w:tcPr>
          <w:p w14:paraId="58B695B8" w14:textId="1B8B58A4" w:rsidR="00F208CE" w:rsidRDefault="00513E84">
            <w:pPr>
              <w:pStyle w:val="P68B1DB1-Normal8"/>
              <w:spacing w:after="0"/>
              <w:rPr>
                <w:rFonts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6F9A8E48" w14:textId="77777777" w:rsidR="00F208CE" w:rsidRDefault="00513E84">
            <w:pPr>
              <w:pStyle w:val="P68B1DB1-Normal8"/>
              <w:spacing w:after="0"/>
              <w:rPr>
                <w:rFonts w:cs="Times New Roman"/>
                <w:noProof/>
              </w:rPr>
            </w:pPr>
            <w:r>
              <w:rPr>
                <w:noProof/>
              </w:rPr>
              <w:t xml:space="preserve">Adopción del incentivo fiscal para instalar puntos de recarga privados y semipúblicos </w:t>
            </w:r>
          </w:p>
        </w:tc>
        <w:tc>
          <w:tcPr>
            <w:tcW w:w="1442" w:type="dxa"/>
            <w:tcBorders>
              <w:top w:val="nil"/>
              <w:left w:val="nil"/>
              <w:bottom w:val="single" w:sz="4" w:space="0" w:color="auto"/>
              <w:right w:val="single" w:sz="4" w:space="0" w:color="auto"/>
            </w:tcBorders>
            <w:shd w:val="clear" w:color="auto" w:fill="C6EFCE"/>
            <w:noWrap/>
            <w:vAlign w:val="center"/>
          </w:tcPr>
          <w:p w14:paraId="17514337" w14:textId="2A2EA33A" w:rsidR="00F208CE" w:rsidRDefault="00513E84">
            <w:pPr>
              <w:pStyle w:val="P68B1DB1-Normal8"/>
              <w:spacing w:after="0"/>
              <w:rPr>
                <w:rFonts w:cs="Times New Roman"/>
                <w:noProof/>
              </w:rPr>
            </w:pPr>
            <w:r>
              <w:rPr>
                <w:noProof/>
              </w:rPr>
              <w:t>Adopción del incentivo fiscal</w:t>
            </w:r>
          </w:p>
        </w:tc>
        <w:tc>
          <w:tcPr>
            <w:tcW w:w="1080" w:type="dxa"/>
            <w:tcBorders>
              <w:top w:val="nil"/>
              <w:left w:val="nil"/>
              <w:bottom w:val="single" w:sz="4" w:space="0" w:color="auto"/>
              <w:right w:val="single" w:sz="4" w:space="0" w:color="auto"/>
            </w:tcBorders>
            <w:shd w:val="clear" w:color="auto" w:fill="C6EFCE"/>
            <w:noWrap/>
            <w:vAlign w:val="center"/>
          </w:tcPr>
          <w:p w14:paraId="238C4D8E" w14:textId="6FE6C21F" w:rsidR="00F208CE" w:rsidRDefault="00F208CE">
            <w:pPr>
              <w:spacing w:after="0"/>
              <w:rPr>
                <w:rFonts w:ascii="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tcPr>
          <w:p w14:paraId="5887F961" w14:textId="1B23C197" w:rsidR="00F208CE" w:rsidRDefault="00F208CE">
            <w:pPr>
              <w:spacing w:after="0"/>
              <w:rPr>
                <w:rFonts w:ascii="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7376F24D" w14:textId="1CA6FCC8" w:rsidR="00F208CE" w:rsidRDefault="00F208CE">
            <w:pPr>
              <w:spacing w:after="0"/>
              <w:rPr>
                <w:rFonts w:ascii="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tcPr>
          <w:p w14:paraId="353A5BAD" w14:textId="77777777" w:rsidR="00F208CE" w:rsidRDefault="00513E84">
            <w:pPr>
              <w:pStyle w:val="P68B1DB1-Normal8"/>
              <w:spacing w:after="0"/>
              <w:jc w:val="center"/>
              <w:rPr>
                <w:rFonts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1ADBBE50" w14:textId="77777777" w:rsidR="00F208CE" w:rsidRDefault="00513E84">
            <w:pPr>
              <w:pStyle w:val="P68B1DB1-Normal8"/>
              <w:spacing w:after="0"/>
              <w:jc w:val="center"/>
              <w:rPr>
                <w:rFonts w:cs="Times New Roman"/>
                <w:noProof/>
              </w:rPr>
            </w:pPr>
            <w:r>
              <w:rPr>
                <w:noProof/>
              </w:rPr>
              <w:t>2021</w:t>
            </w:r>
          </w:p>
        </w:tc>
        <w:tc>
          <w:tcPr>
            <w:tcW w:w="3957" w:type="dxa"/>
            <w:tcBorders>
              <w:top w:val="nil"/>
              <w:left w:val="single" w:sz="4" w:space="0" w:color="000000" w:themeColor="text1"/>
              <w:bottom w:val="single" w:sz="4" w:space="0" w:color="000000" w:themeColor="text1"/>
              <w:right w:val="single" w:sz="4" w:space="0" w:color="000000" w:themeColor="text1"/>
            </w:tcBorders>
            <w:shd w:val="clear" w:color="auto" w:fill="C6EFCE"/>
            <w:noWrap/>
            <w:vAlign w:val="center"/>
          </w:tcPr>
          <w:p w14:paraId="7B20BAF5" w14:textId="77777777" w:rsidR="00F208CE" w:rsidRDefault="00513E84">
            <w:pPr>
              <w:pStyle w:val="P68B1DB1-Normal8"/>
              <w:spacing w:after="0"/>
              <w:rPr>
                <w:rFonts w:cs="Times New Roman"/>
                <w:noProof/>
              </w:rPr>
            </w:pPr>
            <w:r>
              <w:rPr>
                <w:noProof/>
              </w:rPr>
              <w:t xml:space="preserve">Adopción del incentivo fiscal para instalar </w:t>
            </w:r>
            <w:r>
              <w:rPr>
                <w:noProof/>
              </w:rPr>
              <w:t>puntos de recarga privados y semipúblicos.</w:t>
            </w:r>
          </w:p>
        </w:tc>
      </w:tr>
      <w:tr w:rsidR="00F208CE" w14:paraId="1F774374"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7828D9" w14:textId="77777777" w:rsidR="00F208CE" w:rsidRDefault="00513E84">
            <w:pPr>
              <w:pStyle w:val="P68B1DB1-Normal8"/>
              <w:spacing w:after="0"/>
              <w:jc w:val="center"/>
              <w:rPr>
                <w:rFonts w:eastAsia="Times New Roman" w:cs="Times New Roman"/>
                <w:noProof/>
              </w:rPr>
            </w:pPr>
            <w:r>
              <w:rPr>
                <w:noProof/>
              </w:rPr>
              <w:t>121</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7AC3F820" w14:textId="77777777" w:rsidR="00F208CE" w:rsidRDefault="00513E84">
            <w:pPr>
              <w:pStyle w:val="P68B1DB1-Normal8"/>
              <w:spacing w:after="0"/>
              <w:rPr>
                <w:rFonts w:eastAsia="Times New Roman" w:cs="Times New Roman"/>
                <w:noProof/>
              </w:rPr>
            </w:pPr>
            <w:r>
              <w:rPr>
                <w:noProof/>
              </w:rPr>
              <w:t>Estaciones de recarga (I-3F)</w:t>
            </w:r>
          </w:p>
        </w:tc>
        <w:tc>
          <w:tcPr>
            <w:tcW w:w="1134" w:type="dxa"/>
            <w:tcBorders>
              <w:top w:val="nil"/>
              <w:left w:val="nil"/>
              <w:bottom w:val="single" w:sz="4" w:space="0" w:color="auto"/>
              <w:right w:val="single" w:sz="4" w:space="0" w:color="auto"/>
            </w:tcBorders>
            <w:shd w:val="clear" w:color="auto" w:fill="C6EFCE"/>
            <w:noWrap/>
            <w:vAlign w:val="center"/>
          </w:tcPr>
          <w:p w14:paraId="4B12E806" w14:textId="2D94FA66" w:rsidR="00F208CE" w:rsidRDefault="00513E84">
            <w:pPr>
              <w:pStyle w:val="P68B1DB1-Normal8"/>
              <w:spacing w:after="0"/>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2F5C0686" w14:textId="77777777" w:rsidR="00F208CE" w:rsidRDefault="00513E84">
            <w:pPr>
              <w:pStyle w:val="P68B1DB1-Normal8"/>
              <w:spacing w:after="0"/>
              <w:rPr>
                <w:rFonts w:eastAsia="Times New Roman" w:cs="Times New Roman"/>
                <w:noProof/>
              </w:rPr>
            </w:pPr>
            <w:r>
              <w:rPr>
                <w:noProof/>
              </w:rPr>
              <w:t>Puntos de recarga operativos semipúblicos y públicos adicionales (etapa 1)</w:t>
            </w:r>
          </w:p>
        </w:tc>
        <w:tc>
          <w:tcPr>
            <w:tcW w:w="1442" w:type="dxa"/>
            <w:tcBorders>
              <w:top w:val="nil"/>
              <w:left w:val="nil"/>
              <w:bottom w:val="single" w:sz="4" w:space="0" w:color="auto"/>
              <w:right w:val="single" w:sz="4" w:space="0" w:color="auto"/>
            </w:tcBorders>
            <w:shd w:val="clear" w:color="auto" w:fill="C6EFCE"/>
            <w:noWrap/>
            <w:vAlign w:val="center"/>
          </w:tcPr>
          <w:p w14:paraId="7872FC12" w14:textId="77777777" w:rsidR="00F208CE" w:rsidRDefault="00F208CE">
            <w:pPr>
              <w:spacing w:after="0"/>
              <w:rPr>
                <w:rFonts w:ascii="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6E3D43FC" w14:textId="77777777" w:rsidR="00F208CE" w:rsidRDefault="00513E84">
            <w:pPr>
              <w:pStyle w:val="P68B1DB1-Normal8"/>
              <w:spacing w:after="0"/>
              <w:rPr>
                <w:rFonts w:eastAsia="Times New Roman" w:cs="Times New Roman"/>
                <w:noProof/>
              </w:rPr>
            </w:pPr>
            <w:r>
              <w:rPr>
                <w:noProof/>
              </w:rPr>
              <w:t>Puntos de recarga (ECP)</w:t>
            </w:r>
          </w:p>
        </w:tc>
        <w:tc>
          <w:tcPr>
            <w:tcW w:w="1022" w:type="dxa"/>
            <w:tcBorders>
              <w:top w:val="nil"/>
              <w:left w:val="nil"/>
              <w:bottom w:val="single" w:sz="4" w:space="0" w:color="auto"/>
              <w:right w:val="single" w:sz="4" w:space="0" w:color="auto"/>
            </w:tcBorders>
            <w:shd w:val="clear" w:color="auto" w:fill="C6EFCE"/>
            <w:noWrap/>
            <w:vAlign w:val="center"/>
          </w:tcPr>
          <w:p w14:paraId="3F6607B8" w14:textId="77777777" w:rsidR="00F208CE" w:rsidRDefault="00513E84">
            <w:pPr>
              <w:pStyle w:val="P68B1DB1-Normal8"/>
              <w:spacing w:after="0"/>
              <w:rPr>
                <w:rFonts w:eastAsia="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vAlign w:val="center"/>
          </w:tcPr>
          <w:p w14:paraId="4842EA58" w14:textId="4602E77C" w:rsidR="00F208CE" w:rsidRDefault="00513E84">
            <w:pPr>
              <w:pStyle w:val="P68B1DB1-Normal8"/>
              <w:spacing w:after="0"/>
              <w:rPr>
                <w:rFonts w:eastAsia="Times New Roman" w:cs="Times New Roman"/>
                <w:noProof/>
              </w:rPr>
            </w:pPr>
            <w:r>
              <w:rPr>
                <w:noProof/>
              </w:rPr>
              <w:t>8 460</w:t>
            </w:r>
          </w:p>
        </w:tc>
        <w:tc>
          <w:tcPr>
            <w:tcW w:w="1248" w:type="dxa"/>
            <w:tcBorders>
              <w:top w:val="nil"/>
              <w:left w:val="nil"/>
              <w:bottom w:val="single" w:sz="4" w:space="0" w:color="auto"/>
              <w:right w:val="single" w:sz="4" w:space="0" w:color="auto"/>
            </w:tcBorders>
            <w:shd w:val="clear" w:color="auto" w:fill="C6EFCE"/>
            <w:noWrap/>
            <w:vAlign w:val="center"/>
          </w:tcPr>
          <w:p w14:paraId="4A251D44"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0CE097BE" w14:textId="77777777" w:rsidR="00F208CE" w:rsidRDefault="00513E84">
            <w:pPr>
              <w:pStyle w:val="P68B1DB1-Normal8"/>
              <w:spacing w:after="0"/>
              <w:jc w:val="center"/>
              <w:rPr>
                <w:rFonts w:eastAsia="Times New Roman" w:cs="Times New Roman"/>
                <w:noProof/>
              </w:rPr>
            </w:pPr>
            <w:r>
              <w:rPr>
                <w:noProof/>
              </w:rPr>
              <w:t>2023</w:t>
            </w:r>
          </w:p>
        </w:tc>
        <w:tc>
          <w:tcPr>
            <w:tcW w:w="3957" w:type="dxa"/>
            <w:tcBorders>
              <w:top w:val="nil"/>
              <w:left w:val="single" w:sz="4" w:space="0" w:color="auto"/>
              <w:bottom w:val="single" w:sz="4" w:space="0" w:color="auto"/>
              <w:right w:val="single" w:sz="4" w:space="0" w:color="auto"/>
            </w:tcBorders>
            <w:shd w:val="clear" w:color="auto" w:fill="C6EFCE"/>
            <w:noWrap/>
            <w:vAlign w:val="center"/>
          </w:tcPr>
          <w:p w14:paraId="654B7F02" w14:textId="44E54D05" w:rsidR="00F208CE" w:rsidRDefault="00513E84">
            <w:pPr>
              <w:pStyle w:val="P68B1DB1-Normal8"/>
              <w:spacing w:after="120" w:line="240" w:lineRule="auto"/>
              <w:rPr>
                <w:rFonts w:cs="Times New Roman"/>
                <w:noProof/>
              </w:rPr>
            </w:pPr>
            <w:r>
              <w:rPr>
                <w:noProof/>
              </w:rPr>
              <w:t xml:space="preserve">Alcanzar otros 8 460 equivalentes de puntos </w:t>
            </w:r>
            <w:r>
              <w:rPr>
                <w:noProof/>
              </w:rPr>
              <w:t>de recarga (CPE) operativos semipúblicos y públicos.</w:t>
            </w:r>
          </w:p>
          <w:p w14:paraId="1C545CD3" w14:textId="5C42918C" w:rsidR="00F208CE" w:rsidRDefault="00513E84">
            <w:pPr>
              <w:pStyle w:val="P68B1DB1-Normal8"/>
              <w:spacing w:after="120" w:line="240" w:lineRule="auto"/>
              <w:rPr>
                <w:rFonts w:cs="Times New Roman"/>
                <w:noProof/>
              </w:rPr>
            </w:pPr>
            <w:r>
              <w:rPr>
                <w:noProof/>
              </w:rPr>
              <w:t>Este objetivo se desglosa a título indicativo en los siguientes subobjetivos, que no tienen que alcanzarse individualmente siempre que se alcance el número de puntos de recarga anteriormente mencionado:</w:t>
            </w:r>
          </w:p>
          <w:p w14:paraId="6B79D01C" w14:textId="77777777" w:rsidR="00F208CE" w:rsidRDefault="00513E84">
            <w:pPr>
              <w:pStyle w:val="P68B1DB1-Normal8"/>
              <w:spacing w:after="120" w:line="240" w:lineRule="auto"/>
              <w:rPr>
                <w:rFonts w:cs="Times New Roman"/>
                <w:noProof/>
              </w:rPr>
            </w:pPr>
            <w:r>
              <w:rPr>
                <w:noProof/>
              </w:rPr>
              <w:t>I) Región Flamenca (en relación con I-3.19): 8 100 puntos de recarga</w:t>
            </w:r>
          </w:p>
          <w:p w14:paraId="3118CCD8" w14:textId="3B31AA9F" w:rsidR="00F208CE" w:rsidRDefault="00513E84">
            <w:pPr>
              <w:pStyle w:val="P68B1DB1-Normal8"/>
              <w:spacing w:after="0" w:line="240" w:lineRule="auto"/>
              <w:rPr>
                <w:rFonts w:cs="Times New Roman"/>
                <w:noProof/>
              </w:rPr>
            </w:pPr>
            <w:r>
              <w:rPr>
                <w:noProof/>
              </w:rPr>
              <w:t>II) Región de Bruselas-Capital (en relación con R-3.05): 360 puntos de recarga</w:t>
            </w:r>
          </w:p>
        </w:tc>
      </w:tr>
      <w:tr w:rsidR="00F208CE" w14:paraId="0C37DE83"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636978" w14:textId="77777777" w:rsidR="00F208CE" w:rsidRDefault="00513E84">
            <w:pPr>
              <w:pStyle w:val="P68B1DB1-Normal8"/>
              <w:spacing w:after="0"/>
              <w:jc w:val="center"/>
              <w:rPr>
                <w:rFonts w:eastAsia="Times New Roman" w:cs="Times New Roman"/>
                <w:noProof/>
              </w:rPr>
            </w:pPr>
            <w:r>
              <w:rPr>
                <w:noProof/>
              </w:rPr>
              <w:t>122</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29D20081" w14:textId="77777777" w:rsidR="00F208CE" w:rsidRDefault="00513E84">
            <w:pPr>
              <w:pStyle w:val="P68B1DB1-Normal8"/>
              <w:spacing w:after="0"/>
              <w:rPr>
                <w:rFonts w:eastAsia="Times New Roman" w:cs="Times New Roman"/>
                <w:noProof/>
              </w:rPr>
            </w:pPr>
            <w:r>
              <w:rPr>
                <w:noProof/>
              </w:rPr>
              <w:t>Estaciones de recarga (I-3F)</w:t>
            </w:r>
          </w:p>
        </w:tc>
        <w:tc>
          <w:tcPr>
            <w:tcW w:w="1134" w:type="dxa"/>
            <w:tcBorders>
              <w:top w:val="nil"/>
              <w:left w:val="nil"/>
              <w:bottom w:val="single" w:sz="4" w:space="0" w:color="auto"/>
              <w:right w:val="single" w:sz="4" w:space="0" w:color="auto"/>
            </w:tcBorders>
            <w:shd w:val="clear" w:color="auto" w:fill="C6EFCE"/>
            <w:noWrap/>
            <w:vAlign w:val="center"/>
          </w:tcPr>
          <w:p w14:paraId="786A1B84" w14:textId="746B4E63" w:rsidR="00F208CE" w:rsidRDefault="00513E84">
            <w:pPr>
              <w:pStyle w:val="P68B1DB1-Normal8"/>
              <w:spacing w:after="0"/>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19AEA22C" w14:textId="77777777" w:rsidR="00F208CE" w:rsidRDefault="00513E84">
            <w:pPr>
              <w:pStyle w:val="P68B1DB1-Normal8"/>
              <w:spacing w:after="0"/>
              <w:rPr>
                <w:rFonts w:eastAsia="Times New Roman" w:cs="Times New Roman"/>
                <w:noProof/>
              </w:rPr>
            </w:pPr>
            <w:r>
              <w:rPr>
                <w:noProof/>
              </w:rPr>
              <w:t>Adicional</w:t>
            </w:r>
          </w:p>
          <w:p w14:paraId="5B903857" w14:textId="77777777" w:rsidR="00F208CE" w:rsidRDefault="00513E84">
            <w:pPr>
              <w:pStyle w:val="P68B1DB1-Normal8"/>
              <w:spacing w:after="0"/>
              <w:rPr>
                <w:rFonts w:eastAsia="Times New Roman" w:cs="Times New Roman"/>
                <w:noProof/>
              </w:rPr>
            </w:pPr>
            <w:r>
              <w:rPr>
                <w:noProof/>
              </w:rPr>
              <w:t>puntos de recarga operativos privados, semipúblicos y públicos</w:t>
            </w:r>
            <w:r>
              <w:rPr>
                <w:noProof/>
              </w:rPr>
              <w:t xml:space="preserve"> (etapa 2)</w:t>
            </w:r>
          </w:p>
        </w:tc>
        <w:tc>
          <w:tcPr>
            <w:tcW w:w="1442" w:type="dxa"/>
            <w:tcBorders>
              <w:top w:val="nil"/>
              <w:left w:val="nil"/>
              <w:bottom w:val="single" w:sz="4" w:space="0" w:color="auto"/>
              <w:right w:val="single" w:sz="4" w:space="0" w:color="auto"/>
            </w:tcBorders>
            <w:shd w:val="clear" w:color="auto" w:fill="C6EFCE"/>
            <w:noWrap/>
            <w:vAlign w:val="center"/>
          </w:tcPr>
          <w:p w14:paraId="46CE50F3" w14:textId="77777777" w:rsidR="00F208CE" w:rsidRDefault="00F208CE">
            <w:pPr>
              <w:spacing w:after="0"/>
              <w:rPr>
                <w:rFonts w:ascii="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740450F7" w14:textId="77777777" w:rsidR="00F208CE" w:rsidRDefault="00513E84">
            <w:pPr>
              <w:pStyle w:val="P68B1DB1-Normal8"/>
              <w:spacing w:after="0"/>
              <w:rPr>
                <w:rFonts w:eastAsia="Times New Roman" w:cs="Times New Roman"/>
                <w:noProof/>
              </w:rPr>
            </w:pPr>
            <w:r>
              <w:rPr>
                <w:noProof/>
              </w:rPr>
              <w:t>Puntos de recarga (ECP)</w:t>
            </w:r>
          </w:p>
        </w:tc>
        <w:tc>
          <w:tcPr>
            <w:tcW w:w="1022" w:type="dxa"/>
            <w:tcBorders>
              <w:top w:val="nil"/>
              <w:left w:val="nil"/>
              <w:bottom w:val="single" w:sz="4" w:space="0" w:color="auto"/>
              <w:right w:val="single" w:sz="4" w:space="0" w:color="auto"/>
            </w:tcBorders>
            <w:shd w:val="clear" w:color="auto" w:fill="C6EFCE"/>
            <w:noWrap/>
            <w:vAlign w:val="center"/>
          </w:tcPr>
          <w:p w14:paraId="60295F05" w14:textId="1330C8A0" w:rsidR="00F208CE" w:rsidRDefault="00513E84">
            <w:pPr>
              <w:pStyle w:val="P68B1DB1-Normal8"/>
              <w:spacing w:after="0"/>
              <w:rPr>
                <w:rFonts w:eastAsia="Times New Roman" w:cs="Times New Roman"/>
                <w:noProof/>
              </w:rPr>
            </w:pPr>
            <w:r>
              <w:rPr>
                <w:noProof/>
              </w:rPr>
              <w:t>8 460</w:t>
            </w:r>
          </w:p>
        </w:tc>
        <w:tc>
          <w:tcPr>
            <w:tcW w:w="850" w:type="dxa"/>
            <w:tcBorders>
              <w:top w:val="nil"/>
              <w:left w:val="nil"/>
              <w:bottom w:val="single" w:sz="4" w:space="0" w:color="auto"/>
              <w:right w:val="single" w:sz="4" w:space="0" w:color="auto"/>
            </w:tcBorders>
            <w:shd w:val="clear" w:color="auto" w:fill="C6EFCE"/>
            <w:noWrap/>
            <w:vAlign w:val="center"/>
          </w:tcPr>
          <w:p w14:paraId="6211B7B1" w14:textId="38E2A68C" w:rsidR="00F208CE" w:rsidRDefault="00513E84">
            <w:pPr>
              <w:pStyle w:val="P68B1DB1-Normal8"/>
              <w:spacing w:after="0"/>
              <w:rPr>
                <w:rFonts w:cs="Times New Roman"/>
                <w:noProof/>
              </w:rPr>
            </w:pPr>
            <w:r>
              <w:rPr>
                <w:noProof/>
              </w:rPr>
              <w:t>20 160</w:t>
            </w:r>
          </w:p>
        </w:tc>
        <w:tc>
          <w:tcPr>
            <w:tcW w:w="1248" w:type="dxa"/>
            <w:tcBorders>
              <w:top w:val="nil"/>
              <w:left w:val="nil"/>
              <w:bottom w:val="single" w:sz="4" w:space="0" w:color="auto"/>
              <w:right w:val="single" w:sz="4" w:space="0" w:color="auto"/>
            </w:tcBorders>
            <w:shd w:val="clear" w:color="auto" w:fill="C6EFCE"/>
            <w:noWrap/>
            <w:vAlign w:val="center"/>
          </w:tcPr>
          <w:p w14:paraId="5CC0E2B5" w14:textId="77777777" w:rsidR="00F208CE" w:rsidRDefault="00513E84">
            <w:pPr>
              <w:pStyle w:val="P68B1DB1-Normal8"/>
              <w:spacing w:after="0"/>
              <w:jc w:val="center"/>
              <w:rPr>
                <w:rFonts w:eastAsia="Times New Roman" w:cs="Times New Roman"/>
                <w:noProof/>
              </w:rPr>
            </w:pPr>
            <w:r>
              <w:rPr>
                <w:noProof/>
              </w:rPr>
              <w:t>PRIMER TRIMESTRE DE 2 —</w:t>
            </w:r>
          </w:p>
        </w:tc>
        <w:tc>
          <w:tcPr>
            <w:tcW w:w="720" w:type="dxa"/>
            <w:tcBorders>
              <w:top w:val="nil"/>
              <w:left w:val="nil"/>
              <w:bottom w:val="single" w:sz="4" w:space="0" w:color="auto"/>
              <w:right w:val="single" w:sz="4" w:space="0" w:color="auto"/>
            </w:tcBorders>
            <w:shd w:val="clear" w:color="auto" w:fill="C6EFCE"/>
            <w:noWrap/>
            <w:vAlign w:val="center"/>
          </w:tcPr>
          <w:p w14:paraId="6EC618AF" w14:textId="77777777" w:rsidR="00F208CE" w:rsidRDefault="00513E84">
            <w:pPr>
              <w:pStyle w:val="P68B1DB1-Normal8"/>
              <w:spacing w:after="0"/>
              <w:jc w:val="center"/>
              <w:rPr>
                <w:rFonts w:eastAsia="Times New Roman" w:cs="Times New Roman"/>
                <w:noProof/>
              </w:rPr>
            </w:pPr>
            <w:r>
              <w:rPr>
                <w:noProof/>
              </w:rPr>
              <w:t>2025</w:t>
            </w:r>
          </w:p>
        </w:tc>
        <w:tc>
          <w:tcPr>
            <w:tcW w:w="3957" w:type="dxa"/>
            <w:tcBorders>
              <w:top w:val="nil"/>
              <w:left w:val="single" w:sz="4" w:space="0" w:color="auto"/>
              <w:bottom w:val="single" w:sz="4" w:space="0" w:color="auto"/>
              <w:right w:val="single" w:sz="4" w:space="0" w:color="auto"/>
            </w:tcBorders>
            <w:shd w:val="clear" w:color="auto" w:fill="C6EFCE"/>
            <w:noWrap/>
            <w:vAlign w:val="center"/>
          </w:tcPr>
          <w:p w14:paraId="77127B2A" w14:textId="50ABE9E5" w:rsidR="00F208CE" w:rsidRDefault="00513E84">
            <w:pPr>
              <w:pStyle w:val="P68B1DB1-Normal8"/>
              <w:spacing w:after="120" w:line="240" w:lineRule="auto"/>
              <w:rPr>
                <w:rFonts w:cs="Times New Roman"/>
                <w:noProof/>
              </w:rPr>
            </w:pPr>
            <w:r>
              <w:rPr>
                <w:noProof/>
              </w:rPr>
              <w:t>REACH 20 160 equivalentes de puntos de recarga operativos privados, semipúblicos y públicos (ECP).</w:t>
            </w:r>
          </w:p>
          <w:p w14:paraId="74F54556" w14:textId="00D691F6" w:rsidR="00F208CE" w:rsidRDefault="00513E84">
            <w:pPr>
              <w:pStyle w:val="P68B1DB1-Normal8"/>
              <w:spacing w:after="120" w:line="240" w:lineRule="auto"/>
              <w:rPr>
                <w:rFonts w:cs="Times New Roman"/>
                <w:noProof/>
              </w:rPr>
            </w:pPr>
            <w:r>
              <w:rPr>
                <w:noProof/>
              </w:rPr>
              <w:t>Este objetivo se desglosa a título indicativo en los siguientes subobjetivos, q</w:t>
            </w:r>
            <w:r>
              <w:rPr>
                <w:noProof/>
              </w:rPr>
              <w:t>ue no tienen que alcanzarse individualmente siempre que se alcance el número de puntos de recarga anteriormente mencionado:</w:t>
            </w:r>
          </w:p>
          <w:p w14:paraId="4CF0EA94" w14:textId="6C1B86E6" w:rsidR="00F208CE" w:rsidRDefault="00513E84">
            <w:pPr>
              <w:pStyle w:val="P68B1DB1-Normal8"/>
              <w:spacing w:after="0" w:line="240" w:lineRule="auto"/>
              <w:rPr>
                <w:rFonts w:cs="Times New Roman"/>
                <w:noProof/>
              </w:rPr>
            </w:pPr>
            <w:r>
              <w:rPr>
                <w:noProof/>
              </w:rPr>
              <w:t>I) Región Flamenca (en relación con I-3.19): 19 800 puntos de recarga</w:t>
            </w:r>
          </w:p>
          <w:p w14:paraId="60327ED0" w14:textId="5E408CC7" w:rsidR="00F208CE" w:rsidRDefault="00513E84">
            <w:pPr>
              <w:pStyle w:val="P68B1DB1-Normal8"/>
              <w:spacing w:after="0" w:line="240" w:lineRule="auto"/>
              <w:rPr>
                <w:rFonts w:cs="Times New Roman"/>
                <w:noProof/>
                <w:color w:val="375623"/>
              </w:rPr>
            </w:pPr>
            <w:r>
              <w:rPr>
                <w:noProof/>
              </w:rPr>
              <w:t>II) Región de Bruselas-Capital (en relación con R-3.05): 360</w:t>
            </w:r>
          </w:p>
        </w:tc>
      </w:tr>
      <w:tr w:rsidR="00F208CE" w14:paraId="6E809836"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5FFF1C" w14:textId="77777777" w:rsidR="00F208CE" w:rsidRDefault="00513E84">
            <w:pPr>
              <w:pStyle w:val="P68B1DB1-Normal8"/>
              <w:spacing w:after="0"/>
              <w:jc w:val="center"/>
              <w:rPr>
                <w:rFonts w:eastAsia="Times New Roman" w:cs="Times New Roman"/>
                <w:noProof/>
              </w:rPr>
            </w:pPr>
            <w:r>
              <w:rPr>
                <w:noProof/>
              </w:rPr>
              <w:t>123</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3BCAC5DD" w14:textId="77777777" w:rsidR="00F208CE" w:rsidRDefault="00513E84">
            <w:pPr>
              <w:pStyle w:val="P68B1DB1-Normal8"/>
              <w:spacing w:after="0"/>
              <w:rPr>
                <w:rFonts w:eastAsia="Times New Roman" w:cs="Times New Roman"/>
                <w:noProof/>
              </w:rPr>
            </w:pPr>
            <w:r>
              <w:rPr>
                <w:noProof/>
              </w:rPr>
              <w:t>Estaciones de recarga (I-3F)</w:t>
            </w:r>
          </w:p>
        </w:tc>
        <w:tc>
          <w:tcPr>
            <w:tcW w:w="1134" w:type="dxa"/>
            <w:tcBorders>
              <w:top w:val="nil"/>
              <w:left w:val="nil"/>
              <w:bottom w:val="single" w:sz="4" w:space="0" w:color="auto"/>
              <w:right w:val="single" w:sz="4" w:space="0" w:color="auto"/>
            </w:tcBorders>
            <w:shd w:val="clear" w:color="auto" w:fill="C6EFCE"/>
            <w:noWrap/>
            <w:vAlign w:val="center"/>
          </w:tcPr>
          <w:p w14:paraId="6D159051" w14:textId="70517651" w:rsidR="00F208CE" w:rsidRDefault="00513E84">
            <w:pPr>
              <w:pStyle w:val="P68B1DB1-Normal8"/>
              <w:spacing w:after="0"/>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2B418CA7" w14:textId="6B9E450C" w:rsidR="00F208CE" w:rsidRDefault="00513E84">
            <w:pPr>
              <w:pStyle w:val="P68B1DB1-Normal8"/>
              <w:spacing w:after="0"/>
              <w:rPr>
                <w:rFonts w:eastAsia="Times New Roman" w:cs="Times New Roman"/>
                <w:noProof/>
              </w:rPr>
            </w:pPr>
            <w:r>
              <w:rPr>
                <w:noProof/>
              </w:rPr>
              <w:t>Puntos de recarga operativos adicionales privados, semipúblicos y públicos (etapa 3)</w:t>
            </w:r>
          </w:p>
        </w:tc>
        <w:tc>
          <w:tcPr>
            <w:tcW w:w="1442" w:type="dxa"/>
            <w:tcBorders>
              <w:top w:val="nil"/>
              <w:left w:val="nil"/>
              <w:bottom w:val="single" w:sz="4" w:space="0" w:color="auto"/>
              <w:right w:val="single" w:sz="4" w:space="0" w:color="auto"/>
            </w:tcBorders>
            <w:shd w:val="clear" w:color="auto" w:fill="C6EFCE"/>
            <w:noWrap/>
            <w:vAlign w:val="center"/>
          </w:tcPr>
          <w:p w14:paraId="0CBDBC83" w14:textId="77777777" w:rsidR="00F208CE" w:rsidRDefault="00F208CE">
            <w:pPr>
              <w:spacing w:after="0"/>
              <w:rPr>
                <w:rFonts w:ascii="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65F598E5" w14:textId="77777777" w:rsidR="00F208CE" w:rsidRDefault="00513E84">
            <w:pPr>
              <w:pStyle w:val="P68B1DB1-Normal8"/>
              <w:spacing w:after="0"/>
              <w:rPr>
                <w:rFonts w:eastAsia="Times New Roman" w:cs="Times New Roman"/>
                <w:noProof/>
              </w:rPr>
            </w:pPr>
            <w:r>
              <w:rPr>
                <w:noProof/>
              </w:rPr>
              <w:t>Puntos de recarga (ECP)</w:t>
            </w:r>
          </w:p>
        </w:tc>
        <w:tc>
          <w:tcPr>
            <w:tcW w:w="1022" w:type="dxa"/>
            <w:tcBorders>
              <w:top w:val="nil"/>
              <w:left w:val="nil"/>
              <w:bottom w:val="single" w:sz="4" w:space="0" w:color="auto"/>
              <w:right w:val="single" w:sz="4" w:space="0" w:color="auto"/>
            </w:tcBorders>
            <w:shd w:val="clear" w:color="auto" w:fill="C6EFCE"/>
            <w:noWrap/>
            <w:vAlign w:val="center"/>
          </w:tcPr>
          <w:p w14:paraId="19F788F2" w14:textId="5999472D" w:rsidR="00F208CE" w:rsidRDefault="00513E84">
            <w:pPr>
              <w:pStyle w:val="P68B1DB1-Normal8"/>
              <w:spacing w:after="0"/>
              <w:rPr>
                <w:rFonts w:eastAsia="Times New Roman" w:cs="Times New Roman"/>
                <w:noProof/>
              </w:rPr>
            </w:pPr>
            <w:r>
              <w:rPr>
                <w:noProof/>
              </w:rPr>
              <w:t>20 160</w:t>
            </w:r>
          </w:p>
        </w:tc>
        <w:tc>
          <w:tcPr>
            <w:tcW w:w="850" w:type="dxa"/>
            <w:tcBorders>
              <w:top w:val="nil"/>
              <w:left w:val="nil"/>
              <w:bottom w:val="single" w:sz="4" w:space="0" w:color="auto"/>
              <w:right w:val="single" w:sz="4" w:space="0" w:color="auto"/>
            </w:tcBorders>
            <w:shd w:val="clear" w:color="auto" w:fill="C6EFCE"/>
            <w:noWrap/>
            <w:vAlign w:val="center"/>
          </w:tcPr>
          <w:p w14:paraId="5F5382D4" w14:textId="5627FDB5" w:rsidR="00F208CE" w:rsidRDefault="00513E84">
            <w:pPr>
              <w:pStyle w:val="P68B1DB1-Normal8"/>
              <w:spacing w:after="0"/>
              <w:rPr>
                <w:rFonts w:eastAsia="Times New Roman" w:cs="Times New Roman"/>
                <w:noProof/>
              </w:rPr>
            </w:pPr>
            <w:r>
              <w:rPr>
                <w:noProof/>
              </w:rPr>
              <w:t>68 579</w:t>
            </w:r>
          </w:p>
        </w:tc>
        <w:tc>
          <w:tcPr>
            <w:tcW w:w="1248" w:type="dxa"/>
            <w:tcBorders>
              <w:top w:val="nil"/>
              <w:left w:val="nil"/>
              <w:bottom w:val="single" w:sz="4" w:space="0" w:color="auto"/>
              <w:right w:val="single" w:sz="4" w:space="0" w:color="auto"/>
            </w:tcBorders>
            <w:shd w:val="clear" w:color="auto" w:fill="C6EFCE"/>
            <w:noWrap/>
            <w:vAlign w:val="center"/>
          </w:tcPr>
          <w:p w14:paraId="21CEF15C"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1B0E10F2" w14:textId="77777777" w:rsidR="00F208CE" w:rsidRDefault="00513E84">
            <w:pPr>
              <w:pStyle w:val="P68B1DB1-Normal8"/>
              <w:spacing w:after="0"/>
              <w:jc w:val="center"/>
              <w:rPr>
                <w:rFonts w:eastAsia="Times New Roman" w:cs="Times New Roman"/>
                <w:noProof/>
              </w:rPr>
            </w:pPr>
            <w:r>
              <w:rPr>
                <w:noProof/>
              </w:rPr>
              <w:t>2026</w:t>
            </w:r>
          </w:p>
        </w:tc>
        <w:tc>
          <w:tcPr>
            <w:tcW w:w="3957" w:type="dxa"/>
            <w:tcBorders>
              <w:top w:val="nil"/>
              <w:left w:val="single" w:sz="4" w:space="0" w:color="auto"/>
              <w:bottom w:val="single" w:sz="4" w:space="0" w:color="auto"/>
              <w:right w:val="single" w:sz="4" w:space="0" w:color="auto"/>
            </w:tcBorders>
            <w:shd w:val="clear" w:color="auto" w:fill="C6EFCE"/>
            <w:noWrap/>
            <w:vAlign w:val="center"/>
          </w:tcPr>
          <w:p w14:paraId="7ADF6B65" w14:textId="13CE1D60" w:rsidR="00F208CE" w:rsidRDefault="00513E84">
            <w:pPr>
              <w:pStyle w:val="P68B1DB1-Normal8"/>
              <w:spacing w:after="0" w:line="240" w:lineRule="auto"/>
              <w:rPr>
                <w:rFonts w:cs="Times New Roman"/>
                <w:noProof/>
              </w:rPr>
            </w:pPr>
            <w:r>
              <w:rPr>
                <w:noProof/>
              </w:rPr>
              <w:t>REACH 68 579 equivalentes de puntos de recarga operativos privados, semip</w:t>
            </w:r>
            <w:r>
              <w:rPr>
                <w:noProof/>
              </w:rPr>
              <w:t>úblicos y públicos (ECP).</w:t>
            </w:r>
          </w:p>
          <w:p w14:paraId="6827F501" w14:textId="77777777" w:rsidR="00F208CE" w:rsidRDefault="00F208CE">
            <w:pPr>
              <w:spacing w:after="0" w:line="240" w:lineRule="auto"/>
              <w:rPr>
                <w:rFonts w:ascii="Times New Roman" w:hAnsi="Times New Roman" w:cs="Times New Roman"/>
                <w:noProof/>
                <w:color w:val="006100"/>
              </w:rPr>
            </w:pPr>
          </w:p>
          <w:p w14:paraId="40534028" w14:textId="42AA45A3" w:rsidR="00F208CE" w:rsidRDefault="00513E84">
            <w:pPr>
              <w:pStyle w:val="P68B1DB1-Normal8"/>
              <w:spacing w:after="120" w:line="240" w:lineRule="auto"/>
              <w:rPr>
                <w:rFonts w:cs="Times New Roman"/>
                <w:noProof/>
              </w:rPr>
            </w:pPr>
            <w:r>
              <w:rPr>
                <w:noProof/>
              </w:rPr>
              <w:t>Este objetivo se desglosa a título indicativo en los siguientes subobjetivos, que no tienen que alcanzarse individualmente siempre que se alcance el número de puntos de recarga anteriormente mencionado:</w:t>
            </w:r>
          </w:p>
          <w:p w14:paraId="232FB417" w14:textId="2A81BFE0" w:rsidR="00F208CE" w:rsidRDefault="00513E84">
            <w:pPr>
              <w:pStyle w:val="P68B1DB1-Normal8"/>
              <w:spacing w:after="0" w:line="240" w:lineRule="auto"/>
              <w:rPr>
                <w:rFonts w:cs="Times New Roman"/>
                <w:noProof/>
              </w:rPr>
            </w:pPr>
            <w:r>
              <w:rPr>
                <w:noProof/>
              </w:rPr>
              <w:t>I) Nivel federal (relacion</w:t>
            </w:r>
            <w:r>
              <w:rPr>
                <w:noProof/>
              </w:rPr>
              <w:t>ado con I-3.18): 36 511 puntos de recarga</w:t>
            </w:r>
          </w:p>
          <w:p w14:paraId="781C9A76" w14:textId="77777777" w:rsidR="00F208CE" w:rsidRDefault="00513E84">
            <w:pPr>
              <w:pStyle w:val="P68B1DB1-Normal8"/>
              <w:spacing w:after="0" w:line="240" w:lineRule="auto"/>
              <w:rPr>
                <w:rFonts w:cs="Times New Roman"/>
                <w:noProof/>
              </w:rPr>
            </w:pPr>
            <w:r>
              <w:rPr>
                <w:noProof/>
              </w:rPr>
              <w:t xml:space="preserve">II) Región Flamenca (en relación con I-3.19): 27 000 puntos de recarga </w:t>
            </w:r>
          </w:p>
          <w:p w14:paraId="7C5EA556" w14:textId="77777777" w:rsidR="00F208CE" w:rsidRDefault="00513E84">
            <w:pPr>
              <w:pStyle w:val="P68B1DB1-Normal8"/>
              <w:spacing w:after="0" w:line="240" w:lineRule="auto"/>
              <w:rPr>
                <w:rFonts w:cs="Times New Roman"/>
                <w:noProof/>
              </w:rPr>
            </w:pPr>
            <w:r>
              <w:rPr>
                <w:noProof/>
              </w:rPr>
              <w:t>III) Región Valona (en relación con R-3.04): 4 708 puntos de recarga</w:t>
            </w:r>
          </w:p>
          <w:p w14:paraId="0B950229" w14:textId="15DE1E78" w:rsidR="00F208CE" w:rsidRDefault="00513E84">
            <w:pPr>
              <w:pStyle w:val="P68B1DB1-Normal8"/>
              <w:spacing w:after="0" w:line="240" w:lineRule="auto"/>
              <w:rPr>
                <w:rFonts w:cs="Times New Roman"/>
                <w:noProof/>
              </w:rPr>
            </w:pPr>
            <w:r>
              <w:rPr>
                <w:noProof/>
              </w:rPr>
              <w:t>IV) Región de Bruselas-Capital (en relación con R-3.05): 360 puntos de re</w:t>
            </w:r>
            <w:r>
              <w:rPr>
                <w:noProof/>
              </w:rPr>
              <w:t>carga</w:t>
            </w:r>
          </w:p>
        </w:tc>
      </w:tr>
      <w:tr w:rsidR="00F208CE" w14:paraId="029CEB12"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5C4E18" w14:textId="77777777" w:rsidR="00F208CE" w:rsidRDefault="00513E84">
            <w:pPr>
              <w:pStyle w:val="P68B1DB1-Normal8"/>
              <w:spacing w:after="0"/>
              <w:jc w:val="center"/>
              <w:rPr>
                <w:rFonts w:eastAsia="Times New Roman" w:cs="Times New Roman"/>
                <w:noProof/>
              </w:rPr>
            </w:pPr>
            <w:r>
              <w:rPr>
                <w:noProof/>
              </w:rPr>
              <w:t>124</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2E2CDFF0" w14:textId="77777777" w:rsidR="00F208CE" w:rsidRDefault="00513E84">
            <w:pPr>
              <w:pStyle w:val="P68B1DB1-Normal8"/>
              <w:spacing w:after="0"/>
              <w:rPr>
                <w:rFonts w:eastAsia="Times New Roman" w:cs="Times New Roman"/>
                <w:noProof/>
              </w:rPr>
            </w:pPr>
            <w:r>
              <w:rPr>
                <w:noProof/>
              </w:rPr>
              <w:t>Fraude en materia de emisiones (R-3.07)</w:t>
            </w:r>
          </w:p>
        </w:tc>
        <w:tc>
          <w:tcPr>
            <w:tcW w:w="1134" w:type="dxa"/>
            <w:tcBorders>
              <w:top w:val="nil"/>
              <w:left w:val="nil"/>
              <w:bottom w:val="single" w:sz="4" w:space="0" w:color="auto"/>
              <w:right w:val="single" w:sz="4" w:space="0" w:color="auto"/>
            </w:tcBorders>
            <w:shd w:val="clear" w:color="auto" w:fill="C6EFCE"/>
            <w:noWrap/>
            <w:vAlign w:val="center"/>
          </w:tcPr>
          <w:p w14:paraId="0A97BF46" w14:textId="7009FD78"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7A91A609" w14:textId="77777777" w:rsidR="00F208CE" w:rsidRDefault="00513E84">
            <w:pPr>
              <w:pStyle w:val="P68B1DB1-Normal8"/>
              <w:spacing w:after="0"/>
              <w:rPr>
                <w:rFonts w:eastAsia="Times New Roman" w:cs="Times New Roman"/>
                <w:noProof/>
              </w:rPr>
            </w:pPr>
            <w:r>
              <w:rPr>
                <w:noProof/>
              </w:rPr>
              <w:t>Adopción del marco jurídico para el seguimiento de las emisiones de los vehículos en Flandes</w:t>
            </w:r>
          </w:p>
        </w:tc>
        <w:tc>
          <w:tcPr>
            <w:tcW w:w="1442" w:type="dxa"/>
            <w:tcBorders>
              <w:top w:val="nil"/>
              <w:left w:val="nil"/>
              <w:bottom w:val="single" w:sz="4" w:space="0" w:color="auto"/>
              <w:right w:val="single" w:sz="4" w:space="0" w:color="auto"/>
            </w:tcBorders>
            <w:shd w:val="clear" w:color="auto" w:fill="C6EFCE"/>
            <w:noWrap/>
            <w:vAlign w:val="center"/>
          </w:tcPr>
          <w:p w14:paraId="409B9DA8" w14:textId="77777777" w:rsidR="00F208CE" w:rsidRDefault="00513E84">
            <w:pPr>
              <w:pStyle w:val="P68B1DB1-Normal8"/>
              <w:spacing w:after="0"/>
              <w:rPr>
                <w:rFonts w:eastAsia="Times New Roman" w:cs="Times New Roman"/>
                <w:noProof/>
              </w:rPr>
            </w:pPr>
            <w:r>
              <w:rPr>
                <w:noProof/>
              </w:rPr>
              <w:t>Adopción del marco jurídico</w:t>
            </w:r>
          </w:p>
        </w:tc>
        <w:tc>
          <w:tcPr>
            <w:tcW w:w="1080" w:type="dxa"/>
            <w:tcBorders>
              <w:top w:val="nil"/>
              <w:left w:val="nil"/>
              <w:bottom w:val="single" w:sz="4" w:space="0" w:color="auto"/>
              <w:right w:val="single" w:sz="4" w:space="0" w:color="auto"/>
            </w:tcBorders>
            <w:shd w:val="clear" w:color="auto" w:fill="C6EFCE"/>
            <w:noWrap/>
            <w:vAlign w:val="center"/>
          </w:tcPr>
          <w:p w14:paraId="2CFC0F92" w14:textId="10AA97E8" w:rsidR="00F208CE" w:rsidRDefault="00F208CE">
            <w:pPr>
              <w:spacing w:after="0"/>
              <w:rPr>
                <w:rFonts w:ascii="Times New Roman" w:eastAsia="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tcPr>
          <w:p w14:paraId="5CEE3033" w14:textId="2D73E4CB"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38BBFE67" w14:textId="39CCD4C9" w:rsidR="00F208CE" w:rsidRDefault="00F208CE">
            <w:pPr>
              <w:spacing w:after="0"/>
              <w:rPr>
                <w:rFonts w:ascii="Times New Roman" w:eastAsia="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tcPr>
          <w:p w14:paraId="1F1B8226"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7D5C9F47" w14:textId="77777777" w:rsidR="00F208CE" w:rsidRDefault="00513E84">
            <w:pPr>
              <w:pStyle w:val="P68B1DB1-Normal8"/>
              <w:spacing w:after="0"/>
              <w:jc w:val="center"/>
              <w:rPr>
                <w:rFonts w:eastAsia="Times New Roman" w:cs="Times New Roman"/>
                <w:noProof/>
              </w:rPr>
            </w:pPr>
            <w:r>
              <w:rPr>
                <w:noProof/>
              </w:rPr>
              <w:t>2023</w:t>
            </w:r>
          </w:p>
        </w:tc>
        <w:tc>
          <w:tcPr>
            <w:tcW w:w="395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575ED3" w14:textId="77777777" w:rsidR="00F208CE" w:rsidRDefault="00513E84">
            <w:pPr>
              <w:pStyle w:val="P68B1DB1-Normal8"/>
              <w:spacing w:after="0"/>
              <w:rPr>
                <w:rFonts w:cs="Times New Roman"/>
                <w:noProof/>
              </w:rPr>
            </w:pPr>
            <w:r>
              <w:rPr>
                <w:noProof/>
              </w:rPr>
              <w:t>Adopción de:</w:t>
            </w:r>
          </w:p>
          <w:p w14:paraId="63DDC48E" w14:textId="77777777" w:rsidR="00F208CE" w:rsidRDefault="00513E84">
            <w:pPr>
              <w:pStyle w:val="P68B1DB1-Normal8"/>
              <w:spacing w:after="0"/>
              <w:rPr>
                <w:rFonts w:cs="Times New Roman"/>
                <w:noProof/>
              </w:rPr>
            </w:pPr>
            <w:r>
              <w:rPr>
                <w:noProof/>
              </w:rPr>
              <w:t xml:space="preserve">— Legislación necesaria para aplicar un </w:t>
            </w:r>
            <w:r>
              <w:rPr>
                <w:noProof/>
              </w:rPr>
              <w:t>procedimiento pragmático de ensayo de NOx para reforzar la inspección técnica periódica disponible con el fin de introducir pruebas en el primer trimestre de 3 2023.</w:t>
            </w:r>
          </w:p>
          <w:p w14:paraId="4DCA57BF" w14:textId="77777777" w:rsidR="00F208CE" w:rsidRDefault="00513E84">
            <w:pPr>
              <w:pStyle w:val="P68B1DB1-Normal8"/>
              <w:spacing w:after="0"/>
              <w:rPr>
                <w:rFonts w:cs="Times New Roman"/>
                <w:noProof/>
              </w:rPr>
            </w:pPr>
            <w:r>
              <w:rPr>
                <w:noProof/>
              </w:rPr>
              <w:t>— Mejoras jurídicas para ampliar el ámbito de las inspecciones en carretera a todos los ti</w:t>
            </w:r>
            <w:r>
              <w:rPr>
                <w:noProof/>
              </w:rPr>
              <w:t>pos de vehículos (objetivo: 2022)</w:t>
            </w:r>
          </w:p>
          <w:p w14:paraId="66952442" w14:textId="77777777" w:rsidR="00F208CE" w:rsidRDefault="00513E84">
            <w:pPr>
              <w:pStyle w:val="P68B1DB1-Normal8"/>
              <w:spacing w:after="0"/>
              <w:rPr>
                <w:rFonts w:eastAsia="Times New Roman" w:cs="Times New Roman"/>
                <w:noProof/>
              </w:rPr>
            </w:pPr>
            <w:r>
              <w:rPr>
                <w:noProof/>
              </w:rPr>
              <w:t>— Nueva legislación: marco jurídico disponible para permitir el seguimiento a gran escala de las emisiones de los vehículos en carretera (teledetección y, potencialmente, deslumbramiento) y sus aplicaciones para mejorar el</w:t>
            </w:r>
            <w:r>
              <w:rPr>
                <w:noProof/>
              </w:rPr>
              <w:t xml:space="preserve"> control del cumplimiento y la evaluación de las políticas (objetivo: 2022)</w:t>
            </w:r>
          </w:p>
        </w:tc>
      </w:tr>
      <w:tr w:rsidR="00F208CE" w14:paraId="134E3BCE" w14:textId="77777777">
        <w:trPr>
          <w:trHeight w:val="882"/>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F2C503" w14:textId="77777777" w:rsidR="00F208CE" w:rsidRDefault="00513E84">
            <w:pPr>
              <w:pStyle w:val="P68B1DB1-Normal8"/>
              <w:spacing w:after="0"/>
              <w:jc w:val="center"/>
              <w:rPr>
                <w:rFonts w:eastAsia="Times New Roman" w:cs="Times New Roman"/>
                <w:noProof/>
              </w:rPr>
            </w:pPr>
            <w:r>
              <w:rPr>
                <w:noProof/>
              </w:rPr>
              <w:t>125</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747CFC20" w14:textId="77777777" w:rsidR="00F208CE" w:rsidRDefault="00513E84">
            <w:pPr>
              <w:pStyle w:val="P68B1DB1-Normal8"/>
              <w:spacing w:after="0"/>
              <w:rPr>
                <w:rFonts w:eastAsia="Times New Roman" w:cs="Times New Roman"/>
                <w:noProof/>
              </w:rPr>
            </w:pPr>
            <w:r>
              <w:rPr>
                <w:noProof/>
              </w:rPr>
              <w:t>Fraude en materia de emisiones (R-3.07)</w:t>
            </w:r>
          </w:p>
        </w:tc>
        <w:tc>
          <w:tcPr>
            <w:tcW w:w="1134" w:type="dxa"/>
            <w:tcBorders>
              <w:top w:val="nil"/>
              <w:left w:val="nil"/>
              <w:bottom w:val="single" w:sz="4" w:space="0" w:color="auto"/>
              <w:right w:val="single" w:sz="4" w:space="0" w:color="auto"/>
            </w:tcBorders>
            <w:shd w:val="clear" w:color="auto" w:fill="C6EFCE"/>
            <w:noWrap/>
            <w:vAlign w:val="center"/>
          </w:tcPr>
          <w:p w14:paraId="79E14804" w14:textId="0DD7F1F5"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5294ACF9" w14:textId="77777777" w:rsidR="00F208CE" w:rsidRDefault="00513E84">
            <w:pPr>
              <w:pStyle w:val="P68B1DB1-Normal8"/>
              <w:spacing w:after="0"/>
              <w:rPr>
                <w:rFonts w:eastAsia="Times New Roman" w:cs="Times New Roman"/>
                <w:noProof/>
              </w:rPr>
            </w:pPr>
            <w:r>
              <w:rPr>
                <w:noProof/>
              </w:rPr>
              <w:t xml:space="preserve">Sistema informático que integra los datos de emisiones con las observaciones de las inspecciones técnicas y de seguridad vial </w:t>
            </w:r>
            <w:r>
              <w:rPr>
                <w:noProof/>
              </w:rPr>
              <w:t>periódicas en funcionamiento</w:t>
            </w:r>
          </w:p>
        </w:tc>
        <w:tc>
          <w:tcPr>
            <w:tcW w:w="1442" w:type="dxa"/>
            <w:tcBorders>
              <w:top w:val="nil"/>
              <w:left w:val="nil"/>
              <w:bottom w:val="single" w:sz="4" w:space="0" w:color="auto"/>
              <w:right w:val="single" w:sz="4" w:space="0" w:color="auto"/>
            </w:tcBorders>
            <w:shd w:val="clear" w:color="auto" w:fill="C6EFCE"/>
            <w:noWrap/>
            <w:vAlign w:val="center"/>
          </w:tcPr>
          <w:p w14:paraId="2CBCBF79" w14:textId="77777777" w:rsidR="00F208CE" w:rsidRDefault="00513E84">
            <w:pPr>
              <w:pStyle w:val="P68B1DB1-Normal8"/>
              <w:spacing w:after="0"/>
              <w:rPr>
                <w:rFonts w:eastAsia="Times New Roman" w:cs="Times New Roman"/>
                <w:noProof/>
              </w:rPr>
            </w:pPr>
            <w:r>
              <w:rPr>
                <w:noProof/>
              </w:rPr>
              <w:t>Puesta en servicio del sistema informático</w:t>
            </w:r>
          </w:p>
        </w:tc>
        <w:tc>
          <w:tcPr>
            <w:tcW w:w="1080" w:type="dxa"/>
            <w:tcBorders>
              <w:top w:val="nil"/>
              <w:left w:val="nil"/>
              <w:bottom w:val="single" w:sz="4" w:space="0" w:color="auto"/>
              <w:right w:val="single" w:sz="4" w:space="0" w:color="auto"/>
            </w:tcBorders>
            <w:shd w:val="clear" w:color="auto" w:fill="C6EFCE"/>
            <w:noWrap/>
            <w:vAlign w:val="center"/>
          </w:tcPr>
          <w:p w14:paraId="600A57D3" w14:textId="72A381B4" w:rsidR="00F208CE" w:rsidRDefault="00F208CE">
            <w:pPr>
              <w:spacing w:after="0"/>
              <w:rPr>
                <w:rFonts w:ascii="Times New Roman" w:eastAsia="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tcPr>
          <w:p w14:paraId="07D835D0" w14:textId="20393428"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0C951F38" w14:textId="564A712A" w:rsidR="00F208CE" w:rsidRDefault="00F208CE">
            <w:pPr>
              <w:spacing w:after="0"/>
              <w:rPr>
                <w:rFonts w:ascii="Times New Roman" w:eastAsia="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tcPr>
          <w:p w14:paraId="4FDB52BA"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2C0189EE" w14:textId="77777777" w:rsidR="00F208CE" w:rsidRDefault="00513E84">
            <w:pPr>
              <w:pStyle w:val="P68B1DB1-Normal8"/>
              <w:spacing w:after="0"/>
              <w:jc w:val="center"/>
              <w:rPr>
                <w:rFonts w:eastAsia="Times New Roman" w:cs="Times New Roman"/>
                <w:noProof/>
              </w:rPr>
            </w:pPr>
            <w:r>
              <w:rPr>
                <w:noProof/>
              </w:rPr>
              <w:t>2024</w:t>
            </w:r>
          </w:p>
        </w:tc>
        <w:tc>
          <w:tcPr>
            <w:tcW w:w="3957" w:type="dxa"/>
            <w:tcBorders>
              <w:top w:val="nil"/>
              <w:left w:val="single" w:sz="4" w:space="0" w:color="auto"/>
              <w:bottom w:val="single" w:sz="4" w:space="0" w:color="auto"/>
              <w:right w:val="single" w:sz="4" w:space="0" w:color="auto"/>
            </w:tcBorders>
            <w:shd w:val="clear" w:color="auto" w:fill="C6EFCE"/>
            <w:noWrap/>
            <w:vAlign w:val="center"/>
          </w:tcPr>
          <w:p w14:paraId="52153990" w14:textId="01B61D63" w:rsidR="00F208CE" w:rsidRDefault="00513E84">
            <w:pPr>
              <w:pStyle w:val="P68B1DB1-Normal8"/>
              <w:spacing w:after="0"/>
              <w:rPr>
                <w:rFonts w:eastAsia="Times New Roman" w:cs="Times New Roman"/>
                <w:noProof/>
              </w:rPr>
            </w:pPr>
            <w:r>
              <w:rPr>
                <w:noProof/>
              </w:rPr>
              <w:t>Sistema informático que integra los datos de emisiones con observaciones de inspecciones técnicas y de seguridad vial periódicas listas y disponibles para to</w:t>
            </w:r>
            <w:r>
              <w:rPr>
                <w:noProof/>
              </w:rPr>
              <w:t>das las partes interesadas.</w:t>
            </w:r>
          </w:p>
        </w:tc>
      </w:tr>
      <w:tr w:rsidR="00F208CE" w14:paraId="3DCDE7CF"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59164B" w14:textId="77777777" w:rsidR="00F208CE" w:rsidRDefault="00513E84">
            <w:pPr>
              <w:pStyle w:val="P68B1DB1-Normal8"/>
              <w:spacing w:after="0"/>
              <w:jc w:val="center"/>
              <w:rPr>
                <w:rFonts w:eastAsia="Times New Roman" w:cs="Times New Roman"/>
                <w:noProof/>
              </w:rPr>
            </w:pPr>
            <w:r>
              <w:rPr>
                <w:noProof/>
              </w:rPr>
              <w:t>126</w:t>
            </w:r>
          </w:p>
        </w:tc>
        <w:tc>
          <w:tcPr>
            <w:tcW w:w="1418" w:type="dxa"/>
            <w:tcBorders>
              <w:top w:val="nil"/>
              <w:left w:val="single" w:sz="4" w:space="0" w:color="auto"/>
              <w:bottom w:val="single" w:sz="4" w:space="0" w:color="auto"/>
              <w:right w:val="single" w:sz="4" w:space="0" w:color="auto"/>
            </w:tcBorders>
            <w:shd w:val="clear" w:color="auto" w:fill="C6EFCE"/>
            <w:noWrap/>
            <w:vAlign w:val="center"/>
          </w:tcPr>
          <w:p w14:paraId="63B90785" w14:textId="77777777" w:rsidR="00F208CE" w:rsidRDefault="00513E84">
            <w:pPr>
              <w:pStyle w:val="P68B1DB1-Normal8"/>
              <w:spacing w:after="0"/>
              <w:rPr>
                <w:rFonts w:eastAsia="Times New Roman" w:cs="Times New Roman"/>
                <w:noProof/>
              </w:rPr>
            </w:pPr>
            <w:r>
              <w:rPr>
                <w:noProof/>
              </w:rPr>
              <w:t>Vehículos de empresa de emisiones cero (R-3.03)</w:t>
            </w:r>
          </w:p>
        </w:tc>
        <w:tc>
          <w:tcPr>
            <w:tcW w:w="1134" w:type="dxa"/>
            <w:tcBorders>
              <w:top w:val="nil"/>
              <w:left w:val="nil"/>
              <w:bottom w:val="single" w:sz="4" w:space="0" w:color="auto"/>
              <w:right w:val="single" w:sz="4" w:space="0" w:color="auto"/>
            </w:tcBorders>
            <w:shd w:val="clear" w:color="auto" w:fill="C6EFCE"/>
            <w:noWrap/>
            <w:vAlign w:val="center"/>
          </w:tcPr>
          <w:p w14:paraId="4C627612" w14:textId="5ADE4B28" w:rsidR="00F208CE" w:rsidRDefault="00513E84">
            <w:pPr>
              <w:pStyle w:val="P68B1DB1-Normal8"/>
              <w:spacing w:after="0"/>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78587AEF" w14:textId="77777777" w:rsidR="00F208CE" w:rsidRDefault="00513E84">
            <w:pPr>
              <w:pStyle w:val="P68B1DB1-Normal8"/>
              <w:spacing w:after="0"/>
              <w:rPr>
                <w:rFonts w:eastAsia="Times New Roman" w:cs="Times New Roman"/>
                <w:noProof/>
              </w:rPr>
            </w:pPr>
            <w:r>
              <w:rPr>
                <w:noProof/>
              </w:rPr>
              <w:t>Adopción de la ley de reforma del régimen del impuesto de sociedades</w:t>
            </w:r>
          </w:p>
        </w:tc>
        <w:tc>
          <w:tcPr>
            <w:tcW w:w="1442" w:type="dxa"/>
            <w:tcBorders>
              <w:top w:val="nil"/>
              <w:left w:val="nil"/>
              <w:bottom w:val="single" w:sz="4" w:space="0" w:color="auto"/>
              <w:right w:val="single" w:sz="4" w:space="0" w:color="auto"/>
            </w:tcBorders>
            <w:shd w:val="clear" w:color="auto" w:fill="C6EFCE"/>
            <w:noWrap/>
            <w:vAlign w:val="center"/>
          </w:tcPr>
          <w:p w14:paraId="75712054" w14:textId="78014213" w:rsidR="00F208CE" w:rsidRDefault="00513E84">
            <w:pPr>
              <w:pStyle w:val="P68B1DB1-Normal8"/>
              <w:spacing w:after="0"/>
              <w:rPr>
                <w:rFonts w:eastAsia="Times New Roman" w:cs="Times New Roman"/>
                <w:noProof/>
              </w:rPr>
            </w:pPr>
            <w:r>
              <w:rPr>
                <w:noProof/>
              </w:rPr>
              <w:t xml:space="preserve">Adopción del proyecto de adaptación de la ley de reforma del régimen del impuesto de sociedades </w:t>
            </w:r>
          </w:p>
        </w:tc>
        <w:tc>
          <w:tcPr>
            <w:tcW w:w="1080" w:type="dxa"/>
            <w:tcBorders>
              <w:top w:val="nil"/>
              <w:left w:val="nil"/>
              <w:bottom w:val="single" w:sz="4" w:space="0" w:color="auto"/>
              <w:right w:val="single" w:sz="4" w:space="0" w:color="auto"/>
            </w:tcBorders>
            <w:shd w:val="clear" w:color="auto" w:fill="C6EFCE"/>
            <w:noWrap/>
            <w:vAlign w:val="center"/>
          </w:tcPr>
          <w:p w14:paraId="0FF219F3" w14:textId="62B70519" w:rsidR="00F208CE" w:rsidRDefault="00F208CE">
            <w:pPr>
              <w:spacing w:after="0"/>
              <w:rPr>
                <w:rFonts w:ascii="Times New Roman" w:eastAsia="Times New Roman" w:hAnsi="Times New Roman" w:cs="Times New Roman"/>
                <w:noProof/>
                <w:color w:val="006100"/>
              </w:rPr>
            </w:pPr>
          </w:p>
        </w:tc>
        <w:tc>
          <w:tcPr>
            <w:tcW w:w="1022" w:type="dxa"/>
            <w:tcBorders>
              <w:top w:val="nil"/>
              <w:left w:val="nil"/>
              <w:bottom w:val="single" w:sz="4" w:space="0" w:color="auto"/>
              <w:right w:val="single" w:sz="4" w:space="0" w:color="auto"/>
            </w:tcBorders>
            <w:shd w:val="clear" w:color="auto" w:fill="C6EFCE"/>
            <w:noWrap/>
            <w:vAlign w:val="center"/>
          </w:tcPr>
          <w:p w14:paraId="55DA3440" w14:textId="1814D9BB" w:rsidR="00F208CE" w:rsidRDefault="00F208CE">
            <w:pPr>
              <w:spacing w:after="0"/>
              <w:rPr>
                <w:rFonts w:ascii="Times New Roman" w:eastAsia="Times New Roman" w:hAnsi="Times New Roman" w:cs="Times New Roman"/>
                <w:noProof/>
                <w:color w:val="006100"/>
              </w:rPr>
            </w:pPr>
          </w:p>
        </w:tc>
        <w:tc>
          <w:tcPr>
            <w:tcW w:w="850" w:type="dxa"/>
            <w:tcBorders>
              <w:top w:val="nil"/>
              <w:left w:val="nil"/>
              <w:bottom w:val="single" w:sz="4" w:space="0" w:color="auto"/>
              <w:right w:val="single" w:sz="4" w:space="0" w:color="auto"/>
            </w:tcBorders>
            <w:shd w:val="clear" w:color="auto" w:fill="C6EFCE"/>
            <w:noWrap/>
            <w:vAlign w:val="center"/>
          </w:tcPr>
          <w:p w14:paraId="2F136533" w14:textId="1BD07643" w:rsidR="00F208CE" w:rsidRDefault="00F208CE">
            <w:pPr>
              <w:spacing w:after="0"/>
              <w:rPr>
                <w:rFonts w:ascii="Times New Roman" w:eastAsia="Times New Roman" w:hAnsi="Times New Roman" w:cs="Times New Roman"/>
                <w:noProof/>
                <w:color w:val="006100"/>
              </w:rPr>
            </w:pPr>
          </w:p>
        </w:tc>
        <w:tc>
          <w:tcPr>
            <w:tcW w:w="1248" w:type="dxa"/>
            <w:tcBorders>
              <w:top w:val="nil"/>
              <w:left w:val="nil"/>
              <w:bottom w:val="single" w:sz="4" w:space="0" w:color="auto"/>
              <w:right w:val="single" w:sz="4" w:space="0" w:color="auto"/>
            </w:tcBorders>
            <w:shd w:val="clear" w:color="auto" w:fill="C6EFCE"/>
            <w:noWrap/>
            <w:vAlign w:val="center"/>
          </w:tcPr>
          <w:p w14:paraId="161E293A" w14:textId="77777777" w:rsidR="00F208CE" w:rsidRDefault="00513E84">
            <w:pPr>
              <w:pStyle w:val="P68B1DB1-Normal8"/>
              <w:spacing w:after="0"/>
              <w:jc w:val="center"/>
              <w:rPr>
                <w:rFonts w:eastAsia="Times New Roman" w:cs="Times New Roman"/>
                <w:noProof/>
              </w:rPr>
            </w:pPr>
            <w:r>
              <w:rPr>
                <w:noProof/>
              </w:rPr>
              <w:t>TERCER TRIMESTRE 3</w:t>
            </w:r>
          </w:p>
        </w:tc>
        <w:tc>
          <w:tcPr>
            <w:tcW w:w="720" w:type="dxa"/>
            <w:tcBorders>
              <w:top w:val="nil"/>
              <w:left w:val="nil"/>
              <w:bottom w:val="single" w:sz="4" w:space="0" w:color="auto"/>
              <w:right w:val="single" w:sz="4" w:space="0" w:color="auto"/>
            </w:tcBorders>
            <w:shd w:val="clear" w:color="auto" w:fill="C6EFCE"/>
            <w:noWrap/>
            <w:vAlign w:val="center"/>
          </w:tcPr>
          <w:p w14:paraId="1E20456D" w14:textId="77777777" w:rsidR="00F208CE" w:rsidRDefault="00513E84">
            <w:pPr>
              <w:pStyle w:val="P68B1DB1-Normal8"/>
              <w:spacing w:after="0"/>
              <w:jc w:val="center"/>
              <w:rPr>
                <w:rFonts w:eastAsia="Times New Roman" w:cs="Times New Roman"/>
                <w:noProof/>
              </w:rPr>
            </w:pPr>
            <w:r>
              <w:rPr>
                <w:noProof/>
              </w:rPr>
              <w:t>2021</w:t>
            </w:r>
          </w:p>
        </w:tc>
        <w:tc>
          <w:tcPr>
            <w:tcW w:w="395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1438A5" w14:textId="39613A1A" w:rsidR="00F208CE" w:rsidRDefault="00513E84">
            <w:pPr>
              <w:pStyle w:val="P68B1DB1-Normal8"/>
              <w:spacing w:after="0"/>
              <w:rPr>
                <w:rFonts w:cs="Times New Roman"/>
                <w:noProof/>
              </w:rPr>
            </w:pPr>
            <w:r>
              <w:rPr>
                <w:noProof/>
              </w:rPr>
              <w:t>Adopción por el Parlamento federal de un régimen reformado de imposición de los automóviles de empresa, en el que los nuevos vehículos de empresa deben ser de cero emisiones a partir de 2026 para poder beneficiarse del régimen prefe</w:t>
            </w:r>
            <w:r>
              <w:rPr>
                <w:noProof/>
              </w:rPr>
              <w:t xml:space="preserve">rencial existente. La reforma del régimen fiscal de los automóviles de empresa preverá (1) No deducibilidad de los vehículos de empresa convencionales adquiridos a partir de 2026 (2) una reducción progresiva del tipo de deducción fiscal de los automóviles </w:t>
            </w:r>
            <w:r>
              <w:rPr>
                <w:noProof/>
              </w:rPr>
              <w:t>de empresa convencionales, adquiridos entre el 1 de julio de</w:t>
            </w:r>
            <w:r>
              <w:rPr>
                <w:noProof/>
                <w:vertAlign w:val="superscript"/>
              </w:rPr>
              <w:t xml:space="preserve">2023 </w:t>
            </w:r>
            <w:r>
              <w:rPr>
                <w:noProof/>
              </w:rPr>
              <w:t xml:space="preserve"> y el 31 de diciembre de 2025, hasta alcanzar el 0 % en 2028, (3) una reducción progresiva del tipo de deducción fiscal de los automóviles de empresa de emisión cero hasta alcanzar como máxim</w:t>
            </w:r>
            <w:r>
              <w:rPr>
                <w:noProof/>
              </w:rPr>
              <w:t>o el 67,5 % en 2031, y (4) una deducibilidad fiscal de la gasolina y el gasóleo para los vehículos híbridos de empresa adquiridos entre 2023 y 2025, reducida al 50 % a partir del 1 de</w:t>
            </w:r>
            <w:r>
              <w:rPr>
                <w:noProof/>
                <w:vertAlign w:val="superscript"/>
              </w:rPr>
              <w:t>enero</w:t>
            </w:r>
            <w:r>
              <w:rPr>
                <w:noProof/>
              </w:rPr>
              <w:t xml:space="preserve"> de 2023. Además, (5) en el caso de los vehículos convencionales adq</w:t>
            </w:r>
            <w:r>
              <w:rPr>
                <w:noProof/>
              </w:rPr>
              <w:t>uiridos a partir del 1 de julio de 2023, la contribución de CO2 aumentará a un tipo de 2.25 a partir del 1 de julio de 2023 y aumentará progresivamente en 2025, 2026 hasta un factor de 5.50 en 2027. (6) en el caso de los vehículos de empresa de emisión cer</w:t>
            </w:r>
            <w:r>
              <w:rPr>
                <w:noProof/>
              </w:rPr>
              <w:t>o, adquiridos a partir del 1 de julio de 2023, la contribución solidaria mínima aumentará, a partir del año 2025, de tal manera que, a largo plazo, para el vehículo de empresa medio, se adeudará el mismo importe de cotizaciones a la seguridad social que en</w:t>
            </w:r>
            <w:r>
              <w:rPr>
                <w:noProof/>
              </w:rPr>
              <w:t xml:space="preserve"> el momento de la presentación del plan.</w:t>
            </w:r>
          </w:p>
        </w:tc>
      </w:tr>
      <w:tr w:rsidR="00F208CE" w14:paraId="58831F68" w14:textId="77777777">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86ECF8" w14:textId="73E8E11C" w:rsidR="00F208CE" w:rsidRDefault="00513E84">
            <w:pPr>
              <w:pStyle w:val="P68B1DB1-Normal8"/>
              <w:spacing w:after="0"/>
              <w:jc w:val="center"/>
              <w:rPr>
                <w:rFonts w:eastAsia="Times New Roman" w:cs="Times New Roman"/>
                <w:noProof/>
                <w:highlight w:val="yellow"/>
              </w:rPr>
            </w:pPr>
            <w:r>
              <w:rPr>
                <w:noProof/>
              </w:rPr>
              <w:t>246</w:t>
            </w:r>
          </w:p>
        </w:tc>
        <w:tc>
          <w:tcPr>
            <w:tcW w:w="141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3D8BB5" w14:textId="42BA8992" w:rsidR="00F208CE" w:rsidRDefault="00513E84">
            <w:pPr>
              <w:pStyle w:val="P68B1DB1-Normal8"/>
              <w:spacing w:after="0"/>
              <w:rPr>
                <w:rFonts w:cs="Times New Roman"/>
                <w:noProof/>
                <w:highlight w:val="yellow"/>
              </w:rPr>
            </w:pPr>
            <w:r>
              <w:rPr>
                <w:noProof/>
              </w:rPr>
              <w:t>Infraestructura de recarga para autobuses — BCR (I-3.21)</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F257FA3" w14:textId="62D59C76" w:rsidR="00F208CE" w:rsidRDefault="00513E84">
            <w:pPr>
              <w:pStyle w:val="P68B1DB1-Normal8"/>
              <w:spacing w:after="0"/>
              <w:rPr>
                <w:rFonts w:cs="Times New Roman"/>
                <w:noProof/>
                <w:highlight w:val="yellow"/>
              </w:rPr>
            </w:pPr>
            <w:r>
              <w:rPr>
                <w:noProof/>
              </w:rPr>
              <w:t>T</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7C9E64BB" w14:textId="685A79D9" w:rsidR="00F208CE" w:rsidRDefault="00513E84">
            <w:pPr>
              <w:pStyle w:val="P68B1DB1-Normal8"/>
              <w:spacing w:after="0"/>
              <w:rPr>
                <w:rFonts w:cs="Times New Roman"/>
                <w:noProof/>
                <w:highlight w:val="yellow"/>
              </w:rPr>
            </w:pPr>
            <w:r>
              <w:rPr>
                <w:noProof/>
              </w:rPr>
              <w:t>Infraestructura de recarga instalada</w:t>
            </w:r>
          </w:p>
        </w:tc>
        <w:tc>
          <w:tcPr>
            <w:tcW w:w="1442" w:type="dxa"/>
            <w:tcBorders>
              <w:top w:val="single" w:sz="4" w:space="0" w:color="auto"/>
              <w:left w:val="nil"/>
              <w:bottom w:val="single" w:sz="4" w:space="0" w:color="auto"/>
              <w:right w:val="single" w:sz="4" w:space="0" w:color="auto"/>
            </w:tcBorders>
            <w:shd w:val="clear" w:color="auto" w:fill="C6EFCE"/>
            <w:noWrap/>
            <w:vAlign w:val="center"/>
          </w:tcPr>
          <w:p w14:paraId="638B55F0" w14:textId="77777777" w:rsidR="00F208CE" w:rsidRDefault="00F208CE">
            <w:pPr>
              <w:spacing w:after="0"/>
              <w:rPr>
                <w:rFonts w:ascii="Times New Roman" w:hAnsi="Times New Roman" w:cs="Times New Roman"/>
                <w:noProof/>
                <w:color w:val="006100"/>
                <w:highlight w:val="yellow"/>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36CC9B3" w14:textId="3C718B6D" w:rsidR="00F208CE" w:rsidRDefault="00513E84">
            <w:pPr>
              <w:pStyle w:val="P68B1DB1-Normal8"/>
              <w:spacing w:after="0"/>
              <w:rPr>
                <w:rFonts w:eastAsia="Times New Roman" w:cs="Times New Roman"/>
                <w:noProof/>
                <w:highlight w:val="yellow"/>
              </w:rPr>
            </w:pPr>
            <w:r>
              <w:rPr>
                <w:noProof/>
              </w:rPr>
              <w:t>Número</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2F82DF59" w14:textId="47994ECF" w:rsidR="00F208CE" w:rsidRDefault="00513E84">
            <w:pPr>
              <w:pStyle w:val="P68B1DB1-Normal8"/>
              <w:spacing w:after="0"/>
              <w:rPr>
                <w:rFonts w:eastAsia="Times New Roman" w:cs="Times New Roman"/>
                <w:noProof/>
                <w:highlight w:val="yellow"/>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vAlign w:val="center"/>
          </w:tcPr>
          <w:p w14:paraId="4ABF34F8" w14:textId="1357A5F7" w:rsidR="00F208CE" w:rsidRDefault="00513E84">
            <w:pPr>
              <w:pStyle w:val="P68B1DB1-Normal8"/>
              <w:spacing w:after="0"/>
              <w:rPr>
                <w:rFonts w:eastAsia="Times New Roman" w:cs="Times New Roman"/>
                <w:noProof/>
                <w:highlight w:val="yellow"/>
              </w:rPr>
            </w:pPr>
            <w:r>
              <w:rPr>
                <w:noProof/>
              </w:rPr>
              <w:t>92</w:t>
            </w:r>
          </w:p>
        </w:tc>
        <w:tc>
          <w:tcPr>
            <w:tcW w:w="1248" w:type="dxa"/>
            <w:tcBorders>
              <w:top w:val="single" w:sz="4" w:space="0" w:color="auto"/>
              <w:left w:val="nil"/>
              <w:bottom w:val="single" w:sz="4" w:space="0" w:color="auto"/>
              <w:right w:val="single" w:sz="4" w:space="0" w:color="auto"/>
            </w:tcBorders>
            <w:shd w:val="clear" w:color="auto" w:fill="C6EFCE"/>
            <w:noWrap/>
            <w:vAlign w:val="center"/>
          </w:tcPr>
          <w:p w14:paraId="245FED8E" w14:textId="5EC175F9" w:rsidR="00F208CE" w:rsidRDefault="00513E84">
            <w:pPr>
              <w:pStyle w:val="P68B1DB1-Normal8"/>
              <w:spacing w:after="0"/>
              <w:jc w:val="center"/>
              <w:rPr>
                <w:rFonts w:cs="Times New Roman"/>
                <w:noProof/>
                <w:highlight w:val="yellow"/>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F2923CD" w14:textId="7631AD7B" w:rsidR="00F208CE" w:rsidRDefault="00513E84">
            <w:pPr>
              <w:pStyle w:val="P68B1DB1-Normal8"/>
              <w:spacing w:after="0"/>
              <w:jc w:val="center"/>
              <w:rPr>
                <w:rFonts w:cs="Times New Roman"/>
                <w:noProof/>
                <w:highlight w:val="yellow"/>
              </w:rPr>
            </w:pPr>
            <w:r>
              <w:rPr>
                <w:noProof/>
              </w:rPr>
              <w:t>2026</w:t>
            </w:r>
          </w:p>
        </w:tc>
        <w:tc>
          <w:tcPr>
            <w:tcW w:w="395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4F2054" w14:textId="1D6EBC22" w:rsidR="00F208CE" w:rsidRDefault="00513E84">
            <w:pPr>
              <w:pStyle w:val="P68B1DB1-Normal8"/>
              <w:spacing w:after="0"/>
              <w:rPr>
                <w:rFonts w:cs="Times New Roman"/>
                <w:noProof/>
                <w:highlight w:val="yellow"/>
              </w:rPr>
            </w:pPr>
            <w:r>
              <w:rPr>
                <w:noProof/>
              </w:rPr>
              <w:t xml:space="preserve">Completar la instalación de 76 estaciones de recarga nocturnas y 16 de </w:t>
            </w:r>
            <w:r>
              <w:rPr>
                <w:noProof/>
              </w:rPr>
              <w:t>oportunidad (con la infraestructura eléctrica correspondiente) en un depósito de autobuses y en cinco terminales de líneas de autobuses.</w:t>
            </w:r>
          </w:p>
        </w:tc>
      </w:tr>
    </w:tbl>
    <w:p w14:paraId="613968B3" w14:textId="77777777" w:rsidR="00F208CE" w:rsidRDefault="00F208CE">
      <w:pPr>
        <w:rPr>
          <w:rFonts w:ascii="Times New Roman" w:hAnsi="Times New Roman" w:cs="Times New Roman"/>
          <w:noProof/>
        </w:rPr>
        <w:sectPr w:rsidR="00F208CE" w:rsidSect="007F56C3">
          <w:headerReference w:type="default" r:id="rId108"/>
          <w:footerReference w:type="default" r:id="rId109"/>
          <w:pgSz w:w="16839" w:h="11907" w:orient="landscape"/>
          <w:pgMar w:top="1134" w:right="1134" w:bottom="1134" w:left="1134" w:header="567" w:footer="567" w:gutter="0"/>
          <w:cols w:space="720"/>
          <w:docGrid w:linePitch="360"/>
        </w:sectPr>
      </w:pPr>
    </w:p>
    <w:p w14:paraId="13E34EA0" w14:textId="09E35FE3" w:rsidR="00F208CE" w:rsidRDefault="00513E84">
      <w:pPr>
        <w:pStyle w:val="ManualHeading1"/>
        <w:spacing w:before="120"/>
        <w:ind w:left="0" w:firstLine="0"/>
        <w:rPr>
          <w:noProof/>
        </w:rPr>
      </w:pPr>
      <w:r>
        <w:rPr>
          <w:noProof/>
        </w:rPr>
        <w:t>J. COMPONENTE 4.1: Educación 2.0</w:t>
      </w:r>
    </w:p>
    <w:p w14:paraId="124C063A" w14:textId="77777777" w:rsidR="00F208CE" w:rsidRDefault="00513E84">
      <w:pPr>
        <w:pStyle w:val="P68B1DB1-Normal1"/>
        <w:spacing w:before="120" w:after="120" w:line="240" w:lineRule="auto"/>
        <w:jc w:val="both"/>
        <w:rPr>
          <w:rFonts w:cs="Times New Roman"/>
          <w:noProof/>
        </w:rPr>
      </w:pPr>
      <w:r>
        <w:rPr>
          <w:noProof/>
        </w:rPr>
        <w:t xml:space="preserve">Las medidas propuestas en </w:t>
      </w:r>
      <w:r>
        <w:rPr>
          <w:noProof/>
        </w:rPr>
        <w:t>el marco de este componente del plan belga de recuperación y resiliencia tienen por objeto mejorar el carácter integrador de los sistemas educativos, reforzando al mismo tiempo sus resultados para garantizar que las competencias impartidas se ajusten mejor</w:t>
      </w:r>
      <w:r>
        <w:rPr>
          <w:noProof/>
        </w:rPr>
        <w:t xml:space="preserve"> a las requeridas en el mercado laboral.</w:t>
      </w:r>
    </w:p>
    <w:p w14:paraId="09979818"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2019.2 para mejorar el rendimiento y el carácter inclusivo de los sistemas de educación y formación y abordar la inadecuación de las capaci</w:t>
      </w:r>
      <w:r>
        <w:rPr>
          <w:noProof/>
        </w:rPr>
        <w:t>dades.</w:t>
      </w:r>
    </w:p>
    <w:p w14:paraId="17B28CF7" w14:textId="77777777" w:rsidR="00F208CE" w:rsidRDefault="00513E84">
      <w:pPr>
        <w:pStyle w:val="P68B1DB1-Normal1"/>
        <w:spacing w:before="120" w:after="120" w:line="240" w:lineRule="auto"/>
        <w:jc w:val="both"/>
        <w:rPr>
          <w:rFonts w:cs="Times New Roman"/>
          <w:noProof/>
        </w:rPr>
      </w:pPr>
      <w:r>
        <w:rPr>
          <w:noProof/>
        </w:rPr>
        <w:t>Se espera que ninguna medida de este componente perjudique significativamente a los objetivos medioambientales en el sentido del artículo 17 del Reglamento (UE) 2020/852, teniendo en cuenta la descripción de las medidas y las medidas atenuantes esta</w:t>
      </w:r>
      <w:r>
        <w:rPr>
          <w:noProof/>
        </w:rPr>
        <w:t>blecidas en el plan de recuperación y resiliencia de conformidad con las orientaciones técnicas de DNSH (2021/C58/01).</w:t>
      </w:r>
    </w:p>
    <w:p w14:paraId="37D694B5" w14:textId="77777777" w:rsidR="00F208CE" w:rsidRDefault="00513E84">
      <w:pPr>
        <w:jc w:val="both"/>
        <w:rPr>
          <w:rFonts w:ascii="Times New Roman" w:hAnsi="Times New Roman" w:cs="Times New Roman"/>
          <w:b/>
          <w:noProof/>
          <w:sz w:val="24"/>
          <w:u w:val="single"/>
        </w:rPr>
      </w:pPr>
      <w:r>
        <w:rPr>
          <w:rFonts w:ascii="Times New Roman" w:hAnsi="Times New Roman"/>
          <w:b/>
          <w:noProof/>
          <w:sz w:val="24"/>
          <w:u w:val="single"/>
        </w:rPr>
        <w:t xml:space="preserve">J.1. </w:t>
      </w:r>
      <w:r>
        <w:rPr>
          <w:noProof/>
        </w:rPr>
        <w:t xml:space="preserve"> </w:t>
      </w:r>
      <w:r>
        <w:rPr>
          <w:rFonts w:ascii="Times New Roman" w:hAnsi="Times New Roman"/>
          <w:b/>
          <w:noProof/>
          <w:sz w:val="24"/>
          <w:u w:val="single"/>
        </w:rPr>
        <w:t>Descripción de las reformas e inversiones para la ayuda financiera no reembolsable</w:t>
      </w:r>
    </w:p>
    <w:p w14:paraId="3E13A757" w14:textId="77777777" w:rsidR="00F208CE" w:rsidRDefault="00513E84">
      <w:pPr>
        <w:pStyle w:val="P68B1DB1-Text19"/>
        <w:ind w:left="0"/>
        <w:rPr>
          <w:noProof/>
        </w:rPr>
      </w:pPr>
      <w:r>
        <w:rPr>
          <w:noProof/>
        </w:rPr>
        <w:t>Reforma R-4.01: «Digisprong» de la Comunidad Fla</w:t>
      </w:r>
      <w:r>
        <w:rPr>
          <w:noProof/>
        </w:rPr>
        <w:t>menca</w:t>
      </w:r>
    </w:p>
    <w:p w14:paraId="1307884E" w14:textId="61FEBF3A" w:rsidR="00F208CE" w:rsidRDefault="00513E84">
      <w:pPr>
        <w:pStyle w:val="Text1"/>
        <w:ind w:left="0"/>
        <w:rPr>
          <w:noProof/>
        </w:rPr>
      </w:pPr>
      <w:r>
        <w:rPr>
          <w:noProof/>
        </w:rPr>
        <w:t>Esta reforma consta de acciones relacionadas con cuatro pilares: (1) la educación en TIC, la alfabetización mediática y las reformas del pensamiento computacional, (2) promover políticas escolares eficaces en materia de TIC, reforzando el papel de lo</w:t>
      </w:r>
      <w:r>
        <w:rPr>
          <w:noProof/>
        </w:rPr>
        <w:t>s coordinadores de TIC, (3) profesores y formadores con capacidades digitales para profesores y (4) creación de un centro de conocimiento y asesoramiento para ayudar a las escuelas a digitalizar su oferta educativa. La legislación sobre el nuevo marco de l</w:t>
      </w:r>
      <w:r>
        <w:rPr>
          <w:noProof/>
        </w:rPr>
        <w:t xml:space="preserve">as TIC para la educación obligatoria en Flandes entrará en vigor el 31 de diciembre de 2023. </w:t>
      </w:r>
    </w:p>
    <w:p w14:paraId="2304C7B1" w14:textId="77777777" w:rsidR="00F208CE" w:rsidRDefault="00513E84">
      <w:pPr>
        <w:pStyle w:val="P68B1DB1-Text19"/>
        <w:ind w:left="0"/>
        <w:rPr>
          <w:noProof/>
        </w:rPr>
      </w:pPr>
      <w:r>
        <w:rPr>
          <w:noProof/>
        </w:rPr>
        <w:t>Reforma R-4.02: «Fondo de promoción de la enseñanza superior» de la Comunidad Flamenca</w:t>
      </w:r>
    </w:p>
    <w:p w14:paraId="096DA35A" w14:textId="04FAEE5D" w:rsidR="00F208CE" w:rsidRDefault="00513E84">
      <w:pPr>
        <w:pStyle w:val="Text1"/>
        <w:ind w:left="0"/>
        <w:rPr>
          <w:noProof/>
        </w:rPr>
      </w:pPr>
      <w:r>
        <w:rPr>
          <w:noProof/>
        </w:rPr>
        <w:t>Esta reforma tiene por objeto presentar un documento de reflexión sobre los</w:t>
      </w:r>
      <w:r>
        <w:rPr>
          <w:noProof/>
        </w:rPr>
        <w:t xml:space="preserve"> tres objetivos siguientes: (1) crear una oferta flexible y preparada para el futuro en las instituciones flamencas de educación superior, (2) seguir desarrollando el aprendizaje permanente en la educación superior y (3) aprovechar al máximo las formas dig</w:t>
      </w:r>
      <w:r>
        <w:rPr>
          <w:noProof/>
        </w:rPr>
        <w:t xml:space="preserve">itales de educación. Concretamente, una nota de visión debe: definir un nuevo perfil de la educación superior en Flandes para garantizar que las instituciones de educación superior sean las más avanzadas y ii) desarrollar una visión sobre el </w:t>
      </w:r>
      <w:r>
        <w:rPr>
          <w:noProof/>
          <w:color w:val="000000" w:themeColor="text1"/>
        </w:rPr>
        <w:t>aprendizaje pe</w:t>
      </w:r>
      <w:r>
        <w:rPr>
          <w:noProof/>
          <w:color w:val="000000" w:themeColor="text1"/>
        </w:rPr>
        <w:t xml:space="preserve">rmanente. El documento de visión será aprobado por el ministro de Educación y Formación del Gobierno flamenco a más tardar el 31 de diciembre de 2023.  </w:t>
      </w:r>
    </w:p>
    <w:p w14:paraId="4E206333" w14:textId="77777777" w:rsidR="00F208CE" w:rsidRDefault="00513E84">
      <w:pPr>
        <w:pStyle w:val="P68B1DB1-Text19"/>
        <w:ind w:left="0"/>
        <w:rPr>
          <w:noProof/>
        </w:rPr>
      </w:pPr>
      <w:r>
        <w:rPr>
          <w:noProof/>
        </w:rPr>
        <w:t>Reforma R-4.03: «Plan de acción global contra el abandono escolar prematuro» de la Comunidad Francesa</w:t>
      </w:r>
    </w:p>
    <w:p w14:paraId="4B8A7B83" w14:textId="2997148B" w:rsidR="00F208CE" w:rsidRDefault="00513E84">
      <w:pPr>
        <w:pStyle w:val="Text1"/>
        <w:ind w:left="0"/>
        <w:rPr>
          <w:noProof/>
        </w:rPr>
      </w:pPr>
      <w:r>
        <w:rPr>
          <w:noProof/>
        </w:rPr>
        <w:t>E</w:t>
      </w:r>
      <w:r>
        <w:rPr>
          <w:noProof/>
        </w:rPr>
        <w:t>sta reforma consiste en una estrategia global que abarca tres capítulos (prevención, intervención, compensación) y desarrollo de manera coherente y concreta, basada en una nueva coordinación (reforzada) de las partes interesadas activas en diferentes ámbit</w:t>
      </w:r>
      <w:r>
        <w:rPr>
          <w:noProof/>
        </w:rPr>
        <w:t xml:space="preserve">os y de diferentes servicios de apoyo. La aplicación de la reforma se completará a más tardar el 30 de junio de 2024. </w:t>
      </w:r>
    </w:p>
    <w:p w14:paraId="1AB11E38" w14:textId="77777777" w:rsidR="00F208CE" w:rsidRDefault="00513E84">
      <w:pPr>
        <w:pStyle w:val="P68B1DB1-Normal11"/>
        <w:spacing w:before="120" w:after="120" w:line="240" w:lineRule="auto"/>
        <w:jc w:val="both"/>
        <w:rPr>
          <w:rFonts w:cs="Times New Roman"/>
          <w:noProof/>
        </w:rPr>
      </w:pPr>
      <w:r>
        <w:rPr>
          <w:noProof/>
        </w:rPr>
        <w:t>Inversión I-4.01: «Digisprong» de la Comunidad Flamenca</w:t>
      </w:r>
    </w:p>
    <w:p w14:paraId="17E104B7" w14:textId="322B14ED" w:rsidR="00F208CE" w:rsidRDefault="00513E84">
      <w:pPr>
        <w:pStyle w:val="Text1"/>
        <w:ind w:left="0"/>
        <w:rPr>
          <w:noProof/>
        </w:rPr>
      </w:pPr>
      <w:r>
        <w:rPr>
          <w:noProof/>
        </w:rPr>
        <w:t>Esta inversión consta de los dos elementos siguientes: (1) proporcionar a todas l</w:t>
      </w:r>
      <w:r>
        <w:rPr>
          <w:noProof/>
        </w:rPr>
        <w:t>as escuelas un dispositivo digital para cada estudiante y (2) proporcionar a los profesores herramientas de aprendizaje y formación eficaces para mejorar sus capacidades digitales. La ejecución de la inversión deberá estar terminada a más tardar el 31 de d</w:t>
      </w:r>
      <w:r>
        <w:rPr>
          <w:noProof/>
        </w:rPr>
        <w:t>iciembre de 2022.</w:t>
      </w:r>
    </w:p>
    <w:p w14:paraId="2E7EA710" w14:textId="77777777" w:rsidR="00F208CE" w:rsidRDefault="00513E84">
      <w:pPr>
        <w:pStyle w:val="P68B1DB1-Normal11"/>
        <w:spacing w:before="120" w:after="120" w:line="240" w:lineRule="auto"/>
        <w:jc w:val="both"/>
        <w:rPr>
          <w:rFonts w:cs="Times New Roman"/>
          <w:noProof/>
        </w:rPr>
      </w:pPr>
      <w:r>
        <w:rPr>
          <w:noProof/>
        </w:rPr>
        <w:t>Inversión I-4.02: «Fondo de promoción de la enseñanza superior» de la Comunidad Flamenca</w:t>
      </w:r>
    </w:p>
    <w:p w14:paraId="4BDBEEB2" w14:textId="77777777" w:rsidR="00F208CE" w:rsidRDefault="00513E84">
      <w:pPr>
        <w:pStyle w:val="Text1"/>
        <w:ind w:left="0"/>
        <w:rPr>
          <w:noProof/>
        </w:rPr>
      </w:pPr>
      <w:r>
        <w:rPr>
          <w:noProof/>
        </w:rPr>
        <w:t>Esta inversión consiste en (1) la creación de una oferta flexible y con visión de futuro en las instituciones flamencas de educación superior, (2) el</w:t>
      </w:r>
      <w:r>
        <w:rPr>
          <w:noProof/>
        </w:rPr>
        <w:t xml:space="preserve"> desarrollo ulterior del aprendizaje permanente en la educación superior y (3) el apoyo a la aplicación sostenible de nuevas formas digitales de educación. La ejecución de la inversión deberá estar terminada a más tardar el 31 de diciembre de 2023.</w:t>
      </w:r>
    </w:p>
    <w:p w14:paraId="4F61135B" w14:textId="77777777" w:rsidR="00F208CE" w:rsidRDefault="00513E84">
      <w:pPr>
        <w:pStyle w:val="P68B1DB1-Normal11"/>
        <w:pageBreakBefore/>
        <w:spacing w:before="120" w:after="120" w:line="240" w:lineRule="auto"/>
        <w:jc w:val="both"/>
        <w:rPr>
          <w:rFonts w:cs="Times New Roman"/>
          <w:noProof/>
        </w:rPr>
      </w:pPr>
      <w:r>
        <w:rPr>
          <w:noProof/>
        </w:rPr>
        <w:t>Inversi</w:t>
      </w:r>
      <w:r>
        <w:rPr>
          <w:noProof/>
        </w:rPr>
        <w:t>ón I-4.03: «Orientación personalizada en la enseñanza obligatoria» de la Comunidad Francesa</w:t>
      </w:r>
    </w:p>
    <w:p w14:paraId="5A306B17" w14:textId="77777777" w:rsidR="00F208CE" w:rsidRDefault="00513E84">
      <w:pPr>
        <w:pStyle w:val="Text1"/>
        <w:ind w:left="0"/>
        <w:rPr>
          <w:noProof/>
        </w:rPr>
      </w:pPr>
      <w:r>
        <w:rPr>
          <w:noProof/>
        </w:rPr>
        <w:t xml:space="preserve">Esta inversión se desarrolla para responder a los problemas psicosociales, educativos y pedagógicos de los alumnos de primaria y secundaria y para luchar contra la </w:t>
      </w:r>
      <w:r>
        <w:rPr>
          <w:noProof/>
        </w:rPr>
        <w:t>propagación de los fenómenos de desventaja educativa y abandono escolar prematuro como consecuencia de la COVID-19. La ejecución de la inversión deberá estar terminada a más tardar el 31 de diciembre de 2022.</w:t>
      </w:r>
    </w:p>
    <w:p w14:paraId="0E8933D1" w14:textId="77777777" w:rsidR="00F208CE" w:rsidRDefault="00513E84">
      <w:pPr>
        <w:pStyle w:val="P68B1DB1-Normal11"/>
        <w:spacing w:before="120" w:after="120" w:line="240" w:lineRule="auto"/>
        <w:jc w:val="both"/>
        <w:rPr>
          <w:rFonts w:cs="Times New Roman"/>
          <w:noProof/>
        </w:rPr>
      </w:pPr>
      <w:r>
        <w:rPr>
          <w:noProof/>
        </w:rPr>
        <w:t>Inversión I-4.04: «Estrategia digital para la e</w:t>
      </w:r>
      <w:r>
        <w:rPr>
          <w:noProof/>
        </w:rPr>
        <w:t>nseñanza superior y el aprendizaje de adultos» de la Comunidad Francesa</w:t>
      </w:r>
    </w:p>
    <w:p w14:paraId="40957FF7" w14:textId="77777777" w:rsidR="00F208CE" w:rsidRDefault="00513E84">
      <w:pPr>
        <w:pStyle w:val="Text1"/>
        <w:ind w:left="0"/>
        <w:rPr>
          <w:noProof/>
        </w:rPr>
      </w:pPr>
      <w:r>
        <w:rPr>
          <w:noProof/>
        </w:rPr>
        <w:t>Esta inversión consiste en (1) equipar a escuelas e instituciones de educación superior con equipos digitales, (2) desarrollar las competencias digitales de estudiantes y profesores co</w:t>
      </w:r>
      <w:r>
        <w:rPr>
          <w:noProof/>
        </w:rPr>
        <w:t>n la ayuda de herramientas y métodos específicos en materia de competencias digitales. La ejecución de la inversión deberá estar terminada a más tardar el 30 de junio de 2026.</w:t>
      </w:r>
    </w:p>
    <w:p w14:paraId="425AF28F" w14:textId="77777777" w:rsidR="00F208CE" w:rsidRDefault="00513E84">
      <w:pPr>
        <w:pStyle w:val="P68B1DB1-Normal11"/>
        <w:spacing w:before="120" w:after="120" w:line="240" w:lineRule="auto"/>
        <w:jc w:val="both"/>
        <w:rPr>
          <w:rFonts w:cs="Times New Roman"/>
          <w:noProof/>
        </w:rPr>
      </w:pPr>
      <w:r>
        <w:rPr>
          <w:noProof/>
        </w:rPr>
        <w:t>Inversión I-4.05: «Revolución digital para las escuelas de Bruselas» de la Regió</w:t>
      </w:r>
      <w:r>
        <w:rPr>
          <w:noProof/>
        </w:rPr>
        <w:t>n de Bruselas-Capital</w:t>
      </w:r>
    </w:p>
    <w:p w14:paraId="36182AE5" w14:textId="77777777" w:rsidR="00F208CE" w:rsidRDefault="00513E84">
      <w:pPr>
        <w:pStyle w:val="Text1"/>
        <w:ind w:left="0"/>
        <w:rPr>
          <w:noProof/>
        </w:rPr>
      </w:pPr>
      <w:r>
        <w:rPr>
          <w:noProof/>
        </w:rPr>
        <w:t xml:space="preserve">Esta inversión consiste en (1) equipos digitales para escuelas con un alto nivel de alumnos vulnerables y (2) el refuerzo de la conectividad interna de las escuelas de Bruselas. La ejecución de la inversión deberá estar terminada a </w:t>
      </w:r>
      <w:r>
        <w:rPr>
          <w:noProof/>
        </w:rPr>
        <w:t>más tardar el 31 de diciembre de 2024.</w:t>
      </w:r>
    </w:p>
    <w:p w14:paraId="58326FF4" w14:textId="77777777" w:rsidR="00F208CE" w:rsidRDefault="00513E84">
      <w:pPr>
        <w:pStyle w:val="P68B1DB1-Normal1"/>
        <w:spacing w:before="120" w:after="120" w:line="240" w:lineRule="auto"/>
        <w:jc w:val="both"/>
        <w:rPr>
          <w:rFonts w:cs="Times New Roman"/>
          <w:noProof/>
        </w:rPr>
      </w:pPr>
      <w:r>
        <w:rPr>
          <w:noProof/>
          <w:u w:val="single"/>
        </w:rPr>
        <w:t>Inversión I-4.06: «Transformación digital de la educación» de la comunidad germanófona</w:t>
      </w:r>
      <w:r>
        <w:rPr>
          <w:noProof/>
        </w:rPr>
        <w:t xml:space="preserve">, </w:t>
      </w:r>
    </w:p>
    <w:p w14:paraId="21FDB889" w14:textId="193E4BB2" w:rsidR="00F208CE" w:rsidRDefault="00513E84">
      <w:pPr>
        <w:pStyle w:val="Text1"/>
        <w:ind w:left="0"/>
        <w:rPr>
          <w:noProof/>
        </w:rPr>
      </w:pPr>
      <w:r>
        <w:rPr>
          <w:noProof/>
        </w:rPr>
        <w:t>El objetivo de la inversión es dotar a todos los profesores y estudiantes de secundaria de ordenadores portátiles. El equipamien</w:t>
      </w:r>
      <w:r>
        <w:rPr>
          <w:noProof/>
        </w:rPr>
        <w:t>to de los profesores tiene carácter voluntario: solo los profesores que hayan solicitado un ordenador portátil estarán equipados con un ordenador portátil. La ejecución de la inversión deberá estar terminada a más tardar el 30 de junio de 2026.</w:t>
      </w:r>
    </w:p>
    <w:p w14:paraId="1D9D31E5" w14:textId="77777777" w:rsidR="00F208CE" w:rsidRDefault="00513E84">
      <w:pPr>
        <w:pStyle w:val="P68B1DB1-Normal11"/>
        <w:spacing w:before="120" w:after="120" w:line="240" w:lineRule="auto"/>
        <w:jc w:val="both"/>
        <w:rPr>
          <w:rFonts w:cs="Times New Roman"/>
          <w:noProof/>
        </w:rPr>
      </w:pPr>
      <w:r>
        <w:rPr>
          <w:noProof/>
        </w:rPr>
        <w:t>Inversión I</w:t>
      </w:r>
      <w:r>
        <w:rPr>
          <w:noProof/>
        </w:rPr>
        <w:t>-4: «Suministro de equipos digitales e infraestructura informática a las escuelas»</w:t>
      </w:r>
    </w:p>
    <w:p w14:paraId="328FD4AA" w14:textId="77777777" w:rsidR="00F208CE" w:rsidRDefault="00513E84">
      <w:pPr>
        <w:pStyle w:val="P68B1DB1-Normal1"/>
        <w:spacing w:before="120" w:after="120" w:line="240" w:lineRule="auto"/>
        <w:jc w:val="both"/>
        <w:rPr>
          <w:rFonts w:cs="Times New Roman"/>
          <w:noProof/>
        </w:rPr>
      </w:pPr>
      <w:r>
        <w:rPr>
          <w:noProof/>
        </w:rPr>
        <w:t>El objetivo de la inversión «suministro de equipos digitales e infraestructura informática a las escuelas» es garantizar el suministro del equipo digital y la infraestructur</w:t>
      </w:r>
      <w:r>
        <w:rPr>
          <w:noProof/>
        </w:rPr>
        <w:t>a informática necesarios a las escuelas.</w:t>
      </w:r>
    </w:p>
    <w:p w14:paraId="52DE599E" w14:textId="77777777" w:rsidR="00F208CE" w:rsidRDefault="00513E84">
      <w:pPr>
        <w:pStyle w:val="P68B1DB1-Normal1"/>
        <w:spacing w:before="120" w:after="120" w:line="240" w:lineRule="auto"/>
        <w:jc w:val="both"/>
        <w:rPr>
          <w:rFonts w:cs="Times New Roman"/>
          <w:noProof/>
        </w:rPr>
      </w:pPr>
      <w:r>
        <w:rPr>
          <w:noProof/>
        </w:rPr>
        <w:t>La inversión se compone de las siguientes submedidas/acciones:</w:t>
      </w:r>
    </w:p>
    <w:p w14:paraId="3720F6C3" w14:textId="77777777" w:rsidR="00F208CE" w:rsidRDefault="00513E84">
      <w:pPr>
        <w:pStyle w:val="P68B1DB1-ListParagraph16"/>
        <w:numPr>
          <w:ilvl w:val="0"/>
          <w:numId w:val="57"/>
        </w:numPr>
        <w:tabs>
          <w:tab w:val="left" w:pos="426"/>
        </w:tabs>
        <w:spacing w:before="120" w:after="120" w:line="240" w:lineRule="auto"/>
        <w:jc w:val="both"/>
        <w:rPr>
          <w:rFonts w:cs="Times New Roman"/>
          <w:noProof/>
        </w:rPr>
      </w:pPr>
      <w:r>
        <w:rPr>
          <w:noProof/>
        </w:rPr>
        <w:t xml:space="preserve">Inversión I-4.01: «Digisprong» de la Comunidad Flamenca </w:t>
      </w:r>
    </w:p>
    <w:p w14:paraId="06A7740E" w14:textId="77777777" w:rsidR="00F208CE" w:rsidRDefault="00513E84">
      <w:pPr>
        <w:pStyle w:val="P68B1DB1-ListParagraph16"/>
        <w:numPr>
          <w:ilvl w:val="0"/>
          <w:numId w:val="57"/>
        </w:numPr>
        <w:tabs>
          <w:tab w:val="left" w:pos="426"/>
        </w:tabs>
        <w:spacing w:before="120" w:after="120" w:line="240" w:lineRule="auto"/>
        <w:jc w:val="both"/>
        <w:rPr>
          <w:rFonts w:cs="Times New Roman"/>
          <w:noProof/>
        </w:rPr>
      </w:pPr>
      <w:r>
        <w:rPr>
          <w:noProof/>
        </w:rPr>
        <w:t>Inversión I-4.04: «Estrategia digital para la enseñanza superior y el aprendizaje de adultos» d</w:t>
      </w:r>
      <w:r>
        <w:rPr>
          <w:noProof/>
        </w:rPr>
        <w:t xml:space="preserve">e la Comunidad Francesa </w:t>
      </w:r>
    </w:p>
    <w:p w14:paraId="451C0B0D" w14:textId="77777777" w:rsidR="00F208CE" w:rsidRDefault="00513E84">
      <w:pPr>
        <w:pStyle w:val="P68B1DB1-ListParagraph16"/>
        <w:numPr>
          <w:ilvl w:val="0"/>
          <w:numId w:val="57"/>
        </w:numPr>
        <w:tabs>
          <w:tab w:val="left" w:pos="426"/>
        </w:tabs>
        <w:spacing w:before="120" w:after="120" w:line="240" w:lineRule="auto"/>
        <w:jc w:val="both"/>
        <w:rPr>
          <w:rFonts w:cs="Times New Roman"/>
          <w:noProof/>
        </w:rPr>
        <w:sectPr w:rsidR="00F208CE" w:rsidSect="008A4840">
          <w:headerReference w:type="even" r:id="rId110"/>
          <w:headerReference w:type="default" r:id="rId111"/>
          <w:footerReference w:type="even" r:id="rId112"/>
          <w:footerReference w:type="default" r:id="rId113"/>
          <w:headerReference w:type="first" r:id="rId114"/>
          <w:footerReference w:type="first" r:id="rId115"/>
          <w:pgSz w:w="11907" w:h="16839"/>
          <w:pgMar w:top="1134" w:right="1134" w:bottom="1134" w:left="1134" w:header="567" w:footer="567" w:gutter="0"/>
          <w:cols w:space="720"/>
          <w:docGrid w:linePitch="360"/>
        </w:sectPr>
      </w:pPr>
      <w:r>
        <w:rPr>
          <w:noProof/>
        </w:rPr>
        <w:t>Inversión I-4.06: «Transformación digital de la educación» de la comunidad germanófona</w:t>
      </w:r>
    </w:p>
    <w:p w14:paraId="07AF1893" w14:textId="27F350FB" w:rsidR="00F208CE" w:rsidRDefault="00513E84">
      <w:pPr>
        <w:tabs>
          <w:tab w:val="left" w:pos="426"/>
        </w:tabs>
        <w:spacing w:before="120" w:after="120" w:line="240" w:lineRule="auto"/>
        <w:jc w:val="both"/>
        <w:rPr>
          <w:rFonts w:ascii="Times New Roman" w:hAnsi="Times New Roman" w:cs="Times New Roman"/>
          <w:noProof/>
          <w:sz w:val="24"/>
        </w:rPr>
      </w:pPr>
      <w:r>
        <w:rPr>
          <w:rFonts w:ascii="Times New Roman" w:hAnsi="Times New Roman"/>
          <w:b/>
          <w:noProof/>
          <w:sz w:val="24"/>
          <w:u w:val="single"/>
        </w:rPr>
        <w:t xml:space="preserve">J.2. </w:t>
      </w:r>
      <w:r>
        <w:rPr>
          <w:noProof/>
        </w:rPr>
        <w:t xml:space="preserve"> </w:t>
      </w:r>
      <w:r>
        <w:rPr>
          <w:rFonts w:ascii="Times New Roman" w:hAnsi="Times New Roman"/>
          <w:b/>
          <w:noProof/>
          <w:sz w:val="24"/>
          <w:u w:val="single"/>
        </w:rPr>
        <w:t>Hitos, metas, indicadores y calendario para el seguimiento y la ejecución de la</w:t>
      </w:r>
      <w:r>
        <w:rPr>
          <w:rFonts w:ascii="Times New Roman" w:hAnsi="Times New Roman"/>
          <w:b/>
          <w:noProof/>
          <w:sz w:val="24"/>
          <w:u w:val="single"/>
        </w:rPr>
        <w:t xml:space="preserve"> ayuda financiera no reembolsable</w:t>
      </w:r>
    </w:p>
    <w:tbl>
      <w:tblPr>
        <w:tblW w:w="15502" w:type="dxa"/>
        <w:jc w:val="center"/>
        <w:tblLayout w:type="fixed"/>
        <w:tblLook w:val="04A0" w:firstRow="1" w:lastRow="0" w:firstColumn="1" w:lastColumn="0" w:noHBand="0" w:noVBand="1"/>
      </w:tblPr>
      <w:tblGrid>
        <w:gridCol w:w="880"/>
        <w:gridCol w:w="1701"/>
        <w:gridCol w:w="1134"/>
        <w:gridCol w:w="1760"/>
        <w:gridCol w:w="1480"/>
        <w:gridCol w:w="1320"/>
        <w:gridCol w:w="1080"/>
        <w:gridCol w:w="720"/>
        <w:gridCol w:w="1080"/>
        <w:gridCol w:w="720"/>
        <w:gridCol w:w="3627"/>
      </w:tblGrid>
      <w:tr w:rsidR="00F208CE" w14:paraId="5DBE841B" w14:textId="77777777">
        <w:trPr>
          <w:trHeight w:val="927"/>
          <w:tblHeader/>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C63031" w14:textId="37C6E12E" w:rsidR="00F208CE" w:rsidRDefault="00513E84">
            <w:pPr>
              <w:pStyle w:val="P68B1DB1-Normal15"/>
              <w:spacing w:after="0"/>
              <w:jc w:val="center"/>
              <w:rPr>
                <w:rFonts w:eastAsia="Times New Roman" w:cs="Times New Roman"/>
                <w:noProof/>
              </w:rPr>
            </w:pPr>
            <w:r>
              <w:rPr>
                <w:noProof/>
              </w:rPr>
              <w:t>Código N.B.:</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3835E"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43967F" w14:textId="77777777" w:rsidR="00F208CE" w:rsidRDefault="00513E84">
            <w:pPr>
              <w:pStyle w:val="P68B1DB1-Normal15"/>
              <w:spacing w:after="0"/>
              <w:jc w:val="center"/>
              <w:rPr>
                <w:rFonts w:eastAsia="Times New Roman" w:cs="Times New Roman"/>
                <w:noProof/>
              </w:rPr>
            </w:pPr>
            <w:r>
              <w:rPr>
                <w:noProof/>
              </w:rPr>
              <w:t>Hito/Objetivo</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F16EF7" w14:textId="77777777" w:rsidR="00F208CE" w:rsidRDefault="00513E84">
            <w:pPr>
              <w:pStyle w:val="P68B1DB1-Normal15"/>
              <w:spacing w:after="0"/>
              <w:jc w:val="center"/>
              <w:rPr>
                <w:rFonts w:eastAsia="Times New Roman" w:cs="Times New Roman"/>
                <w:noProof/>
              </w:rPr>
            </w:pPr>
            <w:r>
              <w:rPr>
                <w:noProof/>
              </w:rPr>
              <w:t>Nombre</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3AB1B4"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12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5C0142A"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44D27DED"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35D1CD" w14:textId="77777777" w:rsidR="00F208CE" w:rsidRDefault="00513E84">
            <w:pPr>
              <w:pStyle w:val="P68B1DB1-Normal15"/>
              <w:spacing w:after="0"/>
              <w:jc w:val="center"/>
              <w:rPr>
                <w:rFonts w:eastAsia="Times New Roman" w:cs="Times New Roman"/>
                <w:noProof/>
              </w:rPr>
            </w:pPr>
            <w:r>
              <w:rPr>
                <w:noProof/>
              </w:rPr>
              <w:t>Descripción de cada</w:t>
            </w:r>
            <w:r>
              <w:rPr>
                <w:noProof/>
              </w:rPr>
              <w:t xml:space="preserve"> hito y objetivo</w:t>
            </w:r>
          </w:p>
        </w:tc>
      </w:tr>
      <w:tr w:rsidR="00F208CE" w14:paraId="29F77F1F" w14:textId="77777777">
        <w:trPr>
          <w:trHeight w:val="1013"/>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0DEE974" w14:textId="77777777" w:rsidR="00F208CE" w:rsidRDefault="00F208CE">
            <w:pPr>
              <w:spacing w:after="0"/>
              <w:rPr>
                <w:rFonts w:ascii="Times New Roman" w:eastAsia="Times New Roman" w:hAnsi="Times New Roman" w:cs="Times New Roman"/>
                <w:b/>
                <w:noProof/>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AF0BB1" w14:textId="77777777" w:rsidR="00F208CE" w:rsidRDefault="00F208CE">
            <w:pPr>
              <w:spacing w:after="0"/>
              <w:rPr>
                <w:rFonts w:ascii="Times New Roman" w:eastAsia="Times New Roman" w:hAnsi="Times New Roman" w:cs="Times New Roman"/>
                <w:b/>
                <w:noProof/>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604538" w14:textId="77777777" w:rsidR="00F208CE" w:rsidRDefault="00F208CE">
            <w:pPr>
              <w:spacing w:after="0"/>
              <w:rPr>
                <w:rFonts w:ascii="Times New Roman" w:eastAsia="Times New Roman" w:hAnsi="Times New Roman" w:cs="Times New Roman"/>
                <w:b/>
                <w:noProof/>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4C2680" w14:textId="77777777" w:rsidR="00F208CE" w:rsidRDefault="00F208CE">
            <w:pPr>
              <w:spacing w:after="0"/>
              <w:rPr>
                <w:rFonts w:ascii="Times New Roman" w:eastAsia="Times New Roman" w:hAnsi="Times New Roman" w:cs="Times New Roman"/>
                <w:b/>
                <w:noProof/>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C6DB5F8" w14:textId="77777777" w:rsidR="00F208CE" w:rsidRDefault="00F208CE">
            <w:pPr>
              <w:spacing w:after="0"/>
              <w:rPr>
                <w:rFonts w:ascii="Times New Roman" w:eastAsia="Times New Roman" w:hAnsi="Times New Roman" w:cs="Times New Roman"/>
                <w:b/>
                <w:noProof/>
              </w:rPr>
            </w:pPr>
          </w:p>
        </w:tc>
        <w:tc>
          <w:tcPr>
            <w:tcW w:w="1320" w:type="dxa"/>
            <w:tcBorders>
              <w:top w:val="nil"/>
              <w:left w:val="single" w:sz="4" w:space="0" w:color="auto"/>
              <w:bottom w:val="single" w:sz="4" w:space="0" w:color="auto"/>
              <w:right w:val="single" w:sz="4" w:space="0" w:color="auto"/>
            </w:tcBorders>
            <w:shd w:val="clear" w:color="auto" w:fill="BDD7EE"/>
            <w:vAlign w:val="center"/>
            <w:hideMark/>
          </w:tcPr>
          <w:p w14:paraId="47EADF86" w14:textId="77777777" w:rsidR="00F208CE" w:rsidRDefault="00513E84">
            <w:pPr>
              <w:pStyle w:val="P68B1DB1-Normal15"/>
              <w:spacing w:after="0"/>
              <w:jc w:val="center"/>
              <w:rPr>
                <w:rFonts w:eastAsia="Times New Roman" w:cs="Times New Roman"/>
                <w:noProof/>
              </w:rPr>
            </w:pPr>
            <w:r>
              <w:rPr>
                <w:noProof/>
              </w:rPr>
              <w:t>Unidad de medida</w:t>
            </w:r>
          </w:p>
        </w:tc>
        <w:tc>
          <w:tcPr>
            <w:tcW w:w="1080" w:type="dxa"/>
            <w:tcBorders>
              <w:top w:val="nil"/>
              <w:left w:val="nil"/>
              <w:bottom w:val="single" w:sz="4" w:space="0" w:color="auto"/>
              <w:right w:val="single" w:sz="4" w:space="0" w:color="auto"/>
            </w:tcBorders>
            <w:shd w:val="clear" w:color="auto" w:fill="BDD7EE"/>
            <w:vAlign w:val="center"/>
            <w:hideMark/>
          </w:tcPr>
          <w:p w14:paraId="188DECBA" w14:textId="77777777" w:rsidR="00F208CE" w:rsidRDefault="00513E84">
            <w:pPr>
              <w:pStyle w:val="P68B1DB1-Normal15"/>
              <w:spacing w:after="0"/>
              <w:jc w:val="center"/>
              <w:rPr>
                <w:rFonts w:eastAsia="Times New Roman" w:cs="Times New Roman"/>
                <w:noProof/>
              </w:rPr>
            </w:pPr>
            <w:r>
              <w:rPr>
                <w:noProof/>
              </w:rPr>
              <w:t xml:space="preserve">Basal </w:t>
            </w:r>
          </w:p>
        </w:tc>
        <w:tc>
          <w:tcPr>
            <w:tcW w:w="720" w:type="dxa"/>
            <w:tcBorders>
              <w:top w:val="nil"/>
              <w:left w:val="nil"/>
              <w:bottom w:val="single" w:sz="4" w:space="0" w:color="auto"/>
              <w:right w:val="single" w:sz="4" w:space="0" w:color="auto"/>
            </w:tcBorders>
            <w:shd w:val="clear" w:color="auto" w:fill="BDD7EE"/>
            <w:vAlign w:val="center"/>
            <w:hideMark/>
          </w:tcPr>
          <w:p w14:paraId="17BF5545" w14:textId="77777777" w:rsidR="00F208CE" w:rsidRDefault="00513E84">
            <w:pPr>
              <w:pStyle w:val="P68B1DB1-Normal15"/>
              <w:spacing w:after="0"/>
              <w:jc w:val="center"/>
              <w:rPr>
                <w:rFonts w:eastAsia="Times New Roman" w:cs="Times New Roman"/>
                <w:noProof/>
              </w:rPr>
            </w:pPr>
            <w:r>
              <w:rPr>
                <w:noProof/>
              </w:rPr>
              <w:t xml:space="preserve">Meta </w:t>
            </w:r>
          </w:p>
        </w:tc>
        <w:tc>
          <w:tcPr>
            <w:tcW w:w="1080" w:type="dxa"/>
            <w:tcBorders>
              <w:top w:val="nil"/>
              <w:left w:val="nil"/>
              <w:bottom w:val="single" w:sz="4" w:space="0" w:color="auto"/>
              <w:right w:val="single" w:sz="4" w:space="0" w:color="auto"/>
            </w:tcBorders>
            <w:shd w:val="clear" w:color="auto" w:fill="BDD7EE"/>
            <w:vAlign w:val="center"/>
            <w:hideMark/>
          </w:tcPr>
          <w:p w14:paraId="2236E64D" w14:textId="77777777" w:rsidR="00F208CE" w:rsidRDefault="00513E84">
            <w:pPr>
              <w:pStyle w:val="P68B1DB1-Normal15"/>
              <w:spacing w:after="0"/>
              <w:jc w:val="center"/>
              <w:rPr>
                <w:rFonts w:eastAsia="Times New Roman" w:cs="Times New Roman"/>
                <w:noProof/>
              </w:rPr>
            </w:pPr>
            <w:r>
              <w:rPr>
                <w:noProof/>
              </w:rPr>
              <w:t>Trimestre</w:t>
            </w:r>
          </w:p>
        </w:tc>
        <w:tc>
          <w:tcPr>
            <w:tcW w:w="720" w:type="dxa"/>
            <w:tcBorders>
              <w:top w:val="nil"/>
              <w:left w:val="nil"/>
              <w:bottom w:val="single" w:sz="4" w:space="0" w:color="auto"/>
              <w:right w:val="single" w:sz="4" w:space="0" w:color="auto"/>
            </w:tcBorders>
            <w:shd w:val="clear" w:color="auto" w:fill="BDD7EE"/>
            <w:vAlign w:val="center"/>
            <w:hideMark/>
          </w:tcPr>
          <w:p w14:paraId="2F2DCE39" w14:textId="77777777" w:rsidR="00F208CE" w:rsidRDefault="00513E84">
            <w:pPr>
              <w:pStyle w:val="P68B1DB1-Normal15"/>
              <w:spacing w:after="0"/>
              <w:jc w:val="center"/>
              <w:rPr>
                <w:rFonts w:eastAsia="Times New Roman" w:cs="Times New Roman"/>
                <w:noProof/>
              </w:rPr>
            </w:pPr>
            <w:r>
              <w:rPr>
                <w:noProof/>
              </w:rPr>
              <w:t>Año</w:t>
            </w:r>
          </w:p>
        </w:tc>
        <w:tc>
          <w:tcPr>
            <w:tcW w:w="3627" w:type="dxa"/>
            <w:vMerge/>
            <w:tcBorders>
              <w:top w:val="single" w:sz="4" w:space="0" w:color="auto"/>
              <w:bottom w:val="single" w:sz="4" w:space="0" w:color="auto"/>
              <w:right w:val="single" w:sz="4" w:space="0" w:color="auto"/>
            </w:tcBorders>
            <w:vAlign w:val="center"/>
            <w:hideMark/>
          </w:tcPr>
          <w:p w14:paraId="0B4D27AB" w14:textId="77777777" w:rsidR="00F208CE" w:rsidRDefault="00F208CE">
            <w:pPr>
              <w:spacing w:after="0"/>
              <w:rPr>
                <w:rFonts w:ascii="Times New Roman" w:eastAsia="Times New Roman" w:hAnsi="Times New Roman" w:cs="Times New Roman"/>
                <w:b/>
                <w:noProof/>
              </w:rPr>
            </w:pPr>
          </w:p>
        </w:tc>
      </w:tr>
      <w:tr w:rsidR="00F208CE" w14:paraId="1205EF47" w14:textId="77777777">
        <w:trPr>
          <w:trHeight w:val="309"/>
          <w:jc w:val="center"/>
        </w:trPr>
        <w:tc>
          <w:tcPr>
            <w:tcW w:w="8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6D4A45A" w14:textId="77777777" w:rsidR="00F208CE" w:rsidRDefault="00513E84">
            <w:pPr>
              <w:pStyle w:val="P68B1DB1-Normal8"/>
              <w:spacing w:after="0"/>
              <w:jc w:val="center"/>
              <w:rPr>
                <w:rFonts w:eastAsia="Times New Roman" w:cs="Times New Roman"/>
                <w:noProof/>
              </w:rPr>
            </w:pPr>
            <w:r>
              <w:rPr>
                <w:noProof/>
              </w:rPr>
              <w:t>127</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76B1CD3C" w14:textId="77777777" w:rsidR="00F208CE" w:rsidRDefault="00513E84">
            <w:pPr>
              <w:pStyle w:val="P68B1DB1-Normal8"/>
              <w:spacing w:after="0"/>
              <w:rPr>
                <w:rFonts w:eastAsia="Times New Roman" w:cs="Times New Roman"/>
                <w:noProof/>
              </w:rPr>
            </w:pPr>
            <w:r>
              <w:rPr>
                <w:noProof/>
              </w:rPr>
              <w:t>Digisprong (R-4.01)</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1E1B6E03" w14:textId="250A4A5F" w:rsidR="00F208CE" w:rsidRDefault="00513E84">
            <w:pPr>
              <w:pStyle w:val="P68B1DB1-Normal8"/>
              <w:spacing w:after="0"/>
              <w:rPr>
                <w:rFonts w:eastAsia="Times New Roman" w:cs="Times New Roman"/>
                <w:noProof/>
              </w:rPr>
            </w:pPr>
            <w:r>
              <w:rPr>
                <w:noProof/>
              </w:rPr>
              <w:t>M</w:t>
            </w:r>
          </w:p>
        </w:tc>
        <w:tc>
          <w:tcPr>
            <w:tcW w:w="1760" w:type="dxa"/>
            <w:tcBorders>
              <w:top w:val="single" w:sz="4" w:space="0" w:color="auto"/>
              <w:left w:val="nil"/>
              <w:bottom w:val="single" w:sz="4" w:space="0" w:color="auto"/>
              <w:right w:val="single" w:sz="4" w:space="0" w:color="auto"/>
            </w:tcBorders>
            <w:shd w:val="clear" w:color="auto" w:fill="C6EFCE"/>
            <w:noWrap/>
            <w:vAlign w:val="center"/>
            <w:hideMark/>
          </w:tcPr>
          <w:p w14:paraId="1D581C45" w14:textId="77777777" w:rsidR="00F208CE" w:rsidRDefault="00513E84">
            <w:pPr>
              <w:pStyle w:val="P68B1DB1-Normal8"/>
              <w:spacing w:after="0"/>
              <w:rPr>
                <w:rFonts w:eastAsia="Times New Roman" w:cs="Times New Roman"/>
                <w:noProof/>
              </w:rPr>
            </w:pPr>
            <w:r>
              <w:rPr>
                <w:noProof/>
              </w:rPr>
              <w:t>Adopción de un nuevo marco de TIC para la educación obligatoria en Flandes</w:t>
            </w:r>
          </w:p>
        </w:tc>
        <w:tc>
          <w:tcPr>
            <w:tcW w:w="1480" w:type="dxa"/>
            <w:tcBorders>
              <w:top w:val="single" w:sz="4" w:space="0" w:color="auto"/>
              <w:left w:val="nil"/>
              <w:bottom w:val="single" w:sz="4" w:space="0" w:color="auto"/>
              <w:right w:val="single" w:sz="4" w:space="0" w:color="auto"/>
            </w:tcBorders>
            <w:shd w:val="clear" w:color="auto" w:fill="C6EFCE"/>
            <w:noWrap/>
            <w:vAlign w:val="center"/>
            <w:hideMark/>
          </w:tcPr>
          <w:p w14:paraId="584138DD" w14:textId="77777777" w:rsidR="00F208CE" w:rsidRDefault="00513E84">
            <w:pPr>
              <w:pStyle w:val="P68B1DB1-Normal8"/>
              <w:spacing w:after="0"/>
              <w:rPr>
                <w:rFonts w:cs="Times New Roman"/>
                <w:noProof/>
              </w:rPr>
            </w:pPr>
            <w:r>
              <w:rPr>
                <w:noProof/>
              </w:rPr>
              <w:t xml:space="preserve">Adopción de nueva legislación por el Parlamento flamenco para mejorar el marco de las </w:t>
            </w:r>
            <w:r>
              <w:rPr>
                <w:noProof/>
              </w:rPr>
              <w:t>TIC</w:t>
            </w:r>
          </w:p>
        </w:tc>
        <w:tc>
          <w:tcPr>
            <w:tcW w:w="1320" w:type="dxa"/>
            <w:tcBorders>
              <w:top w:val="nil"/>
              <w:left w:val="nil"/>
              <w:bottom w:val="single" w:sz="4" w:space="0" w:color="auto"/>
              <w:right w:val="single" w:sz="4" w:space="0" w:color="auto"/>
            </w:tcBorders>
            <w:shd w:val="clear" w:color="auto" w:fill="C6EFCE"/>
            <w:noWrap/>
            <w:vAlign w:val="center"/>
            <w:hideMark/>
          </w:tcPr>
          <w:p w14:paraId="592F6028"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0988D1A0" w14:textId="77777777"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hideMark/>
          </w:tcPr>
          <w:p w14:paraId="60DE9A99" w14:textId="77777777" w:rsidR="00F208CE" w:rsidRDefault="00F208CE">
            <w:pPr>
              <w:spacing w:after="0"/>
              <w:jc w:val="right"/>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56DDD79E" w14:textId="53EF2070"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17A5A1CA" w14:textId="17BC5902" w:rsidR="00F208CE" w:rsidRDefault="00513E84">
            <w:pPr>
              <w:pStyle w:val="P68B1DB1-Normal8"/>
              <w:spacing w:after="0"/>
              <w:jc w:val="center"/>
              <w:rPr>
                <w:rFonts w:eastAsia="Times New Roman" w:cs="Times New Roman"/>
                <w:noProof/>
              </w:rPr>
            </w:pPr>
            <w:r>
              <w:rPr>
                <w:noProof/>
              </w:rPr>
              <w:t>2023</w:t>
            </w:r>
          </w:p>
        </w:tc>
        <w:tc>
          <w:tcPr>
            <w:tcW w:w="3627" w:type="dxa"/>
            <w:tcBorders>
              <w:top w:val="single" w:sz="4" w:space="0" w:color="auto"/>
              <w:left w:val="nil"/>
              <w:bottom w:val="single" w:sz="4" w:space="0" w:color="auto"/>
              <w:right w:val="single" w:sz="4" w:space="0" w:color="auto"/>
            </w:tcBorders>
            <w:shd w:val="clear" w:color="auto" w:fill="C6EFCE"/>
            <w:noWrap/>
            <w:vAlign w:val="center"/>
            <w:hideMark/>
          </w:tcPr>
          <w:p w14:paraId="483C909C" w14:textId="77777777" w:rsidR="00F208CE" w:rsidRDefault="00513E84">
            <w:pPr>
              <w:pStyle w:val="P68B1DB1-Normal8"/>
              <w:spacing w:after="0"/>
              <w:rPr>
                <w:rFonts w:eastAsia="Times New Roman" w:cs="Times New Roman"/>
                <w:noProof/>
              </w:rPr>
            </w:pPr>
            <w:r>
              <w:rPr>
                <w:noProof/>
              </w:rPr>
              <w:t xml:space="preserve">Aprobación por el Parlamento flamenco de la nueva legislación para mejorar el actual marco de las TIC en dos aspectos: </w:t>
            </w:r>
          </w:p>
          <w:p w14:paraId="56847C6C" w14:textId="77777777" w:rsidR="00F208CE" w:rsidRDefault="00513E84">
            <w:pPr>
              <w:pStyle w:val="P68B1DB1-Normal8"/>
              <w:spacing w:after="0"/>
              <w:rPr>
                <w:rFonts w:eastAsia="Times New Roman" w:cs="Times New Roman"/>
                <w:noProof/>
              </w:rPr>
            </w:pPr>
            <w:r>
              <w:rPr>
                <w:noProof/>
              </w:rPr>
              <w:t xml:space="preserve">— el papel de los coordinadores de TIC en las escuelas </w:t>
            </w:r>
          </w:p>
          <w:p w14:paraId="33A62D93" w14:textId="77777777" w:rsidR="00F208CE" w:rsidRDefault="00513E84">
            <w:pPr>
              <w:pStyle w:val="P68B1DB1-Normal8"/>
              <w:spacing w:after="0"/>
              <w:rPr>
                <w:rFonts w:eastAsia="Times New Roman" w:cs="Times New Roman"/>
                <w:noProof/>
              </w:rPr>
            </w:pPr>
            <w:r>
              <w:rPr>
                <w:noProof/>
              </w:rPr>
              <w:t>— y los objetivos mínimos de las TIC.</w:t>
            </w:r>
          </w:p>
          <w:p w14:paraId="74E86209" w14:textId="6786FD11" w:rsidR="00F208CE" w:rsidRDefault="00513E84">
            <w:pPr>
              <w:pStyle w:val="P68B1DB1-Normal8"/>
              <w:spacing w:after="0"/>
              <w:rPr>
                <w:rFonts w:eastAsia="Times New Roman" w:cs="Times New Roman"/>
                <w:noProof/>
              </w:rPr>
            </w:pPr>
            <w:r>
              <w:rPr>
                <w:noProof/>
              </w:rPr>
              <w:t>La legislac</w:t>
            </w:r>
            <w:r>
              <w:rPr>
                <w:noProof/>
              </w:rPr>
              <w:t>ión permitirá i) reforzar el papel de los coordinadores de TIC en todos los niveles educativos y garantizar una mejor supervisión de la política en materia de TIC en las escuelas mediante la modificación del Decreto 31, y ii) ratificar los objetivos mínimo</w:t>
            </w:r>
            <w:r>
              <w:rPr>
                <w:noProof/>
              </w:rPr>
              <w:t>s para las fases 2</w:t>
            </w:r>
            <w:r>
              <w:rPr>
                <w:noProof/>
                <w:vertAlign w:val="superscript"/>
              </w:rPr>
              <w:t>y</w:t>
            </w:r>
            <w:r>
              <w:rPr>
                <w:noProof/>
              </w:rPr>
              <w:t xml:space="preserve"> </w:t>
            </w:r>
            <w:r>
              <w:rPr>
                <w:noProof/>
                <w:vertAlign w:val="superscript"/>
              </w:rPr>
              <w:t>3</w:t>
            </w:r>
            <w:r>
              <w:rPr>
                <w:noProof/>
              </w:rPr>
              <w:t xml:space="preserve"> de la educación secundaria.</w:t>
            </w:r>
          </w:p>
        </w:tc>
      </w:tr>
      <w:tr w:rsidR="00F208CE" w14:paraId="44400163"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hideMark/>
          </w:tcPr>
          <w:p w14:paraId="08B941F3" w14:textId="77777777" w:rsidR="00F208CE" w:rsidRDefault="00513E84">
            <w:pPr>
              <w:pStyle w:val="P68B1DB1-Normal8"/>
              <w:spacing w:after="0"/>
              <w:jc w:val="center"/>
              <w:rPr>
                <w:rFonts w:eastAsia="Times New Roman" w:cs="Times New Roman"/>
                <w:noProof/>
              </w:rPr>
            </w:pPr>
            <w:r>
              <w:rPr>
                <w:noProof/>
              </w:rPr>
              <w:t>128</w:t>
            </w:r>
          </w:p>
        </w:tc>
        <w:tc>
          <w:tcPr>
            <w:tcW w:w="1701" w:type="dxa"/>
            <w:tcBorders>
              <w:top w:val="nil"/>
              <w:left w:val="nil"/>
              <w:bottom w:val="single" w:sz="4" w:space="0" w:color="auto"/>
              <w:right w:val="single" w:sz="4" w:space="0" w:color="auto"/>
            </w:tcBorders>
            <w:shd w:val="clear" w:color="auto" w:fill="C6EFCE"/>
            <w:noWrap/>
            <w:vAlign w:val="center"/>
            <w:hideMark/>
          </w:tcPr>
          <w:p w14:paraId="4623C1DF" w14:textId="77777777" w:rsidR="00F208CE" w:rsidRDefault="00513E84">
            <w:pPr>
              <w:pStyle w:val="P68B1DB1-Normal8"/>
              <w:spacing w:after="0"/>
              <w:rPr>
                <w:rFonts w:eastAsia="Times New Roman" w:cs="Times New Roman"/>
                <w:noProof/>
              </w:rPr>
            </w:pPr>
            <w:r>
              <w:rPr>
                <w:noProof/>
              </w:rPr>
              <w:t>Fondo para la promoción de la educación superior (R-4.02)</w:t>
            </w:r>
          </w:p>
        </w:tc>
        <w:tc>
          <w:tcPr>
            <w:tcW w:w="1134" w:type="dxa"/>
            <w:tcBorders>
              <w:top w:val="nil"/>
              <w:left w:val="nil"/>
              <w:bottom w:val="single" w:sz="4" w:space="0" w:color="auto"/>
              <w:right w:val="single" w:sz="4" w:space="0" w:color="auto"/>
            </w:tcBorders>
            <w:shd w:val="clear" w:color="auto" w:fill="C6EFCE"/>
            <w:noWrap/>
            <w:vAlign w:val="center"/>
            <w:hideMark/>
          </w:tcPr>
          <w:p w14:paraId="64D1637F" w14:textId="617EE947" w:rsidR="00F208CE" w:rsidRDefault="00513E84">
            <w:pPr>
              <w:pStyle w:val="P68B1DB1-Normal8"/>
              <w:spacing w:after="0"/>
              <w:rPr>
                <w:rFonts w:eastAsia="Times New Roman" w:cs="Times New Roman"/>
                <w:noProof/>
              </w:rPr>
            </w:pPr>
            <w:r>
              <w:rPr>
                <w:noProof/>
              </w:rPr>
              <w:t>M</w:t>
            </w:r>
          </w:p>
        </w:tc>
        <w:tc>
          <w:tcPr>
            <w:tcW w:w="1760" w:type="dxa"/>
            <w:tcBorders>
              <w:top w:val="nil"/>
              <w:left w:val="nil"/>
              <w:bottom w:val="single" w:sz="4" w:space="0" w:color="auto"/>
              <w:right w:val="single" w:sz="4" w:space="0" w:color="auto"/>
            </w:tcBorders>
            <w:shd w:val="clear" w:color="auto" w:fill="C6EFCE"/>
            <w:noWrap/>
            <w:vAlign w:val="center"/>
            <w:hideMark/>
          </w:tcPr>
          <w:p w14:paraId="4FE2F705" w14:textId="77777777" w:rsidR="00F208CE" w:rsidRDefault="00513E84">
            <w:pPr>
              <w:pStyle w:val="P68B1DB1-Normal8"/>
              <w:spacing w:after="0"/>
              <w:rPr>
                <w:rFonts w:eastAsia="Times New Roman" w:cs="Times New Roman"/>
                <w:noProof/>
              </w:rPr>
            </w:pPr>
            <w:r>
              <w:rPr>
                <w:noProof/>
              </w:rPr>
              <w:t>Documento de reflexión para una educación superior orientada al futuro, ágil y digital</w:t>
            </w:r>
          </w:p>
        </w:tc>
        <w:tc>
          <w:tcPr>
            <w:tcW w:w="1480" w:type="dxa"/>
            <w:tcBorders>
              <w:top w:val="nil"/>
              <w:left w:val="nil"/>
              <w:bottom w:val="single" w:sz="4" w:space="0" w:color="auto"/>
              <w:right w:val="single" w:sz="4" w:space="0" w:color="auto"/>
            </w:tcBorders>
            <w:shd w:val="clear" w:color="auto" w:fill="C6EFCE"/>
            <w:noWrap/>
            <w:vAlign w:val="center"/>
            <w:hideMark/>
          </w:tcPr>
          <w:p w14:paraId="512B6CA2" w14:textId="77777777" w:rsidR="00F208CE" w:rsidRDefault="00513E84">
            <w:pPr>
              <w:pStyle w:val="P68B1DB1-Normal8"/>
              <w:spacing w:after="0"/>
              <w:rPr>
                <w:rFonts w:eastAsia="Times New Roman" w:cs="Times New Roman"/>
                <w:noProof/>
              </w:rPr>
            </w:pPr>
            <w:r>
              <w:rPr>
                <w:noProof/>
              </w:rPr>
              <w:t xml:space="preserve">Adopción de una nota de reflexión por parte del </w:t>
            </w:r>
            <w:r>
              <w:rPr>
                <w:noProof/>
              </w:rPr>
              <w:t>Gobierno flamenco</w:t>
            </w:r>
          </w:p>
        </w:tc>
        <w:tc>
          <w:tcPr>
            <w:tcW w:w="1320" w:type="dxa"/>
            <w:tcBorders>
              <w:top w:val="nil"/>
              <w:left w:val="nil"/>
              <w:bottom w:val="single" w:sz="4" w:space="0" w:color="auto"/>
              <w:right w:val="single" w:sz="4" w:space="0" w:color="auto"/>
            </w:tcBorders>
            <w:shd w:val="clear" w:color="auto" w:fill="C6EFCE"/>
            <w:noWrap/>
            <w:vAlign w:val="center"/>
            <w:hideMark/>
          </w:tcPr>
          <w:p w14:paraId="09F35953"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57B669CB"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hideMark/>
          </w:tcPr>
          <w:p w14:paraId="0C0563C5" w14:textId="77777777" w:rsidR="00F208CE" w:rsidRDefault="00F208CE">
            <w:pPr>
              <w:spacing w:after="0"/>
              <w:jc w:val="right"/>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45D139EF"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06A8569A" w14:textId="77777777" w:rsidR="00F208CE" w:rsidRDefault="00513E84">
            <w:pPr>
              <w:pStyle w:val="P68B1DB1-Normal8"/>
              <w:spacing w:after="0"/>
              <w:jc w:val="center"/>
              <w:rPr>
                <w:rFonts w:eastAsia="Times New Roman" w:cs="Times New Roman"/>
                <w:noProof/>
              </w:rPr>
            </w:pPr>
            <w:r>
              <w:rPr>
                <w:noProof/>
              </w:rPr>
              <w:t>2023</w:t>
            </w:r>
          </w:p>
        </w:tc>
        <w:tc>
          <w:tcPr>
            <w:tcW w:w="3627" w:type="dxa"/>
            <w:tcBorders>
              <w:top w:val="nil"/>
              <w:left w:val="nil"/>
              <w:bottom w:val="single" w:sz="4" w:space="0" w:color="auto"/>
              <w:right w:val="single" w:sz="4" w:space="0" w:color="auto"/>
            </w:tcBorders>
            <w:shd w:val="clear" w:color="auto" w:fill="C6EFCE"/>
            <w:noWrap/>
            <w:vAlign w:val="center"/>
            <w:hideMark/>
          </w:tcPr>
          <w:p w14:paraId="030EFE15" w14:textId="77777777" w:rsidR="00F208CE" w:rsidRDefault="00513E84">
            <w:pPr>
              <w:pStyle w:val="P68B1DB1-Normal8"/>
              <w:spacing w:after="0"/>
              <w:rPr>
                <w:rFonts w:eastAsia="Times New Roman" w:cs="Times New Roman"/>
                <w:noProof/>
              </w:rPr>
            </w:pPr>
            <w:r>
              <w:rPr>
                <w:noProof/>
              </w:rPr>
              <w:t>Aprobación por el ministro de Educación y Formación de una nota de visión del Gobierno flamenco en la que se establece el perfil de la educación superior y el aprendizaje permanente en Flandes. El nuevo texto ti</w:t>
            </w:r>
            <w:r>
              <w:rPr>
                <w:noProof/>
              </w:rPr>
              <w:t>ene por objeto establecer la visión de desarrollar una cartera flamenca de alta educación de alto nivel que esté preparada para el futuro y sea ágil. Se elaborará en consulta con un amplio espectro de partes interesadas, incluidas las instituciones de educ</w:t>
            </w:r>
            <w:r>
              <w:rPr>
                <w:noProof/>
              </w:rPr>
              <w:t xml:space="preserve">ación superior, el ámbito profesional y los interlocutores sociales. </w:t>
            </w:r>
          </w:p>
          <w:p w14:paraId="71361E94" w14:textId="77777777" w:rsidR="00F208CE" w:rsidRDefault="00513E84">
            <w:pPr>
              <w:pStyle w:val="P68B1DB1-Normal8"/>
              <w:spacing w:after="0"/>
              <w:rPr>
                <w:rFonts w:eastAsia="Times New Roman" w:cs="Times New Roman"/>
                <w:noProof/>
              </w:rPr>
            </w:pPr>
            <w:r>
              <w:rPr>
                <w:noProof/>
              </w:rPr>
              <w:t xml:space="preserve">En concreto, deberá: definir un nuevo perfil de la enseñanza superior en Flandes para garantizar que las instituciones de educación superior sean las más avanzadas y ii) desarrollar una </w:t>
            </w:r>
            <w:r>
              <w:rPr>
                <w:noProof/>
              </w:rPr>
              <w:t>visión sobre el aprendizaje permanente.</w:t>
            </w:r>
          </w:p>
        </w:tc>
      </w:tr>
      <w:tr w:rsidR="00F208CE" w14:paraId="5F7DED13"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hideMark/>
          </w:tcPr>
          <w:p w14:paraId="668219D7" w14:textId="77777777" w:rsidR="00F208CE" w:rsidRDefault="00513E84">
            <w:pPr>
              <w:pStyle w:val="P68B1DB1-Normal8"/>
              <w:spacing w:after="0"/>
              <w:jc w:val="center"/>
              <w:rPr>
                <w:rFonts w:eastAsia="Times New Roman" w:cs="Times New Roman"/>
                <w:noProof/>
              </w:rPr>
            </w:pPr>
            <w:r>
              <w:rPr>
                <w:noProof/>
              </w:rPr>
              <w:t>129</w:t>
            </w:r>
          </w:p>
        </w:tc>
        <w:tc>
          <w:tcPr>
            <w:tcW w:w="1701" w:type="dxa"/>
            <w:tcBorders>
              <w:top w:val="nil"/>
              <w:left w:val="nil"/>
              <w:bottom w:val="single" w:sz="4" w:space="0" w:color="auto"/>
              <w:right w:val="single" w:sz="4" w:space="0" w:color="auto"/>
            </w:tcBorders>
            <w:shd w:val="clear" w:color="auto" w:fill="C6EFCE"/>
            <w:noWrap/>
            <w:vAlign w:val="center"/>
            <w:hideMark/>
          </w:tcPr>
          <w:p w14:paraId="28263602" w14:textId="77777777" w:rsidR="00F208CE" w:rsidRDefault="00513E84">
            <w:pPr>
              <w:pStyle w:val="P68B1DB1-Normal8"/>
              <w:spacing w:after="0"/>
              <w:rPr>
                <w:rFonts w:eastAsia="Times New Roman" w:cs="Times New Roman"/>
                <w:noProof/>
              </w:rPr>
            </w:pPr>
            <w:r>
              <w:rPr>
                <w:noProof/>
              </w:rPr>
              <w:t>Plan de acción global contra el abandono escolar prematuro (R-4.03)</w:t>
            </w:r>
          </w:p>
        </w:tc>
        <w:tc>
          <w:tcPr>
            <w:tcW w:w="1134" w:type="dxa"/>
            <w:tcBorders>
              <w:top w:val="nil"/>
              <w:left w:val="nil"/>
              <w:bottom w:val="single" w:sz="4" w:space="0" w:color="auto"/>
              <w:right w:val="single" w:sz="4" w:space="0" w:color="auto"/>
            </w:tcBorders>
            <w:shd w:val="clear" w:color="auto" w:fill="C6EFCE"/>
            <w:noWrap/>
            <w:vAlign w:val="center"/>
            <w:hideMark/>
          </w:tcPr>
          <w:p w14:paraId="5CF2A997" w14:textId="311CC80A" w:rsidR="00F208CE" w:rsidRDefault="00513E84">
            <w:pPr>
              <w:pStyle w:val="P68B1DB1-Normal8"/>
              <w:spacing w:after="0"/>
              <w:rPr>
                <w:rFonts w:eastAsia="Times New Roman" w:cs="Times New Roman"/>
                <w:noProof/>
              </w:rPr>
            </w:pPr>
            <w:r>
              <w:rPr>
                <w:noProof/>
              </w:rPr>
              <w:t>M</w:t>
            </w:r>
          </w:p>
        </w:tc>
        <w:tc>
          <w:tcPr>
            <w:tcW w:w="1760" w:type="dxa"/>
            <w:tcBorders>
              <w:top w:val="nil"/>
              <w:left w:val="nil"/>
              <w:bottom w:val="single" w:sz="4" w:space="0" w:color="auto"/>
              <w:right w:val="single" w:sz="4" w:space="0" w:color="auto"/>
            </w:tcBorders>
            <w:shd w:val="clear" w:color="auto" w:fill="C6EFCE"/>
            <w:noWrap/>
            <w:vAlign w:val="center"/>
            <w:hideMark/>
          </w:tcPr>
          <w:p w14:paraId="6460EEE7" w14:textId="77777777" w:rsidR="00F208CE" w:rsidRDefault="00513E84">
            <w:pPr>
              <w:pStyle w:val="P68B1DB1-Normal8"/>
              <w:spacing w:after="0"/>
              <w:rPr>
                <w:rFonts w:eastAsia="Times New Roman" w:cs="Times New Roman"/>
                <w:noProof/>
              </w:rPr>
            </w:pPr>
            <w:r>
              <w:rPr>
                <w:noProof/>
              </w:rPr>
              <w:t>Nuevo plan integral contra el abandono escolar</w:t>
            </w:r>
          </w:p>
        </w:tc>
        <w:tc>
          <w:tcPr>
            <w:tcW w:w="1480" w:type="dxa"/>
            <w:tcBorders>
              <w:top w:val="nil"/>
              <w:left w:val="nil"/>
              <w:bottom w:val="single" w:sz="4" w:space="0" w:color="auto"/>
              <w:right w:val="single" w:sz="4" w:space="0" w:color="auto"/>
            </w:tcBorders>
            <w:shd w:val="clear" w:color="auto" w:fill="C6EFCE"/>
            <w:noWrap/>
            <w:vAlign w:val="center"/>
            <w:hideMark/>
          </w:tcPr>
          <w:p w14:paraId="75BA0714" w14:textId="77777777" w:rsidR="00F208CE" w:rsidRDefault="00513E84">
            <w:pPr>
              <w:pStyle w:val="P68B1DB1-Normal8"/>
              <w:spacing w:after="0"/>
              <w:rPr>
                <w:rFonts w:eastAsia="Times New Roman" w:cs="Times New Roman"/>
                <w:noProof/>
              </w:rPr>
            </w:pPr>
            <w:r>
              <w:rPr>
                <w:noProof/>
              </w:rPr>
              <w:t>Adopción por la Comunidad Francesa de nuevos actos legislativos contra el abandono escolar</w:t>
            </w:r>
          </w:p>
        </w:tc>
        <w:tc>
          <w:tcPr>
            <w:tcW w:w="1320" w:type="dxa"/>
            <w:tcBorders>
              <w:top w:val="nil"/>
              <w:left w:val="nil"/>
              <w:bottom w:val="single" w:sz="4" w:space="0" w:color="auto"/>
              <w:right w:val="single" w:sz="4" w:space="0" w:color="auto"/>
            </w:tcBorders>
            <w:shd w:val="clear" w:color="auto" w:fill="C6EFCE"/>
            <w:noWrap/>
            <w:vAlign w:val="center"/>
            <w:hideMark/>
          </w:tcPr>
          <w:p w14:paraId="7CAE916F"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500E433D" w14:textId="77777777"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hideMark/>
          </w:tcPr>
          <w:p w14:paraId="4E365500"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1567B2AD" w14:textId="40A7529D"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463E49E0" w14:textId="6E1917EA" w:rsidR="00F208CE" w:rsidRDefault="00513E84">
            <w:pPr>
              <w:pStyle w:val="P68B1DB1-Normal8"/>
              <w:spacing w:after="0"/>
              <w:jc w:val="center"/>
              <w:rPr>
                <w:rFonts w:eastAsia="Times New Roman" w:cs="Times New Roman"/>
                <w:noProof/>
              </w:rPr>
            </w:pPr>
            <w:r>
              <w:rPr>
                <w:noProof/>
              </w:rPr>
              <w:t>2024</w:t>
            </w:r>
          </w:p>
        </w:tc>
        <w:tc>
          <w:tcPr>
            <w:tcW w:w="3627" w:type="dxa"/>
            <w:tcBorders>
              <w:top w:val="nil"/>
              <w:left w:val="nil"/>
              <w:bottom w:val="single" w:sz="4" w:space="0" w:color="auto"/>
              <w:right w:val="single" w:sz="4" w:space="0" w:color="auto"/>
            </w:tcBorders>
            <w:shd w:val="clear" w:color="auto" w:fill="C6EFCE"/>
            <w:noWrap/>
            <w:vAlign w:val="center"/>
            <w:hideMark/>
          </w:tcPr>
          <w:p w14:paraId="5EA4E499" w14:textId="77777777" w:rsidR="00F208CE" w:rsidRDefault="00513E84">
            <w:pPr>
              <w:pStyle w:val="P68B1DB1-Normal8"/>
              <w:spacing w:after="0"/>
              <w:rPr>
                <w:rFonts w:eastAsia="Times New Roman" w:cs="Times New Roman"/>
                <w:noProof/>
              </w:rPr>
            </w:pPr>
            <w:r>
              <w:rPr>
                <w:noProof/>
              </w:rPr>
              <w:t>El plan general contra el abandono escolar incluye decretos revisados que abordan 4 ámbitos clave:</w:t>
            </w:r>
          </w:p>
          <w:p w14:paraId="76E2B3B2" w14:textId="77777777" w:rsidR="00F208CE" w:rsidRDefault="00513E84">
            <w:pPr>
              <w:pStyle w:val="P68B1DB1-Normal8"/>
              <w:spacing w:after="0"/>
              <w:rPr>
                <w:rFonts w:eastAsia="Times New Roman" w:cs="Times New Roman"/>
                <w:noProof/>
              </w:rPr>
            </w:pPr>
            <w:r>
              <w:rPr>
                <w:noProof/>
              </w:rPr>
              <w:t>(1) «centres Psycho-Médicaux-Sociaux» (CPMS): el decreto revisará su papel para reforzar la orientación de su misión al abandono esco</w:t>
            </w:r>
            <w:r>
              <w:rPr>
                <w:noProof/>
              </w:rPr>
              <w:t>lar.</w:t>
            </w:r>
          </w:p>
          <w:p w14:paraId="7214A600" w14:textId="77777777" w:rsidR="00F208CE" w:rsidRDefault="00513E84">
            <w:pPr>
              <w:pStyle w:val="P68B1DB1-Normal8"/>
              <w:spacing w:after="0"/>
              <w:rPr>
                <w:rFonts w:eastAsia="Times New Roman" w:cs="Times New Roman"/>
                <w:noProof/>
              </w:rPr>
            </w:pPr>
            <w:r>
              <w:rPr>
                <w:noProof/>
              </w:rPr>
              <w:t>(2) Exclusión escolar: el decreto limitará los motivos de exclusión y creará una sala única de recursos para garantizar la igualdad de trato de los estudiantes.</w:t>
            </w:r>
          </w:p>
          <w:p w14:paraId="1D315566" w14:textId="77777777" w:rsidR="00F208CE" w:rsidRDefault="00513E84">
            <w:pPr>
              <w:pStyle w:val="P68B1DB1-Normal8"/>
              <w:spacing w:after="0"/>
              <w:rPr>
                <w:rFonts w:eastAsia="Times New Roman" w:cs="Times New Roman"/>
                <w:noProof/>
              </w:rPr>
            </w:pPr>
            <w:r>
              <w:rPr>
                <w:noProof/>
              </w:rPr>
              <w:t>(3) Prevención e intervención: el decreto reforzará los mecanismos de apoyo y prevención p</w:t>
            </w:r>
            <w:r>
              <w:rPr>
                <w:noProof/>
              </w:rPr>
              <w:t>ara los estudiantes que muestren señales particulares de abandono potencial (por ejemplo, estudiantes con 10 medias días de ausencia injustificada).</w:t>
            </w:r>
          </w:p>
          <w:p w14:paraId="08A5E63A" w14:textId="77777777" w:rsidR="00F208CE" w:rsidRDefault="00513E84">
            <w:pPr>
              <w:pStyle w:val="P68B1DB1-Normal8"/>
              <w:spacing w:after="0"/>
              <w:rPr>
                <w:rFonts w:eastAsia="Times New Roman" w:cs="Times New Roman"/>
                <w:noProof/>
              </w:rPr>
            </w:pPr>
            <w:r>
              <w:rPr>
                <w:noProof/>
              </w:rPr>
              <w:t>(4) Compensación: el decreto promoverá mecanismos de compensación que permitan a los estudiantes, especialm</w:t>
            </w:r>
            <w:r>
              <w:rPr>
                <w:noProof/>
              </w:rPr>
              <w:t>ente a aquellos que han acumulado un período de ausencia de varios meses, hacerse cargo de los trabajadores de la 3.a línea con el fin de prestar apoyo transitorio a una SAS o en el marco de un período de prácticas o de un proyecto ciudadano.</w:t>
            </w:r>
          </w:p>
        </w:tc>
      </w:tr>
      <w:tr w:rsidR="00F208CE" w14:paraId="2CB88189"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tcPr>
          <w:p w14:paraId="0D0CEAFD" w14:textId="77777777" w:rsidR="00F208CE" w:rsidRDefault="00513E84">
            <w:pPr>
              <w:pStyle w:val="P68B1DB1-Normal8"/>
              <w:spacing w:after="0"/>
              <w:jc w:val="center"/>
              <w:rPr>
                <w:rFonts w:eastAsia="Times New Roman" w:cs="Times New Roman"/>
                <w:noProof/>
              </w:rPr>
            </w:pPr>
            <w:r>
              <w:rPr>
                <w:noProof/>
              </w:rPr>
              <w:t>131</w:t>
            </w:r>
          </w:p>
        </w:tc>
        <w:tc>
          <w:tcPr>
            <w:tcW w:w="1701" w:type="dxa"/>
            <w:tcBorders>
              <w:top w:val="nil"/>
              <w:left w:val="nil"/>
              <w:bottom w:val="single" w:sz="4" w:space="0" w:color="auto"/>
              <w:right w:val="single" w:sz="4" w:space="0" w:color="auto"/>
            </w:tcBorders>
            <w:shd w:val="clear" w:color="auto" w:fill="C6EFCE"/>
            <w:noWrap/>
            <w:vAlign w:val="center"/>
          </w:tcPr>
          <w:p w14:paraId="439FB68A" w14:textId="77777777" w:rsidR="00F208CE" w:rsidRDefault="00513E84">
            <w:pPr>
              <w:pStyle w:val="P68B1DB1-Normal8"/>
              <w:spacing w:after="0"/>
              <w:rPr>
                <w:rFonts w:eastAsia="Times New Roman" w:cs="Times New Roman"/>
                <w:noProof/>
              </w:rPr>
            </w:pPr>
            <w:r>
              <w:rPr>
                <w:noProof/>
              </w:rPr>
              <w:t>Suministro de equipos digitales e infraestructura informática a las escuelas (I-4)</w:t>
            </w:r>
          </w:p>
        </w:tc>
        <w:tc>
          <w:tcPr>
            <w:tcW w:w="1134" w:type="dxa"/>
            <w:tcBorders>
              <w:top w:val="nil"/>
              <w:left w:val="nil"/>
              <w:bottom w:val="single" w:sz="4" w:space="0" w:color="auto"/>
              <w:right w:val="single" w:sz="4" w:space="0" w:color="auto"/>
            </w:tcBorders>
            <w:shd w:val="clear" w:color="auto" w:fill="C6EFCE"/>
            <w:noWrap/>
            <w:vAlign w:val="center"/>
          </w:tcPr>
          <w:p w14:paraId="612AA2AC" w14:textId="48EE8150" w:rsidR="00F208CE" w:rsidRDefault="00513E84">
            <w:pPr>
              <w:pStyle w:val="P68B1DB1-Normal8"/>
              <w:spacing w:after="0"/>
              <w:rPr>
                <w:rFonts w:eastAsia="Times New Roman" w:cs="Times New Roman"/>
                <w:noProof/>
              </w:rPr>
            </w:pPr>
            <w:r>
              <w:rPr>
                <w:noProof/>
              </w:rPr>
              <w:t>T</w:t>
            </w:r>
          </w:p>
        </w:tc>
        <w:tc>
          <w:tcPr>
            <w:tcW w:w="1760" w:type="dxa"/>
            <w:tcBorders>
              <w:top w:val="nil"/>
              <w:left w:val="nil"/>
              <w:bottom w:val="single" w:sz="4" w:space="0" w:color="auto"/>
              <w:right w:val="single" w:sz="4" w:space="0" w:color="auto"/>
            </w:tcBorders>
            <w:shd w:val="clear" w:color="auto" w:fill="C6EFCE"/>
            <w:noWrap/>
            <w:vAlign w:val="center"/>
          </w:tcPr>
          <w:p w14:paraId="3BAF98D2" w14:textId="114EEE05" w:rsidR="00F208CE" w:rsidRDefault="00513E84">
            <w:pPr>
              <w:pStyle w:val="P68B1DB1-Normal8"/>
              <w:spacing w:after="0"/>
              <w:rPr>
                <w:rFonts w:eastAsia="Times New Roman" w:cs="Times New Roman"/>
                <w:noProof/>
              </w:rPr>
            </w:pPr>
            <w:r>
              <w:rPr>
                <w:noProof/>
              </w:rPr>
              <w:t>Dotar a las escuelas/instituciones de dispositivos e infraestructuras de TIC adecuados para mejorar el rendimiento global de los sistemas educativos</w:t>
            </w:r>
          </w:p>
        </w:tc>
        <w:tc>
          <w:tcPr>
            <w:tcW w:w="1480" w:type="dxa"/>
            <w:tcBorders>
              <w:top w:val="nil"/>
              <w:left w:val="nil"/>
              <w:bottom w:val="single" w:sz="4" w:space="0" w:color="auto"/>
              <w:right w:val="single" w:sz="4" w:space="0" w:color="auto"/>
            </w:tcBorders>
            <w:shd w:val="clear" w:color="auto" w:fill="C6EFCE"/>
            <w:noWrap/>
            <w:vAlign w:val="center"/>
          </w:tcPr>
          <w:p w14:paraId="5A867F30"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74CA388A" w14:textId="3A41F049" w:rsidR="00F208CE" w:rsidRDefault="00513E84">
            <w:pPr>
              <w:pStyle w:val="P68B1DB1-Normal8"/>
              <w:spacing w:after="0"/>
              <w:rPr>
                <w:rFonts w:eastAsia="Times New Roman" w:cs="Times New Roman"/>
                <w:noProof/>
                <w:highlight w:val="cyan"/>
              </w:rPr>
            </w:pPr>
            <w:r>
              <w:rPr>
                <w:noProof/>
              </w:rPr>
              <w:t xml:space="preserve">Número de centros escolares/instituciones que reciben fondos </w:t>
            </w:r>
          </w:p>
        </w:tc>
        <w:tc>
          <w:tcPr>
            <w:tcW w:w="1080" w:type="dxa"/>
            <w:tcBorders>
              <w:top w:val="nil"/>
              <w:left w:val="nil"/>
              <w:bottom w:val="single" w:sz="4" w:space="0" w:color="auto"/>
              <w:right w:val="single" w:sz="4" w:space="0" w:color="auto"/>
            </w:tcBorders>
            <w:shd w:val="clear" w:color="auto" w:fill="C6EFCE"/>
            <w:noWrap/>
            <w:vAlign w:val="center"/>
          </w:tcPr>
          <w:p w14:paraId="0CE7F9C0" w14:textId="4C94D2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3A64F8B7" w14:textId="4ECADBEB" w:rsidR="00F208CE" w:rsidRDefault="00513E84">
            <w:pPr>
              <w:pStyle w:val="P68B1DB1-Normal8"/>
              <w:spacing w:after="0"/>
              <w:rPr>
                <w:rFonts w:eastAsia="Times New Roman" w:cs="Times New Roman"/>
                <w:noProof/>
              </w:rPr>
            </w:pPr>
            <w:r>
              <w:rPr>
                <w:noProof/>
              </w:rPr>
              <w:t>3 828</w:t>
            </w:r>
          </w:p>
        </w:tc>
        <w:tc>
          <w:tcPr>
            <w:tcW w:w="1080" w:type="dxa"/>
            <w:tcBorders>
              <w:top w:val="nil"/>
              <w:left w:val="nil"/>
              <w:bottom w:val="single" w:sz="4" w:space="0" w:color="auto"/>
              <w:right w:val="single" w:sz="4" w:space="0" w:color="auto"/>
            </w:tcBorders>
            <w:shd w:val="clear" w:color="auto" w:fill="C6EFCE"/>
            <w:noWrap/>
            <w:vAlign w:val="center"/>
          </w:tcPr>
          <w:p w14:paraId="4EA666A3"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60BC531B" w14:textId="77777777" w:rsidR="00F208CE" w:rsidRDefault="00513E84">
            <w:pPr>
              <w:pStyle w:val="P68B1DB1-Normal8"/>
              <w:spacing w:after="0"/>
              <w:jc w:val="center"/>
              <w:rPr>
                <w:rFonts w:eastAsia="Times New Roman" w:cs="Times New Roman"/>
                <w:noProof/>
              </w:rPr>
            </w:pPr>
            <w:r>
              <w:rPr>
                <w:noProof/>
              </w:rPr>
              <w:t>2022</w:t>
            </w:r>
          </w:p>
        </w:tc>
        <w:tc>
          <w:tcPr>
            <w:tcW w:w="3627" w:type="dxa"/>
            <w:tcBorders>
              <w:top w:val="nil"/>
              <w:left w:val="nil"/>
              <w:bottom w:val="single" w:sz="4" w:space="0" w:color="auto"/>
              <w:right w:val="single" w:sz="4" w:space="0" w:color="auto"/>
            </w:tcBorders>
            <w:shd w:val="clear" w:color="auto" w:fill="C6EFCE"/>
            <w:noWrap/>
            <w:vAlign w:val="center"/>
          </w:tcPr>
          <w:p w14:paraId="33CD0F1F" w14:textId="012EFAEF" w:rsidR="00F208CE" w:rsidRDefault="00513E84">
            <w:pPr>
              <w:pStyle w:val="P68B1DB1-Normal8"/>
              <w:spacing w:after="0"/>
              <w:rPr>
                <w:rFonts w:eastAsia="Times New Roman" w:cs="Times New Roman"/>
                <w:noProof/>
              </w:rPr>
            </w:pPr>
            <w:r>
              <w:rPr>
                <w:noProof/>
              </w:rPr>
              <w:t>3 828 escuelas o centros educativos belgas han recibido fondos para la mejora de la infraestructura de TIC, entre ellos:</w:t>
            </w:r>
          </w:p>
          <w:p w14:paraId="5CC9E9B5" w14:textId="64C2FAFF" w:rsidR="00F208CE" w:rsidRDefault="00513E84">
            <w:pPr>
              <w:pStyle w:val="P68B1DB1-Normal8"/>
              <w:spacing w:after="0"/>
              <w:rPr>
                <w:rFonts w:eastAsia="Times New Roman" w:cs="Times New Roman"/>
                <w:noProof/>
              </w:rPr>
            </w:pPr>
            <w:r>
              <w:rPr>
                <w:noProof/>
              </w:rPr>
              <w:t>Comunidad flamenca (I-4.01): 3 785 escuel</w:t>
            </w:r>
            <w:r>
              <w:rPr>
                <w:noProof/>
              </w:rPr>
              <w:t>as de enseñanza obligatoria</w:t>
            </w:r>
          </w:p>
          <w:p w14:paraId="4917AF9A" w14:textId="03981B5D" w:rsidR="00F208CE" w:rsidRDefault="00513E84">
            <w:pPr>
              <w:spacing w:after="0"/>
              <w:rPr>
                <w:rFonts w:ascii="Times New Roman" w:eastAsia="Times New Roman" w:hAnsi="Times New Roman" w:cs="Times New Roman"/>
                <w:noProof/>
                <w:color w:val="006100"/>
              </w:rPr>
            </w:pPr>
            <w:r>
              <w:rPr>
                <w:rFonts w:ascii="Times New Roman" w:hAnsi="Times New Roman"/>
                <w:noProof/>
                <w:color w:val="006100"/>
              </w:rPr>
              <w:t>Comunidad</w:t>
            </w:r>
            <w:r>
              <w:rPr>
                <w:noProof/>
              </w:rPr>
              <w:t xml:space="preserve"> </w:t>
            </w:r>
            <w:r>
              <w:rPr>
                <w:rFonts w:ascii="Times New Roman" w:hAnsi="Times New Roman"/>
                <w:noProof/>
                <w:color w:val="006100"/>
              </w:rPr>
              <w:t>germanófona (I-4.06): 43 escuelas de enseñanza obligatoria.</w:t>
            </w:r>
          </w:p>
        </w:tc>
      </w:tr>
      <w:tr w:rsidR="00F208CE" w14:paraId="228C708F"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tcPr>
          <w:p w14:paraId="18A7E1FB" w14:textId="77777777" w:rsidR="00F208CE" w:rsidRDefault="00513E84">
            <w:pPr>
              <w:pStyle w:val="P68B1DB1-Normal8"/>
              <w:spacing w:after="0"/>
              <w:jc w:val="center"/>
              <w:rPr>
                <w:rFonts w:eastAsia="Times New Roman" w:cs="Times New Roman"/>
                <w:noProof/>
              </w:rPr>
            </w:pPr>
            <w:r>
              <w:rPr>
                <w:noProof/>
              </w:rPr>
              <w:t>133</w:t>
            </w:r>
          </w:p>
        </w:tc>
        <w:tc>
          <w:tcPr>
            <w:tcW w:w="1701" w:type="dxa"/>
            <w:tcBorders>
              <w:top w:val="nil"/>
              <w:left w:val="nil"/>
              <w:bottom w:val="single" w:sz="4" w:space="0" w:color="auto"/>
              <w:right w:val="single" w:sz="4" w:space="0" w:color="auto"/>
            </w:tcBorders>
            <w:shd w:val="clear" w:color="auto" w:fill="C6EFCE"/>
            <w:noWrap/>
            <w:vAlign w:val="center"/>
          </w:tcPr>
          <w:p w14:paraId="7B95173F" w14:textId="77777777" w:rsidR="00F208CE" w:rsidRDefault="00513E84">
            <w:pPr>
              <w:pStyle w:val="P68B1DB1-Normal8"/>
              <w:spacing w:after="0"/>
              <w:rPr>
                <w:rFonts w:eastAsia="Times New Roman" w:cs="Times New Roman"/>
                <w:noProof/>
              </w:rPr>
            </w:pPr>
            <w:r>
              <w:rPr>
                <w:noProof/>
              </w:rPr>
              <w:t>Suministro de equipos digitales e infraestructura informática a las escuelas» (I-4)</w:t>
            </w:r>
          </w:p>
        </w:tc>
        <w:tc>
          <w:tcPr>
            <w:tcW w:w="1134" w:type="dxa"/>
            <w:tcBorders>
              <w:top w:val="nil"/>
              <w:left w:val="nil"/>
              <w:bottom w:val="single" w:sz="4" w:space="0" w:color="auto"/>
              <w:right w:val="single" w:sz="4" w:space="0" w:color="auto"/>
            </w:tcBorders>
            <w:shd w:val="clear" w:color="auto" w:fill="C6EFCE"/>
            <w:noWrap/>
            <w:vAlign w:val="center"/>
          </w:tcPr>
          <w:p w14:paraId="21A9CD84" w14:textId="3B152D42" w:rsidR="00F208CE" w:rsidRDefault="00513E84">
            <w:pPr>
              <w:pStyle w:val="P68B1DB1-Normal8"/>
              <w:spacing w:after="0"/>
              <w:rPr>
                <w:rFonts w:eastAsia="Times New Roman" w:cs="Times New Roman"/>
                <w:noProof/>
              </w:rPr>
            </w:pPr>
            <w:r>
              <w:rPr>
                <w:noProof/>
              </w:rPr>
              <w:t>T</w:t>
            </w:r>
          </w:p>
        </w:tc>
        <w:tc>
          <w:tcPr>
            <w:tcW w:w="1760" w:type="dxa"/>
            <w:tcBorders>
              <w:top w:val="nil"/>
              <w:left w:val="nil"/>
              <w:bottom w:val="single" w:sz="4" w:space="0" w:color="auto"/>
              <w:right w:val="single" w:sz="4" w:space="0" w:color="auto"/>
            </w:tcBorders>
            <w:shd w:val="clear" w:color="auto" w:fill="C6EFCE"/>
            <w:noWrap/>
            <w:vAlign w:val="center"/>
          </w:tcPr>
          <w:p w14:paraId="0A3DFDB9" w14:textId="1C0DF894" w:rsidR="00F208CE" w:rsidRDefault="00513E84">
            <w:pPr>
              <w:pStyle w:val="P68B1DB1-Normal8"/>
              <w:spacing w:after="0"/>
              <w:rPr>
                <w:rFonts w:eastAsia="Times New Roman" w:cs="Times New Roman"/>
                <w:noProof/>
              </w:rPr>
            </w:pPr>
            <w:r>
              <w:rPr>
                <w:noProof/>
              </w:rPr>
              <w:t xml:space="preserve">Dotar a las escuelas/instituciones de dispositivos e </w:t>
            </w:r>
            <w:r>
              <w:rPr>
                <w:noProof/>
              </w:rPr>
              <w:t>infraestructuras de TIC adecuados para mejorar el rendimiento global de los sistemas educativos</w:t>
            </w:r>
          </w:p>
        </w:tc>
        <w:tc>
          <w:tcPr>
            <w:tcW w:w="1480" w:type="dxa"/>
            <w:tcBorders>
              <w:top w:val="nil"/>
              <w:left w:val="nil"/>
              <w:bottom w:val="single" w:sz="4" w:space="0" w:color="auto"/>
              <w:right w:val="single" w:sz="4" w:space="0" w:color="auto"/>
            </w:tcBorders>
            <w:shd w:val="clear" w:color="auto" w:fill="C6EFCE"/>
            <w:noWrap/>
            <w:vAlign w:val="center"/>
          </w:tcPr>
          <w:p w14:paraId="073B619A"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0C1BF7B0" w14:textId="5709C986" w:rsidR="00F208CE" w:rsidRDefault="00513E84">
            <w:pPr>
              <w:pStyle w:val="P68B1DB1-Normal8"/>
              <w:spacing w:after="0"/>
              <w:rPr>
                <w:rFonts w:eastAsia="Times New Roman" w:cs="Times New Roman"/>
                <w:noProof/>
              </w:rPr>
            </w:pPr>
            <w:r>
              <w:rPr>
                <w:noProof/>
              </w:rPr>
              <w:t xml:space="preserve">Número de escuelas/instituciones que reciben fondos </w:t>
            </w:r>
          </w:p>
        </w:tc>
        <w:tc>
          <w:tcPr>
            <w:tcW w:w="1080" w:type="dxa"/>
            <w:tcBorders>
              <w:top w:val="nil"/>
              <w:left w:val="nil"/>
              <w:bottom w:val="single" w:sz="4" w:space="0" w:color="auto"/>
              <w:right w:val="single" w:sz="4" w:space="0" w:color="auto"/>
            </w:tcBorders>
            <w:shd w:val="clear" w:color="auto" w:fill="C6EFCE"/>
            <w:noWrap/>
            <w:vAlign w:val="center"/>
          </w:tcPr>
          <w:p w14:paraId="27F9CAE5" w14:textId="229D328E" w:rsidR="00F208CE" w:rsidRDefault="00513E84">
            <w:pPr>
              <w:pStyle w:val="P68B1DB1-Normal8"/>
              <w:spacing w:after="0"/>
              <w:rPr>
                <w:rFonts w:eastAsia="Times New Roman" w:cs="Times New Roman"/>
                <w:noProof/>
              </w:rPr>
            </w:pPr>
            <w:r>
              <w:rPr>
                <w:noProof/>
              </w:rPr>
              <w:t>3 828</w:t>
            </w:r>
          </w:p>
        </w:tc>
        <w:tc>
          <w:tcPr>
            <w:tcW w:w="720" w:type="dxa"/>
            <w:tcBorders>
              <w:top w:val="nil"/>
              <w:left w:val="nil"/>
              <w:bottom w:val="single" w:sz="4" w:space="0" w:color="auto"/>
              <w:right w:val="single" w:sz="4" w:space="0" w:color="auto"/>
            </w:tcBorders>
            <w:shd w:val="clear" w:color="auto" w:fill="C6EFCE"/>
            <w:noWrap/>
            <w:vAlign w:val="center"/>
          </w:tcPr>
          <w:p w14:paraId="34E97042" w14:textId="0F9473B9" w:rsidR="00F208CE" w:rsidRDefault="00513E84">
            <w:pPr>
              <w:pStyle w:val="P68B1DB1-Normal8"/>
              <w:spacing w:after="0"/>
              <w:rPr>
                <w:rFonts w:eastAsia="Times New Roman" w:cs="Times New Roman"/>
                <w:noProof/>
              </w:rPr>
            </w:pPr>
            <w:r>
              <w:rPr>
                <w:noProof/>
              </w:rPr>
              <w:t>3 905</w:t>
            </w:r>
          </w:p>
        </w:tc>
        <w:tc>
          <w:tcPr>
            <w:tcW w:w="1080" w:type="dxa"/>
            <w:tcBorders>
              <w:top w:val="nil"/>
              <w:left w:val="nil"/>
              <w:bottom w:val="single" w:sz="4" w:space="0" w:color="auto"/>
              <w:right w:val="single" w:sz="4" w:space="0" w:color="auto"/>
            </w:tcBorders>
            <w:shd w:val="clear" w:color="auto" w:fill="C6EFCE"/>
            <w:noWrap/>
            <w:vAlign w:val="center"/>
          </w:tcPr>
          <w:p w14:paraId="7A846F3C"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45AC5A24" w14:textId="77777777" w:rsidR="00F208CE" w:rsidRDefault="00513E84">
            <w:pPr>
              <w:pStyle w:val="P68B1DB1-Normal8"/>
              <w:spacing w:after="0"/>
              <w:jc w:val="center"/>
              <w:rPr>
                <w:rFonts w:eastAsia="Times New Roman" w:cs="Times New Roman"/>
                <w:noProof/>
              </w:rPr>
            </w:pPr>
            <w:r>
              <w:rPr>
                <w:noProof/>
              </w:rPr>
              <w:t>2026</w:t>
            </w:r>
          </w:p>
        </w:tc>
        <w:tc>
          <w:tcPr>
            <w:tcW w:w="3627" w:type="dxa"/>
            <w:tcBorders>
              <w:top w:val="nil"/>
              <w:left w:val="nil"/>
              <w:bottom w:val="single" w:sz="4" w:space="0" w:color="auto"/>
              <w:right w:val="single" w:sz="4" w:space="0" w:color="auto"/>
            </w:tcBorders>
            <w:shd w:val="clear" w:color="auto" w:fill="C6EFCE"/>
            <w:noWrap/>
            <w:vAlign w:val="center"/>
          </w:tcPr>
          <w:p w14:paraId="000AEEF9" w14:textId="1B3F47A5" w:rsidR="00F208CE" w:rsidRDefault="00513E84">
            <w:pPr>
              <w:pStyle w:val="P68B1DB1-Normal8"/>
              <w:spacing w:after="0"/>
              <w:rPr>
                <w:rFonts w:eastAsia="Times New Roman" w:cs="Times New Roman"/>
                <w:noProof/>
              </w:rPr>
            </w:pPr>
            <w:r>
              <w:rPr>
                <w:noProof/>
              </w:rPr>
              <w:t>3 905 escuelas o centros educativos de Bélgica han recibido fondos par</w:t>
            </w:r>
            <w:r>
              <w:rPr>
                <w:noProof/>
              </w:rPr>
              <w:t>a mejorar la infraestructura de TIC, entre ellos:</w:t>
            </w:r>
          </w:p>
          <w:p w14:paraId="1577733C" w14:textId="759B7E16" w:rsidR="00F208CE" w:rsidRDefault="00513E84">
            <w:pPr>
              <w:pStyle w:val="P68B1DB1-Normal8"/>
              <w:spacing w:after="0"/>
              <w:rPr>
                <w:rFonts w:eastAsia="Times New Roman" w:cs="Times New Roman"/>
                <w:noProof/>
              </w:rPr>
            </w:pPr>
            <w:r>
              <w:rPr>
                <w:noProof/>
              </w:rPr>
              <w:t>Comunidad Francesa (I-4.04), 40 % (77) de las instituciones de promoción social y educación superior.</w:t>
            </w:r>
          </w:p>
        </w:tc>
      </w:tr>
      <w:tr w:rsidR="00F208CE" w14:paraId="1D08D246"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tcPr>
          <w:p w14:paraId="00C6D46D" w14:textId="77777777" w:rsidR="00F208CE" w:rsidRDefault="00513E84">
            <w:pPr>
              <w:pStyle w:val="P68B1DB1-Normal8"/>
              <w:spacing w:after="0"/>
              <w:jc w:val="center"/>
              <w:rPr>
                <w:rFonts w:eastAsia="Times New Roman" w:cs="Times New Roman"/>
                <w:noProof/>
              </w:rPr>
            </w:pPr>
            <w:r>
              <w:rPr>
                <w:noProof/>
              </w:rPr>
              <w:t>134</w:t>
            </w:r>
          </w:p>
        </w:tc>
        <w:tc>
          <w:tcPr>
            <w:tcW w:w="1701" w:type="dxa"/>
            <w:tcBorders>
              <w:top w:val="nil"/>
              <w:left w:val="nil"/>
              <w:bottom w:val="single" w:sz="4" w:space="0" w:color="auto"/>
              <w:right w:val="single" w:sz="4" w:space="0" w:color="auto"/>
            </w:tcBorders>
            <w:shd w:val="clear" w:color="auto" w:fill="C6EFCE"/>
            <w:noWrap/>
            <w:vAlign w:val="center"/>
          </w:tcPr>
          <w:p w14:paraId="66D00F18" w14:textId="77777777" w:rsidR="00F208CE" w:rsidRDefault="00513E84">
            <w:pPr>
              <w:pStyle w:val="P68B1DB1-Normal8"/>
              <w:spacing w:after="0"/>
              <w:rPr>
                <w:rFonts w:eastAsia="Times New Roman" w:cs="Times New Roman"/>
                <w:noProof/>
              </w:rPr>
            </w:pPr>
            <w:r>
              <w:rPr>
                <w:noProof/>
              </w:rPr>
              <w:t>Fondo de Promoción de la Educación Superior (I-4.02)</w:t>
            </w:r>
          </w:p>
        </w:tc>
        <w:tc>
          <w:tcPr>
            <w:tcW w:w="1134" w:type="dxa"/>
            <w:tcBorders>
              <w:top w:val="nil"/>
              <w:left w:val="nil"/>
              <w:bottom w:val="single" w:sz="4" w:space="0" w:color="auto"/>
              <w:right w:val="single" w:sz="4" w:space="0" w:color="auto"/>
            </w:tcBorders>
            <w:shd w:val="clear" w:color="auto" w:fill="C6EFCE"/>
            <w:noWrap/>
            <w:vAlign w:val="center"/>
          </w:tcPr>
          <w:p w14:paraId="56E00015" w14:textId="356C52E0" w:rsidR="00F208CE" w:rsidRDefault="00513E84">
            <w:pPr>
              <w:pStyle w:val="P68B1DB1-Normal8"/>
              <w:spacing w:after="0"/>
              <w:rPr>
                <w:rFonts w:eastAsia="Times New Roman" w:cs="Times New Roman"/>
                <w:noProof/>
              </w:rPr>
            </w:pPr>
            <w:r>
              <w:rPr>
                <w:noProof/>
              </w:rPr>
              <w:t>T</w:t>
            </w:r>
          </w:p>
        </w:tc>
        <w:tc>
          <w:tcPr>
            <w:tcW w:w="1760" w:type="dxa"/>
            <w:tcBorders>
              <w:top w:val="nil"/>
              <w:left w:val="nil"/>
              <w:bottom w:val="single" w:sz="4" w:space="0" w:color="auto"/>
              <w:right w:val="single" w:sz="4" w:space="0" w:color="auto"/>
            </w:tcBorders>
            <w:shd w:val="clear" w:color="auto" w:fill="C6EFCE"/>
            <w:noWrap/>
            <w:vAlign w:val="center"/>
          </w:tcPr>
          <w:p w14:paraId="6A700E4D" w14:textId="77777777" w:rsidR="00F208CE" w:rsidRDefault="00513E84">
            <w:pPr>
              <w:pStyle w:val="P68B1DB1-Normal8"/>
              <w:spacing w:after="0"/>
              <w:rPr>
                <w:rFonts w:eastAsia="Times New Roman" w:cs="Times New Roman"/>
                <w:noProof/>
              </w:rPr>
            </w:pPr>
            <w:r>
              <w:rPr>
                <w:noProof/>
              </w:rPr>
              <w:t xml:space="preserve">Mejorar la oferta de educación superior en </w:t>
            </w:r>
            <w:r>
              <w:rPr>
                <w:noProof/>
              </w:rPr>
              <w:t>Flandes para hacerla más resistente al futuro y más ágil</w:t>
            </w:r>
          </w:p>
        </w:tc>
        <w:tc>
          <w:tcPr>
            <w:tcW w:w="1480" w:type="dxa"/>
            <w:tcBorders>
              <w:top w:val="nil"/>
              <w:left w:val="nil"/>
              <w:bottom w:val="single" w:sz="4" w:space="0" w:color="auto"/>
              <w:right w:val="single" w:sz="4" w:space="0" w:color="auto"/>
            </w:tcBorders>
            <w:shd w:val="clear" w:color="auto" w:fill="C6EFCE"/>
            <w:noWrap/>
            <w:vAlign w:val="center"/>
          </w:tcPr>
          <w:p w14:paraId="67E196A8"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545DA071" w14:textId="6940FC3D" w:rsidR="00F208CE" w:rsidRDefault="00513E84">
            <w:pPr>
              <w:pStyle w:val="P68B1DB1-Normal8"/>
              <w:spacing w:after="0"/>
              <w:rPr>
                <w:rFonts w:eastAsia="Times New Roman" w:cs="Times New Roman"/>
                <w:noProof/>
              </w:rPr>
            </w:pPr>
            <w:r>
              <w:rPr>
                <w:noProof/>
              </w:rPr>
              <w:t xml:space="preserve">Número de instituciones de educación superior que recibieron fondos </w:t>
            </w:r>
          </w:p>
        </w:tc>
        <w:tc>
          <w:tcPr>
            <w:tcW w:w="1080" w:type="dxa"/>
            <w:tcBorders>
              <w:top w:val="nil"/>
              <w:left w:val="nil"/>
              <w:bottom w:val="single" w:sz="4" w:space="0" w:color="auto"/>
              <w:right w:val="single" w:sz="4" w:space="0" w:color="auto"/>
            </w:tcBorders>
            <w:shd w:val="clear" w:color="auto" w:fill="C6EFCE"/>
            <w:noWrap/>
            <w:vAlign w:val="center"/>
          </w:tcPr>
          <w:p w14:paraId="26E10118"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20F3BABB" w14:textId="77777777" w:rsidR="00F208CE" w:rsidRDefault="00513E84">
            <w:pPr>
              <w:pStyle w:val="P68B1DB1-Normal8"/>
              <w:spacing w:after="0"/>
              <w:rPr>
                <w:rFonts w:eastAsia="Times New Roman" w:cs="Times New Roman"/>
                <w:noProof/>
              </w:rPr>
            </w:pPr>
            <w:r>
              <w:rPr>
                <w:noProof/>
              </w:rPr>
              <w:t>7</w:t>
            </w:r>
          </w:p>
        </w:tc>
        <w:tc>
          <w:tcPr>
            <w:tcW w:w="1080" w:type="dxa"/>
            <w:tcBorders>
              <w:top w:val="nil"/>
              <w:left w:val="nil"/>
              <w:bottom w:val="single" w:sz="4" w:space="0" w:color="auto"/>
              <w:right w:val="single" w:sz="4" w:space="0" w:color="auto"/>
            </w:tcBorders>
            <w:shd w:val="clear" w:color="auto" w:fill="C6EFCE"/>
            <w:noWrap/>
            <w:vAlign w:val="center"/>
          </w:tcPr>
          <w:p w14:paraId="414F5693"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1BB9198D" w14:textId="77777777" w:rsidR="00F208CE" w:rsidRDefault="00513E84">
            <w:pPr>
              <w:pStyle w:val="P68B1DB1-Normal8"/>
              <w:spacing w:after="0"/>
              <w:jc w:val="center"/>
              <w:rPr>
                <w:rFonts w:eastAsia="Times New Roman" w:cs="Times New Roman"/>
                <w:noProof/>
              </w:rPr>
            </w:pPr>
            <w:r>
              <w:rPr>
                <w:noProof/>
              </w:rPr>
              <w:t>2023</w:t>
            </w:r>
          </w:p>
        </w:tc>
        <w:tc>
          <w:tcPr>
            <w:tcW w:w="3627" w:type="dxa"/>
            <w:tcBorders>
              <w:top w:val="nil"/>
              <w:left w:val="nil"/>
              <w:bottom w:val="single" w:sz="4" w:space="0" w:color="auto"/>
              <w:right w:val="single" w:sz="4" w:space="0" w:color="auto"/>
            </w:tcBorders>
            <w:shd w:val="clear" w:color="auto" w:fill="C6EFCE"/>
            <w:noWrap/>
            <w:vAlign w:val="center"/>
          </w:tcPr>
          <w:p w14:paraId="2715E907" w14:textId="77777777" w:rsidR="00F208CE" w:rsidRDefault="00513E84">
            <w:pPr>
              <w:pStyle w:val="P68B1DB1-Normal8"/>
              <w:spacing w:after="0"/>
              <w:rPr>
                <w:rFonts w:eastAsia="Times New Roman" w:cs="Times New Roman"/>
                <w:noProof/>
              </w:rPr>
            </w:pPr>
            <w:r>
              <w:rPr>
                <w:noProof/>
              </w:rPr>
              <w:t>7 instituciones de educación superior se han beneficiado del Fondo de Promoción de la Enseñanza Super</w:t>
            </w:r>
            <w:r>
              <w:rPr>
                <w:noProof/>
              </w:rPr>
              <w:t>ior.</w:t>
            </w:r>
          </w:p>
          <w:p w14:paraId="0E996ADE" w14:textId="77777777" w:rsidR="00F208CE" w:rsidRDefault="00513E84">
            <w:pPr>
              <w:pStyle w:val="P68B1DB1-Normal8"/>
              <w:spacing w:after="0"/>
              <w:rPr>
                <w:rFonts w:eastAsia="Times New Roman" w:cs="Times New Roman"/>
                <w:noProof/>
              </w:rPr>
            </w:pPr>
            <w:r>
              <w:rPr>
                <w:noProof/>
              </w:rPr>
              <w:t>A través del Fondo de Promoción de la Educación Superior, las instituciones de educación superior, sobre la base de análisis de carteras de formación, elaborarán planes de acción para ajustar y reducir las ofertas existentes y, en caso necesario, crea</w:t>
            </w:r>
            <w:r>
              <w:rPr>
                <w:noProof/>
              </w:rPr>
              <w:t>r otras nuevas. Además, se prestará atención a la adaptación de los programas en función de las necesidades del mercado laboral y de la sociedad.</w:t>
            </w:r>
          </w:p>
          <w:p w14:paraId="2EA57867" w14:textId="5B174DE8" w:rsidR="00F208CE" w:rsidRDefault="00513E84">
            <w:pPr>
              <w:pStyle w:val="P68B1DB1-Normal8"/>
              <w:spacing w:after="0"/>
              <w:rPr>
                <w:rFonts w:eastAsia="Times New Roman" w:cs="Times New Roman"/>
                <w:noProof/>
              </w:rPr>
            </w:pPr>
            <w:r>
              <w:rPr>
                <w:noProof/>
              </w:rPr>
              <w:t>Todas las instituciones flamencas de educación superior podrán proponer y presentar proyectos en el marco de l</w:t>
            </w:r>
            <w:r>
              <w:rPr>
                <w:noProof/>
              </w:rPr>
              <w:t xml:space="preserve">a presente convocatoria de proyectos. Sin embargo, la participación en esta convocatoria no es obligatoria para las instituciones de educación superior, ni presenta un plan que garantice su aceptación. </w:t>
            </w:r>
          </w:p>
        </w:tc>
      </w:tr>
      <w:tr w:rsidR="00F208CE" w14:paraId="5E8D06BA"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tcPr>
          <w:p w14:paraId="76778C83" w14:textId="77777777" w:rsidR="00F208CE" w:rsidRDefault="00513E84">
            <w:pPr>
              <w:pStyle w:val="P68B1DB1-Normal8"/>
              <w:spacing w:after="0"/>
              <w:jc w:val="center"/>
              <w:rPr>
                <w:rFonts w:eastAsia="Times New Roman" w:cs="Times New Roman"/>
                <w:noProof/>
              </w:rPr>
            </w:pPr>
            <w:r>
              <w:rPr>
                <w:noProof/>
              </w:rPr>
              <w:t>135</w:t>
            </w:r>
          </w:p>
        </w:tc>
        <w:tc>
          <w:tcPr>
            <w:tcW w:w="1701" w:type="dxa"/>
            <w:tcBorders>
              <w:top w:val="nil"/>
              <w:left w:val="nil"/>
              <w:bottom w:val="single" w:sz="4" w:space="0" w:color="auto"/>
              <w:right w:val="single" w:sz="4" w:space="0" w:color="auto"/>
            </w:tcBorders>
            <w:shd w:val="clear" w:color="auto" w:fill="C6EFCE"/>
            <w:noWrap/>
            <w:vAlign w:val="center"/>
          </w:tcPr>
          <w:p w14:paraId="6356698F" w14:textId="77777777" w:rsidR="00F208CE" w:rsidRDefault="00513E84">
            <w:pPr>
              <w:pStyle w:val="P68B1DB1-Normal8"/>
              <w:spacing w:after="0"/>
              <w:rPr>
                <w:rFonts w:eastAsia="Times New Roman" w:cs="Times New Roman"/>
                <w:noProof/>
              </w:rPr>
            </w:pPr>
            <w:r>
              <w:rPr>
                <w:noProof/>
              </w:rPr>
              <w:t xml:space="preserve">Orientación personalizada en la enseñanza </w:t>
            </w:r>
            <w:r>
              <w:rPr>
                <w:noProof/>
              </w:rPr>
              <w:t>obligatoria (I-4.03)</w:t>
            </w:r>
          </w:p>
        </w:tc>
        <w:tc>
          <w:tcPr>
            <w:tcW w:w="1134" w:type="dxa"/>
            <w:tcBorders>
              <w:top w:val="nil"/>
              <w:left w:val="nil"/>
              <w:bottom w:val="single" w:sz="4" w:space="0" w:color="auto"/>
              <w:right w:val="single" w:sz="4" w:space="0" w:color="auto"/>
            </w:tcBorders>
            <w:shd w:val="clear" w:color="auto" w:fill="C6EFCE"/>
            <w:noWrap/>
            <w:vAlign w:val="center"/>
          </w:tcPr>
          <w:p w14:paraId="051C896A" w14:textId="47317B23" w:rsidR="00F208CE" w:rsidRDefault="00513E84">
            <w:pPr>
              <w:pStyle w:val="P68B1DB1-Normal8"/>
              <w:spacing w:after="0"/>
              <w:rPr>
                <w:rFonts w:eastAsia="Times New Roman" w:cs="Times New Roman"/>
                <w:noProof/>
              </w:rPr>
            </w:pPr>
            <w:r>
              <w:rPr>
                <w:noProof/>
              </w:rPr>
              <w:t>M</w:t>
            </w:r>
          </w:p>
        </w:tc>
        <w:tc>
          <w:tcPr>
            <w:tcW w:w="1760" w:type="dxa"/>
            <w:tcBorders>
              <w:top w:val="nil"/>
              <w:left w:val="nil"/>
              <w:bottom w:val="single" w:sz="4" w:space="0" w:color="auto"/>
              <w:right w:val="single" w:sz="4" w:space="0" w:color="auto"/>
            </w:tcBorders>
            <w:shd w:val="clear" w:color="auto" w:fill="C6EFCE"/>
            <w:noWrap/>
            <w:vAlign w:val="center"/>
          </w:tcPr>
          <w:p w14:paraId="32D061A7" w14:textId="77777777" w:rsidR="00F208CE" w:rsidRDefault="00513E84">
            <w:pPr>
              <w:pStyle w:val="P68B1DB1-Normal8"/>
              <w:spacing w:after="0"/>
              <w:rPr>
                <w:rFonts w:eastAsia="Times New Roman" w:cs="Times New Roman"/>
                <w:noProof/>
              </w:rPr>
            </w:pPr>
            <w:r>
              <w:rPr>
                <w:noProof/>
              </w:rPr>
              <w:t>Adopción de un nuevo marco de decreto que establezca las condiciones de intervención del sistema</w:t>
            </w:r>
          </w:p>
        </w:tc>
        <w:tc>
          <w:tcPr>
            <w:tcW w:w="1480" w:type="dxa"/>
            <w:tcBorders>
              <w:top w:val="nil"/>
              <w:left w:val="nil"/>
              <w:bottom w:val="single" w:sz="4" w:space="0" w:color="auto"/>
              <w:right w:val="single" w:sz="4" w:space="0" w:color="auto"/>
            </w:tcBorders>
            <w:shd w:val="clear" w:color="auto" w:fill="C6EFCE"/>
            <w:noWrap/>
            <w:vAlign w:val="center"/>
          </w:tcPr>
          <w:p w14:paraId="7F3F1BB5" w14:textId="77777777" w:rsidR="00F208CE" w:rsidRDefault="00513E84">
            <w:pPr>
              <w:pStyle w:val="P68B1DB1-Normal8"/>
              <w:spacing w:after="0"/>
              <w:rPr>
                <w:rFonts w:eastAsia="Times New Roman" w:cs="Times New Roman"/>
                <w:noProof/>
              </w:rPr>
            </w:pPr>
            <w:r>
              <w:rPr>
                <w:noProof/>
              </w:rPr>
              <w:t xml:space="preserve">Adopción por el Parlamento de la Comunidad Francesa del marco del Decreto por el que se establecen las condiciones de intervención del sistema </w:t>
            </w:r>
          </w:p>
        </w:tc>
        <w:tc>
          <w:tcPr>
            <w:tcW w:w="1320" w:type="dxa"/>
            <w:tcBorders>
              <w:top w:val="nil"/>
              <w:left w:val="nil"/>
              <w:bottom w:val="single" w:sz="4" w:space="0" w:color="auto"/>
              <w:right w:val="single" w:sz="4" w:space="0" w:color="auto"/>
            </w:tcBorders>
            <w:shd w:val="clear" w:color="auto" w:fill="C6EFCE"/>
            <w:noWrap/>
            <w:vAlign w:val="center"/>
          </w:tcPr>
          <w:p w14:paraId="3316D901"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0E8FC4B9" w14:textId="77777777"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3C7A9A04"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467356C2" w14:textId="77777777" w:rsidR="00F208CE" w:rsidRDefault="00513E84">
            <w:pPr>
              <w:pStyle w:val="P68B1DB1-Normal8"/>
              <w:spacing w:after="0"/>
              <w:jc w:val="center"/>
              <w:rPr>
                <w:rFonts w:eastAsia="Times New Roman" w:cs="Times New Roman"/>
                <w:noProof/>
              </w:rPr>
            </w:pPr>
            <w:r>
              <w:rPr>
                <w:noProof/>
              </w:rPr>
              <w:t>TERCER TRIMESTRE 3</w:t>
            </w:r>
          </w:p>
        </w:tc>
        <w:tc>
          <w:tcPr>
            <w:tcW w:w="720" w:type="dxa"/>
            <w:tcBorders>
              <w:top w:val="nil"/>
              <w:left w:val="nil"/>
              <w:bottom w:val="single" w:sz="4" w:space="0" w:color="auto"/>
              <w:right w:val="single" w:sz="4" w:space="0" w:color="auto"/>
            </w:tcBorders>
            <w:shd w:val="clear" w:color="auto" w:fill="C6EFCE"/>
            <w:noWrap/>
            <w:vAlign w:val="center"/>
          </w:tcPr>
          <w:p w14:paraId="51D41902" w14:textId="77777777" w:rsidR="00F208CE" w:rsidRDefault="00513E84">
            <w:pPr>
              <w:pStyle w:val="P68B1DB1-Normal8"/>
              <w:spacing w:after="0"/>
              <w:jc w:val="center"/>
              <w:rPr>
                <w:rFonts w:eastAsia="Times New Roman" w:cs="Times New Roman"/>
                <w:noProof/>
              </w:rPr>
            </w:pPr>
            <w:r>
              <w:rPr>
                <w:noProof/>
              </w:rPr>
              <w:t>2021</w:t>
            </w:r>
          </w:p>
        </w:tc>
        <w:tc>
          <w:tcPr>
            <w:tcW w:w="3627" w:type="dxa"/>
            <w:tcBorders>
              <w:top w:val="nil"/>
              <w:left w:val="nil"/>
              <w:bottom w:val="single" w:sz="4" w:space="0" w:color="auto"/>
              <w:right w:val="single" w:sz="4" w:space="0" w:color="auto"/>
            </w:tcBorders>
            <w:shd w:val="clear" w:color="auto" w:fill="C6EFCE"/>
            <w:noWrap/>
            <w:vAlign w:val="center"/>
          </w:tcPr>
          <w:p w14:paraId="50D034F9" w14:textId="77777777" w:rsidR="00F208CE" w:rsidRDefault="00513E84">
            <w:pPr>
              <w:pStyle w:val="P68B1DB1-Normal8"/>
              <w:spacing w:after="0"/>
              <w:rPr>
                <w:rFonts w:eastAsia="Times New Roman" w:cs="Times New Roman"/>
                <w:noProof/>
              </w:rPr>
            </w:pPr>
            <w:r>
              <w:rPr>
                <w:noProof/>
              </w:rPr>
              <w:t xml:space="preserve">Adopción por el Parlamento de la Comunidad Francesa de un nuevo marco de decreto que </w:t>
            </w:r>
            <w:r>
              <w:rPr>
                <w:noProof/>
              </w:rPr>
              <w:t>regule un régimen transitorio que incluya disposiciones relativas a: (1) la concesión de recursos a las escuelas en relación con las estrategias de diferenciación y reparación y la lucha contra el abandono escolar, (2) la modificación de los contratos PR-F</w:t>
            </w:r>
            <w:r>
              <w:rPr>
                <w:noProof/>
              </w:rPr>
              <w:t>PO/WBE en el contexto de la crisis y (3) las misiones del CPMS en el contexto de la crisis.</w:t>
            </w:r>
          </w:p>
        </w:tc>
      </w:tr>
      <w:tr w:rsidR="00F208CE" w14:paraId="734B5509"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tcPr>
          <w:p w14:paraId="6347F857" w14:textId="77777777" w:rsidR="00F208CE" w:rsidRDefault="00513E84">
            <w:pPr>
              <w:pStyle w:val="P68B1DB1-Normal8"/>
              <w:spacing w:after="0"/>
              <w:jc w:val="center"/>
              <w:rPr>
                <w:rFonts w:eastAsia="Times New Roman" w:cs="Times New Roman"/>
                <w:noProof/>
              </w:rPr>
            </w:pPr>
            <w:r>
              <w:rPr>
                <w:noProof/>
              </w:rPr>
              <w:t>136</w:t>
            </w:r>
          </w:p>
        </w:tc>
        <w:tc>
          <w:tcPr>
            <w:tcW w:w="1701" w:type="dxa"/>
            <w:tcBorders>
              <w:top w:val="nil"/>
              <w:left w:val="nil"/>
              <w:bottom w:val="single" w:sz="4" w:space="0" w:color="auto"/>
              <w:right w:val="single" w:sz="4" w:space="0" w:color="auto"/>
            </w:tcBorders>
            <w:shd w:val="clear" w:color="auto" w:fill="C6EFCE"/>
            <w:noWrap/>
            <w:vAlign w:val="center"/>
          </w:tcPr>
          <w:p w14:paraId="5B0F1B96" w14:textId="77777777" w:rsidR="00F208CE" w:rsidRDefault="00513E84">
            <w:pPr>
              <w:pStyle w:val="P68B1DB1-Normal8"/>
              <w:spacing w:after="0"/>
              <w:rPr>
                <w:rFonts w:eastAsia="Times New Roman" w:cs="Times New Roman"/>
                <w:noProof/>
              </w:rPr>
            </w:pPr>
            <w:r>
              <w:rPr>
                <w:noProof/>
              </w:rPr>
              <w:t>Orientación personalizada en la enseñanza obligatoria (I-4.03)</w:t>
            </w:r>
          </w:p>
        </w:tc>
        <w:tc>
          <w:tcPr>
            <w:tcW w:w="1134" w:type="dxa"/>
            <w:tcBorders>
              <w:top w:val="nil"/>
              <w:left w:val="nil"/>
              <w:bottom w:val="single" w:sz="4" w:space="0" w:color="auto"/>
              <w:right w:val="single" w:sz="4" w:space="0" w:color="auto"/>
            </w:tcBorders>
            <w:shd w:val="clear" w:color="auto" w:fill="C6EFCE"/>
            <w:noWrap/>
            <w:vAlign w:val="center"/>
          </w:tcPr>
          <w:p w14:paraId="6DA23E9A" w14:textId="51968A21" w:rsidR="00F208CE" w:rsidRDefault="00513E84">
            <w:pPr>
              <w:pStyle w:val="P68B1DB1-Normal8"/>
              <w:spacing w:after="0"/>
              <w:rPr>
                <w:rFonts w:eastAsia="Times New Roman" w:cs="Times New Roman"/>
                <w:noProof/>
              </w:rPr>
            </w:pPr>
            <w:r>
              <w:rPr>
                <w:noProof/>
              </w:rPr>
              <w:t>T</w:t>
            </w:r>
          </w:p>
        </w:tc>
        <w:tc>
          <w:tcPr>
            <w:tcW w:w="1760" w:type="dxa"/>
            <w:tcBorders>
              <w:top w:val="nil"/>
              <w:left w:val="nil"/>
              <w:bottom w:val="single" w:sz="4" w:space="0" w:color="auto"/>
              <w:right w:val="single" w:sz="4" w:space="0" w:color="auto"/>
            </w:tcBorders>
            <w:shd w:val="clear" w:color="auto" w:fill="C6EFCE"/>
            <w:noWrap/>
            <w:vAlign w:val="center"/>
          </w:tcPr>
          <w:p w14:paraId="0448967B" w14:textId="77777777" w:rsidR="00F208CE" w:rsidRDefault="00513E84">
            <w:pPr>
              <w:pStyle w:val="P68B1DB1-Normal8"/>
              <w:spacing w:after="0"/>
              <w:rPr>
                <w:rFonts w:eastAsia="Times New Roman" w:cs="Times New Roman"/>
                <w:noProof/>
              </w:rPr>
            </w:pPr>
            <w:r>
              <w:rPr>
                <w:noProof/>
              </w:rPr>
              <w:t>Despliegue de un mecanismo reforzado de apoyo a los estudiantes necesitados</w:t>
            </w:r>
          </w:p>
        </w:tc>
        <w:tc>
          <w:tcPr>
            <w:tcW w:w="1480" w:type="dxa"/>
            <w:tcBorders>
              <w:top w:val="nil"/>
              <w:left w:val="nil"/>
              <w:bottom w:val="single" w:sz="4" w:space="0" w:color="auto"/>
              <w:right w:val="single" w:sz="4" w:space="0" w:color="auto"/>
            </w:tcBorders>
            <w:shd w:val="clear" w:color="auto" w:fill="C6EFCE"/>
            <w:noWrap/>
            <w:vAlign w:val="center"/>
          </w:tcPr>
          <w:p w14:paraId="6FC19BF6"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71891DCE" w14:textId="77777777" w:rsidR="00F208CE" w:rsidRDefault="00513E84">
            <w:pPr>
              <w:pStyle w:val="P68B1DB1-Normal8"/>
              <w:spacing w:after="0"/>
              <w:rPr>
                <w:rFonts w:eastAsia="Times New Roman" w:cs="Times New Roman"/>
                <w:noProof/>
              </w:rPr>
            </w:pPr>
            <w:r>
              <w:rPr>
                <w:noProof/>
              </w:rPr>
              <w:t>Centros escolares</w:t>
            </w:r>
            <w:r>
              <w:rPr>
                <w:noProof/>
              </w:rPr>
              <w:t xml:space="preserve"> (y CPMS) que se benefician de apoyo y asesoramiento</w:t>
            </w:r>
          </w:p>
        </w:tc>
        <w:tc>
          <w:tcPr>
            <w:tcW w:w="1080" w:type="dxa"/>
            <w:tcBorders>
              <w:top w:val="nil"/>
              <w:left w:val="nil"/>
              <w:bottom w:val="single" w:sz="4" w:space="0" w:color="auto"/>
              <w:right w:val="single" w:sz="4" w:space="0" w:color="auto"/>
            </w:tcBorders>
            <w:shd w:val="clear" w:color="auto" w:fill="C6EFCE"/>
            <w:noWrap/>
            <w:vAlign w:val="center"/>
          </w:tcPr>
          <w:p w14:paraId="34496857"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7F3498DC" w14:textId="77777777" w:rsidR="00F208CE" w:rsidRDefault="00513E84">
            <w:pPr>
              <w:pStyle w:val="P68B1DB1-Normal8"/>
              <w:spacing w:after="0"/>
              <w:rPr>
                <w:rFonts w:eastAsia="Times New Roman" w:cs="Times New Roman"/>
                <w:noProof/>
              </w:rPr>
            </w:pPr>
            <w:r>
              <w:rPr>
                <w:noProof/>
              </w:rPr>
              <w:t>531</w:t>
            </w:r>
          </w:p>
        </w:tc>
        <w:tc>
          <w:tcPr>
            <w:tcW w:w="1080" w:type="dxa"/>
            <w:tcBorders>
              <w:top w:val="nil"/>
              <w:left w:val="nil"/>
              <w:bottom w:val="single" w:sz="4" w:space="0" w:color="auto"/>
              <w:right w:val="single" w:sz="4" w:space="0" w:color="auto"/>
            </w:tcBorders>
            <w:shd w:val="clear" w:color="auto" w:fill="C6EFCE"/>
            <w:noWrap/>
            <w:vAlign w:val="center"/>
          </w:tcPr>
          <w:p w14:paraId="1FD92629"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6899BEA5" w14:textId="77777777" w:rsidR="00F208CE" w:rsidRDefault="00513E84">
            <w:pPr>
              <w:pStyle w:val="P68B1DB1-Normal8"/>
              <w:spacing w:after="0"/>
              <w:jc w:val="center"/>
              <w:rPr>
                <w:rFonts w:eastAsia="Times New Roman" w:cs="Times New Roman"/>
                <w:noProof/>
              </w:rPr>
            </w:pPr>
            <w:r>
              <w:rPr>
                <w:noProof/>
              </w:rPr>
              <w:t>2022</w:t>
            </w:r>
          </w:p>
        </w:tc>
        <w:tc>
          <w:tcPr>
            <w:tcW w:w="3627" w:type="dxa"/>
            <w:tcBorders>
              <w:top w:val="nil"/>
              <w:left w:val="nil"/>
              <w:bottom w:val="single" w:sz="4" w:space="0" w:color="auto"/>
              <w:right w:val="single" w:sz="4" w:space="0" w:color="auto"/>
            </w:tcBorders>
            <w:shd w:val="clear" w:color="auto" w:fill="C6EFCE"/>
            <w:noWrap/>
            <w:vAlign w:val="center"/>
          </w:tcPr>
          <w:p w14:paraId="6D33B248" w14:textId="77777777" w:rsidR="00F208CE" w:rsidRDefault="00513E84">
            <w:pPr>
              <w:pStyle w:val="P68B1DB1-Normal8"/>
              <w:spacing w:after="0"/>
              <w:rPr>
                <w:rFonts w:eastAsia="Times New Roman" w:cs="Times New Roman"/>
                <w:noProof/>
              </w:rPr>
            </w:pPr>
            <w:r>
              <w:rPr>
                <w:noProof/>
              </w:rPr>
              <w:t xml:space="preserve">Despliegue de recursos adicionales (como profesores, educadores, personal de apoyo psicológico) para apoyar a 531 escuelas/CPMS sobre la base de las necesidades </w:t>
            </w:r>
            <w:r>
              <w:rPr>
                <w:noProof/>
              </w:rPr>
              <w:t>identificadas.</w:t>
            </w:r>
          </w:p>
        </w:tc>
      </w:tr>
      <w:tr w:rsidR="00F208CE" w14:paraId="1C644EA4"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tcPr>
          <w:p w14:paraId="2C0A353A" w14:textId="77777777" w:rsidR="00F208CE" w:rsidRDefault="00513E84">
            <w:pPr>
              <w:pStyle w:val="P68B1DB1-Normal8"/>
              <w:spacing w:after="0"/>
              <w:jc w:val="center"/>
              <w:rPr>
                <w:rFonts w:eastAsia="Times New Roman" w:cs="Times New Roman"/>
                <w:noProof/>
              </w:rPr>
            </w:pPr>
            <w:r>
              <w:rPr>
                <w:noProof/>
              </w:rPr>
              <w:t>137</w:t>
            </w:r>
          </w:p>
        </w:tc>
        <w:tc>
          <w:tcPr>
            <w:tcW w:w="1701" w:type="dxa"/>
            <w:tcBorders>
              <w:top w:val="nil"/>
              <w:left w:val="nil"/>
              <w:bottom w:val="single" w:sz="4" w:space="0" w:color="auto"/>
              <w:right w:val="single" w:sz="4" w:space="0" w:color="auto"/>
            </w:tcBorders>
            <w:shd w:val="clear" w:color="auto" w:fill="C6EFCE"/>
            <w:noWrap/>
            <w:vAlign w:val="center"/>
          </w:tcPr>
          <w:p w14:paraId="1EA8CEC2" w14:textId="77777777" w:rsidR="00F208CE" w:rsidRDefault="00513E84">
            <w:pPr>
              <w:pStyle w:val="P68B1DB1-Normal8"/>
              <w:spacing w:after="0"/>
              <w:rPr>
                <w:rFonts w:eastAsia="Times New Roman" w:cs="Times New Roman"/>
                <w:noProof/>
              </w:rPr>
            </w:pPr>
            <w:r>
              <w:rPr>
                <w:noProof/>
              </w:rPr>
              <w:t>Revolución digital para las escuelas de Bruselas (I-4.05)</w:t>
            </w:r>
          </w:p>
        </w:tc>
        <w:tc>
          <w:tcPr>
            <w:tcW w:w="1134" w:type="dxa"/>
            <w:tcBorders>
              <w:top w:val="nil"/>
              <w:left w:val="nil"/>
              <w:bottom w:val="single" w:sz="4" w:space="0" w:color="auto"/>
              <w:right w:val="single" w:sz="4" w:space="0" w:color="auto"/>
            </w:tcBorders>
            <w:shd w:val="clear" w:color="auto" w:fill="C6EFCE"/>
            <w:noWrap/>
            <w:vAlign w:val="center"/>
          </w:tcPr>
          <w:p w14:paraId="4D10B667" w14:textId="2F3D0D8C" w:rsidR="00F208CE" w:rsidRDefault="00513E84">
            <w:pPr>
              <w:pStyle w:val="P68B1DB1-Normal8"/>
              <w:spacing w:after="0"/>
              <w:rPr>
                <w:rFonts w:eastAsia="Times New Roman" w:cs="Times New Roman"/>
                <w:noProof/>
              </w:rPr>
            </w:pPr>
            <w:r>
              <w:rPr>
                <w:noProof/>
              </w:rPr>
              <w:t>T</w:t>
            </w:r>
          </w:p>
        </w:tc>
        <w:tc>
          <w:tcPr>
            <w:tcW w:w="1760" w:type="dxa"/>
            <w:tcBorders>
              <w:top w:val="nil"/>
              <w:left w:val="nil"/>
              <w:bottom w:val="single" w:sz="4" w:space="0" w:color="auto"/>
              <w:right w:val="single" w:sz="4" w:space="0" w:color="auto"/>
            </w:tcBorders>
            <w:shd w:val="clear" w:color="auto" w:fill="C6EFCE"/>
            <w:noWrap/>
            <w:vAlign w:val="center"/>
          </w:tcPr>
          <w:p w14:paraId="153263AA" w14:textId="080E7976" w:rsidR="00F208CE" w:rsidRDefault="00513E84">
            <w:pPr>
              <w:pStyle w:val="P68B1DB1-Normal8"/>
              <w:spacing w:after="0"/>
              <w:rPr>
                <w:rFonts w:eastAsia="Times New Roman" w:cs="Times New Roman"/>
                <w:noProof/>
              </w:rPr>
            </w:pPr>
            <w:r>
              <w:rPr>
                <w:noProof/>
              </w:rPr>
              <w:t>Dotar a las escuelas/instituciones de dispositivos e infraestructuras de TIC adecuados para mejorar el rendimiento global de los sistemas educativos</w:t>
            </w:r>
          </w:p>
        </w:tc>
        <w:tc>
          <w:tcPr>
            <w:tcW w:w="1480" w:type="dxa"/>
            <w:tcBorders>
              <w:top w:val="nil"/>
              <w:left w:val="nil"/>
              <w:bottom w:val="single" w:sz="4" w:space="0" w:color="auto"/>
              <w:right w:val="single" w:sz="4" w:space="0" w:color="auto"/>
            </w:tcBorders>
            <w:shd w:val="clear" w:color="auto" w:fill="C6EFCE"/>
            <w:noWrap/>
            <w:vAlign w:val="center"/>
          </w:tcPr>
          <w:p w14:paraId="492626DB"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57AD7EF1" w14:textId="77777777" w:rsidR="00F208CE" w:rsidRDefault="00513E84">
            <w:pPr>
              <w:pStyle w:val="P68B1DB1-Normal8"/>
              <w:spacing w:after="0"/>
              <w:rPr>
                <w:rFonts w:eastAsia="Times New Roman" w:cs="Times New Roman"/>
                <w:noProof/>
              </w:rPr>
            </w:pPr>
            <w:r>
              <w:rPr>
                <w:noProof/>
              </w:rPr>
              <w:t xml:space="preserve">Dispositivos TIC y puntos </w:t>
            </w:r>
            <w:r>
              <w:rPr>
                <w:noProof/>
              </w:rPr>
              <w:t>críticos WIFI instalados en las escuelas</w:t>
            </w:r>
          </w:p>
        </w:tc>
        <w:tc>
          <w:tcPr>
            <w:tcW w:w="1080" w:type="dxa"/>
            <w:tcBorders>
              <w:top w:val="nil"/>
              <w:left w:val="nil"/>
              <w:bottom w:val="single" w:sz="4" w:space="0" w:color="auto"/>
              <w:right w:val="single" w:sz="4" w:space="0" w:color="auto"/>
            </w:tcBorders>
            <w:shd w:val="clear" w:color="auto" w:fill="C6EFCE"/>
            <w:noWrap/>
            <w:vAlign w:val="center"/>
          </w:tcPr>
          <w:p w14:paraId="35EBC628" w14:textId="77777777" w:rsidR="00F208CE" w:rsidRDefault="00513E84">
            <w:pPr>
              <w:pStyle w:val="P68B1DB1-Normal8"/>
              <w:spacing w:after="0"/>
              <w:rPr>
                <w:rFonts w:eastAsia="Times New Roman" w:cs="Times New Roman"/>
                <w:noProof/>
              </w:rPr>
            </w:pPr>
            <w:r>
              <w:rPr>
                <w:noProof/>
              </w:rPr>
              <w:t>900</w:t>
            </w:r>
          </w:p>
        </w:tc>
        <w:tc>
          <w:tcPr>
            <w:tcW w:w="720" w:type="dxa"/>
            <w:tcBorders>
              <w:top w:val="nil"/>
              <w:left w:val="nil"/>
              <w:bottom w:val="single" w:sz="4" w:space="0" w:color="auto"/>
              <w:right w:val="single" w:sz="4" w:space="0" w:color="auto"/>
            </w:tcBorders>
            <w:shd w:val="clear" w:color="auto" w:fill="C6EFCE"/>
            <w:noWrap/>
            <w:vAlign w:val="center"/>
          </w:tcPr>
          <w:p w14:paraId="311DC7DF" w14:textId="1C05A6A6" w:rsidR="00F208CE" w:rsidRDefault="00513E84">
            <w:pPr>
              <w:pStyle w:val="P68B1DB1-Normal8"/>
              <w:spacing w:after="0"/>
              <w:rPr>
                <w:rFonts w:eastAsia="Times New Roman" w:cs="Times New Roman"/>
                <w:noProof/>
              </w:rPr>
            </w:pPr>
            <w:r>
              <w:rPr>
                <w:noProof/>
              </w:rPr>
              <w:t>2 200</w:t>
            </w:r>
          </w:p>
        </w:tc>
        <w:tc>
          <w:tcPr>
            <w:tcW w:w="1080" w:type="dxa"/>
            <w:tcBorders>
              <w:top w:val="nil"/>
              <w:left w:val="nil"/>
              <w:bottom w:val="single" w:sz="4" w:space="0" w:color="auto"/>
              <w:right w:val="single" w:sz="4" w:space="0" w:color="auto"/>
            </w:tcBorders>
            <w:shd w:val="clear" w:color="auto" w:fill="C6EFCE"/>
            <w:noWrap/>
            <w:vAlign w:val="center"/>
          </w:tcPr>
          <w:p w14:paraId="5E897998"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tcPr>
          <w:p w14:paraId="5B0AB647" w14:textId="77777777" w:rsidR="00F208CE" w:rsidRDefault="00513E84">
            <w:pPr>
              <w:pStyle w:val="P68B1DB1-Normal8"/>
              <w:spacing w:after="0"/>
              <w:jc w:val="center"/>
              <w:rPr>
                <w:rFonts w:eastAsia="Times New Roman" w:cs="Times New Roman"/>
                <w:noProof/>
              </w:rPr>
            </w:pPr>
            <w:r>
              <w:rPr>
                <w:noProof/>
              </w:rPr>
              <w:t>2021</w:t>
            </w:r>
          </w:p>
        </w:tc>
        <w:tc>
          <w:tcPr>
            <w:tcW w:w="3627" w:type="dxa"/>
            <w:tcBorders>
              <w:top w:val="nil"/>
              <w:left w:val="nil"/>
              <w:bottom w:val="single" w:sz="4" w:space="0" w:color="auto"/>
              <w:right w:val="single" w:sz="4" w:space="0" w:color="auto"/>
            </w:tcBorders>
            <w:shd w:val="clear" w:color="auto" w:fill="C6EFCE"/>
            <w:noWrap/>
            <w:vAlign w:val="center"/>
          </w:tcPr>
          <w:p w14:paraId="44FF9783" w14:textId="65AC3F4F" w:rsidR="00F208CE" w:rsidRDefault="00513E84">
            <w:pPr>
              <w:pStyle w:val="P68B1DB1-Normal8"/>
              <w:spacing w:after="0"/>
              <w:rPr>
                <w:rFonts w:eastAsia="Times New Roman" w:cs="Times New Roman"/>
                <w:noProof/>
              </w:rPr>
            </w:pPr>
            <w:r>
              <w:rPr>
                <w:noProof/>
              </w:rPr>
              <w:t>En las escuelas de Bruselas se instalarán 2 200 dispositivos de TIC (como ordenadores portátiles, tabletas, paneles de control interactivos) y puntos de acceso WIFI. La distribución</w:t>
            </w:r>
            <w:r>
              <w:rPr>
                <w:noProof/>
              </w:rPr>
              <w:t xml:space="preserve"> se basará en las necesidades de las escuelas (centrándose en las escuelas con un índice socioeconómico más bajo).</w:t>
            </w:r>
          </w:p>
        </w:tc>
      </w:tr>
      <w:tr w:rsidR="00F208CE" w14:paraId="7E7EEAC2" w14:textId="77777777">
        <w:trPr>
          <w:trHeight w:val="309"/>
          <w:jc w:val="center"/>
        </w:trPr>
        <w:tc>
          <w:tcPr>
            <w:tcW w:w="880" w:type="dxa"/>
            <w:tcBorders>
              <w:top w:val="nil"/>
              <w:left w:val="single" w:sz="4" w:space="0" w:color="auto"/>
              <w:bottom w:val="single" w:sz="4" w:space="0" w:color="auto"/>
              <w:right w:val="single" w:sz="4" w:space="0" w:color="auto"/>
            </w:tcBorders>
            <w:shd w:val="clear" w:color="auto" w:fill="C6EFCE"/>
            <w:noWrap/>
            <w:vAlign w:val="center"/>
            <w:hideMark/>
          </w:tcPr>
          <w:p w14:paraId="4F299915" w14:textId="77777777" w:rsidR="00F208CE" w:rsidRDefault="00513E84">
            <w:pPr>
              <w:pStyle w:val="P68B1DB1-Normal8"/>
              <w:spacing w:after="0"/>
              <w:jc w:val="center"/>
              <w:rPr>
                <w:rFonts w:eastAsia="Times New Roman" w:cs="Times New Roman"/>
                <w:noProof/>
              </w:rPr>
            </w:pPr>
            <w:r>
              <w:rPr>
                <w:noProof/>
              </w:rPr>
              <w:t>138</w:t>
            </w:r>
          </w:p>
        </w:tc>
        <w:tc>
          <w:tcPr>
            <w:tcW w:w="1701" w:type="dxa"/>
            <w:tcBorders>
              <w:top w:val="nil"/>
              <w:left w:val="nil"/>
              <w:bottom w:val="single" w:sz="4" w:space="0" w:color="auto"/>
              <w:right w:val="single" w:sz="4" w:space="0" w:color="auto"/>
            </w:tcBorders>
            <w:shd w:val="clear" w:color="auto" w:fill="C6EFCE"/>
            <w:noWrap/>
            <w:vAlign w:val="center"/>
            <w:hideMark/>
          </w:tcPr>
          <w:p w14:paraId="09E29A9E" w14:textId="77777777" w:rsidR="00F208CE" w:rsidRDefault="00513E84">
            <w:pPr>
              <w:pStyle w:val="P68B1DB1-Normal8"/>
              <w:spacing w:after="0"/>
              <w:rPr>
                <w:rFonts w:eastAsia="Times New Roman" w:cs="Times New Roman"/>
                <w:noProof/>
              </w:rPr>
            </w:pPr>
            <w:r>
              <w:rPr>
                <w:noProof/>
              </w:rPr>
              <w:t>Revolución digital para las escuelas de Bruselas (I-4.05)</w:t>
            </w:r>
          </w:p>
        </w:tc>
        <w:tc>
          <w:tcPr>
            <w:tcW w:w="1134" w:type="dxa"/>
            <w:tcBorders>
              <w:top w:val="nil"/>
              <w:left w:val="nil"/>
              <w:bottom w:val="single" w:sz="4" w:space="0" w:color="auto"/>
              <w:right w:val="single" w:sz="4" w:space="0" w:color="auto"/>
            </w:tcBorders>
            <w:shd w:val="clear" w:color="auto" w:fill="C6EFCE"/>
            <w:noWrap/>
            <w:vAlign w:val="center"/>
            <w:hideMark/>
          </w:tcPr>
          <w:p w14:paraId="555246A9" w14:textId="7506875C" w:rsidR="00F208CE" w:rsidRDefault="00513E84">
            <w:pPr>
              <w:pStyle w:val="P68B1DB1-Normal8"/>
              <w:spacing w:after="0"/>
              <w:rPr>
                <w:rFonts w:eastAsia="Times New Roman" w:cs="Times New Roman"/>
                <w:noProof/>
              </w:rPr>
            </w:pPr>
            <w:r>
              <w:rPr>
                <w:noProof/>
              </w:rPr>
              <w:t>T</w:t>
            </w:r>
          </w:p>
        </w:tc>
        <w:tc>
          <w:tcPr>
            <w:tcW w:w="1760" w:type="dxa"/>
            <w:tcBorders>
              <w:top w:val="nil"/>
              <w:left w:val="nil"/>
              <w:bottom w:val="single" w:sz="4" w:space="0" w:color="auto"/>
              <w:right w:val="single" w:sz="4" w:space="0" w:color="auto"/>
            </w:tcBorders>
            <w:shd w:val="clear" w:color="auto" w:fill="C6EFCE"/>
            <w:noWrap/>
            <w:vAlign w:val="center"/>
            <w:hideMark/>
          </w:tcPr>
          <w:p w14:paraId="506DA220" w14:textId="3F989134" w:rsidR="00F208CE" w:rsidRDefault="00513E84">
            <w:pPr>
              <w:pStyle w:val="P68B1DB1-Normal8"/>
              <w:spacing w:after="0"/>
              <w:rPr>
                <w:rFonts w:eastAsia="Times New Roman" w:cs="Times New Roman"/>
                <w:noProof/>
              </w:rPr>
            </w:pPr>
            <w:r>
              <w:rPr>
                <w:noProof/>
              </w:rPr>
              <w:t>Dotar a las escuelas/instituciones de dispositivos e infraestructuras de TIC</w:t>
            </w:r>
            <w:r>
              <w:rPr>
                <w:noProof/>
              </w:rPr>
              <w:t xml:space="preserve"> adecuados para mejorar el rendimiento global de los sistemas educativos</w:t>
            </w:r>
          </w:p>
        </w:tc>
        <w:tc>
          <w:tcPr>
            <w:tcW w:w="1480" w:type="dxa"/>
            <w:tcBorders>
              <w:top w:val="nil"/>
              <w:left w:val="nil"/>
              <w:bottom w:val="single" w:sz="4" w:space="0" w:color="auto"/>
              <w:right w:val="single" w:sz="4" w:space="0" w:color="auto"/>
            </w:tcBorders>
            <w:shd w:val="clear" w:color="auto" w:fill="C6EFCE"/>
            <w:noWrap/>
            <w:vAlign w:val="center"/>
            <w:hideMark/>
          </w:tcPr>
          <w:p w14:paraId="18F19293"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hideMark/>
          </w:tcPr>
          <w:p w14:paraId="0690C8EE" w14:textId="77777777" w:rsidR="00F208CE" w:rsidRDefault="00513E84">
            <w:pPr>
              <w:pStyle w:val="P68B1DB1-Normal8"/>
              <w:spacing w:after="0"/>
              <w:rPr>
                <w:rFonts w:eastAsia="Times New Roman" w:cs="Times New Roman"/>
                <w:noProof/>
              </w:rPr>
            </w:pPr>
            <w:r>
              <w:rPr>
                <w:noProof/>
              </w:rPr>
              <w:t>Dispositivos TIC y puntos críticos WIFI instalados en centros de enseñanza secundaria</w:t>
            </w:r>
          </w:p>
        </w:tc>
        <w:tc>
          <w:tcPr>
            <w:tcW w:w="1080" w:type="dxa"/>
            <w:tcBorders>
              <w:top w:val="nil"/>
              <w:left w:val="nil"/>
              <w:bottom w:val="single" w:sz="4" w:space="0" w:color="auto"/>
              <w:right w:val="single" w:sz="4" w:space="0" w:color="auto"/>
            </w:tcBorders>
            <w:shd w:val="clear" w:color="auto" w:fill="C6EFCE"/>
            <w:noWrap/>
            <w:vAlign w:val="center"/>
            <w:hideMark/>
          </w:tcPr>
          <w:p w14:paraId="7B78F66C" w14:textId="7FB4CF74" w:rsidR="00F208CE" w:rsidRDefault="00513E84">
            <w:pPr>
              <w:pStyle w:val="P68B1DB1-Normal8"/>
              <w:spacing w:after="0"/>
              <w:rPr>
                <w:rFonts w:eastAsia="Times New Roman" w:cs="Times New Roman"/>
                <w:noProof/>
              </w:rPr>
            </w:pPr>
            <w:r>
              <w:rPr>
                <w:noProof/>
              </w:rPr>
              <w:t>2 200</w:t>
            </w:r>
          </w:p>
        </w:tc>
        <w:tc>
          <w:tcPr>
            <w:tcW w:w="720" w:type="dxa"/>
            <w:tcBorders>
              <w:top w:val="nil"/>
              <w:left w:val="nil"/>
              <w:bottom w:val="single" w:sz="4" w:space="0" w:color="auto"/>
              <w:right w:val="single" w:sz="4" w:space="0" w:color="auto"/>
            </w:tcBorders>
            <w:shd w:val="clear" w:color="auto" w:fill="C6EFCE"/>
            <w:noWrap/>
            <w:vAlign w:val="center"/>
            <w:hideMark/>
          </w:tcPr>
          <w:p w14:paraId="6A9294A1" w14:textId="123BC059" w:rsidR="00F208CE" w:rsidRDefault="00513E84">
            <w:pPr>
              <w:pStyle w:val="P68B1DB1-Normal8"/>
              <w:spacing w:after="0"/>
              <w:rPr>
                <w:rFonts w:eastAsia="Times New Roman" w:cs="Times New Roman"/>
                <w:noProof/>
              </w:rPr>
            </w:pPr>
            <w:r>
              <w:rPr>
                <w:noProof/>
              </w:rPr>
              <w:t>3 500</w:t>
            </w:r>
          </w:p>
        </w:tc>
        <w:tc>
          <w:tcPr>
            <w:tcW w:w="1080" w:type="dxa"/>
            <w:tcBorders>
              <w:top w:val="nil"/>
              <w:left w:val="nil"/>
              <w:bottom w:val="single" w:sz="4" w:space="0" w:color="auto"/>
              <w:right w:val="single" w:sz="4" w:space="0" w:color="auto"/>
            </w:tcBorders>
            <w:shd w:val="clear" w:color="auto" w:fill="C6EFCE"/>
            <w:noWrap/>
            <w:vAlign w:val="center"/>
            <w:hideMark/>
          </w:tcPr>
          <w:p w14:paraId="145CC706"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464BDF30" w14:textId="77777777" w:rsidR="00F208CE" w:rsidRDefault="00513E84">
            <w:pPr>
              <w:pStyle w:val="P68B1DB1-Normal8"/>
              <w:spacing w:after="0"/>
              <w:jc w:val="center"/>
              <w:rPr>
                <w:rFonts w:eastAsia="Times New Roman" w:cs="Times New Roman"/>
                <w:noProof/>
              </w:rPr>
            </w:pPr>
            <w:r>
              <w:rPr>
                <w:noProof/>
              </w:rPr>
              <w:t>2024</w:t>
            </w:r>
          </w:p>
        </w:tc>
        <w:tc>
          <w:tcPr>
            <w:tcW w:w="3627" w:type="dxa"/>
            <w:tcBorders>
              <w:top w:val="nil"/>
              <w:left w:val="nil"/>
              <w:bottom w:val="single" w:sz="4" w:space="0" w:color="auto"/>
              <w:right w:val="single" w:sz="4" w:space="0" w:color="auto"/>
            </w:tcBorders>
            <w:shd w:val="clear" w:color="auto" w:fill="C6EFCE"/>
            <w:noWrap/>
            <w:vAlign w:val="center"/>
            <w:hideMark/>
          </w:tcPr>
          <w:p w14:paraId="67BDFC24" w14:textId="289BF82F" w:rsidR="00F208CE" w:rsidRDefault="00513E84">
            <w:pPr>
              <w:pStyle w:val="P68B1DB1-Normal8"/>
              <w:spacing w:after="0"/>
              <w:rPr>
                <w:rFonts w:eastAsia="Times New Roman" w:cs="Times New Roman"/>
                <w:noProof/>
              </w:rPr>
            </w:pPr>
            <w:r>
              <w:rPr>
                <w:noProof/>
              </w:rPr>
              <w:t xml:space="preserve">3 500 puntos de acceso WiFi se distribuirán en las escuelas </w:t>
            </w:r>
            <w:r>
              <w:rPr>
                <w:noProof/>
              </w:rPr>
              <w:t>de Bruselas.</w:t>
            </w:r>
          </w:p>
        </w:tc>
      </w:tr>
    </w:tbl>
    <w:p w14:paraId="66011414" w14:textId="77777777" w:rsidR="00F208CE" w:rsidRDefault="00F208CE">
      <w:pPr>
        <w:pStyle w:val="Text1"/>
        <w:ind w:left="709"/>
        <w:rPr>
          <w:noProof/>
        </w:rPr>
      </w:pPr>
    </w:p>
    <w:p w14:paraId="526C29FE" w14:textId="77777777" w:rsidR="00F208CE" w:rsidRDefault="00F208CE">
      <w:pPr>
        <w:ind w:left="709"/>
        <w:rPr>
          <w:rFonts w:ascii="Times New Roman" w:hAnsi="Times New Roman" w:cs="Times New Roman"/>
          <w:noProof/>
        </w:rPr>
        <w:sectPr w:rsidR="00F208CE" w:rsidSect="007F56C3">
          <w:headerReference w:type="default" r:id="rId116"/>
          <w:footerReference w:type="default" r:id="rId117"/>
          <w:pgSz w:w="16839" w:h="11907" w:orient="landscape"/>
          <w:pgMar w:top="1134" w:right="1134" w:bottom="1134" w:left="1134" w:header="567" w:footer="567" w:gutter="0"/>
          <w:cols w:space="720"/>
          <w:docGrid w:linePitch="360"/>
        </w:sectPr>
      </w:pPr>
    </w:p>
    <w:p w14:paraId="1A93D03D" w14:textId="1B2F813F" w:rsidR="00F208CE" w:rsidRDefault="00513E84">
      <w:pPr>
        <w:pStyle w:val="ManualHeading1"/>
        <w:spacing w:before="120"/>
        <w:ind w:left="0" w:firstLine="0"/>
        <w:rPr>
          <w:noProof/>
        </w:rPr>
      </w:pPr>
      <w:r>
        <w:rPr>
          <w:noProof/>
        </w:rPr>
        <w:t>K. COMPONENTE 4.2: Formación y empleo de grupos vulnerables</w:t>
      </w:r>
    </w:p>
    <w:p w14:paraId="33A87B45" w14:textId="77777777" w:rsidR="00F208CE" w:rsidRDefault="00513E84">
      <w:pPr>
        <w:pStyle w:val="P68B1DB1-Normal1"/>
        <w:spacing w:before="120" w:after="120" w:line="240" w:lineRule="auto"/>
        <w:jc w:val="both"/>
        <w:rPr>
          <w:rFonts w:cs="Times New Roman"/>
          <w:noProof/>
        </w:rPr>
      </w:pPr>
      <w:r>
        <w:rPr>
          <w:noProof/>
        </w:rPr>
        <w:t xml:space="preserve">Las medidas propuestas en el marco de este </w:t>
      </w:r>
      <w:r>
        <w:rPr>
          <w:noProof/>
        </w:rPr>
        <w:t xml:space="preserve">componente del plan belga de recuperación y resiliencia tienen por objeto reforzar la integración social y en el mercado laboral de los grupos vulnerables, incluidas las personas de origen migrante, las mujeres, las personas con discapacidad, los presos y </w:t>
      </w:r>
      <w:r>
        <w:rPr>
          <w:noProof/>
        </w:rPr>
        <w:t>las personas en riesgo de exclusión digital. Varias de las medidas tienen por objeto fomentar la inclusión digital y mejorar el acceso a servicios esenciales, como la administración electrónica, combinando el suministro de equipos digitales con la formació</w:t>
      </w:r>
      <w:r>
        <w:rPr>
          <w:noProof/>
        </w:rPr>
        <w:t>n en competencias digitales.</w:t>
      </w:r>
    </w:p>
    <w:p w14:paraId="618DC800"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2019.2 sobre el refuerzo de la integración en el mercado laboral de los grupos vulnerables y la Recomendación específica por país n.º 2020.2 sobre la m</w:t>
      </w:r>
      <w:r>
        <w:rPr>
          <w:noProof/>
        </w:rPr>
        <w:t>itigación del impacto social y en el empleo de la crisis.</w:t>
      </w:r>
    </w:p>
    <w:p w14:paraId="173EA236" w14:textId="77777777" w:rsidR="00F208CE" w:rsidRDefault="00513E84">
      <w:pPr>
        <w:pStyle w:val="Text1"/>
        <w:ind w:left="0"/>
        <w:rPr>
          <w:b/>
          <w:i/>
          <w:noProof/>
        </w:rPr>
      </w:pPr>
      <w:r>
        <w:rPr>
          <w:b/>
          <w:noProof/>
          <w:u w:val="single"/>
        </w:rPr>
        <w:t xml:space="preserve">K.1. </w:t>
      </w:r>
      <w:r>
        <w:rPr>
          <w:noProof/>
        </w:rPr>
        <w:t xml:space="preserve"> </w:t>
      </w:r>
      <w:r>
        <w:rPr>
          <w:b/>
          <w:noProof/>
          <w:u w:val="single"/>
        </w:rPr>
        <w:t>Descripción de las reformas e inversiones para la ayuda financiera no reembolsable</w:t>
      </w:r>
    </w:p>
    <w:p w14:paraId="58E1AEE8" w14:textId="77777777" w:rsidR="00F208CE" w:rsidRDefault="00513E84">
      <w:pPr>
        <w:pStyle w:val="P68B1DB1-Text19"/>
        <w:ind w:left="0"/>
        <w:rPr>
          <w:noProof/>
        </w:rPr>
      </w:pPr>
      <w:r>
        <w:rPr>
          <w:noProof/>
        </w:rPr>
        <w:t>Reforma R-4.04: «Lucha contra la discriminación en el mercado laboral» del Estado federal</w:t>
      </w:r>
    </w:p>
    <w:p w14:paraId="64FFEA72" w14:textId="77777777" w:rsidR="00F208CE" w:rsidRDefault="00513E84">
      <w:pPr>
        <w:pStyle w:val="Text1"/>
        <w:ind w:left="0"/>
        <w:rPr>
          <w:noProof/>
        </w:rPr>
      </w:pPr>
      <w:r>
        <w:rPr>
          <w:noProof/>
        </w:rPr>
        <w:t>La reforma tiene po</w:t>
      </w:r>
      <w:r>
        <w:rPr>
          <w:noProof/>
        </w:rPr>
        <w:t>r objeto abordar la discriminación en el mercado laboral y consiste en (1) mejorar el marco regulador de las pruebas de discriminación (2) mejorando las herramientas y los datos disponibles para los controles específicos y (3) la formación y el refuerzo de</w:t>
      </w:r>
      <w:r>
        <w:rPr>
          <w:noProof/>
        </w:rPr>
        <w:t xml:space="preserve"> los servicios de supervisión de la legislación social del Servicio Público Federal de Empleo, Trabajo y Diálogo Social con el fin de mejorar la eficacia de las pruebas discriminatorias. El marco regulador adaptado sobre pruebas de discriminación entrará e</w:t>
      </w:r>
      <w:r>
        <w:rPr>
          <w:noProof/>
        </w:rPr>
        <w:t>n vigor a más tardar el 1 de enero de 2024.</w:t>
      </w:r>
    </w:p>
    <w:p w14:paraId="48D21465" w14:textId="77777777" w:rsidR="00F208CE" w:rsidRDefault="00513E84">
      <w:pPr>
        <w:pStyle w:val="P68B1DB1-Text19"/>
        <w:ind w:left="0"/>
        <w:rPr>
          <w:noProof/>
        </w:rPr>
      </w:pPr>
      <w:r>
        <w:rPr>
          <w:noProof/>
        </w:rPr>
        <w:t>Reforma R-4.05: «Estrategia de recalificación» de la Región de Bruselas-Capital</w:t>
      </w:r>
    </w:p>
    <w:p w14:paraId="3E653FA2" w14:textId="5E4C8CC5" w:rsidR="00F208CE" w:rsidRDefault="00513E84">
      <w:pPr>
        <w:pStyle w:val="Text1"/>
        <w:ind w:left="0"/>
        <w:rPr>
          <w:noProof/>
        </w:rPr>
      </w:pPr>
      <w:r>
        <w:rPr>
          <w:noProof/>
        </w:rPr>
        <w:t>La reforma tiene por objeto promover la integración sostenible de los grupos vulnerables en el mercado laboral y consiste en la adop</w:t>
      </w:r>
      <w:r>
        <w:rPr>
          <w:noProof/>
        </w:rPr>
        <w:t>ción de dos textos reglamentarios destinados a: (1) la introducción de una evaluación sistemática de las capacidades digitales y lingüísticas o de un itinerario de desarrollo para los demandantes de empleo en Bruselas y (2) la introducción de un régimen de</w:t>
      </w:r>
      <w:r>
        <w:rPr>
          <w:noProof/>
        </w:rPr>
        <w:t xml:space="preserve"> primas específico para apoyar a los empleadores en la contratación de solicitantes de empleo con discapacidad. Además, el índice de salida acordado de común acuerdo (</w:t>
      </w:r>
      <w:r>
        <w:rPr>
          <w:i/>
          <w:noProof/>
        </w:rPr>
        <w:t>taux de sortie vers l’emploi</w:t>
      </w:r>
      <w:r>
        <w:rPr>
          <w:noProof/>
        </w:rPr>
        <w:t>) se incorporará a los contratos de gestión de Actiris, Bruxe</w:t>
      </w:r>
      <w:r>
        <w:rPr>
          <w:noProof/>
        </w:rPr>
        <w:t xml:space="preserve">lles Formation y VDAB Brussel para el período 2023-2027, estableciendo el marco para su aplicación, seguimiento y evaluación de impacto. Los actos reglamentarios que promuevan la integración de los grupos vulnerables en el mercado laboral </w:t>
      </w:r>
      <w:r>
        <w:rPr>
          <w:rStyle w:val="eop"/>
          <w:noProof/>
          <w:color w:val="000000"/>
          <w:shd w:val="clear" w:color="auto" w:fill="FFFFFF"/>
        </w:rPr>
        <w:t>entrarán en vigor</w:t>
      </w:r>
      <w:r>
        <w:rPr>
          <w:rStyle w:val="eop"/>
          <w:noProof/>
          <w:color w:val="000000"/>
          <w:shd w:val="clear" w:color="auto" w:fill="FFFFFF"/>
        </w:rPr>
        <w:t xml:space="preserve"> a más tardar el 31 de diciembre de 2024.</w:t>
      </w:r>
    </w:p>
    <w:p w14:paraId="4D46F4A1" w14:textId="77777777" w:rsidR="00F208CE" w:rsidRDefault="00513E84">
      <w:pPr>
        <w:pStyle w:val="P68B1DB1-Text19"/>
        <w:ind w:left="0"/>
        <w:rPr>
          <w:noProof/>
        </w:rPr>
      </w:pPr>
      <w:r>
        <w:rPr>
          <w:noProof/>
        </w:rPr>
        <w:t>Reforma R-4.06: «Un mercado de trabajo inclusivo» de la Comunidad Flamenca</w:t>
      </w:r>
    </w:p>
    <w:p w14:paraId="3623A8F8" w14:textId="77777777" w:rsidR="00F208CE" w:rsidRDefault="00513E84">
      <w:pPr>
        <w:pStyle w:val="Text1"/>
        <w:ind w:left="0"/>
        <w:rPr>
          <w:noProof/>
        </w:rPr>
      </w:pPr>
      <w:r>
        <w:rPr>
          <w:noProof/>
        </w:rPr>
        <w:t xml:space="preserve">La reforma tiene por objeto integrar a las personas de origen migrante en el mercado laboral y consiste en (1) desarrollar una trayectoria </w:t>
      </w:r>
      <w:r>
        <w:rPr>
          <w:noProof/>
        </w:rPr>
        <w:t>integrada para apoyar a los recién llegados (migrantes de nacionalidad no perteneciente a la UE) en su integración en la sociedad y, en particular, en el mercado laboral, y (2) reforzar la política de no discriminación a nivel sectorial, en particular medi</w:t>
      </w:r>
      <w:r>
        <w:rPr>
          <w:noProof/>
        </w:rPr>
        <w:t>ante la mejora del seguimiento y el establecimiento de acciones específicas, como formación sobre cómo abordar la discriminación y acciones específicas para los grupos desfavorecidos. La aplicación de la reforma se completará a más tardar el 31 de diciembr</w:t>
      </w:r>
      <w:r>
        <w:rPr>
          <w:noProof/>
        </w:rPr>
        <w:t>e de 2023.</w:t>
      </w:r>
    </w:p>
    <w:p w14:paraId="1115FBD4" w14:textId="77777777" w:rsidR="00F208CE" w:rsidRDefault="00513E84">
      <w:pPr>
        <w:pStyle w:val="P68B1DB1-Text19"/>
        <w:ind w:left="0"/>
        <w:rPr>
          <w:noProof/>
        </w:rPr>
      </w:pPr>
      <w:r>
        <w:rPr>
          <w:noProof/>
        </w:rPr>
        <w:t>Inversión I-4.07: «Estrategia de recalificación» de la Región de Bruselas-Capital</w:t>
      </w:r>
    </w:p>
    <w:p w14:paraId="136A9D4E" w14:textId="77777777" w:rsidR="00F208CE" w:rsidRDefault="00513E84">
      <w:pPr>
        <w:pStyle w:val="Text1"/>
        <w:ind w:left="0"/>
        <w:rPr>
          <w:noProof/>
        </w:rPr>
      </w:pPr>
      <w:r>
        <w:rPr>
          <w:noProof/>
        </w:rPr>
        <w:t>La inversión tiene por objeto promover la integración sostenible de los grupos vulnerables en el mercado laboral y consiste en (1) establecer una trayectoria de fo</w:t>
      </w:r>
      <w:r>
        <w:rPr>
          <w:noProof/>
        </w:rPr>
        <w:t>rmación sistemática, centrada en el refuerzo de las competencias lingüísticas y digitales de los desempleados, (2) proporcionar servicios de guardería «de emergencia» para los padres contratados o que siguen una formación y (3) apoyar la innovación social,</w:t>
      </w:r>
      <w:r>
        <w:rPr>
          <w:noProof/>
        </w:rPr>
        <w:t xml:space="preserve"> incluidos proyectos piloto relacionados con la innovación social. La ejecución de la inversión deberá estar terminada a más tardar el 31 de diciembre de 2025.</w:t>
      </w:r>
    </w:p>
    <w:p w14:paraId="7C217008" w14:textId="77777777" w:rsidR="00F208CE" w:rsidRDefault="00513E84">
      <w:pPr>
        <w:pStyle w:val="P68B1DB1-Text19"/>
        <w:ind w:left="0"/>
        <w:rPr>
          <w:noProof/>
        </w:rPr>
      </w:pPr>
      <w:r>
        <w:rPr>
          <w:noProof/>
        </w:rPr>
        <w:t>Inversión I-4.08: «Inclusión electrónica para Bélgica» del Estado Federal</w:t>
      </w:r>
    </w:p>
    <w:p w14:paraId="75D24E8C" w14:textId="77777777" w:rsidR="00F208CE" w:rsidRDefault="00513E84">
      <w:pPr>
        <w:pStyle w:val="Text1"/>
        <w:ind w:left="0"/>
        <w:rPr>
          <w:noProof/>
        </w:rPr>
      </w:pPr>
      <w:r>
        <w:rPr>
          <w:noProof/>
        </w:rPr>
        <w:t>La inversión tiene por</w:t>
      </w:r>
      <w:r>
        <w:rPr>
          <w:noProof/>
        </w:rPr>
        <w:t xml:space="preserve"> objeto fomentar la integración social y económica de los grupos vulnerables en la sociedad mediante la mejora de sus competencias digitales. La inversión consiste en una convocatoria de proyectos para apoyar la inclusión digital de los grupos vulnerables.</w:t>
      </w:r>
      <w:r>
        <w:rPr>
          <w:noProof/>
        </w:rPr>
        <w:t xml:space="preserve"> Los proyectos tendrán por objeto: </w:t>
      </w:r>
    </w:p>
    <w:p w14:paraId="78AF6373" w14:textId="77777777" w:rsidR="00F208CE" w:rsidRDefault="00513E84">
      <w:pPr>
        <w:rPr>
          <w:rFonts w:ascii="Times New Roman" w:hAnsi="Times New Roman" w:cs="Times New Roman"/>
          <w:noProof/>
          <w:sz w:val="24"/>
        </w:rPr>
      </w:pPr>
      <w:r>
        <w:rPr>
          <w:noProof/>
        </w:rPr>
        <w:br w:type="page"/>
      </w:r>
    </w:p>
    <w:p w14:paraId="29D3D3AD" w14:textId="201C4C7F" w:rsidR="00F208CE" w:rsidRDefault="00513E84">
      <w:pPr>
        <w:pStyle w:val="Text1"/>
        <w:ind w:left="0"/>
        <w:rPr>
          <w:noProof/>
        </w:rPr>
      </w:pPr>
      <w:r>
        <w:rPr>
          <w:noProof/>
        </w:rPr>
        <w:t>Los proyectos tendrán por objeto (1) sensibilizar a los grupos destinatarios vulnerables para que se familiaricen con las TIC pertinentes con el fin de mejorar su situación personal y reforzar la integración social, (2</w:t>
      </w:r>
      <w:r>
        <w:rPr>
          <w:noProof/>
        </w:rPr>
        <w:t xml:space="preserve">) mejorar las capacidades digitales de los grupos destinatarios vulnerables con el fin de mejorar su situación personal y reforzar la integración social, o (3) mejorar las capacidades digitales de los cuidadores de los grupos destinatarios vulnerables. La </w:t>
      </w:r>
      <w:r>
        <w:rPr>
          <w:noProof/>
        </w:rPr>
        <w:t>ejecución de la inversión deberá estar terminada a más tardar el 30 de junio de 2024.</w:t>
      </w:r>
    </w:p>
    <w:p w14:paraId="3E6C558F" w14:textId="77777777" w:rsidR="00F208CE" w:rsidRDefault="00513E84">
      <w:pPr>
        <w:pStyle w:val="P68B1DB1-Text19"/>
        <w:ind w:left="0"/>
        <w:rPr>
          <w:noProof/>
        </w:rPr>
      </w:pPr>
      <w:r>
        <w:rPr>
          <w:noProof/>
        </w:rPr>
        <w:t>Inversión I-4.09: «Plataformas digitales para presos» del Estado Federal</w:t>
      </w:r>
    </w:p>
    <w:p w14:paraId="5D1B3440" w14:textId="77777777" w:rsidR="00F208CE" w:rsidRDefault="00513E84">
      <w:pPr>
        <w:pStyle w:val="Text1"/>
        <w:ind w:left="0"/>
        <w:rPr>
          <w:noProof/>
        </w:rPr>
      </w:pPr>
      <w:r>
        <w:rPr>
          <w:noProof/>
        </w:rPr>
        <w:t>La inversión tiene por objeto fomentar la integración social y económica de los presos en la soci</w:t>
      </w:r>
      <w:r>
        <w:rPr>
          <w:noProof/>
        </w:rPr>
        <w:t>edad a través de los servicios digitales. La inversión consiste en desarrollar una plataforma digital dentro de las cárceles que permita a los reclusos seguir formaciones, acceder a los servicios penitenciarios y a los servicios de rehabilitación, así como</w:t>
      </w:r>
      <w:r>
        <w:rPr>
          <w:noProof/>
        </w:rPr>
        <w:t xml:space="preserve"> buscar o solicitar un empleo. La ejecución de la inversión deberá estar terminada a más tardar el 31 de diciembre de 2024.</w:t>
      </w:r>
    </w:p>
    <w:p w14:paraId="77B06B44" w14:textId="77777777" w:rsidR="00F208CE" w:rsidRDefault="00513E84">
      <w:pPr>
        <w:pStyle w:val="P68B1DB1-Text19"/>
        <w:ind w:left="0"/>
        <w:rPr>
          <w:noProof/>
        </w:rPr>
      </w:pPr>
      <w:r>
        <w:rPr>
          <w:noProof/>
        </w:rPr>
        <w:t>Inversión I-4.10: «Género y trabajo» del Estado Federal</w:t>
      </w:r>
    </w:p>
    <w:p w14:paraId="460FFEBF" w14:textId="77777777" w:rsidR="00F208CE" w:rsidRDefault="00513E84">
      <w:pPr>
        <w:pStyle w:val="Text1"/>
        <w:ind w:left="0"/>
        <w:rPr>
          <w:noProof/>
        </w:rPr>
      </w:pPr>
      <w:r>
        <w:rPr>
          <w:noProof/>
        </w:rPr>
        <w:t>La inversión tiene por objeto analizar la desigualdad de género en el mercad</w:t>
      </w:r>
      <w:r>
        <w:rPr>
          <w:noProof/>
        </w:rPr>
        <w:t xml:space="preserve">o laboral y promover la integración de las mujeres en el mercado laboral. La inversión consiste en lanzar una convocatoria de proyectos centrados en la integración de las mujeres vulnerables en el mercado laboral. La ejecución de la inversión deberá estar </w:t>
      </w:r>
      <w:r>
        <w:rPr>
          <w:noProof/>
        </w:rPr>
        <w:t>terminada a más tardar el 31 de diciembre de 2024.</w:t>
      </w:r>
    </w:p>
    <w:p w14:paraId="6EACC6B7" w14:textId="77777777" w:rsidR="00F208CE" w:rsidRDefault="00513E84">
      <w:pPr>
        <w:pStyle w:val="P68B1DB1-Text19"/>
        <w:ind w:left="0"/>
        <w:rPr>
          <w:noProof/>
        </w:rPr>
      </w:pPr>
      <w:r>
        <w:rPr>
          <w:noProof/>
        </w:rPr>
        <w:t>Inversión I-4.11: «Digibanks» de la Región Flamenca</w:t>
      </w:r>
    </w:p>
    <w:p w14:paraId="2AEF982A" w14:textId="3C1740D0" w:rsidR="00F208CE" w:rsidRDefault="00513E84">
      <w:pPr>
        <w:pStyle w:val="Text1"/>
        <w:ind w:left="0"/>
        <w:rPr>
          <w:noProof/>
        </w:rPr>
        <w:sectPr w:rsidR="00F208CE" w:rsidSect="008A4840">
          <w:headerReference w:type="even" r:id="rId118"/>
          <w:headerReference w:type="default" r:id="rId119"/>
          <w:footerReference w:type="even" r:id="rId120"/>
          <w:footerReference w:type="default" r:id="rId121"/>
          <w:headerReference w:type="first" r:id="rId122"/>
          <w:footerReference w:type="first" r:id="rId123"/>
          <w:pgSz w:w="11907" w:h="16839"/>
          <w:pgMar w:top="1134" w:right="1134" w:bottom="1134" w:left="1134" w:header="567" w:footer="567" w:gutter="0"/>
          <w:cols w:space="720"/>
          <w:docGrid w:linePitch="360"/>
        </w:sectPr>
      </w:pPr>
      <w:r>
        <w:rPr>
          <w:noProof/>
        </w:rPr>
        <w:t xml:space="preserve">La inversión tiene por objeto promover la integración social y económica de los grupos </w:t>
      </w:r>
      <w:r>
        <w:rPr>
          <w:noProof/>
        </w:rPr>
        <w:t>vulnerables fomentando su inclusión digital a nivel municipal. La inversión consiste en (1) garantizar la igualdad de acceso a la tecnología digital, (2) proporcionar formación y compartir conocimientos para reforzar las capacidades digitales y (3) proporc</w:t>
      </w:r>
      <w:r>
        <w:rPr>
          <w:noProof/>
        </w:rPr>
        <w:t>ionar acceso digital a servicios esenciales. La ejecución de la inversión deberá estar terminada a más tardar el 31 de diciembre de 2022.</w:t>
      </w:r>
    </w:p>
    <w:p w14:paraId="266BE0A2" w14:textId="1ED3BD70" w:rsidR="00F208CE" w:rsidRDefault="00513E84">
      <w:pPr>
        <w:pStyle w:val="Text1"/>
        <w:ind w:left="0"/>
        <w:rPr>
          <w:b/>
          <w:noProof/>
          <w:u w:val="single"/>
        </w:rPr>
      </w:pPr>
      <w:r>
        <w:rPr>
          <w:b/>
          <w:noProof/>
          <w:u w:val="single"/>
        </w:rPr>
        <w:t xml:space="preserve">K.2. </w:t>
      </w:r>
      <w:r>
        <w:rPr>
          <w:noProof/>
        </w:rPr>
        <w:t xml:space="preserve"> </w:t>
      </w:r>
      <w:r>
        <w:rPr>
          <w:b/>
          <w:noProof/>
          <w:u w:val="single"/>
        </w:rPr>
        <w:t>Hitos, metas, indicadores y calendario para el seguimiento y la ejecución de la ayuda financiera no reembolsable</w:t>
      </w:r>
    </w:p>
    <w:tbl>
      <w:tblPr>
        <w:tblW w:w="15588" w:type="dxa"/>
        <w:jc w:val="center"/>
        <w:tblLayout w:type="fixed"/>
        <w:tblLook w:val="04A0" w:firstRow="1" w:lastRow="0" w:firstColumn="1" w:lastColumn="0" w:noHBand="0" w:noVBand="1"/>
      </w:tblPr>
      <w:tblGrid>
        <w:gridCol w:w="846"/>
        <w:gridCol w:w="1559"/>
        <w:gridCol w:w="1168"/>
        <w:gridCol w:w="1702"/>
        <w:gridCol w:w="1680"/>
        <w:gridCol w:w="1440"/>
        <w:gridCol w:w="1080"/>
        <w:gridCol w:w="720"/>
        <w:gridCol w:w="1140"/>
        <w:gridCol w:w="709"/>
        <w:gridCol w:w="3544"/>
      </w:tblGrid>
      <w:tr w:rsidR="00F208CE" w14:paraId="1BD737D7" w14:textId="77777777">
        <w:trPr>
          <w:trHeight w:val="927"/>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DBE34D" w14:textId="556716DB" w:rsidR="00F208CE" w:rsidRDefault="00513E84">
            <w:pPr>
              <w:pStyle w:val="P68B1DB1-Normal15"/>
              <w:spacing w:after="0"/>
              <w:jc w:val="center"/>
              <w:rPr>
                <w:rFonts w:eastAsia="Times New Roman" w:cs="Times New Roman"/>
                <w:noProof/>
              </w:rPr>
            </w:pPr>
            <w:r>
              <w:rPr>
                <w:noProof/>
              </w:rPr>
              <w:t>Código N.B.:</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ABACA9"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0B7EE7" w14:textId="77777777" w:rsidR="00F208CE" w:rsidRDefault="00513E84">
            <w:pPr>
              <w:pStyle w:val="P68B1DB1-Normal15"/>
              <w:spacing w:after="0"/>
              <w:jc w:val="center"/>
              <w:rPr>
                <w:rFonts w:eastAsia="Times New Roman" w:cs="Times New Roman"/>
                <w:noProof/>
              </w:rPr>
            </w:pPr>
            <w:r>
              <w:rPr>
                <w:noProof/>
              </w:rPr>
              <w:t>Hito/Objetivo</w:t>
            </w:r>
          </w:p>
        </w:tc>
        <w:tc>
          <w:tcPr>
            <w:tcW w:w="1702" w:type="dxa"/>
            <w:vMerge w:val="restart"/>
            <w:tcBorders>
              <w:top w:val="single" w:sz="4" w:space="0" w:color="auto"/>
              <w:left w:val="nil"/>
              <w:bottom w:val="single" w:sz="4" w:space="0" w:color="auto"/>
              <w:right w:val="single" w:sz="4" w:space="0" w:color="auto"/>
            </w:tcBorders>
            <w:shd w:val="clear" w:color="auto" w:fill="BDD7EE"/>
            <w:vAlign w:val="center"/>
            <w:hideMark/>
          </w:tcPr>
          <w:p w14:paraId="6A101D89" w14:textId="77777777" w:rsidR="00F208CE" w:rsidRDefault="00513E84">
            <w:pPr>
              <w:pStyle w:val="P68B1DB1-Normal15"/>
              <w:spacing w:after="0"/>
              <w:jc w:val="center"/>
              <w:rPr>
                <w:rFonts w:eastAsia="Times New Roman" w:cs="Times New Roman"/>
                <w:noProof/>
              </w:rPr>
            </w:pPr>
            <w:r>
              <w:rPr>
                <w:noProof/>
              </w:rPr>
              <w:t>Nombre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4A04C3"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240" w:type="dxa"/>
            <w:gridSpan w:val="3"/>
            <w:tcBorders>
              <w:top w:val="single" w:sz="4" w:space="0" w:color="auto"/>
              <w:left w:val="nil"/>
              <w:bottom w:val="single" w:sz="4" w:space="0" w:color="auto"/>
              <w:right w:val="single" w:sz="4" w:space="0" w:color="auto"/>
            </w:tcBorders>
            <w:shd w:val="clear" w:color="auto" w:fill="BDD7EE"/>
            <w:vAlign w:val="center"/>
            <w:hideMark/>
          </w:tcPr>
          <w:p w14:paraId="3DA56736"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849" w:type="dxa"/>
            <w:gridSpan w:val="2"/>
            <w:tcBorders>
              <w:top w:val="single" w:sz="4" w:space="0" w:color="auto"/>
              <w:left w:val="nil"/>
              <w:bottom w:val="single" w:sz="4" w:space="0" w:color="auto"/>
              <w:right w:val="single" w:sz="4" w:space="0" w:color="auto"/>
            </w:tcBorders>
            <w:shd w:val="clear" w:color="auto" w:fill="BDD7EE"/>
            <w:vAlign w:val="center"/>
            <w:hideMark/>
          </w:tcPr>
          <w:p w14:paraId="0D754934"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860769"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53964A24" w14:textId="77777777">
        <w:trPr>
          <w:trHeight w:val="101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A85EDC7" w14:textId="77777777" w:rsidR="00F208CE" w:rsidRDefault="00F208CE">
            <w:pPr>
              <w:spacing w:after="0"/>
              <w:rPr>
                <w:rFonts w:ascii="Times New Roman" w:eastAsia="Times New Roman" w:hAnsi="Times New Roman" w:cs="Times New Roman"/>
                <w:b/>
                <w:noProof/>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EFFA762" w14:textId="77777777" w:rsidR="00F208CE" w:rsidRDefault="00F208CE">
            <w:pPr>
              <w:spacing w:after="0"/>
              <w:rPr>
                <w:rFonts w:ascii="Times New Roman" w:eastAsia="Times New Roman" w:hAnsi="Times New Roman" w:cs="Times New Roman"/>
                <w:b/>
                <w:noProof/>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60C54E5D" w14:textId="77777777" w:rsidR="00F208CE" w:rsidRDefault="00F208CE">
            <w:pPr>
              <w:spacing w:after="0"/>
              <w:rPr>
                <w:rFonts w:ascii="Times New Roman" w:eastAsia="Times New Roman" w:hAnsi="Times New Roman" w:cs="Times New Roman"/>
                <w:b/>
                <w:noProof/>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5C380E"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8DF24A3" w14:textId="77777777" w:rsidR="00F208CE" w:rsidRDefault="00F208CE">
            <w:pPr>
              <w:spacing w:after="0"/>
              <w:rPr>
                <w:rFonts w:ascii="Times New Roman" w:eastAsia="Times New Roman" w:hAnsi="Times New Roman" w:cs="Times New Roman"/>
                <w:b/>
                <w:noProof/>
              </w:rPr>
            </w:pPr>
          </w:p>
        </w:tc>
        <w:tc>
          <w:tcPr>
            <w:tcW w:w="1440" w:type="dxa"/>
            <w:tcBorders>
              <w:top w:val="nil"/>
              <w:left w:val="single" w:sz="4" w:space="0" w:color="auto"/>
              <w:bottom w:val="single" w:sz="4" w:space="0" w:color="auto"/>
              <w:right w:val="single" w:sz="4" w:space="0" w:color="auto"/>
            </w:tcBorders>
            <w:shd w:val="clear" w:color="auto" w:fill="BDD7EE"/>
            <w:vAlign w:val="center"/>
            <w:hideMark/>
          </w:tcPr>
          <w:p w14:paraId="338D59DB" w14:textId="77777777" w:rsidR="00F208CE" w:rsidRDefault="00513E84">
            <w:pPr>
              <w:pStyle w:val="P68B1DB1-Normal15"/>
              <w:spacing w:after="0"/>
              <w:jc w:val="center"/>
              <w:rPr>
                <w:rFonts w:eastAsia="Times New Roman" w:cs="Times New Roman"/>
                <w:noProof/>
              </w:rPr>
            </w:pPr>
            <w:r>
              <w:rPr>
                <w:noProof/>
              </w:rPr>
              <w:t xml:space="preserve">Unidad de </w:t>
            </w:r>
            <w:r>
              <w:rPr>
                <w:noProof/>
              </w:rPr>
              <w:t>medida</w:t>
            </w:r>
          </w:p>
        </w:tc>
        <w:tc>
          <w:tcPr>
            <w:tcW w:w="1080" w:type="dxa"/>
            <w:tcBorders>
              <w:top w:val="nil"/>
              <w:left w:val="nil"/>
              <w:bottom w:val="single" w:sz="4" w:space="0" w:color="auto"/>
              <w:right w:val="single" w:sz="4" w:space="0" w:color="auto"/>
            </w:tcBorders>
            <w:shd w:val="clear" w:color="auto" w:fill="BDD7EE"/>
            <w:vAlign w:val="center"/>
            <w:hideMark/>
          </w:tcPr>
          <w:p w14:paraId="50BCFBD4" w14:textId="77777777" w:rsidR="00F208CE" w:rsidRDefault="00513E84">
            <w:pPr>
              <w:pStyle w:val="P68B1DB1-Normal15"/>
              <w:spacing w:after="0"/>
              <w:jc w:val="center"/>
              <w:rPr>
                <w:rFonts w:eastAsia="Times New Roman" w:cs="Times New Roman"/>
                <w:noProof/>
              </w:rPr>
            </w:pPr>
            <w:r>
              <w:rPr>
                <w:noProof/>
              </w:rPr>
              <w:t xml:space="preserve">Basal </w:t>
            </w:r>
          </w:p>
        </w:tc>
        <w:tc>
          <w:tcPr>
            <w:tcW w:w="720" w:type="dxa"/>
            <w:tcBorders>
              <w:top w:val="nil"/>
              <w:left w:val="nil"/>
              <w:bottom w:val="single" w:sz="4" w:space="0" w:color="auto"/>
              <w:right w:val="single" w:sz="4" w:space="0" w:color="auto"/>
            </w:tcBorders>
            <w:shd w:val="clear" w:color="auto" w:fill="BDD7EE"/>
            <w:vAlign w:val="center"/>
            <w:hideMark/>
          </w:tcPr>
          <w:p w14:paraId="7D15C29D" w14:textId="77777777" w:rsidR="00F208CE" w:rsidRDefault="00513E84">
            <w:pPr>
              <w:pStyle w:val="P68B1DB1-Normal15"/>
              <w:spacing w:after="0"/>
              <w:jc w:val="center"/>
              <w:rPr>
                <w:rFonts w:eastAsia="Times New Roman" w:cs="Times New Roman"/>
                <w:noProof/>
              </w:rPr>
            </w:pPr>
            <w:r>
              <w:rPr>
                <w:noProof/>
              </w:rPr>
              <w:t xml:space="preserve">Meta </w:t>
            </w:r>
          </w:p>
        </w:tc>
        <w:tc>
          <w:tcPr>
            <w:tcW w:w="1140" w:type="dxa"/>
            <w:tcBorders>
              <w:top w:val="nil"/>
              <w:left w:val="nil"/>
              <w:bottom w:val="single" w:sz="4" w:space="0" w:color="auto"/>
              <w:right w:val="single" w:sz="4" w:space="0" w:color="auto"/>
            </w:tcBorders>
            <w:shd w:val="clear" w:color="auto" w:fill="BDD7EE"/>
            <w:vAlign w:val="center"/>
            <w:hideMark/>
          </w:tcPr>
          <w:p w14:paraId="46D7EFA1" w14:textId="77777777" w:rsidR="00F208CE" w:rsidRDefault="00513E84">
            <w:pPr>
              <w:pStyle w:val="P68B1DB1-Normal15"/>
              <w:spacing w:after="0"/>
              <w:jc w:val="center"/>
              <w:rPr>
                <w:rFonts w:eastAsia="Times New Roman" w:cs="Times New Roman"/>
                <w:noProof/>
              </w:rPr>
            </w:pPr>
            <w:r>
              <w:rPr>
                <w:noProof/>
              </w:rPr>
              <w:t>Trimestre</w:t>
            </w:r>
          </w:p>
        </w:tc>
        <w:tc>
          <w:tcPr>
            <w:tcW w:w="709" w:type="dxa"/>
            <w:tcBorders>
              <w:top w:val="nil"/>
              <w:left w:val="nil"/>
              <w:bottom w:val="single" w:sz="4" w:space="0" w:color="auto"/>
              <w:right w:val="single" w:sz="4" w:space="0" w:color="auto"/>
            </w:tcBorders>
            <w:shd w:val="clear" w:color="auto" w:fill="BDD7EE"/>
            <w:vAlign w:val="center"/>
            <w:hideMark/>
          </w:tcPr>
          <w:p w14:paraId="6510D139" w14:textId="77777777" w:rsidR="00F208CE" w:rsidRDefault="00513E84">
            <w:pPr>
              <w:pStyle w:val="P68B1DB1-Normal15"/>
              <w:spacing w:after="0"/>
              <w:jc w:val="center"/>
              <w:rPr>
                <w:rFonts w:eastAsia="Times New Roman" w:cs="Times New Roman"/>
                <w:noProof/>
              </w:rPr>
            </w:pPr>
            <w:r>
              <w:rPr>
                <w:noProof/>
              </w:rPr>
              <w:t>Año</w:t>
            </w:r>
          </w:p>
        </w:tc>
        <w:tc>
          <w:tcPr>
            <w:tcW w:w="3544" w:type="dxa"/>
            <w:vMerge/>
            <w:tcBorders>
              <w:top w:val="single" w:sz="4" w:space="0" w:color="auto"/>
              <w:bottom w:val="single" w:sz="4" w:space="0" w:color="auto"/>
              <w:right w:val="single" w:sz="4" w:space="0" w:color="auto"/>
            </w:tcBorders>
            <w:vAlign w:val="center"/>
            <w:hideMark/>
          </w:tcPr>
          <w:p w14:paraId="51375A76" w14:textId="77777777" w:rsidR="00F208CE" w:rsidRDefault="00F208CE">
            <w:pPr>
              <w:spacing w:after="0"/>
              <w:rPr>
                <w:rFonts w:ascii="Times New Roman" w:eastAsia="Times New Roman" w:hAnsi="Times New Roman" w:cs="Times New Roman"/>
                <w:b/>
                <w:noProof/>
              </w:rPr>
            </w:pPr>
          </w:p>
        </w:tc>
      </w:tr>
      <w:tr w:rsidR="00F208CE" w14:paraId="6E5C0B04" w14:textId="77777777">
        <w:trPr>
          <w:trHeight w:val="309"/>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7A728C9" w14:textId="77777777" w:rsidR="00F208CE" w:rsidRDefault="00513E84">
            <w:pPr>
              <w:pStyle w:val="P68B1DB1-Normal8"/>
              <w:spacing w:after="0"/>
              <w:jc w:val="center"/>
              <w:rPr>
                <w:rFonts w:eastAsia="Times New Roman" w:cs="Times New Roman"/>
                <w:noProof/>
              </w:rPr>
            </w:pPr>
            <w:r>
              <w:rPr>
                <w:noProof/>
              </w:rPr>
              <w:t>139</w:t>
            </w:r>
          </w:p>
        </w:tc>
        <w:tc>
          <w:tcPr>
            <w:tcW w:w="1559" w:type="dxa"/>
            <w:tcBorders>
              <w:top w:val="single" w:sz="4" w:space="0" w:color="auto"/>
              <w:left w:val="nil"/>
              <w:bottom w:val="single" w:sz="4" w:space="0" w:color="auto"/>
              <w:right w:val="single" w:sz="4" w:space="0" w:color="auto"/>
            </w:tcBorders>
            <w:shd w:val="clear" w:color="auto" w:fill="C6EFCE"/>
            <w:noWrap/>
            <w:vAlign w:val="center"/>
            <w:hideMark/>
          </w:tcPr>
          <w:p w14:paraId="72D47B76" w14:textId="77777777" w:rsidR="00F208CE" w:rsidRDefault="00513E84">
            <w:pPr>
              <w:pStyle w:val="P68B1DB1-Normal8"/>
              <w:spacing w:after="0"/>
              <w:rPr>
                <w:rFonts w:eastAsia="Times New Roman" w:cs="Times New Roman"/>
                <w:noProof/>
              </w:rPr>
            </w:pPr>
            <w:r>
              <w:rPr>
                <w:noProof/>
              </w:rPr>
              <w:t>Estrategia de recalificación (R-4.05)</w:t>
            </w:r>
          </w:p>
        </w:tc>
        <w:tc>
          <w:tcPr>
            <w:tcW w:w="1168" w:type="dxa"/>
            <w:tcBorders>
              <w:top w:val="single" w:sz="4" w:space="0" w:color="auto"/>
              <w:left w:val="nil"/>
              <w:bottom w:val="single" w:sz="4" w:space="0" w:color="auto"/>
              <w:right w:val="single" w:sz="4" w:space="0" w:color="auto"/>
            </w:tcBorders>
            <w:shd w:val="clear" w:color="auto" w:fill="C6EFCE"/>
            <w:noWrap/>
            <w:vAlign w:val="center"/>
            <w:hideMark/>
          </w:tcPr>
          <w:p w14:paraId="5C9152E7" w14:textId="25E5E1D8" w:rsidR="00F208CE" w:rsidRDefault="00513E84">
            <w:pPr>
              <w:pStyle w:val="P68B1DB1-Normal8"/>
              <w:spacing w:after="0"/>
              <w:jc w:val="center"/>
              <w:rPr>
                <w:rFonts w:eastAsia="Times New Roman" w:cs="Times New Roman"/>
                <w:noProof/>
              </w:rPr>
            </w:pPr>
            <w:r>
              <w:rPr>
                <w:noProof/>
              </w:rPr>
              <w:t>M</w:t>
            </w:r>
          </w:p>
        </w:tc>
        <w:tc>
          <w:tcPr>
            <w:tcW w:w="1702" w:type="dxa"/>
            <w:tcBorders>
              <w:top w:val="single" w:sz="4" w:space="0" w:color="auto"/>
              <w:left w:val="nil"/>
              <w:bottom w:val="single" w:sz="4" w:space="0" w:color="auto"/>
              <w:right w:val="single" w:sz="4" w:space="0" w:color="auto"/>
            </w:tcBorders>
            <w:shd w:val="clear" w:color="auto" w:fill="C6EFCE"/>
            <w:noWrap/>
            <w:vAlign w:val="center"/>
            <w:hideMark/>
          </w:tcPr>
          <w:p w14:paraId="4E265DA1" w14:textId="77777777" w:rsidR="00F208CE" w:rsidRDefault="00513E84">
            <w:pPr>
              <w:pStyle w:val="P68B1DB1-Normal8"/>
              <w:spacing w:after="0"/>
              <w:rPr>
                <w:rFonts w:eastAsia="Times New Roman" w:cs="Times New Roman"/>
                <w:noProof/>
              </w:rPr>
            </w:pPr>
            <w:r>
              <w:rPr>
                <w:noProof/>
              </w:rPr>
              <w:t>Adopción de textos normativos por el Gobierno de Bruselas para promover la integración de los grupos vulnerables en el mercado laboral</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30E2D10A" w14:textId="77777777" w:rsidR="00F208CE" w:rsidRDefault="00513E84">
            <w:pPr>
              <w:pStyle w:val="P68B1DB1-Normal8"/>
              <w:spacing w:after="0"/>
              <w:rPr>
                <w:rFonts w:eastAsia="Times New Roman" w:cs="Times New Roman"/>
                <w:noProof/>
              </w:rPr>
            </w:pPr>
            <w:r>
              <w:rPr>
                <w:noProof/>
              </w:rPr>
              <w:t xml:space="preserve">Publicación de textos normativos en el </w:t>
            </w:r>
            <w:r>
              <w:rPr>
                <w:noProof/>
              </w:rPr>
              <w:t>Diario Oficial</w:t>
            </w:r>
          </w:p>
        </w:tc>
        <w:tc>
          <w:tcPr>
            <w:tcW w:w="1440" w:type="dxa"/>
            <w:tcBorders>
              <w:top w:val="nil"/>
              <w:left w:val="nil"/>
              <w:bottom w:val="single" w:sz="4" w:space="0" w:color="auto"/>
              <w:right w:val="single" w:sz="4" w:space="0" w:color="auto"/>
            </w:tcBorders>
            <w:shd w:val="clear" w:color="auto" w:fill="C6EFCE"/>
            <w:noWrap/>
            <w:vAlign w:val="center"/>
          </w:tcPr>
          <w:p w14:paraId="087A4786"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56169FD1" w14:textId="77777777"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3CFE0159" w14:textId="77777777" w:rsidR="00F208CE" w:rsidRDefault="00F208CE">
            <w:pPr>
              <w:spacing w:after="0"/>
              <w:jc w:val="right"/>
              <w:rPr>
                <w:rFonts w:ascii="Times New Roman" w:eastAsia="Times New Roman" w:hAnsi="Times New Roman" w:cs="Times New Roman"/>
                <w:noProof/>
                <w:color w:val="006100"/>
              </w:rPr>
            </w:pPr>
          </w:p>
        </w:tc>
        <w:tc>
          <w:tcPr>
            <w:tcW w:w="1140" w:type="dxa"/>
            <w:tcBorders>
              <w:top w:val="nil"/>
              <w:left w:val="nil"/>
              <w:bottom w:val="single" w:sz="4" w:space="0" w:color="auto"/>
              <w:right w:val="single" w:sz="4" w:space="0" w:color="auto"/>
            </w:tcBorders>
            <w:shd w:val="clear" w:color="auto" w:fill="C6EFCE"/>
            <w:noWrap/>
            <w:vAlign w:val="center"/>
            <w:hideMark/>
          </w:tcPr>
          <w:p w14:paraId="778686CD" w14:textId="39C15495"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hideMark/>
          </w:tcPr>
          <w:p w14:paraId="7EEE4DA5" w14:textId="48D6AB00" w:rsidR="00F208CE" w:rsidRDefault="00513E84">
            <w:pPr>
              <w:pStyle w:val="P68B1DB1-Normal8"/>
              <w:spacing w:after="0"/>
              <w:jc w:val="center"/>
              <w:rPr>
                <w:rFonts w:eastAsia="Times New Roman" w:cs="Times New Roman"/>
                <w:noProof/>
              </w:rPr>
            </w:pPr>
            <w:r>
              <w:rPr>
                <w:noProof/>
              </w:rPr>
              <w:t>2024</w:t>
            </w:r>
          </w:p>
        </w:tc>
        <w:tc>
          <w:tcPr>
            <w:tcW w:w="3544" w:type="dxa"/>
            <w:tcBorders>
              <w:top w:val="single" w:sz="4" w:space="0" w:color="auto"/>
              <w:left w:val="nil"/>
              <w:bottom w:val="single" w:sz="4" w:space="0" w:color="auto"/>
              <w:right w:val="single" w:sz="4" w:space="0" w:color="auto"/>
            </w:tcBorders>
            <w:shd w:val="clear" w:color="auto" w:fill="C6EFCE"/>
            <w:noWrap/>
            <w:vAlign w:val="center"/>
            <w:hideMark/>
          </w:tcPr>
          <w:p w14:paraId="1725B7CB" w14:textId="183A894D" w:rsidR="00F208CE" w:rsidRDefault="00513E84">
            <w:pPr>
              <w:pStyle w:val="P68B1DB1-Normal8"/>
              <w:spacing w:after="0"/>
              <w:rPr>
                <w:rFonts w:eastAsia="Times New Roman" w:cs="Times New Roman"/>
                <w:noProof/>
              </w:rPr>
            </w:pPr>
            <w:r>
              <w:rPr>
                <w:noProof/>
              </w:rPr>
              <w:t>Adopción por el Gobierno de Bruselas de dos textos reglamentarios destinados a promover la integración sostenible de los grupos vulnerables en el mercado laboral, en particular (1) la introducción de una evaluación</w:t>
            </w:r>
            <w:r>
              <w:rPr>
                <w:noProof/>
              </w:rPr>
              <w:t xml:space="preserve"> sistemática de las competencias digitales y lingüísticas o de una vía de desarrollo para los demandantes de empleo en Bruselas, y (2) la introducción de un régimen de primas específico para apoyar a los empleadores en la contratación de solicitantes de em</w:t>
            </w:r>
            <w:r>
              <w:rPr>
                <w:noProof/>
              </w:rPr>
              <w:t>pleo con discapacidad.</w:t>
            </w:r>
          </w:p>
          <w:p w14:paraId="1D089C2C" w14:textId="77777777" w:rsidR="00F208CE" w:rsidRDefault="00513E84">
            <w:pPr>
              <w:pStyle w:val="P68B1DB1-Normal8"/>
              <w:spacing w:after="0"/>
              <w:rPr>
                <w:rFonts w:eastAsia="Times New Roman" w:cs="Times New Roman"/>
                <w:noProof/>
              </w:rPr>
            </w:pPr>
            <w:r>
              <w:rPr>
                <w:noProof/>
              </w:rPr>
              <w:t>Transposición del índice de salida acordado de común acuerdo (</w:t>
            </w:r>
            <w:r>
              <w:rPr>
                <w:i/>
                <w:noProof/>
              </w:rPr>
              <w:t>taux de sortie vers l’emploi</w:t>
            </w:r>
            <w:r>
              <w:rPr>
                <w:noProof/>
              </w:rPr>
              <w:t>) en los contratos de gestión de Actiris, Bruselas y VDAB Brussel para el período 2023-2027, que establece el marco para su aplicación, seguimi</w:t>
            </w:r>
            <w:r>
              <w:rPr>
                <w:noProof/>
              </w:rPr>
              <w:t xml:space="preserve">ento y evaluación de impacto. </w:t>
            </w:r>
          </w:p>
        </w:tc>
      </w:tr>
      <w:tr w:rsidR="00F208CE" w14:paraId="764355EC"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hideMark/>
          </w:tcPr>
          <w:p w14:paraId="5C1F79C9" w14:textId="77777777" w:rsidR="00F208CE" w:rsidRDefault="00513E84">
            <w:pPr>
              <w:pStyle w:val="P68B1DB1-Normal8"/>
              <w:spacing w:after="0"/>
              <w:jc w:val="center"/>
              <w:rPr>
                <w:rFonts w:eastAsia="Times New Roman" w:cs="Times New Roman"/>
                <w:noProof/>
              </w:rPr>
            </w:pPr>
            <w:r>
              <w:rPr>
                <w:noProof/>
              </w:rPr>
              <w:t>140</w:t>
            </w:r>
          </w:p>
        </w:tc>
        <w:tc>
          <w:tcPr>
            <w:tcW w:w="1559" w:type="dxa"/>
            <w:tcBorders>
              <w:top w:val="nil"/>
              <w:left w:val="nil"/>
              <w:bottom w:val="single" w:sz="4" w:space="0" w:color="auto"/>
              <w:right w:val="single" w:sz="4" w:space="0" w:color="auto"/>
            </w:tcBorders>
            <w:shd w:val="clear" w:color="auto" w:fill="C6EFCE"/>
            <w:noWrap/>
            <w:vAlign w:val="center"/>
            <w:hideMark/>
          </w:tcPr>
          <w:p w14:paraId="3E8FEC10" w14:textId="77777777" w:rsidR="00F208CE" w:rsidRDefault="00513E84">
            <w:pPr>
              <w:pStyle w:val="P68B1DB1-Normal8"/>
              <w:spacing w:after="0"/>
              <w:rPr>
                <w:rFonts w:eastAsia="Times New Roman" w:cs="Times New Roman"/>
                <w:noProof/>
              </w:rPr>
            </w:pPr>
            <w:r>
              <w:rPr>
                <w:noProof/>
              </w:rPr>
              <w:t>Lucha contra la discriminación en el mercado laboral (R-4.04)</w:t>
            </w:r>
          </w:p>
        </w:tc>
        <w:tc>
          <w:tcPr>
            <w:tcW w:w="1168" w:type="dxa"/>
            <w:tcBorders>
              <w:top w:val="nil"/>
              <w:left w:val="nil"/>
              <w:bottom w:val="single" w:sz="4" w:space="0" w:color="auto"/>
              <w:right w:val="single" w:sz="4" w:space="0" w:color="auto"/>
            </w:tcBorders>
            <w:shd w:val="clear" w:color="auto" w:fill="C6EFCE"/>
            <w:noWrap/>
            <w:vAlign w:val="center"/>
            <w:hideMark/>
          </w:tcPr>
          <w:p w14:paraId="325FE5B3" w14:textId="7F15D7A2" w:rsidR="00F208CE" w:rsidRDefault="00513E84">
            <w:pPr>
              <w:pStyle w:val="P68B1DB1-Normal8"/>
              <w:spacing w:after="0"/>
              <w:jc w:val="center"/>
              <w:rPr>
                <w:rFonts w:eastAsia="Times New Roman" w:cs="Times New Roman"/>
                <w:noProof/>
              </w:rPr>
            </w:pPr>
            <w:r>
              <w:rPr>
                <w:noProof/>
              </w:rPr>
              <w:t>M</w:t>
            </w:r>
          </w:p>
        </w:tc>
        <w:tc>
          <w:tcPr>
            <w:tcW w:w="1702" w:type="dxa"/>
            <w:tcBorders>
              <w:top w:val="nil"/>
              <w:left w:val="nil"/>
              <w:bottom w:val="single" w:sz="4" w:space="0" w:color="auto"/>
              <w:right w:val="single" w:sz="4" w:space="0" w:color="auto"/>
            </w:tcBorders>
            <w:shd w:val="clear" w:color="auto" w:fill="C6EFCE"/>
            <w:noWrap/>
            <w:vAlign w:val="center"/>
            <w:hideMark/>
          </w:tcPr>
          <w:p w14:paraId="23FBCD3C" w14:textId="77777777" w:rsidR="00F208CE" w:rsidRDefault="00513E84">
            <w:pPr>
              <w:pStyle w:val="P68B1DB1-Normal8"/>
              <w:spacing w:after="0"/>
              <w:rPr>
                <w:rFonts w:eastAsia="Times New Roman" w:cs="Times New Roman"/>
                <w:noProof/>
              </w:rPr>
            </w:pPr>
            <w:r>
              <w:rPr>
                <w:noProof/>
              </w:rPr>
              <w:t>Marco regulador adaptado y mejor aplicación de las pruebas discriminatorias</w:t>
            </w:r>
          </w:p>
        </w:tc>
        <w:tc>
          <w:tcPr>
            <w:tcW w:w="1680" w:type="dxa"/>
            <w:tcBorders>
              <w:top w:val="nil"/>
              <w:left w:val="nil"/>
              <w:bottom w:val="single" w:sz="4" w:space="0" w:color="auto"/>
              <w:right w:val="single" w:sz="4" w:space="0" w:color="auto"/>
            </w:tcBorders>
            <w:shd w:val="clear" w:color="auto" w:fill="C6EFCE"/>
            <w:noWrap/>
            <w:vAlign w:val="center"/>
            <w:hideMark/>
          </w:tcPr>
          <w:p w14:paraId="0DFD3C09" w14:textId="77777777" w:rsidR="00F208CE" w:rsidRDefault="00513E84">
            <w:pPr>
              <w:pStyle w:val="P68B1DB1-Normal8"/>
              <w:spacing w:after="0"/>
              <w:rPr>
                <w:rFonts w:eastAsia="Times New Roman" w:cs="Times New Roman"/>
                <w:noProof/>
              </w:rPr>
            </w:pPr>
            <w:r>
              <w:rPr>
                <w:noProof/>
              </w:rPr>
              <w:t>Publicación del marco reglamentario adaptado en el Diario Oficial</w:t>
            </w:r>
          </w:p>
        </w:tc>
        <w:tc>
          <w:tcPr>
            <w:tcW w:w="1440" w:type="dxa"/>
            <w:tcBorders>
              <w:top w:val="nil"/>
              <w:left w:val="nil"/>
              <w:bottom w:val="single" w:sz="4" w:space="0" w:color="auto"/>
              <w:right w:val="single" w:sz="4" w:space="0" w:color="auto"/>
            </w:tcBorders>
            <w:shd w:val="clear" w:color="auto" w:fill="C6EFCE"/>
            <w:noWrap/>
            <w:vAlign w:val="center"/>
          </w:tcPr>
          <w:p w14:paraId="46F4D274"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393A73EC" w14:textId="77777777"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127DFF07" w14:textId="77777777" w:rsidR="00F208CE" w:rsidRDefault="00F208CE">
            <w:pPr>
              <w:spacing w:after="0"/>
              <w:jc w:val="right"/>
              <w:rPr>
                <w:rFonts w:ascii="Times New Roman" w:eastAsia="Times New Roman" w:hAnsi="Times New Roman" w:cs="Times New Roman"/>
                <w:noProof/>
                <w:color w:val="006100"/>
              </w:rPr>
            </w:pPr>
          </w:p>
        </w:tc>
        <w:tc>
          <w:tcPr>
            <w:tcW w:w="1140" w:type="dxa"/>
            <w:tcBorders>
              <w:top w:val="nil"/>
              <w:left w:val="nil"/>
              <w:bottom w:val="single" w:sz="4" w:space="0" w:color="auto"/>
              <w:right w:val="single" w:sz="4" w:space="0" w:color="auto"/>
            </w:tcBorders>
            <w:shd w:val="clear" w:color="auto" w:fill="C6EFCE"/>
            <w:noWrap/>
            <w:vAlign w:val="center"/>
            <w:hideMark/>
          </w:tcPr>
          <w:p w14:paraId="06AD5E4D" w14:textId="77777777" w:rsidR="00F208CE" w:rsidRDefault="00513E84">
            <w:pPr>
              <w:pStyle w:val="P68B1DB1-Normal8"/>
              <w:spacing w:after="0"/>
              <w:jc w:val="center"/>
              <w:rPr>
                <w:rFonts w:eastAsia="Times New Roman" w:cs="Times New Roman"/>
                <w:noProof/>
              </w:rPr>
            </w:pPr>
            <w:r>
              <w:rPr>
                <w:noProof/>
              </w:rPr>
              <w:t xml:space="preserve">TERCER </w:t>
            </w:r>
            <w:r>
              <w:rPr>
                <w:noProof/>
              </w:rPr>
              <w:t>TRIMESTRE 4</w:t>
            </w:r>
          </w:p>
        </w:tc>
        <w:tc>
          <w:tcPr>
            <w:tcW w:w="709" w:type="dxa"/>
            <w:tcBorders>
              <w:top w:val="nil"/>
              <w:left w:val="nil"/>
              <w:bottom w:val="single" w:sz="4" w:space="0" w:color="auto"/>
              <w:right w:val="single" w:sz="4" w:space="0" w:color="auto"/>
            </w:tcBorders>
            <w:shd w:val="clear" w:color="auto" w:fill="C6EFCE"/>
            <w:noWrap/>
            <w:vAlign w:val="center"/>
            <w:hideMark/>
          </w:tcPr>
          <w:p w14:paraId="440770A3" w14:textId="77777777" w:rsidR="00F208CE" w:rsidRDefault="00513E84">
            <w:pPr>
              <w:pStyle w:val="P68B1DB1-Normal8"/>
              <w:spacing w:after="0"/>
              <w:jc w:val="center"/>
              <w:rPr>
                <w:rFonts w:eastAsia="Times New Roman" w:cs="Times New Roman"/>
                <w:noProof/>
              </w:rPr>
            </w:pPr>
            <w:r>
              <w:rPr>
                <w:noProof/>
              </w:rPr>
              <w:t>2023</w:t>
            </w:r>
          </w:p>
        </w:tc>
        <w:tc>
          <w:tcPr>
            <w:tcW w:w="3544" w:type="dxa"/>
            <w:tcBorders>
              <w:top w:val="nil"/>
              <w:left w:val="nil"/>
              <w:bottom w:val="single" w:sz="4" w:space="0" w:color="auto"/>
              <w:right w:val="single" w:sz="4" w:space="0" w:color="auto"/>
            </w:tcBorders>
            <w:shd w:val="clear" w:color="auto" w:fill="C6EFCE"/>
            <w:noWrap/>
            <w:vAlign w:val="center"/>
          </w:tcPr>
          <w:p w14:paraId="6C78EDAF" w14:textId="77777777" w:rsidR="00F208CE" w:rsidRDefault="00513E84">
            <w:pPr>
              <w:pStyle w:val="P68B1DB1-Normal8"/>
              <w:spacing w:after="0"/>
              <w:rPr>
                <w:rFonts w:eastAsia="Times New Roman" w:cs="Times New Roman"/>
                <w:noProof/>
              </w:rPr>
            </w:pPr>
            <w:r>
              <w:rPr>
                <w:noProof/>
              </w:rPr>
              <w:t>(1) Publicación en el Diario Oficial del marco regulador adaptado de las pruebas discriminatorias (art.42/1 Código Penal Social), (2) mejora de las herramientas y datos para controles específicos y (3) formación y refuerzo de los servicios</w:t>
            </w:r>
            <w:r>
              <w:rPr>
                <w:noProof/>
              </w:rPr>
              <w:t xml:space="preserve"> de supervisión de la legislación social del Servicio Público Federal de Empleo, Trabajo y Diálogo Social con el fin de mejorar la eficacia de las pruebas discriminatorias.</w:t>
            </w:r>
          </w:p>
        </w:tc>
      </w:tr>
      <w:tr w:rsidR="00F208CE" w14:paraId="50087B79"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hideMark/>
          </w:tcPr>
          <w:p w14:paraId="1044289C" w14:textId="77777777" w:rsidR="00F208CE" w:rsidRDefault="00513E84">
            <w:pPr>
              <w:pStyle w:val="P68B1DB1-Normal8"/>
              <w:spacing w:after="0"/>
              <w:jc w:val="center"/>
              <w:rPr>
                <w:rFonts w:eastAsia="Times New Roman" w:cs="Times New Roman"/>
                <w:noProof/>
              </w:rPr>
            </w:pPr>
            <w:r>
              <w:rPr>
                <w:noProof/>
              </w:rPr>
              <w:t>141</w:t>
            </w:r>
          </w:p>
        </w:tc>
        <w:tc>
          <w:tcPr>
            <w:tcW w:w="1559" w:type="dxa"/>
            <w:tcBorders>
              <w:top w:val="nil"/>
              <w:left w:val="nil"/>
              <w:bottom w:val="single" w:sz="4" w:space="0" w:color="auto"/>
              <w:right w:val="single" w:sz="4" w:space="0" w:color="auto"/>
            </w:tcBorders>
            <w:shd w:val="clear" w:color="auto" w:fill="C6EFCE"/>
            <w:noWrap/>
            <w:vAlign w:val="center"/>
            <w:hideMark/>
          </w:tcPr>
          <w:p w14:paraId="21D6B57A" w14:textId="77777777" w:rsidR="00F208CE" w:rsidRDefault="00513E84">
            <w:pPr>
              <w:pStyle w:val="P68B1DB1-Normal8"/>
              <w:spacing w:after="0"/>
              <w:rPr>
                <w:rFonts w:eastAsia="Times New Roman" w:cs="Times New Roman"/>
                <w:noProof/>
              </w:rPr>
            </w:pPr>
            <w:r>
              <w:rPr>
                <w:noProof/>
              </w:rPr>
              <w:t>Un mercado laboral integrador (R-4.06)</w:t>
            </w:r>
          </w:p>
        </w:tc>
        <w:tc>
          <w:tcPr>
            <w:tcW w:w="1168" w:type="dxa"/>
            <w:tcBorders>
              <w:top w:val="nil"/>
              <w:left w:val="nil"/>
              <w:bottom w:val="single" w:sz="4" w:space="0" w:color="auto"/>
              <w:right w:val="single" w:sz="4" w:space="0" w:color="auto"/>
            </w:tcBorders>
            <w:shd w:val="clear" w:color="auto" w:fill="C6EFCE"/>
            <w:noWrap/>
            <w:vAlign w:val="center"/>
            <w:hideMark/>
          </w:tcPr>
          <w:p w14:paraId="44FCC3C4" w14:textId="03FE5C97"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hideMark/>
          </w:tcPr>
          <w:p w14:paraId="2FEF03C1" w14:textId="77777777" w:rsidR="00F208CE" w:rsidRDefault="00513E84">
            <w:pPr>
              <w:pStyle w:val="P68B1DB1-Normal8"/>
              <w:spacing w:after="0"/>
              <w:rPr>
                <w:rFonts w:eastAsia="Times New Roman" w:cs="Times New Roman"/>
                <w:noProof/>
              </w:rPr>
            </w:pPr>
            <w:r>
              <w:rPr>
                <w:noProof/>
              </w:rPr>
              <w:t xml:space="preserve">Finalización de las acciones </w:t>
            </w:r>
            <w:r>
              <w:rPr>
                <w:noProof/>
              </w:rPr>
              <w:t>sectoriales de no discriminación</w:t>
            </w:r>
          </w:p>
        </w:tc>
        <w:tc>
          <w:tcPr>
            <w:tcW w:w="1680" w:type="dxa"/>
            <w:tcBorders>
              <w:top w:val="nil"/>
              <w:left w:val="nil"/>
              <w:bottom w:val="single" w:sz="4" w:space="0" w:color="auto"/>
              <w:right w:val="single" w:sz="4" w:space="0" w:color="auto"/>
            </w:tcBorders>
            <w:shd w:val="clear" w:color="auto" w:fill="C6EFCE"/>
            <w:noWrap/>
            <w:vAlign w:val="center"/>
            <w:hideMark/>
          </w:tcPr>
          <w:p w14:paraId="7F6FDCE0"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hideMark/>
          </w:tcPr>
          <w:p w14:paraId="01796E72" w14:textId="77777777" w:rsidR="00F208CE" w:rsidRDefault="00513E84">
            <w:pPr>
              <w:pStyle w:val="P68B1DB1-Normal8"/>
              <w:spacing w:after="0"/>
              <w:rPr>
                <w:rFonts w:eastAsia="Times New Roman" w:cs="Times New Roman"/>
                <w:noProof/>
              </w:rPr>
            </w:pPr>
            <w:r>
              <w:rPr>
                <w:noProof/>
              </w:rPr>
              <w:t>Sectores</w:t>
            </w:r>
          </w:p>
        </w:tc>
        <w:tc>
          <w:tcPr>
            <w:tcW w:w="1080" w:type="dxa"/>
            <w:tcBorders>
              <w:top w:val="nil"/>
              <w:left w:val="nil"/>
              <w:bottom w:val="single" w:sz="4" w:space="0" w:color="auto"/>
              <w:right w:val="single" w:sz="4" w:space="0" w:color="auto"/>
            </w:tcBorders>
            <w:shd w:val="clear" w:color="auto" w:fill="C6EFCE"/>
            <w:noWrap/>
            <w:vAlign w:val="center"/>
          </w:tcPr>
          <w:p w14:paraId="2A8EC2A3"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41CDBC09" w14:textId="77777777" w:rsidR="00F208CE" w:rsidRDefault="00513E84">
            <w:pPr>
              <w:pStyle w:val="P68B1DB1-Normal8"/>
              <w:spacing w:after="0"/>
              <w:rPr>
                <w:rFonts w:eastAsia="Times New Roman" w:cs="Times New Roman"/>
                <w:noProof/>
              </w:rPr>
            </w:pPr>
            <w:r>
              <w:rPr>
                <w:noProof/>
              </w:rPr>
              <w:t>37</w:t>
            </w:r>
          </w:p>
        </w:tc>
        <w:tc>
          <w:tcPr>
            <w:tcW w:w="1140" w:type="dxa"/>
            <w:tcBorders>
              <w:top w:val="nil"/>
              <w:left w:val="nil"/>
              <w:bottom w:val="single" w:sz="4" w:space="0" w:color="auto"/>
              <w:right w:val="single" w:sz="4" w:space="0" w:color="auto"/>
            </w:tcBorders>
            <w:shd w:val="clear" w:color="auto" w:fill="C6EFCE"/>
            <w:noWrap/>
            <w:vAlign w:val="center"/>
            <w:hideMark/>
          </w:tcPr>
          <w:p w14:paraId="0CB37BED" w14:textId="77777777" w:rsidR="00F208CE" w:rsidRDefault="00513E84">
            <w:pPr>
              <w:pStyle w:val="P68B1DB1-Normal8"/>
              <w:spacing w:after="0"/>
              <w:jc w:val="center"/>
              <w:rPr>
                <w:rFonts w:eastAsia="Times New Roman" w:cs="Times New Roman"/>
                <w:noProof/>
              </w:rPr>
            </w:pPr>
            <w:r>
              <w:rPr>
                <w:noProof/>
              </w:rPr>
              <w:t>TERCER TRIMESTRE 1</w:t>
            </w:r>
          </w:p>
        </w:tc>
        <w:tc>
          <w:tcPr>
            <w:tcW w:w="709" w:type="dxa"/>
            <w:tcBorders>
              <w:top w:val="nil"/>
              <w:left w:val="nil"/>
              <w:bottom w:val="single" w:sz="4" w:space="0" w:color="auto"/>
              <w:right w:val="single" w:sz="4" w:space="0" w:color="auto"/>
            </w:tcBorders>
            <w:shd w:val="clear" w:color="auto" w:fill="C6EFCE"/>
            <w:noWrap/>
            <w:vAlign w:val="center"/>
            <w:hideMark/>
          </w:tcPr>
          <w:p w14:paraId="5CA5FC60" w14:textId="77777777" w:rsidR="00F208CE" w:rsidRDefault="00513E84">
            <w:pPr>
              <w:pStyle w:val="P68B1DB1-Normal8"/>
              <w:spacing w:after="0"/>
              <w:jc w:val="center"/>
              <w:rPr>
                <w:rFonts w:eastAsia="Times New Roman" w:cs="Times New Roman"/>
                <w:noProof/>
              </w:rPr>
            </w:pPr>
            <w:r>
              <w:rPr>
                <w:noProof/>
              </w:rPr>
              <w:t>2023</w:t>
            </w:r>
          </w:p>
        </w:tc>
        <w:tc>
          <w:tcPr>
            <w:tcW w:w="3544" w:type="dxa"/>
            <w:tcBorders>
              <w:top w:val="nil"/>
              <w:left w:val="nil"/>
              <w:bottom w:val="single" w:sz="4" w:space="0" w:color="auto"/>
              <w:right w:val="single" w:sz="4" w:space="0" w:color="auto"/>
            </w:tcBorders>
            <w:shd w:val="clear" w:color="auto" w:fill="C6EFCE"/>
            <w:noWrap/>
            <w:vAlign w:val="center"/>
            <w:hideMark/>
          </w:tcPr>
          <w:p w14:paraId="66CFE170" w14:textId="77777777" w:rsidR="00F208CE" w:rsidRDefault="00513E84">
            <w:pPr>
              <w:pStyle w:val="P68B1DB1-Normal13"/>
              <w:spacing w:after="0"/>
              <w:rPr>
                <w:rFonts w:eastAsia="Times New Roman" w:cs="Times New Roman"/>
                <w:noProof/>
                <w:color w:val="006100"/>
              </w:rPr>
            </w:pPr>
            <w:r>
              <w:rPr>
                <w:noProof/>
                <w:color w:val="006100"/>
              </w:rPr>
              <w:t>37 sectores profesionales aplican acciones en materia de no discriminación (véase Addenda no discriminación e inclusión 2021-2022).</w:t>
            </w:r>
            <w:r>
              <w:rPr>
                <w:noProof/>
              </w:rPr>
              <w:t xml:space="preserve"> </w:t>
            </w:r>
            <w:r>
              <w:rPr>
                <w:noProof/>
                <w:color w:val="006100"/>
              </w:rPr>
              <w:t>El Gobierno flamenco evalúa la ejecución de cada acc</w:t>
            </w:r>
            <w:r>
              <w:rPr>
                <w:noProof/>
                <w:color w:val="006100"/>
              </w:rPr>
              <w:t>ión sobre la base de los compromisos individuales predeterminados de cada sector.</w:t>
            </w:r>
          </w:p>
        </w:tc>
      </w:tr>
      <w:tr w:rsidR="00F208CE" w14:paraId="06D6E4EF"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7075BF79" w14:textId="77777777" w:rsidR="00F208CE" w:rsidRDefault="00513E84">
            <w:pPr>
              <w:pStyle w:val="P68B1DB1-Normal8"/>
              <w:spacing w:after="0"/>
              <w:jc w:val="center"/>
              <w:rPr>
                <w:rFonts w:eastAsia="Times New Roman" w:cs="Times New Roman"/>
                <w:noProof/>
              </w:rPr>
            </w:pPr>
            <w:r>
              <w:rPr>
                <w:noProof/>
              </w:rPr>
              <w:t>142</w:t>
            </w:r>
          </w:p>
        </w:tc>
        <w:tc>
          <w:tcPr>
            <w:tcW w:w="1559" w:type="dxa"/>
            <w:tcBorders>
              <w:top w:val="nil"/>
              <w:left w:val="nil"/>
              <w:bottom w:val="single" w:sz="4" w:space="0" w:color="auto"/>
              <w:right w:val="single" w:sz="4" w:space="0" w:color="auto"/>
            </w:tcBorders>
            <w:shd w:val="clear" w:color="auto" w:fill="C6EFCE"/>
            <w:noWrap/>
            <w:vAlign w:val="center"/>
          </w:tcPr>
          <w:p w14:paraId="703F8216" w14:textId="77777777" w:rsidR="00F208CE" w:rsidRDefault="00513E84">
            <w:pPr>
              <w:pStyle w:val="P68B1DB1-Normal8"/>
              <w:spacing w:after="0"/>
              <w:rPr>
                <w:rFonts w:eastAsia="Times New Roman" w:cs="Times New Roman"/>
                <w:noProof/>
              </w:rPr>
            </w:pPr>
            <w:r>
              <w:rPr>
                <w:noProof/>
              </w:rPr>
              <w:t>Un mercado laboral integrador (R-4.06)</w:t>
            </w:r>
          </w:p>
        </w:tc>
        <w:tc>
          <w:tcPr>
            <w:tcW w:w="1168" w:type="dxa"/>
            <w:tcBorders>
              <w:top w:val="nil"/>
              <w:left w:val="nil"/>
              <w:bottom w:val="single" w:sz="4" w:space="0" w:color="auto"/>
              <w:right w:val="single" w:sz="4" w:space="0" w:color="auto"/>
            </w:tcBorders>
            <w:shd w:val="clear" w:color="auto" w:fill="C6EFCE"/>
            <w:noWrap/>
            <w:vAlign w:val="center"/>
          </w:tcPr>
          <w:p w14:paraId="4F6E6D05" w14:textId="250AE873"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5A59295D" w14:textId="77777777" w:rsidR="00F208CE" w:rsidRDefault="00513E84">
            <w:pPr>
              <w:pStyle w:val="P68B1DB1-Normal8"/>
              <w:spacing w:after="0"/>
              <w:rPr>
                <w:rFonts w:eastAsia="Times New Roman" w:cs="Times New Roman"/>
                <w:noProof/>
              </w:rPr>
            </w:pPr>
            <w:r>
              <w:rPr>
                <w:noProof/>
              </w:rPr>
              <w:t>Nueva vía integrada para los recién llegados</w:t>
            </w:r>
          </w:p>
        </w:tc>
        <w:tc>
          <w:tcPr>
            <w:tcW w:w="1680" w:type="dxa"/>
            <w:tcBorders>
              <w:top w:val="nil"/>
              <w:left w:val="nil"/>
              <w:bottom w:val="single" w:sz="4" w:space="0" w:color="auto"/>
              <w:right w:val="single" w:sz="4" w:space="0" w:color="auto"/>
            </w:tcBorders>
            <w:shd w:val="clear" w:color="auto" w:fill="C6EFCE"/>
            <w:noWrap/>
            <w:vAlign w:val="center"/>
          </w:tcPr>
          <w:p w14:paraId="2994B8BE"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49801056" w14:textId="77777777" w:rsidR="00F208CE" w:rsidRDefault="00513E84">
            <w:pPr>
              <w:pStyle w:val="P68B1DB1-Normal8"/>
              <w:spacing w:after="0"/>
              <w:rPr>
                <w:rFonts w:eastAsia="Times New Roman" w:cs="Times New Roman"/>
                <w:noProof/>
              </w:rPr>
            </w:pPr>
            <w:r>
              <w:rPr>
                <w:noProof/>
              </w:rPr>
              <w:t>Participantes</w:t>
            </w:r>
          </w:p>
        </w:tc>
        <w:tc>
          <w:tcPr>
            <w:tcW w:w="1080" w:type="dxa"/>
            <w:tcBorders>
              <w:top w:val="nil"/>
              <w:left w:val="nil"/>
              <w:bottom w:val="single" w:sz="4" w:space="0" w:color="auto"/>
              <w:right w:val="single" w:sz="4" w:space="0" w:color="auto"/>
            </w:tcBorders>
            <w:shd w:val="clear" w:color="auto" w:fill="C6EFCE"/>
            <w:noWrap/>
            <w:vAlign w:val="center"/>
          </w:tcPr>
          <w:p w14:paraId="50FF9FBD"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799FF018" w14:textId="06CE0F30" w:rsidR="00F208CE" w:rsidRDefault="00513E84">
            <w:pPr>
              <w:pStyle w:val="P68B1DB1-Normal8"/>
              <w:spacing w:after="0"/>
              <w:rPr>
                <w:rFonts w:eastAsia="Times New Roman" w:cs="Times New Roman"/>
                <w:noProof/>
              </w:rPr>
            </w:pPr>
            <w:r>
              <w:rPr>
                <w:noProof/>
              </w:rPr>
              <w:t>2 000</w:t>
            </w:r>
          </w:p>
        </w:tc>
        <w:tc>
          <w:tcPr>
            <w:tcW w:w="1140" w:type="dxa"/>
            <w:tcBorders>
              <w:top w:val="nil"/>
              <w:left w:val="nil"/>
              <w:bottom w:val="single" w:sz="4" w:space="0" w:color="auto"/>
              <w:right w:val="single" w:sz="4" w:space="0" w:color="auto"/>
            </w:tcBorders>
            <w:shd w:val="clear" w:color="auto" w:fill="C6EFCE"/>
            <w:noWrap/>
            <w:vAlign w:val="center"/>
          </w:tcPr>
          <w:p w14:paraId="07CAD224"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0AEC67A7" w14:textId="77777777" w:rsidR="00F208CE" w:rsidRDefault="00513E84">
            <w:pPr>
              <w:pStyle w:val="P68B1DB1-Normal8"/>
              <w:spacing w:after="0"/>
              <w:jc w:val="center"/>
              <w:rPr>
                <w:rFonts w:eastAsia="Times New Roman" w:cs="Times New Roman"/>
                <w:noProof/>
              </w:rPr>
            </w:pPr>
            <w:r>
              <w:rPr>
                <w:noProof/>
              </w:rPr>
              <w:t>2023</w:t>
            </w:r>
          </w:p>
        </w:tc>
        <w:tc>
          <w:tcPr>
            <w:tcW w:w="3544" w:type="dxa"/>
            <w:tcBorders>
              <w:top w:val="nil"/>
              <w:left w:val="nil"/>
              <w:bottom w:val="single" w:sz="4" w:space="0" w:color="auto"/>
              <w:right w:val="single" w:sz="4" w:space="0" w:color="auto"/>
            </w:tcBorders>
            <w:shd w:val="clear" w:color="auto" w:fill="C6EFCE"/>
            <w:noWrap/>
            <w:vAlign w:val="center"/>
          </w:tcPr>
          <w:p w14:paraId="2A512A77" w14:textId="7B871F45" w:rsidR="00F208CE" w:rsidRDefault="00513E84">
            <w:pPr>
              <w:pStyle w:val="P68B1DB1-Normal8"/>
              <w:spacing w:after="0"/>
              <w:rPr>
                <w:rFonts w:eastAsia="Times New Roman" w:cs="Times New Roman"/>
                <w:noProof/>
              </w:rPr>
            </w:pPr>
            <w:r>
              <w:rPr>
                <w:noProof/>
              </w:rPr>
              <w:t xml:space="preserve">2 000 nuevos participantes en el </w:t>
            </w:r>
            <w:r>
              <w:rPr>
                <w:noProof/>
              </w:rPr>
              <w:t>nuevo camino integrado.</w:t>
            </w:r>
          </w:p>
        </w:tc>
      </w:tr>
      <w:tr w:rsidR="00F208CE" w14:paraId="21F7B78B"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7D196629" w14:textId="77777777" w:rsidR="00F208CE" w:rsidRDefault="00513E84">
            <w:pPr>
              <w:pStyle w:val="P68B1DB1-Normal8"/>
              <w:spacing w:after="0"/>
              <w:jc w:val="center"/>
              <w:rPr>
                <w:rFonts w:eastAsia="Times New Roman" w:cs="Times New Roman"/>
                <w:noProof/>
              </w:rPr>
            </w:pPr>
            <w:r>
              <w:rPr>
                <w:noProof/>
              </w:rPr>
              <w:t>143</w:t>
            </w:r>
          </w:p>
        </w:tc>
        <w:tc>
          <w:tcPr>
            <w:tcW w:w="1559" w:type="dxa"/>
            <w:tcBorders>
              <w:top w:val="nil"/>
              <w:left w:val="nil"/>
              <w:bottom w:val="single" w:sz="4" w:space="0" w:color="auto"/>
              <w:right w:val="single" w:sz="4" w:space="0" w:color="auto"/>
            </w:tcBorders>
            <w:shd w:val="clear" w:color="auto" w:fill="C6EFCE"/>
            <w:noWrap/>
            <w:vAlign w:val="center"/>
          </w:tcPr>
          <w:p w14:paraId="52711BB8" w14:textId="77777777" w:rsidR="00F208CE" w:rsidRDefault="00513E84">
            <w:pPr>
              <w:pStyle w:val="P68B1DB1-Normal8"/>
              <w:spacing w:after="0"/>
              <w:rPr>
                <w:rFonts w:eastAsia="Times New Roman" w:cs="Times New Roman"/>
                <w:noProof/>
              </w:rPr>
            </w:pPr>
            <w:r>
              <w:rPr>
                <w:noProof/>
              </w:rPr>
              <w:t>Estrategia de recalificación (I-4.07)</w:t>
            </w:r>
          </w:p>
        </w:tc>
        <w:tc>
          <w:tcPr>
            <w:tcW w:w="1168" w:type="dxa"/>
            <w:tcBorders>
              <w:top w:val="nil"/>
              <w:left w:val="nil"/>
              <w:bottom w:val="single" w:sz="4" w:space="0" w:color="auto"/>
              <w:right w:val="single" w:sz="4" w:space="0" w:color="auto"/>
            </w:tcBorders>
            <w:shd w:val="clear" w:color="auto" w:fill="C6EFCE"/>
            <w:noWrap/>
            <w:vAlign w:val="center"/>
          </w:tcPr>
          <w:p w14:paraId="5841402D" w14:textId="12C6BEE5" w:rsidR="00F208CE" w:rsidRDefault="00513E84">
            <w:pPr>
              <w:pStyle w:val="P68B1DB1-Normal8"/>
              <w:spacing w:after="0"/>
              <w:jc w:val="center"/>
              <w:rPr>
                <w:rFonts w:eastAsia="Times New Roman" w:cs="Times New Roman"/>
                <w:noProof/>
              </w:rPr>
            </w:pPr>
            <w:r>
              <w:rPr>
                <w:noProof/>
              </w:rPr>
              <w:t>M</w:t>
            </w:r>
          </w:p>
        </w:tc>
        <w:tc>
          <w:tcPr>
            <w:tcW w:w="1702" w:type="dxa"/>
            <w:tcBorders>
              <w:top w:val="nil"/>
              <w:left w:val="nil"/>
              <w:bottom w:val="single" w:sz="4" w:space="0" w:color="auto"/>
              <w:right w:val="single" w:sz="4" w:space="0" w:color="auto"/>
            </w:tcBorders>
            <w:shd w:val="clear" w:color="auto" w:fill="C6EFCE"/>
            <w:noWrap/>
            <w:vAlign w:val="center"/>
          </w:tcPr>
          <w:p w14:paraId="5A47F27C" w14:textId="77777777" w:rsidR="00F208CE" w:rsidRDefault="00513E84">
            <w:pPr>
              <w:pStyle w:val="P68B1DB1-Normal8"/>
              <w:spacing w:after="0"/>
              <w:rPr>
                <w:rFonts w:eastAsia="Times New Roman" w:cs="Times New Roman"/>
                <w:noProof/>
              </w:rPr>
            </w:pPr>
            <w:r>
              <w:rPr>
                <w:noProof/>
              </w:rPr>
              <w:t>Concesión de subvenciones relacionadas con iniciativas de innovación social</w:t>
            </w:r>
          </w:p>
        </w:tc>
        <w:tc>
          <w:tcPr>
            <w:tcW w:w="1680" w:type="dxa"/>
            <w:tcBorders>
              <w:top w:val="nil"/>
              <w:left w:val="nil"/>
              <w:bottom w:val="single" w:sz="4" w:space="0" w:color="auto"/>
              <w:right w:val="single" w:sz="4" w:space="0" w:color="auto"/>
            </w:tcBorders>
            <w:shd w:val="clear" w:color="auto" w:fill="C6EFCE"/>
            <w:noWrap/>
            <w:vAlign w:val="center"/>
          </w:tcPr>
          <w:p w14:paraId="152E6DB8" w14:textId="77777777" w:rsidR="00F208CE" w:rsidRDefault="00513E84">
            <w:pPr>
              <w:pStyle w:val="P68B1DB1-Normal8"/>
              <w:spacing w:after="0"/>
              <w:rPr>
                <w:rFonts w:eastAsia="Times New Roman" w:cs="Times New Roman"/>
                <w:noProof/>
              </w:rPr>
            </w:pPr>
            <w:r>
              <w:rPr>
                <w:noProof/>
              </w:rPr>
              <w:t>Notificación escrita de la adjudicación de contratos a los candidatos seleccionados</w:t>
            </w:r>
          </w:p>
        </w:tc>
        <w:tc>
          <w:tcPr>
            <w:tcW w:w="1440" w:type="dxa"/>
            <w:tcBorders>
              <w:top w:val="nil"/>
              <w:left w:val="nil"/>
              <w:bottom w:val="single" w:sz="4" w:space="0" w:color="auto"/>
              <w:right w:val="single" w:sz="4" w:space="0" w:color="auto"/>
            </w:tcBorders>
            <w:shd w:val="clear" w:color="auto" w:fill="C6EFCE"/>
            <w:noWrap/>
            <w:vAlign w:val="center"/>
          </w:tcPr>
          <w:p w14:paraId="3133EA2F"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2FABEBB6" w14:textId="77777777"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717E6866" w14:textId="77777777" w:rsidR="00F208CE" w:rsidRDefault="00F208CE">
            <w:pPr>
              <w:spacing w:after="0"/>
              <w:rPr>
                <w:rFonts w:ascii="Times New Roman" w:eastAsia="Times New Roman" w:hAnsi="Times New Roman" w:cs="Times New Roman"/>
                <w:noProof/>
                <w:color w:val="006100"/>
              </w:rPr>
            </w:pPr>
          </w:p>
        </w:tc>
        <w:tc>
          <w:tcPr>
            <w:tcW w:w="1140" w:type="dxa"/>
            <w:tcBorders>
              <w:top w:val="nil"/>
              <w:left w:val="nil"/>
              <w:bottom w:val="single" w:sz="4" w:space="0" w:color="auto"/>
              <w:right w:val="single" w:sz="4" w:space="0" w:color="auto"/>
            </w:tcBorders>
            <w:shd w:val="clear" w:color="auto" w:fill="C6EFCE"/>
            <w:noWrap/>
            <w:vAlign w:val="center"/>
          </w:tcPr>
          <w:p w14:paraId="1978159B"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nil"/>
              <w:left w:val="nil"/>
              <w:bottom w:val="single" w:sz="4" w:space="0" w:color="auto"/>
              <w:right w:val="single" w:sz="4" w:space="0" w:color="auto"/>
            </w:tcBorders>
            <w:shd w:val="clear" w:color="auto" w:fill="C6EFCE"/>
            <w:noWrap/>
            <w:vAlign w:val="center"/>
          </w:tcPr>
          <w:p w14:paraId="2EE19B39" w14:textId="77777777" w:rsidR="00F208CE" w:rsidRDefault="00513E84">
            <w:pPr>
              <w:pStyle w:val="P68B1DB1-Normal8"/>
              <w:spacing w:after="0"/>
              <w:jc w:val="center"/>
              <w:rPr>
                <w:rFonts w:eastAsia="Times New Roman" w:cs="Times New Roman"/>
                <w:noProof/>
              </w:rPr>
            </w:pPr>
            <w:r>
              <w:rPr>
                <w:noProof/>
              </w:rPr>
              <w:t>2023</w:t>
            </w:r>
          </w:p>
        </w:tc>
        <w:tc>
          <w:tcPr>
            <w:tcW w:w="3544" w:type="dxa"/>
            <w:tcBorders>
              <w:top w:val="nil"/>
              <w:left w:val="nil"/>
              <w:bottom w:val="single" w:sz="4" w:space="0" w:color="auto"/>
              <w:right w:val="single" w:sz="4" w:space="0" w:color="auto"/>
            </w:tcBorders>
            <w:shd w:val="clear" w:color="auto" w:fill="C6EFCE"/>
            <w:noWrap/>
            <w:vAlign w:val="center"/>
          </w:tcPr>
          <w:p w14:paraId="200CB13A" w14:textId="77777777" w:rsidR="00F208CE" w:rsidRDefault="00513E84">
            <w:pPr>
              <w:pStyle w:val="P68B1DB1-Normal8"/>
              <w:spacing w:after="0"/>
              <w:rPr>
                <w:rFonts w:eastAsia="Times New Roman" w:cs="Times New Roman"/>
                <w:noProof/>
              </w:rPr>
            </w:pPr>
            <w:r>
              <w:rPr>
                <w:noProof/>
              </w:rPr>
              <w:t>Concesión de subvenciones por parte de los Servicios Públicos de Empleo a iniciativas de innovación social de acuerdo con los criterios establecidos en el pliego de condiciones de contratación pública.</w:t>
            </w:r>
          </w:p>
        </w:tc>
      </w:tr>
      <w:tr w:rsidR="00F208CE" w14:paraId="05224902"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37490F30" w14:textId="77777777" w:rsidR="00F208CE" w:rsidRDefault="00513E84">
            <w:pPr>
              <w:pStyle w:val="P68B1DB1-Normal8"/>
              <w:spacing w:after="0"/>
              <w:jc w:val="center"/>
              <w:rPr>
                <w:rFonts w:eastAsia="Times New Roman" w:cs="Times New Roman"/>
                <w:noProof/>
              </w:rPr>
            </w:pPr>
            <w:r>
              <w:rPr>
                <w:noProof/>
              </w:rPr>
              <w:t>144</w:t>
            </w:r>
          </w:p>
        </w:tc>
        <w:tc>
          <w:tcPr>
            <w:tcW w:w="1559" w:type="dxa"/>
            <w:tcBorders>
              <w:top w:val="nil"/>
              <w:left w:val="nil"/>
              <w:bottom w:val="single" w:sz="4" w:space="0" w:color="auto"/>
              <w:right w:val="single" w:sz="4" w:space="0" w:color="auto"/>
            </w:tcBorders>
            <w:shd w:val="clear" w:color="auto" w:fill="C6EFCE"/>
            <w:noWrap/>
            <w:vAlign w:val="center"/>
          </w:tcPr>
          <w:p w14:paraId="08D8670D" w14:textId="77777777" w:rsidR="00F208CE" w:rsidRDefault="00513E84">
            <w:pPr>
              <w:pStyle w:val="P68B1DB1-Normal8"/>
              <w:spacing w:after="0"/>
              <w:rPr>
                <w:rFonts w:eastAsia="Times New Roman" w:cs="Times New Roman"/>
                <w:noProof/>
              </w:rPr>
            </w:pPr>
            <w:r>
              <w:rPr>
                <w:noProof/>
              </w:rPr>
              <w:t>Estrategia de recalificación (I-4.07)</w:t>
            </w:r>
          </w:p>
        </w:tc>
        <w:tc>
          <w:tcPr>
            <w:tcW w:w="1168" w:type="dxa"/>
            <w:tcBorders>
              <w:top w:val="nil"/>
              <w:left w:val="nil"/>
              <w:bottom w:val="single" w:sz="4" w:space="0" w:color="auto"/>
              <w:right w:val="single" w:sz="4" w:space="0" w:color="auto"/>
            </w:tcBorders>
            <w:shd w:val="clear" w:color="auto" w:fill="C6EFCE"/>
            <w:noWrap/>
            <w:vAlign w:val="center"/>
          </w:tcPr>
          <w:p w14:paraId="70F6238E" w14:textId="69428E40"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2DBEE384" w14:textId="77777777" w:rsidR="00F208CE" w:rsidRDefault="00513E84">
            <w:pPr>
              <w:pStyle w:val="P68B1DB1-Normal8"/>
              <w:spacing w:after="0"/>
              <w:rPr>
                <w:rFonts w:eastAsia="Times New Roman" w:cs="Times New Roman"/>
                <w:noProof/>
              </w:rPr>
            </w:pPr>
            <w:r>
              <w:rPr>
                <w:noProof/>
              </w:rPr>
              <w:t>Perfil de</w:t>
            </w:r>
            <w:r>
              <w:rPr>
                <w:noProof/>
              </w:rPr>
              <w:t xml:space="preserve"> competencias y asesoramiento profesional</w:t>
            </w:r>
          </w:p>
        </w:tc>
        <w:tc>
          <w:tcPr>
            <w:tcW w:w="1680" w:type="dxa"/>
            <w:tcBorders>
              <w:top w:val="nil"/>
              <w:left w:val="nil"/>
              <w:bottom w:val="single" w:sz="4" w:space="0" w:color="auto"/>
              <w:right w:val="single" w:sz="4" w:space="0" w:color="auto"/>
            </w:tcBorders>
            <w:shd w:val="clear" w:color="auto" w:fill="C6EFCE"/>
            <w:noWrap/>
            <w:vAlign w:val="center"/>
          </w:tcPr>
          <w:p w14:paraId="0F2B0C35"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01800B26" w14:textId="77777777" w:rsidR="00F208CE" w:rsidRDefault="00513E84">
            <w:pPr>
              <w:pStyle w:val="P68B1DB1-Normal8"/>
              <w:spacing w:after="0"/>
              <w:rPr>
                <w:rFonts w:eastAsia="Times New Roman" w:cs="Times New Roman"/>
                <w:noProof/>
              </w:rPr>
            </w:pPr>
            <w:r>
              <w:rPr>
                <w:noProof/>
              </w:rPr>
              <w:t>Solicitantes de empleo</w:t>
            </w:r>
          </w:p>
        </w:tc>
        <w:tc>
          <w:tcPr>
            <w:tcW w:w="1080" w:type="dxa"/>
            <w:tcBorders>
              <w:top w:val="nil"/>
              <w:left w:val="nil"/>
              <w:bottom w:val="single" w:sz="4" w:space="0" w:color="auto"/>
              <w:right w:val="single" w:sz="4" w:space="0" w:color="auto"/>
            </w:tcBorders>
            <w:shd w:val="clear" w:color="auto" w:fill="C6EFCE"/>
            <w:noWrap/>
            <w:vAlign w:val="center"/>
          </w:tcPr>
          <w:p w14:paraId="283865A2"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169FAD81" w14:textId="4522CD0C" w:rsidR="00F208CE" w:rsidRDefault="00513E84">
            <w:pPr>
              <w:pStyle w:val="P68B1DB1-Normal8"/>
              <w:spacing w:after="0"/>
              <w:rPr>
                <w:rFonts w:eastAsia="Times New Roman" w:cs="Times New Roman"/>
                <w:noProof/>
              </w:rPr>
            </w:pPr>
            <w:r>
              <w:rPr>
                <w:noProof/>
              </w:rPr>
              <w:t>6 000</w:t>
            </w:r>
          </w:p>
        </w:tc>
        <w:tc>
          <w:tcPr>
            <w:tcW w:w="1140" w:type="dxa"/>
            <w:tcBorders>
              <w:top w:val="nil"/>
              <w:left w:val="nil"/>
              <w:bottom w:val="single" w:sz="4" w:space="0" w:color="auto"/>
              <w:right w:val="single" w:sz="4" w:space="0" w:color="auto"/>
            </w:tcBorders>
            <w:shd w:val="clear" w:color="auto" w:fill="C6EFCE"/>
            <w:noWrap/>
            <w:vAlign w:val="center"/>
          </w:tcPr>
          <w:p w14:paraId="720E50CD" w14:textId="096D328F"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2A3EC857" w14:textId="3D395C0F" w:rsidR="00F208CE" w:rsidRDefault="00513E84">
            <w:pPr>
              <w:pStyle w:val="P68B1DB1-Normal8"/>
              <w:spacing w:after="0"/>
              <w:jc w:val="center"/>
              <w:rPr>
                <w:rFonts w:eastAsia="Times New Roman" w:cs="Times New Roman"/>
                <w:noProof/>
              </w:rPr>
            </w:pPr>
            <w:r>
              <w:rPr>
                <w:noProof/>
              </w:rPr>
              <w:t>2024</w:t>
            </w:r>
          </w:p>
        </w:tc>
        <w:tc>
          <w:tcPr>
            <w:tcW w:w="3544" w:type="dxa"/>
            <w:tcBorders>
              <w:top w:val="nil"/>
              <w:left w:val="nil"/>
              <w:bottom w:val="single" w:sz="4" w:space="0" w:color="auto"/>
              <w:right w:val="single" w:sz="4" w:space="0" w:color="auto"/>
            </w:tcBorders>
            <w:shd w:val="clear" w:color="auto" w:fill="C6EFCE"/>
            <w:noWrap/>
            <w:vAlign w:val="center"/>
          </w:tcPr>
          <w:p w14:paraId="45987737" w14:textId="09C79ADF" w:rsidR="00F208CE" w:rsidRDefault="00513E84">
            <w:pPr>
              <w:pStyle w:val="P68B1DB1-Normal8"/>
              <w:spacing w:after="0"/>
              <w:rPr>
                <w:rFonts w:eastAsia="Times New Roman" w:cs="Times New Roman"/>
                <w:noProof/>
              </w:rPr>
            </w:pPr>
            <w:r>
              <w:rPr>
                <w:noProof/>
              </w:rPr>
              <w:t>6 000 demandantes de empleo en Bruselas se han beneficiado de un perfil de competencias y asesoramiento laboral sistemático, centrado en las competencias ling</w:t>
            </w:r>
            <w:r>
              <w:rPr>
                <w:noProof/>
              </w:rPr>
              <w:t>üísticas y digitales introducidas por el Servicio Público de Empleo.</w:t>
            </w:r>
          </w:p>
        </w:tc>
      </w:tr>
      <w:tr w:rsidR="00F208CE" w14:paraId="2A4F922C"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0F5784E8" w14:textId="77777777" w:rsidR="00F208CE" w:rsidRDefault="00513E84">
            <w:pPr>
              <w:pStyle w:val="P68B1DB1-Normal8"/>
              <w:spacing w:after="0"/>
              <w:jc w:val="center"/>
              <w:rPr>
                <w:rFonts w:eastAsia="Times New Roman" w:cs="Times New Roman"/>
                <w:noProof/>
              </w:rPr>
            </w:pPr>
            <w:r>
              <w:rPr>
                <w:noProof/>
              </w:rPr>
              <w:t>145</w:t>
            </w:r>
          </w:p>
        </w:tc>
        <w:tc>
          <w:tcPr>
            <w:tcW w:w="1559" w:type="dxa"/>
            <w:tcBorders>
              <w:top w:val="nil"/>
              <w:left w:val="nil"/>
              <w:bottom w:val="single" w:sz="4" w:space="0" w:color="auto"/>
              <w:right w:val="single" w:sz="4" w:space="0" w:color="auto"/>
            </w:tcBorders>
            <w:shd w:val="clear" w:color="auto" w:fill="C6EFCE"/>
            <w:noWrap/>
            <w:vAlign w:val="center"/>
          </w:tcPr>
          <w:p w14:paraId="2B926E15" w14:textId="77777777" w:rsidR="00F208CE" w:rsidRDefault="00513E84">
            <w:pPr>
              <w:pStyle w:val="P68B1DB1-Normal8"/>
              <w:spacing w:after="0"/>
              <w:rPr>
                <w:rFonts w:eastAsia="Times New Roman" w:cs="Times New Roman"/>
                <w:noProof/>
              </w:rPr>
            </w:pPr>
            <w:r>
              <w:rPr>
                <w:noProof/>
              </w:rPr>
              <w:t>Estrategia de recalificación (I-4.07)</w:t>
            </w:r>
          </w:p>
        </w:tc>
        <w:tc>
          <w:tcPr>
            <w:tcW w:w="1168" w:type="dxa"/>
            <w:tcBorders>
              <w:top w:val="nil"/>
              <w:left w:val="nil"/>
              <w:bottom w:val="single" w:sz="4" w:space="0" w:color="auto"/>
              <w:right w:val="single" w:sz="4" w:space="0" w:color="auto"/>
            </w:tcBorders>
            <w:shd w:val="clear" w:color="auto" w:fill="C6EFCE"/>
            <w:noWrap/>
            <w:vAlign w:val="center"/>
          </w:tcPr>
          <w:p w14:paraId="2B95DF24" w14:textId="440CAFF3"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2F9E34CE" w14:textId="77777777" w:rsidR="00F208CE" w:rsidRDefault="00513E84">
            <w:pPr>
              <w:pStyle w:val="P68B1DB1-Normal8"/>
              <w:spacing w:after="0"/>
              <w:rPr>
                <w:rFonts w:eastAsia="Times New Roman" w:cs="Times New Roman"/>
                <w:noProof/>
              </w:rPr>
            </w:pPr>
            <w:r>
              <w:rPr>
                <w:noProof/>
              </w:rPr>
              <w:t>Itinerario de integración sostenible para las personas con discapacidad</w:t>
            </w:r>
          </w:p>
        </w:tc>
        <w:tc>
          <w:tcPr>
            <w:tcW w:w="1680" w:type="dxa"/>
            <w:tcBorders>
              <w:top w:val="nil"/>
              <w:left w:val="nil"/>
              <w:bottom w:val="single" w:sz="4" w:space="0" w:color="auto"/>
              <w:right w:val="single" w:sz="4" w:space="0" w:color="auto"/>
            </w:tcBorders>
            <w:shd w:val="clear" w:color="auto" w:fill="C6EFCE"/>
            <w:noWrap/>
            <w:vAlign w:val="center"/>
          </w:tcPr>
          <w:p w14:paraId="635C9CAC"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72F36A84" w14:textId="77777777" w:rsidR="00F208CE" w:rsidRDefault="00513E84">
            <w:pPr>
              <w:pStyle w:val="P68B1DB1-Normal8"/>
              <w:spacing w:after="0"/>
              <w:rPr>
                <w:rFonts w:eastAsia="Times New Roman" w:cs="Times New Roman"/>
                <w:noProof/>
              </w:rPr>
            </w:pPr>
            <w:r>
              <w:rPr>
                <w:noProof/>
              </w:rPr>
              <w:t>Las personas con discapacidad</w:t>
            </w:r>
          </w:p>
        </w:tc>
        <w:tc>
          <w:tcPr>
            <w:tcW w:w="1080" w:type="dxa"/>
            <w:tcBorders>
              <w:top w:val="nil"/>
              <w:left w:val="nil"/>
              <w:bottom w:val="single" w:sz="4" w:space="0" w:color="auto"/>
              <w:right w:val="single" w:sz="4" w:space="0" w:color="auto"/>
            </w:tcBorders>
            <w:shd w:val="clear" w:color="auto" w:fill="C6EFCE"/>
            <w:noWrap/>
            <w:vAlign w:val="center"/>
          </w:tcPr>
          <w:p w14:paraId="7F4A49B4"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5FFA730D" w14:textId="77777777" w:rsidR="00F208CE" w:rsidRDefault="00513E84">
            <w:pPr>
              <w:pStyle w:val="P68B1DB1-Normal8"/>
              <w:spacing w:after="0"/>
              <w:rPr>
                <w:rFonts w:eastAsia="Times New Roman" w:cs="Times New Roman"/>
                <w:noProof/>
              </w:rPr>
            </w:pPr>
            <w:r>
              <w:rPr>
                <w:noProof/>
              </w:rPr>
              <w:t>450</w:t>
            </w:r>
          </w:p>
        </w:tc>
        <w:tc>
          <w:tcPr>
            <w:tcW w:w="1140" w:type="dxa"/>
            <w:tcBorders>
              <w:top w:val="nil"/>
              <w:left w:val="nil"/>
              <w:bottom w:val="single" w:sz="4" w:space="0" w:color="auto"/>
              <w:right w:val="single" w:sz="4" w:space="0" w:color="auto"/>
            </w:tcBorders>
            <w:shd w:val="clear" w:color="auto" w:fill="C6EFCE"/>
            <w:noWrap/>
            <w:vAlign w:val="center"/>
          </w:tcPr>
          <w:p w14:paraId="261CB2E2"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360756ED" w14:textId="77777777" w:rsidR="00F208CE" w:rsidRDefault="00513E84">
            <w:pPr>
              <w:pStyle w:val="P68B1DB1-Normal8"/>
              <w:spacing w:after="0"/>
              <w:jc w:val="center"/>
              <w:rPr>
                <w:rFonts w:eastAsia="Times New Roman" w:cs="Times New Roman"/>
                <w:noProof/>
              </w:rPr>
            </w:pPr>
            <w:r>
              <w:rPr>
                <w:noProof/>
              </w:rPr>
              <w:t>2025</w:t>
            </w:r>
          </w:p>
        </w:tc>
        <w:tc>
          <w:tcPr>
            <w:tcW w:w="3544" w:type="dxa"/>
            <w:tcBorders>
              <w:top w:val="nil"/>
              <w:left w:val="nil"/>
              <w:bottom w:val="single" w:sz="4" w:space="0" w:color="auto"/>
              <w:right w:val="single" w:sz="4" w:space="0" w:color="auto"/>
            </w:tcBorders>
            <w:shd w:val="clear" w:color="auto" w:fill="C6EFCE"/>
            <w:noWrap/>
            <w:vAlign w:val="center"/>
          </w:tcPr>
          <w:p w14:paraId="529E9F3C" w14:textId="77777777" w:rsidR="00F208CE" w:rsidRDefault="00513E84">
            <w:pPr>
              <w:pStyle w:val="P68B1DB1-Normal8"/>
              <w:spacing w:after="0"/>
              <w:rPr>
                <w:rFonts w:eastAsia="Times New Roman" w:cs="Times New Roman"/>
                <w:noProof/>
              </w:rPr>
            </w:pPr>
            <w:r>
              <w:rPr>
                <w:noProof/>
              </w:rPr>
              <w:t xml:space="preserve">450 </w:t>
            </w:r>
            <w:r>
              <w:rPr>
                <w:noProof/>
              </w:rPr>
              <w:t>personas con discapacidad (demandantes de empleo o trabajadores) han seguido un módulo de formación del itinerario de integración sostenible.</w:t>
            </w:r>
          </w:p>
        </w:tc>
      </w:tr>
      <w:tr w:rsidR="00F208CE" w14:paraId="2B1663A8"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49A75F80" w14:textId="77777777" w:rsidR="00F208CE" w:rsidRDefault="00513E84">
            <w:pPr>
              <w:pStyle w:val="P68B1DB1-Normal8"/>
              <w:spacing w:after="0"/>
              <w:jc w:val="center"/>
              <w:rPr>
                <w:rFonts w:eastAsia="Times New Roman" w:cs="Times New Roman"/>
                <w:noProof/>
              </w:rPr>
            </w:pPr>
            <w:r>
              <w:rPr>
                <w:noProof/>
              </w:rPr>
              <w:t>146</w:t>
            </w:r>
          </w:p>
        </w:tc>
        <w:tc>
          <w:tcPr>
            <w:tcW w:w="1559" w:type="dxa"/>
            <w:tcBorders>
              <w:top w:val="nil"/>
              <w:left w:val="nil"/>
              <w:bottom w:val="single" w:sz="4" w:space="0" w:color="auto"/>
              <w:right w:val="single" w:sz="4" w:space="0" w:color="auto"/>
            </w:tcBorders>
            <w:shd w:val="clear" w:color="auto" w:fill="C6EFCE"/>
            <w:noWrap/>
            <w:vAlign w:val="center"/>
          </w:tcPr>
          <w:p w14:paraId="35079036" w14:textId="77777777" w:rsidR="00F208CE" w:rsidRDefault="00513E84">
            <w:pPr>
              <w:pStyle w:val="P68B1DB1-Normal8"/>
              <w:spacing w:after="0"/>
              <w:rPr>
                <w:rFonts w:eastAsia="Times New Roman" w:cs="Times New Roman"/>
                <w:noProof/>
              </w:rPr>
            </w:pPr>
            <w:r>
              <w:rPr>
                <w:noProof/>
              </w:rPr>
              <w:t>Inclusión electrónica de Bélgica (I-4.08)</w:t>
            </w:r>
          </w:p>
        </w:tc>
        <w:tc>
          <w:tcPr>
            <w:tcW w:w="1168" w:type="dxa"/>
            <w:tcBorders>
              <w:top w:val="nil"/>
              <w:left w:val="nil"/>
              <w:bottom w:val="single" w:sz="4" w:space="0" w:color="auto"/>
              <w:right w:val="single" w:sz="4" w:space="0" w:color="auto"/>
            </w:tcBorders>
            <w:shd w:val="clear" w:color="auto" w:fill="C6EFCE"/>
            <w:noWrap/>
            <w:vAlign w:val="center"/>
          </w:tcPr>
          <w:p w14:paraId="7E3431DE" w14:textId="5378F122"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336A1214" w14:textId="77777777" w:rsidR="00F208CE" w:rsidRDefault="00513E84">
            <w:pPr>
              <w:pStyle w:val="P68B1DB1-Normal8"/>
              <w:spacing w:after="0"/>
              <w:rPr>
                <w:rFonts w:eastAsia="Times New Roman" w:cs="Times New Roman"/>
                <w:strike/>
                <w:noProof/>
              </w:rPr>
            </w:pPr>
            <w:r>
              <w:rPr>
                <w:noProof/>
              </w:rPr>
              <w:t>Adjudicación de subvenciones</w:t>
            </w:r>
          </w:p>
        </w:tc>
        <w:tc>
          <w:tcPr>
            <w:tcW w:w="1680" w:type="dxa"/>
            <w:tcBorders>
              <w:top w:val="nil"/>
              <w:left w:val="nil"/>
              <w:bottom w:val="single" w:sz="4" w:space="0" w:color="auto"/>
              <w:right w:val="single" w:sz="4" w:space="0" w:color="auto"/>
            </w:tcBorders>
            <w:shd w:val="clear" w:color="auto" w:fill="C6EFCE"/>
            <w:noWrap/>
            <w:vAlign w:val="center"/>
          </w:tcPr>
          <w:p w14:paraId="074449A2"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61C98073" w14:textId="77777777" w:rsidR="00F208CE" w:rsidRDefault="00513E84">
            <w:pPr>
              <w:pStyle w:val="P68B1DB1-Normal8"/>
              <w:spacing w:after="0"/>
              <w:rPr>
                <w:rFonts w:eastAsia="Times New Roman" w:cs="Times New Roman"/>
                <w:noProof/>
              </w:rPr>
            </w:pPr>
            <w:r>
              <w:rPr>
                <w:noProof/>
              </w:rPr>
              <w:t>Subvenciones concedidas</w:t>
            </w:r>
          </w:p>
        </w:tc>
        <w:tc>
          <w:tcPr>
            <w:tcW w:w="1080" w:type="dxa"/>
            <w:tcBorders>
              <w:top w:val="nil"/>
              <w:left w:val="nil"/>
              <w:bottom w:val="single" w:sz="4" w:space="0" w:color="auto"/>
              <w:right w:val="single" w:sz="4" w:space="0" w:color="auto"/>
            </w:tcBorders>
            <w:shd w:val="clear" w:color="auto" w:fill="C6EFCE"/>
            <w:noWrap/>
            <w:vAlign w:val="center"/>
          </w:tcPr>
          <w:p w14:paraId="0A51A940"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79D6BE2F" w14:textId="77777777" w:rsidR="00F208CE" w:rsidRDefault="00513E84">
            <w:pPr>
              <w:pStyle w:val="P68B1DB1-Normal8"/>
              <w:spacing w:after="0"/>
              <w:rPr>
                <w:rFonts w:eastAsia="Times New Roman" w:cs="Times New Roman"/>
                <w:noProof/>
              </w:rPr>
            </w:pPr>
            <w:r>
              <w:rPr>
                <w:noProof/>
              </w:rPr>
              <w:t>15</w:t>
            </w:r>
          </w:p>
        </w:tc>
        <w:tc>
          <w:tcPr>
            <w:tcW w:w="1140" w:type="dxa"/>
            <w:tcBorders>
              <w:top w:val="nil"/>
              <w:left w:val="nil"/>
              <w:bottom w:val="single" w:sz="4" w:space="0" w:color="auto"/>
              <w:right w:val="single" w:sz="4" w:space="0" w:color="auto"/>
            </w:tcBorders>
            <w:shd w:val="clear" w:color="auto" w:fill="C6EFCE"/>
            <w:noWrap/>
            <w:vAlign w:val="center"/>
          </w:tcPr>
          <w:p w14:paraId="3E4B0B48" w14:textId="77777777" w:rsidR="00F208CE" w:rsidRDefault="00513E84">
            <w:pPr>
              <w:pStyle w:val="P68B1DB1-Normal8"/>
              <w:spacing w:after="0"/>
              <w:jc w:val="center"/>
              <w:rPr>
                <w:rFonts w:eastAsia="Times New Roman" w:cs="Times New Roman"/>
                <w:noProof/>
              </w:rPr>
            </w:pPr>
            <w:r>
              <w:rPr>
                <w:noProof/>
              </w:rPr>
              <w:t>TERCER</w:t>
            </w:r>
            <w:r>
              <w:rPr>
                <w:noProof/>
              </w:rPr>
              <w:t xml:space="preserve"> TRIMESTRE 2</w:t>
            </w:r>
          </w:p>
        </w:tc>
        <w:tc>
          <w:tcPr>
            <w:tcW w:w="709" w:type="dxa"/>
            <w:tcBorders>
              <w:top w:val="nil"/>
              <w:left w:val="nil"/>
              <w:bottom w:val="single" w:sz="4" w:space="0" w:color="auto"/>
              <w:right w:val="single" w:sz="4" w:space="0" w:color="auto"/>
            </w:tcBorders>
            <w:shd w:val="clear" w:color="auto" w:fill="C6EFCE"/>
            <w:noWrap/>
            <w:vAlign w:val="center"/>
          </w:tcPr>
          <w:p w14:paraId="5FFCACE2" w14:textId="77777777" w:rsidR="00F208CE" w:rsidRDefault="00513E84">
            <w:pPr>
              <w:pStyle w:val="P68B1DB1-Normal8"/>
              <w:spacing w:after="0"/>
              <w:jc w:val="center"/>
              <w:rPr>
                <w:rFonts w:eastAsia="Times New Roman" w:cs="Times New Roman"/>
                <w:noProof/>
              </w:rPr>
            </w:pPr>
            <w:r>
              <w:rPr>
                <w:noProof/>
              </w:rPr>
              <w:t>2024</w:t>
            </w:r>
          </w:p>
        </w:tc>
        <w:tc>
          <w:tcPr>
            <w:tcW w:w="3544" w:type="dxa"/>
            <w:tcBorders>
              <w:top w:val="nil"/>
              <w:left w:val="nil"/>
              <w:bottom w:val="single" w:sz="4" w:space="0" w:color="auto"/>
              <w:right w:val="single" w:sz="4" w:space="0" w:color="auto"/>
            </w:tcBorders>
            <w:shd w:val="clear" w:color="auto" w:fill="C6EFCE"/>
            <w:noWrap/>
            <w:vAlign w:val="center"/>
          </w:tcPr>
          <w:p w14:paraId="7B81513C" w14:textId="5C8D898F" w:rsidR="00F208CE" w:rsidRDefault="00513E84">
            <w:pPr>
              <w:pStyle w:val="P68B1DB1-Normal8"/>
              <w:spacing w:after="0"/>
              <w:rPr>
                <w:rFonts w:eastAsia="Times New Roman" w:cs="Times New Roman"/>
                <w:noProof/>
              </w:rPr>
            </w:pPr>
            <w:r>
              <w:rPr>
                <w:noProof/>
              </w:rPr>
              <w:t>Concesión de 15 subvenciones por el organismo competente y la EPA Integración Social a los proyectos que respondan a los criterios del documento «Project e-inclusion for Belgium — grants criteria a.pdf», publicado el 15 de diciembre de 20</w:t>
            </w:r>
            <w:r>
              <w:rPr>
                <w:noProof/>
              </w:rPr>
              <w:t>21. Los proyectos tendrán como objetivo (1) sensibilizar a los grupos destinatarios vulnerables para familiarizarse con las TIC pertinentes a fin de mejorar su situación personal y reforzar su integración social, (2) mejorar las competencias digitales de l</w:t>
            </w:r>
            <w:r>
              <w:rPr>
                <w:noProof/>
              </w:rPr>
              <w:t>os grupos destinatarios vulnerables con el fin de mejorar su situación personal y reforzar su integración social, y (3) mejorar las competencias digitales de los cuidadores de grupos destinatarios vulnerables.</w:t>
            </w:r>
          </w:p>
        </w:tc>
      </w:tr>
      <w:tr w:rsidR="00F208CE" w14:paraId="2772B9C1"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14F9FD6C" w14:textId="77777777" w:rsidR="00F208CE" w:rsidRDefault="00513E84">
            <w:pPr>
              <w:pStyle w:val="P68B1DB1-Normal8"/>
              <w:spacing w:after="0"/>
              <w:jc w:val="center"/>
              <w:rPr>
                <w:rFonts w:eastAsia="Times New Roman" w:cs="Times New Roman"/>
                <w:noProof/>
              </w:rPr>
            </w:pPr>
            <w:r>
              <w:rPr>
                <w:noProof/>
              </w:rPr>
              <w:t>147</w:t>
            </w:r>
          </w:p>
        </w:tc>
        <w:tc>
          <w:tcPr>
            <w:tcW w:w="1559" w:type="dxa"/>
            <w:tcBorders>
              <w:top w:val="nil"/>
              <w:left w:val="nil"/>
              <w:bottom w:val="single" w:sz="4" w:space="0" w:color="auto"/>
              <w:right w:val="single" w:sz="4" w:space="0" w:color="auto"/>
            </w:tcBorders>
            <w:shd w:val="clear" w:color="auto" w:fill="C6EFCE"/>
            <w:noWrap/>
            <w:vAlign w:val="center"/>
          </w:tcPr>
          <w:p w14:paraId="557BE675" w14:textId="77777777" w:rsidR="00F208CE" w:rsidRDefault="00513E84">
            <w:pPr>
              <w:pStyle w:val="P68B1DB1-Normal8"/>
              <w:spacing w:after="0"/>
              <w:rPr>
                <w:rFonts w:eastAsia="Times New Roman" w:cs="Times New Roman"/>
                <w:noProof/>
              </w:rPr>
            </w:pPr>
            <w:r>
              <w:rPr>
                <w:noProof/>
              </w:rPr>
              <w:t xml:space="preserve">Plataformas digitales para presos </w:t>
            </w:r>
            <w:r>
              <w:rPr>
                <w:noProof/>
              </w:rPr>
              <w:t>(I-4.09)</w:t>
            </w:r>
          </w:p>
        </w:tc>
        <w:tc>
          <w:tcPr>
            <w:tcW w:w="1168" w:type="dxa"/>
            <w:tcBorders>
              <w:top w:val="nil"/>
              <w:left w:val="nil"/>
              <w:bottom w:val="single" w:sz="4" w:space="0" w:color="auto"/>
              <w:right w:val="single" w:sz="4" w:space="0" w:color="auto"/>
            </w:tcBorders>
            <w:shd w:val="clear" w:color="auto" w:fill="C6EFCE"/>
            <w:noWrap/>
            <w:vAlign w:val="center"/>
          </w:tcPr>
          <w:p w14:paraId="0D4508A0" w14:textId="5D846FE9"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2C6887BE" w14:textId="77777777" w:rsidR="00F208CE" w:rsidRDefault="00513E84">
            <w:pPr>
              <w:pStyle w:val="P68B1DB1-Normal8"/>
              <w:spacing w:after="0"/>
              <w:rPr>
                <w:rFonts w:eastAsia="Times New Roman" w:cs="Times New Roman"/>
                <w:noProof/>
              </w:rPr>
            </w:pPr>
            <w:r>
              <w:rPr>
                <w:noProof/>
              </w:rPr>
              <w:t>Finalización del despliegue</w:t>
            </w:r>
          </w:p>
        </w:tc>
        <w:tc>
          <w:tcPr>
            <w:tcW w:w="1680" w:type="dxa"/>
            <w:tcBorders>
              <w:top w:val="nil"/>
              <w:left w:val="nil"/>
              <w:bottom w:val="single" w:sz="4" w:space="0" w:color="auto"/>
              <w:right w:val="single" w:sz="4" w:space="0" w:color="auto"/>
            </w:tcBorders>
            <w:shd w:val="clear" w:color="auto" w:fill="C6EFCE"/>
            <w:noWrap/>
            <w:vAlign w:val="center"/>
          </w:tcPr>
          <w:p w14:paraId="412C3E8B"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59682F04" w14:textId="77777777" w:rsidR="00F208CE" w:rsidRDefault="00513E84">
            <w:pPr>
              <w:pStyle w:val="P68B1DB1-Normal8"/>
              <w:spacing w:after="0"/>
              <w:rPr>
                <w:rFonts w:eastAsia="Times New Roman" w:cs="Times New Roman"/>
                <w:noProof/>
              </w:rPr>
            </w:pPr>
            <w:r>
              <w:rPr>
                <w:noProof/>
              </w:rPr>
              <w:t>Cárceles</w:t>
            </w:r>
          </w:p>
        </w:tc>
        <w:tc>
          <w:tcPr>
            <w:tcW w:w="1080" w:type="dxa"/>
            <w:tcBorders>
              <w:top w:val="nil"/>
              <w:left w:val="nil"/>
              <w:bottom w:val="single" w:sz="4" w:space="0" w:color="auto"/>
              <w:right w:val="single" w:sz="4" w:space="0" w:color="auto"/>
            </w:tcBorders>
            <w:shd w:val="clear" w:color="auto" w:fill="C6EFCE"/>
            <w:noWrap/>
            <w:vAlign w:val="center"/>
          </w:tcPr>
          <w:p w14:paraId="0CE08219"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1BEBC42A" w14:textId="77777777" w:rsidR="00F208CE" w:rsidRDefault="00513E84">
            <w:pPr>
              <w:pStyle w:val="P68B1DB1-Normal8"/>
              <w:spacing w:after="0"/>
              <w:rPr>
                <w:rFonts w:eastAsia="Times New Roman" w:cs="Times New Roman"/>
                <w:noProof/>
              </w:rPr>
            </w:pPr>
            <w:r>
              <w:rPr>
                <w:noProof/>
              </w:rPr>
              <w:t>32</w:t>
            </w:r>
          </w:p>
        </w:tc>
        <w:tc>
          <w:tcPr>
            <w:tcW w:w="1140" w:type="dxa"/>
            <w:tcBorders>
              <w:top w:val="nil"/>
              <w:left w:val="nil"/>
              <w:bottom w:val="single" w:sz="4" w:space="0" w:color="auto"/>
              <w:right w:val="single" w:sz="4" w:space="0" w:color="auto"/>
            </w:tcBorders>
            <w:shd w:val="clear" w:color="auto" w:fill="C6EFCE"/>
            <w:noWrap/>
            <w:vAlign w:val="center"/>
          </w:tcPr>
          <w:p w14:paraId="3ED132E2"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7A99E7B5" w14:textId="77777777" w:rsidR="00F208CE" w:rsidRDefault="00513E84">
            <w:pPr>
              <w:pStyle w:val="P68B1DB1-Normal8"/>
              <w:spacing w:after="0"/>
              <w:jc w:val="center"/>
              <w:rPr>
                <w:rFonts w:eastAsia="Times New Roman" w:cs="Times New Roman"/>
                <w:noProof/>
              </w:rPr>
            </w:pPr>
            <w:r>
              <w:rPr>
                <w:noProof/>
              </w:rPr>
              <w:t>2024</w:t>
            </w:r>
          </w:p>
        </w:tc>
        <w:tc>
          <w:tcPr>
            <w:tcW w:w="3544" w:type="dxa"/>
            <w:tcBorders>
              <w:top w:val="nil"/>
              <w:left w:val="nil"/>
              <w:bottom w:val="single" w:sz="4" w:space="0" w:color="auto"/>
              <w:right w:val="single" w:sz="4" w:space="0" w:color="auto"/>
            </w:tcBorders>
            <w:shd w:val="clear" w:color="auto" w:fill="C6EFCE"/>
            <w:noWrap/>
            <w:vAlign w:val="center"/>
          </w:tcPr>
          <w:p w14:paraId="7D5B0243" w14:textId="77777777" w:rsidR="00F208CE" w:rsidRDefault="00513E84">
            <w:pPr>
              <w:pStyle w:val="P68B1DB1-Normal8"/>
              <w:spacing w:after="0"/>
              <w:rPr>
                <w:rFonts w:eastAsia="Times New Roman" w:cs="Times New Roman"/>
                <w:noProof/>
              </w:rPr>
            </w:pPr>
            <w:r>
              <w:rPr>
                <w:noProof/>
              </w:rPr>
              <w:t xml:space="preserve">Finalización del despliegue de una plataforma digital en 32 cárceles, que permita a los presos: (1) seguir la formación de su célula o realizar los ejercicios solicitados en un </w:t>
            </w:r>
            <w:r>
              <w:rPr>
                <w:noProof/>
              </w:rPr>
              <w:t>curso de formación en línea o presencial; (2) acceso a los servicios penitenciarios y a los servicios de rehabilitación; (3) tienen un acceso restringido y seguro a internet para buscar o solicitar un empleo, acceder a obras digitales o intercambiar inform</w:t>
            </w:r>
            <w:r>
              <w:rPr>
                <w:noProof/>
              </w:rPr>
              <w:t>ación con familiares y servicios de apoyo.</w:t>
            </w:r>
          </w:p>
        </w:tc>
      </w:tr>
      <w:tr w:rsidR="00F208CE" w14:paraId="6F34D5EB"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774CECDD" w14:textId="77777777" w:rsidR="00F208CE" w:rsidRDefault="00513E84">
            <w:pPr>
              <w:pStyle w:val="P68B1DB1-Normal8"/>
              <w:spacing w:after="0"/>
              <w:jc w:val="center"/>
              <w:rPr>
                <w:rFonts w:eastAsia="Times New Roman" w:cs="Times New Roman"/>
                <w:noProof/>
              </w:rPr>
            </w:pPr>
            <w:r>
              <w:rPr>
                <w:noProof/>
              </w:rPr>
              <w:t>148</w:t>
            </w:r>
          </w:p>
        </w:tc>
        <w:tc>
          <w:tcPr>
            <w:tcW w:w="1559" w:type="dxa"/>
            <w:tcBorders>
              <w:top w:val="nil"/>
              <w:left w:val="nil"/>
              <w:bottom w:val="single" w:sz="4" w:space="0" w:color="auto"/>
              <w:right w:val="single" w:sz="4" w:space="0" w:color="auto"/>
            </w:tcBorders>
            <w:shd w:val="clear" w:color="auto" w:fill="C6EFCE"/>
            <w:noWrap/>
            <w:vAlign w:val="center"/>
          </w:tcPr>
          <w:p w14:paraId="5D27CCA0" w14:textId="77777777" w:rsidR="00F208CE" w:rsidRDefault="00513E84">
            <w:pPr>
              <w:pStyle w:val="P68B1DB1-Normal8"/>
              <w:spacing w:after="0"/>
              <w:rPr>
                <w:rFonts w:eastAsia="Times New Roman" w:cs="Times New Roman"/>
                <w:noProof/>
              </w:rPr>
            </w:pPr>
            <w:r>
              <w:rPr>
                <w:noProof/>
              </w:rPr>
              <w:t>Género y trabajo (I-4.10)</w:t>
            </w:r>
          </w:p>
        </w:tc>
        <w:tc>
          <w:tcPr>
            <w:tcW w:w="1168" w:type="dxa"/>
            <w:tcBorders>
              <w:top w:val="nil"/>
              <w:left w:val="nil"/>
              <w:bottom w:val="single" w:sz="4" w:space="0" w:color="auto"/>
              <w:right w:val="single" w:sz="4" w:space="0" w:color="auto"/>
            </w:tcBorders>
            <w:shd w:val="clear" w:color="auto" w:fill="C6EFCE"/>
            <w:noWrap/>
            <w:vAlign w:val="center"/>
          </w:tcPr>
          <w:p w14:paraId="5AE1F728" w14:textId="3C0EB118"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29D39BFD" w14:textId="77777777" w:rsidR="00F208CE" w:rsidRDefault="00513E84">
            <w:pPr>
              <w:pStyle w:val="P68B1DB1-Normal8"/>
              <w:spacing w:after="0"/>
              <w:rPr>
                <w:rFonts w:eastAsia="Times New Roman" w:cs="Times New Roman"/>
                <w:noProof/>
              </w:rPr>
            </w:pPr>
            <w:r>
              <w:rPr>
                <w:noProof/>
              </w:rPr>
              <w:t>Participación de las mujeres en proyectos de campo</w:t>
            </w:r>
          </w:p>
        </w:tc>
        <w:tc>
          <w:tcPr>
            <w:tcW w:w="1680" w:type="dxa"/>
            <w:tcBorders>
              <w:top w:val="nil"/>
              <w:left w:val="nil"/>
              <w:bottom w:val="single" w:sz="4" w:space="0" w:color="auto"/>
              <w:right w:val="single" w:sz="4" w:space="0" w:color="auto"/>
            </w:tcBorders>
            <w:shd w:val="clear" w:color="auto" w:fill="C6EFCE"/>
            <w:noWrap/>
            <w:vAlign w:val="center"/>
          </w:tcPr>
          <w:p w14:paraId="36140650"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3942F6E4" w14:textId="77777777" w:rsidR="00F208CE" w:rsidRDefault="00513E84">
            <w:pPr>
              <w:pStyle w:val="P68B1DB1-Normal8"/>
              <w:spacing w:after="0"/>
              <w:rPr>
                <w:rFonts w:eastAsia="Times New Roman" w:cs="Times New Roman"/>
                <w:noProof/>
              </w:rPr>
            </w:pPr>
            <w:r>
              <w:rPr>
                <w:noProof/>
              </w:rPr>
              <w:t>Mujeres</w:t>
            </w:r>
          </w:p>
        </w:tc>
        <w:tc>
          <w:tcPr>
            <w:tcW w:w="1080" w:type="dxa"/>
            <w:tcBorders>
              <w:top w:val="nil"/>
              <w:left w:val="nil"/>
              <w:bottom w:val="single" w:sz="4" w:space="0" w:color="auto"/>
              <w:right w:val="single" w:sz="4" w:space="0" w:color="auto"/>
            </w:tcBorders>
            <w:shd w:val="clear" w:color="auto" w:fill="C6EFCE"/>
            <w:noWrap/>
            <w:vAlign w:val="center"/>
          </w:tcPr>
          <w:p w14:paraId="59065BC6"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63FB97B0" w14:textId="77777777" w:rsidR="00F208CE" w:rsidRDefault="00513E84">
            <w:pPr>
              <w:pStyle w:val="P68B1DB1-Normal8"/>
              <w:spacing w:after="0"/>
              <w:rPr>
                <w:rFonts w:eastAsia="Times New Roman" w:cs="Times New Roman"/>
                <w:noProof/>
              </w:rPr>
            </w:pPr>
            <w:r>
              <w:rPr>
                <w:noProof/>
              </w:rPr>
              <w:t>250</w:t>
            </w:r>
          </w:p>
        </w:tc>
        <w:tc>
          <w:tcPr>
            <w:tcW w:w="1140" w:type="dxa"/>
            <w:tcBorders>
              <w:top w:val="nil"/>
              <w:left w:val="nil"/>
              <w:bottom w:val="single" w:sz="4" w:space="0" w:color="auto"/>
              <w:right w:val="single" w:sz="4" w:space="0" w:color="auto"/>
            </w:tcBorders>
            <w:shd w:val="clear" w:color="auto" w:fill="C6EFCE"/>
            <w:noWrap/>
            <w:vAlign w:val="center"/>
          </w:tcPr>
          <w:p w14:paraId="45F73632"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37E6EE49" w14:textId="77777777" w:rsidR="00F208CE" w:rsidRDefault="00513E84">
            <w:pPr>
              <w:pStyle w:val="P68B1DB1-Normal8"/>
              <w:spacing w:after="0"/>
              <w:jc w:val="center"/>
              <w:rPr>
                <w:rFonts w:eastAsia="Times New Roman" w:cs="Times New Roman"/>
                <w:noProof/>
              </w:rPr>
            </w:pPr>
            <w:r>
              <w:rPr>
                <w:noProof/>
              </w:rPr>
              <w:t>2024</w:t>
            </w:r>
          </w:p>
        </w:tc>
        <w:tc>
          <w:tcPr>
            <w:tcW w:w="3544" w:type="dxa"/>
            <w:tcBorders>
              <w:top w:val="nil"/>
              <w:left w:val="nil"/>
              <w:bottom w:val="single" w:sz="4" w:space="0" w:color="auto"/>
              <w:right w:val="single" w:sz="4" w:space="0" w:color="auto"/>
            </w:tcBorders>
            <w:shd w:val="clear" w:color="auto" w:fill="C6EFCE"/>
            <w:noWrap/>
            <w:vAlign w:val="center"/>
          </w:tcPr>
          <w:p w14:paraId="3150435B" w14:textId="77777777" w:rsidR="00F208CE" w:rsidRDefault="00513E84">
            <w:pPr>
              <w:pStyle w:val="P68B1DB1-Normal8"/>
              <w:spacing w:after="0"/>
              <w:rPr>
                <w:rFonts w:eastAsia="Times New Roman" w:cs="Times New Roman"/>
                <w:noProof/>
              </w:rPr>
            </w:pPr>
            <w:r>
              <w:rPr>
                <w:noProof/>
              </w:rPr>
              <w:t xml:space="preserve">250 mujeres que participan en proyectos sobre el terreno que cumplen los criterios </w:t>
            </w:r>
            <w:r>
              <w:rPr>
                <w:noProof/>
              </w:rPr>
              <w:t>establecidos en el documento de convocatoria de propuestas, publicado en septiembre de 2022.</w:t>
            </w:r>
          </w:p>
        </w:tc>
      </w:tr>
      <w:tr w:rsidR="00F208CE" w14:paraId="5D51BAC5" w14:textId="77777777">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vAlign w:val="center"/>
          </w:tcPr>
          <w:p w14:paraId="58FF8CBC" w14:textId="77777777" w:rsidR="00F208CE" w:rsidRDefault="00513E84">
            <w:pPr>
              <w:pStyle w:val="P68B1DB1-Normal8"/>
              <w:spacing w:after="0"/>
              <w:jc w:val="center"/>
              <w:rPr>
                <w:rFonts w:eastAsia="Times New Roman" w:cs="Times New Roman"/>
                <w:noProof/>
              </w:rPr>
            </w:pPr>
            <w:r>
              <w:rPr>
                <w:noProof/>
              </w:rPr>
              <w:t>149</w:t>
            </w:r>
          </w:p>
        </w:tc>
        <w:tc>
          <w:tcPr>
            <w:tcW w:w="1559" w:type="dxa"/>
            <w:tcBorders>
              <w:top w:val="nil"/>
              <w:left w:val="nil"/>
              <w:bottom w:val="single" w:sz="4" w:space="0" w:color="auto"/>
              <w:right w:val="single" w:sz="4" w:space="0" w:color="auto"/>
            </w:tcBorders>
            <w:shd w:val="clear" w:color="auto" w:fill="C6EFCE"/>
            <w:noWrap/>
            <w:vAlign w:val="center"/>
          </w:tcPr>
          <w:p w14:paraId="5EC6E595" w14:textId="77777777" w:rsidR="00F208CE" w:rsidRDefault="00513E84">
            <w:pPr>
              <w:pStyle w:val="P68B1DB1-Normal8"/>
              <w:spacing w:after="0"/>
              <w:rPr>
                <w:rFonts w:eastAsia="Times New Roman" w:cs="Times New Roman"/>
                <w:noProof/>
              </w:rPr>
            </w:pPr>
            <w:r>
              <w:rPr>
                <w:noProof/>
              </w:rPr>
              <w:t>Digibanks (I-4.11)</w:t>
            </w:r>
          </w:p>
        </w:tc>
        <w:tc>
          <w:tcPr>
            <w:tcW w:w="1168" w:type="dxa"/>
            <w:tcBorders>
              <w:top w:val="nil"/>
              <w:left w:val="nil"/>
              <w:bottom w:val="single" w:sz="4" w:space="0" w:color="auto"/>
              <w:right w:val="single" w:sz="4" w:space="0" w:color="auto"/>
            </w:tcBorders>
            <w:shd w:val="clear" w:color="auto" w:fill="C6EFCE"/>
            <w:noWrap/>
            <w:vAlign w:val="center"/>
          </w:tcPr>
          <w:p w14:paraId="0F626471" w14:textId="2F10B1EA" w:rsidR="00F208CE" w:rsidRDefault="00513E84">
            <w:pPr>
              <w:pStyle w:val="P68B1DB1-Normal8"/>
              <w:spacing w:after="0"/>
              <w:jc w:val="center"/>
              <w:rPr>
                <w:rFonts w:eastAsia="Times New Roman" w:cs="Times New Roman"/>
                <w:noProof/>
              </w:rPr>
            </w:pPr>
            <w:r>
              <w:rPr>
                <w:noProof/>
              </w:rPr>
              <w:t>T</w:t>
            </w:r>
          </w:p>
        </w:tc>
        <w:tc>
          <w:tcPr>
            <w:tcW w:w="1702" w:type="dxa"/>
            <w:tcBorders>
              <w:top w:val="nil"/>
              <w:left w:val="nil"/>
              <w:bottom w:val="single" w:sz="4" w:space="0" w:color="auto"/>
              <w:right w:val="single" w:sz="4" w:space="0" w:color="auto"/>
            </w:tcBorders>
            <w:shd w:val="clear" w:color="auto" w:fill="C6EFCE"/>
            <w:noWrap/>
            <w:vAlign w:val="center"/>
          </w:tcPr>
          <w:p w14:paraId="4CB3F853" w14:textId="77777777" w:rsidR="00F208CE" w:rsidRDefault="00513E84">
            <w:pPr>
              <w:pStyle w:val="P68B1DB1-Normal8"/>
              <w:spacing w:after="0"/>
              <w:rPr>
                <w:rFonts w:eastAsia="Times New Roman" w:cs="Times New Roman"/>
                <w:noProof/>
              </w:rPr>
            </w:pPr>
            <w:r>
              <w:rPr>
                <w:noProof/>
              </w:rPr>
              <w:t>Firma de asociaciones para promover la inclusión digital</w:t>
            </w:r>
          </w:p>
        </w:tc>
        <w:tc>
          <w:tcPr>
            <w:tcW w:w="1680" w:type="dxa"/>
            <w:tcBorders>
              <w:top w:val="nil"/>
              <w:left w:val="nil"/>
              <w:bottom w:val="single" w:sz="4" w:space="0" w:color="auto"/>
              <w:right w:val="single" w:sz="4" w:space="0" w:color="auto"/>
            </w:tcBorders>
            <w:shd w:val="clear" w:color="auto" w:fill="C6EFCE"/>
            <w:noWrap/>
            <w:vAlign w:val="center"/>
          </w:tcPr>
          <w:p w14:paraId="2F4A679D" w14:textId="77777777" w:rsidR="00F208CE" w:rsidRDefault="00F208CE">
            <w:pPr>
              <w:spacing w:after="0"/>
              <w:rPr>
                <w:rFonts w:ascii="Times New Roman" w:eastAsia="Times New Roman" w:hAnsi="Times New Roman" w:cs="Times New Roman"/>
                <w:noProof/>
                <w:color w:val="006100"/>
              </w:rPr>
            </w:pPr>
          </w:p>
        </w:tc>
        <w:tc>
          <w:tcPr>
            <w:tcW w:w="1440" w:type="dxa"/>
            <w:tcBorders>
              <w:top w:val="nil"/>
              <w:left w:val="nil"/>
              <w:bottom w:val="single" w:sz="4" w:space="0" w:color="auto"/>
              <w:right w:val="single" w:sz="4" w:space="0" w:color="auto"/>
            </w:tcBorders>
            <w:shd w:val="clear" w:color="auto" w:fill="C6EFCE"/>
            <w:noWrap/>
            <w:vAlign w:val="center"/>
          </w:tcPr>
          <w:p w14:paraId="5475B53F" w14:textId="77777777" w:rsidR="00F208CE" w:rsidRDefault="00513E84">
            <w:pPr>
              <w:pStyle w:val="P68B1DB1-Normal14"/>
              <w:spacing w:after="0"/>
              <w:rPr>
                <w:rFonts w:eastAsia="Times New Roman" w:cs="Times New Roman"/>
                <w:noProof/>
              </w:rPr>
            </w:pPr>
            <w:r>
              <w:rPr>
                <w:noProof/>
              </w:rPr>
              <w:t>Municipios</w:t>
            </w:r>
          </w:p>
        </w:tc>
        <w:tc>
          <w:tcPr>
            <w:tcW w:w="1080" w:type="dxa"/>
            <w:tcBorders>
              <w:top w:val="nil"/>
              <w:left w:val="nil"/>
              <w:bottom w:val="single" w:sz="4" w:space="0" w:color="auto"/>
              <w:right w:val="single" w:sz="4" w:space="0" w:color="auto"/>
            </w:tcBorders>
            <w:shd w:val="clear" w:color="auto" w:fill="C6EFCE"/>
            <w:noWrap/>
            <w:vAlign w:val="center"/>
          </w:tcPr>
          <w:p w14:paraId="42B7091A" w14:textId="77777777" w:rsidR="00F208CE" w:rsidRDefault="00513E84">
            <w:pPr>
              <w:pStyle w:val="P68B1DB1-Normal8"/>
              <w:spacing w:after="0"/>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02E514C6" w14:textId="77777777" w:rsidR="00F208CE" w:rsidRDefault="00513E84">
            <w:pPr>
              <w:pStyle w:val="P68B1DB1-Normal8"/>
              <w:spacing w:after="0"/>
              <w:rPr>
                <w:rFonts w:eastAsia="Times New Roman" w:cs="Times New Roman"/>
                <w:noProof/>
              </w:rPr>
            </w:pPr>
            <w:r>
              <w:rPr>
                <w:noProof/>
              </w:rPr>
              <w:t>100</w:t>
            </w:r>
          </w:p>
        </w:tc>
        <w:tc>
          <w:tcPr>
            <w:tcW w:w="1140" w:type="dxa"/>
            <w:tcBorders>
              <w:top w:val="nil"/>
              <w:left w:val="nil"/>
              <w:bottom w:val="single" w:sz="4" w:space="0" w:color="auto"/>
              <w:right w:val="single" w:sz="4" w:space="0" w:color="auto"/>
            </w:tcBorders>
            <w:shd w:val="clear" w:color="auto" w:fill="C6EFCE"/>
            <w:noWrap/>
            <w:vAlign w:val="center"/>
          </w:tcPr>
          <w:p w14:paraId="295A99BE"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13C8CF24" w14:textId="77777777" w:rsidR="00F208CE" w:rsidRDefault="00513E84">
            <w:pPr>
              <w:pStyle w:val="P68B1DB1-Normal8"/>
              <w:spacing w:after="0"/>
              <w:jc w:val="center"/>
              <w:rPr>
                <w:rFonts w:eastAsia="Times New Roman" w:cs="Times New Roman"/>
                <w:noProof/>
              </w:rPr>
            </w:pPr>
            <w:r>
              <w:rPr>
                <w:noProof/>
              </w:rPr>
              <w:t>2022</w:t>
            </w:r>
          </w:p>
        </w:tc>
        <w:tc>
          <w:tcPr>
            <w:tcW w:w="3544" w:type="dxa"/>
            <w:tcBorders>
              <w:top w:val="nil"/>
              <w:left w:val="nil"/>
              <w:bottom w:val="single" w:sz="4" w:space="0" w:color="auto"/>
              <w:right w:val="single" w:sz="4" w:space="0" w:color="auto"/>
            </w:tcBorders>
            <w:shd w:val="clear" w:color="auto" w:fill="C6EFCE"/>
            <w:noWrap/>
            <w:vAlign w:val="center"/>
          </w:tcPr>
          <w:p w14:paraId="19BF5CA4" w14:textId="5FE831D2" w:rsidR="00F208CE" w:rsidRDefault="00513E84">
            <w:pPr>
              <w:pStyle w:val="P68B1DB1-Normal8"/>
              <w:spacing w:after="0"/>
              <w:rPr>
                <w:rFonts w:eastAsia="Times New Roman" w:cs="Times New Roman"/>
                <w:noProof/>
              </w:rPr>
            </w:pPr>
            <w:r>
              <w:rPr>
                <w:noProof/>
              </w:rPr>
              <w:t xml:space="preserve">Firma de una asociación Digibank por </w:t>
            </w:r>
            <w:r>
              <w:rPr>
                <w:noProof/>
              </w:rPr>
              <w:t>parte de 100 municipios de Flandes con el Departamento de Trabajo y Economía Social de Flandes con el objetivo de (1) garantizar la igualdad de acceso a la tecnología digital; (2) reforzar las capacidades digitales mediante la formación y el intercambio de</w:t>
            </w:r>
            <w:r>
              <w:rPr>
                <w:noProof/>
              </w:rPr>
              <w:t xml:space="preserve"> conocimientos; (3) contratación de acceso digital a servicios esenciales.</w:t>
            </w:r>
          </w:p>
        </w:tc>
      </w:tr>
    </w:tbl>
    <w:p w14:paraId="23770470" w14:textId="77777777" w:rsidR="00F208CE" w:rsidRDefault="00F208CE">
      <w:pPr>
        <w:pStyle w:val="Text1"/>
        <w:ind w:left="709"/>
        <w:rPr>
          <w:noProof/>
        </w:rPr>
      </w:pPr>
    </w:p>
    <w:p w14:paraId="27F2139B" w14:textId="77777777" w:rsidR="00F208CE" w:rsidRDefault="00F208CE">
      <w:pPr>
        <w:ind w:left="709"/>
        <w:rPr>
          <w:rFonts w:ascii="Times New Roman" w:hAnsi="Times New Roman" w:cs="Times New Roman"/>
          <w:noProof/>
        </w:rPr>
        <w:sectPr w:rsidR="00F208CE" w:rsidSect="007F56C3">
          <w:headerReference w:type="default" r:id="rId124"/>
          <w:footerReference w:type="default" r:id="rId125"/>
          <w:pgSz w:w="16839" w:h="11907" w:orient="landscape"/>
          <w:pgMar w:top="1134" w:right="1134" w:bottom="1134" w:left="1134" w:header="567" w:footer="567" w:gutter="0"/>
          <w:cols w:space="720"/>
          <w:docGrid w:linePitch="360"/>
        </w:sectPr>
      </w:pPr>
    </w:p>
    <w:p w14:paraId="0CE6EFC3" w14:textId="296101DC" w:rsidR="00F208CE" w:rsidRDefault="00513E84">
      <w:pPr>
        <w:pStyle w:val="ManualHeading1"/>
        <w:spacing w:before="120"/>
        <w:ind w:left="0" w:firstLine="0"/>
        <w:rPr>
          <w:noProof/>
        </w:rPr>
      </w:pPr>
      <w:r>
        <w:rPr>
          <w:noProof/>
        </w:rPr>
        <w:t>L. COMPONENTE 4.3: Infraestructura social</w:t>
      </w:r>
    </w:p>
    <w:p w14:paraId="1288C623" w14:textId="77777777" w:rsidR="00F208CE" w:rsidRDefault="00513E84">
      <w:pPr>
        <w:pStyle w:val="P68B1DB1-Normal1"/>
        <w:spacing w:before="120" w:after="120" w:line="240" w:lineRule="auto"/>
        <w:jc w:val="both"/>
        <w:rPr>
          <w:rFonts w:cs="Times New Roman"/>
          <w:noProof/>
        </w:rPr>
      </w:pPr>
      <w:r>
        <w:rPr>
          <w:noProof/>
        </w:rPr>
        <w:t xml:space="preserve">Las medidas en el marco de este componente del plan belga de recuperación y </w:t>
      </w:r>
      <w:r>
        <w:rPr>
          <w:noProof/>
        </w:rPr>
        <w:t>resiliencia persiguen dos objetivos:</w:t>
      </w:r>
    </w:p>
    <w:p w14:paraId="2425EC55" w14:textId="77777777" w:rsidR="00F208CE" w:rsidRDefault="00513E84">
      <w:pPr>
        <w:pStyle w:val="P68B1DB1-ListParagraph16"/>
        <w:numPr>
          <w:ilvl w:val="0"/>
          <w:numId w:val="23"/>
        </w:numPr>
        <w:tabs>
          <w:tab w:val="left" w:pos="426"/>
        </w:tabs>
        <w:spacing w:before="120" w:after="120" w:line="240" w:lineRule="auto"/>
        <w:ind w:left="0" w:firstLine="0"/>
        <w:jc w:val="both"/>
        <w:rPr>
          <w:rFonts w:cs="Times New Roman"/>
          <w:noProof/>
        </w:rPr>
      </w:pPr>
      <w:r>
        <w:rPr>
          <w:noProof/>
        </w:rPr>
        <w:t>aumentar la oferta de viviendas sociales para proporcionar a los grupos vulnerables (personas sin hogar, personas con discapacidad o pérdida de autonomía) unas condiciones de vivienda dignas, como parte de una estrategi</w:t>
      </w:r>
      <w:r>
        <w:rPr>
          <w:noProof/>
        </w:rPr>
        <w:t>a de desinstitucionalización;</w:t>
      </w:r>
    </w:p>
    <w:p w14:paraId="5DE83485" w14:textId="77777777" w:rsidR="00F208CE" w:rsidRDefault="00513E84">
      <w:pPr>
        <w:pStyle w:val="P68B1DB1-ListParagraph16"/>
        <w:numPr>
          <w:ilvl w:val="0"/>
          <w:numId w:val="23"/>
        </w:numPr>
        <w:tabs>
          <w:tab w:val="left" w:pos="426"/>
        </w:tabs>
        <w:spacing w:before="120" w:after="120" w:line="240" w:lineRule="auto"/>
        <w:ind w:left="0" w:firstLine="0"/>
        <w:jc w:val="both"/>
        <w:rPr>
          <w:rFonts w:cs="Times New Roman"/>
          <w:noProof/>
        </w:rPr>
      </w:pPr>
      <w:r>
        <w:rPr>
          <w:noProof/>
        </w:rPr>
        <w:t>mejorar la cobertura de los servicios de guardería, en particular para los hogares vulnerables de Valonia, incluidas las mujeres y las familias monoparentales con bajos ingresos.</w:t>
      </w:r>
    </w:p>
    <w:p w14:paraId="3033C2A3" w14:textId="77777777" w:rsidR="00F208CE" w:rsidRDefault="00513E84">
      <w:pPr>
        <w:pStyle w:val="P68B1DB1-Normal1"/>
        <w:spacing w:before="120" w:after="120" w:line="240" w:lineRule="auto"/>
        <w:jc w:val="both"/>
        <w:rPr>
          <w:rFonts w:cs="Times New Roman"/>
          <w:noProof/>
        </w:rPr>
      </w:pPr>
      <w:r>
        <w:rPr>
          <w:noProof/>
        </w:rPr>
        <w:t>Como tal, este componente tiene por objeto prop</w:t>
      </w:r>
      <w:r>
        <w:rPr>
          <w:noProof/>
        </w:rPr>
        <w:t>orcionar a los grupos vulnerables infraestructuras que faciliten su integración en el mercado laboral y, de manera más general, en la sociedad.</w:t>
      </w:r>
    </w:p>
    <w:p w14:paraId="4CBEA568"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2019.2 sobre la desincentivación del</w:t>
      </w:r>
      <w:r>
        <w:rPr>
          <w:noProof/>
        </w:rPr>
        <w:t xml:space="preserve"> trabajo y el refuerzo de la integración en el mercado laboral de los grupos vulnerables y la Recomendación específica por país n.º 2020.2 sobre la mitigación del impacto social y en el empleo de la crisis.</w:t>
      </w:r>
    </w:p>
    <w:p w14:paraId="48DC577B" w14:textId="77777777" w:rsidR="00F208CE" w:rsidRDefault="00513E84">
      <w:pPr>
        <w:pStyle w:val="Text1"/>
        <w:ind w:left="0"/>
        <w:rPr>
          <w:b/>
          <w:i/>
          <w:noProof/>
        </w:rPr>
      </w:pPr>
      <w:r>
        <w:rPr>
          <w:b/>
          <w:noProof/>
          <w:u w:val="single"/>
        </w:rPr>
        <w:t xml:space="preserve">L.1. </w:t>
      </w:r>
      <w:r>
        <w:rPr>
          <w:noProof/>
        </w:rPr>
        <w:t xml:space="preserve"> </w:t>
      </w:r>
      <w:r>
        <w:rPr>
          <w:b/>
          <w:noProof/>
          <w:u w:val="single"/>
        </w:rPr>
        <w:t>Descripción de las reformas e inversiones p</w:t>
      </w:r>
      <w:r>
        <w:rPr>
          <w:b/>
          <w:noProof/>
          <w:u w:val="single"/>
        </w:rPr>
        <w:t>ara la ayuda financiera no reembolsable</w:t>
      </w:r>
    </w:p>
    <w:p w14:paraId="4814D536" w14:textId="77777777" w:rsidR="00F208CE" w:rsidRDefault="00513E84">
      <w:pPr>
        <w:pStyle w:val="P68B1DB1-Text19"/>
        <w:ind w:left="0"/>
        <w:rPr>
          <w:noProof/>
        </w:rPr>
      </w:pPr>
      <w:r>
        <w:rPr>
          <w:noProof/>
        </w:rPr>
        <w:t xml:space="preserve">Inversión I-4.12: «Desarrollo de viviendas de utilidad pública y de vivienda para personas vulnerables» de la Región Valona </w:t>
      </w:r>
    </w:p>
    <w:p w14:paraId="6244560D" w14:textId="6AF415E5" w:rsidR="00F208CE" w:rsidRDefault="00513E84">
      <w:pPr>
        <w:pStyle w:val="Text1"/>
        <w:ind w:left="0"/>
        <w:rPr>
          <w:noProof/>
        </w:rPr>
      </w:pPr>
      <w:r>
        <w:rPr>
          <w:noProof/>
        </w:rPr>
        <w:t>La inversión incluye la construcción y renovación energéticamente eficiente de i) viviendas</w:t>
      </w:r>
      <w:r>
        <w:rPr>
          <w:noProof/>
        </w:rPr>
        <w:t xml:space="preserve"> de alquiler bajo, ii) viviendas inclusivas y solidarias, así como iii) plazas de alojamiento para grupos mal alojados. Además, la inversión consiste en iv) equipar las viviendas de las personas vulnerables, es decir, las personas mayores de 65 años o las </w:t>
      </w:r>
      <w:r>
        <w:rPr>
          <w:noProof/>
        </w:rPr>
        <w:t xml:space="preserve">personas con discapacidad, con cajas de asistencia a distancia, con el fin de retrasar o evitar la institucionalización de estas personas con una autonomía reducida o de reducir la duración de su hospitalización. Antes de esta inversión, el Gobierno valón </w:t>
      </w:r>
      <w:r>
        <w:rPr>
          <w:noProof/>
        </w:rPr>
        <w:t>adoptará una estrategia de desinstitucionalización de los cuidados de larga duración. La ejecución de la inversión deberá estar terminada a más tardar el 30 de junio de 2026.</w:t>
      </w:r>
    </w:p>
    <w:p w14:paraId="72A61DF7" w14:textId="77777777" w:rsidR="00F208CE" w:rsidRDefault="00513E84">
      <w:pPr>
        <w:pStyle w:val="P68B1DB1-Text19"/>
        <w:ind w:left="0"/>
        <w:rPr>
          <w:noProof/>
        </w:rPr>
      </w:pPr>
      <w:r>
        <w:rPr>
          <w:noProof/>
        </w:rPr>
        <w:t>Inversión I-4.13: «Creación y renovación de infraestructuras de guardería infanti</w:t>
      </w:r>
      <w:r>
        <w:rPr>
          <w:noProof/>
        </w:rPr>
        <w:t>l» de la Región Valona</w:t>
      </w:r>
    </w:p>
    <w:p w14:paraId="125BB255" w14:textId="7D0F6F9B" w:rsidR="00F208CE" w:rsidRDefault="00513E84">
      <w:pPr>
        <w:pStyle w:val="P68B1DB1-Normal13"/>
        <w:spacing w:before="120" w:after="120" w:line="240" w:lineRule="auto"/>
        <w:jc w:val="both"/>
        <w:rPr>
          <w:rFonts w:cs="Times New Roman"/>
          <w:noProof/>
          <w:sz w:val="24"/>
        </w:rPr>
        <w:sectPr w:rsidR="00F208CE" w:rsidSect="00BC0F6D">
          <w:headerReference w:type="even" r:id="rId126"/>
          <w:headerReference w:type="default" r:id="rId127"/>
          <w:footerReference w:type="even" r:id="rId128"/>
          <w:footerReference w:type="default" r:id="rId129"/>
          <w:headerReference w:type="first" r:id="rId130"/>
          <w:footerReference w:type="first" r:id="rId131"/>
          <w:pgSz w:w="11907" w:h="16839"/>
          <w:pgMar w:top="1134" w:right="1134" w:bottom="1134" w:left="1134" w:header="567" w:footer="567" w:gutter="0"/>
          <w:cols w:space="720"/>
          <w:docGrid w:linePitch="360"/>
        </w:sectPr>
      </w:pPr>
      <w:r>
        <w:rPr>
          <w:noProof/>
          <w:sz w:val="24"/>
        </w:rPr>
        <w:t xml:space="preserve">La inversión tiene por objeto mejorar la cobertura del cuidado de niños en edad preescolar. La inversión incluye la construcción y la renovación energéticamente eficiente de </w:t>
      </w:r>
      <w:r>
        <w:rPr>
          <w:noProof/>
          <w:sz w:val="24"/>
        </w:rPr>
        <w:t xml:space="preserve">plazas de guardería. Se crearán nuevas plazas en los municipios que combinen una baja cobertura de guarderías con una baja tasa de empleo femenino, una elevada proporción de familias monoparentales y una </w:t>
      </w:r>
      <w:r>
        <w:rPr>
          <w:noProof/>
        </w:rPr>
        <w:t xml:space="preserve">renta per cápita baja. </w:t>
      </w:r>
      <w:r>
        <w:rPr>
          <w:noProof/>
          <w:sz w:val="24"/>
        </w:rPr>
        <w:t xml:space="preserve">La ejecución de la inversión </w:t>
      </w:r>
      <w:r>
        <w:rPr>
          <w:noProof/>
          <w:sz w:val="24"/>
        </w:rPr>
        <w:t>deberá estar terminada a más tardar el 30 de junio de 2026.</w:t>
      </w:r>
    </w:p>
    <w:p w14:paraId="32AC49B2" w14:textId="62D5267E" w:rsidR="00F208CE" w:rsidRDefault="00513E84">
      <w:pPr>
        <w:pStyle w:val="Text1"/>
        <w:ind w:left="0"/>
        <w:rPr>
          <w:b/>
          <w:noProof/>
          <w:u w:val="single"/>
        </w:rPr>
      </w:pPr>
      <w:r>
        <w:rPr>
          <w:b/>
          <w:noProof/>
          <w:u w:val="single"/>
        </w:rPr>
        <w:t xml:space="preserve">L.2. </w:t>
      </w:r>
      <w:r>
        <w:rPr>
          <w:noProof/>
        </w:rPr>
        <w:t xml:space="preserve"> </w:t>
      </w:r>
      <w:r>
        <w:rPr>
          <w:b/>
          <w:noProof/>
          <w:u w:val="single"/>
        </w:rPr>
        <w:t>Hitos, metas, indicadores y calendario para el seguimiento y la ejecución de la ayuda financiera no reembolsable</w:t>
      </w:r>
    </w:p>
    <w:tbl>
      <w:tblPr>
        <w:tblW w:w="15502" w:type="dxa"/>
        <w:jc w:val="center"/>
        <w:tblLayout w:type="fixed"/>
        <w:tblLook w:val="04A0" w:firstRow="1" w:lastRow="0" w:firstColumn="1" w:lastColumn="0" w:noHBand="0" w:noVBand="1"/>
      </w:tblPr>
      <w:tblGrid>
        <w:gridCol w:w="595"/>
        <w:gridCol w:w="1560"/>
        <w:gridCol w:w="1200"/>
        <w:gridCol w:w="2040"/>
        <w:gridCol w:w="1440"/>
        <w:gridCol w:w="1320"/>
        <w:gridCol w:w="1080"/>
        <w:gridCol w:w="720"/>
        <w:gridCol w:w="1080"/>
        <w:gridCol w:w="720"/>
        <w:gridCol w:w="3747"/>
      </w:tblGrid>
      <w:tr w:rsidR="00F208CE" w14:paraId="33CC17AE" w14:textId="77777777">
        <w:trPr>
          <w:trHeight w:val="927"/>
          <w:tblHeader/>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0E4FAF" w14:textId="4A2891E8" w:rsidR="00F208CE" w:rsidRDefault="00513E84">
            <w:pPr>
              <w:pStyle w:val="P68B1DB1-Normal15"/>
              <w:spacing w:after="0"/>
              <w:jc w:val="center"/>
              <w:rPr>
                <w:rFonts w:eastAsia="Times New Roman" w:cs="Times New Roman"/>
                <w:noProof/>
              </w:rPr>
            </w:pPr>
            <w:r>
              <w:rPr>
                <w:noProof/>
              </w:rPr>
              <w:t>S. N.B.</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13B149"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8506A6" w14:textId="77777777" w:rsidR="00F208CE" w:rsidRDefault="00513E84">
            <w:pPr>
              <w:pStyle w:val="P68B1DB1-Normal15"/>
              <w:spacing w:after="0"/>
              <w:jc w:val="center"/>
              <w:rPr>
                <w:rFonts w:eastAsia="Times New Roman" w:cs="Times New Roman"/>
                <w:noProof/>
              </w:rPr>
            </w:pPr>
            <w:r>
              <w:rPr>
                <w:noProof/>
              </w:rPr>
              <w:t>Hito/Objetivo</w:t>
            </w:r>
          </w:p>
        </w:tc>
        <w:tc>
          <w:tcPr>
            <w:tcW w:w="2040" w:type="dxa"/>
            <w:vMerge w:val="restart"/>
            <w:tcBorders>
              <w:top w:val="single" w:sz="4" w:space="0" w:color="auto"/>
              <w:left w:val="nil"/>
              <w:bottom w:val="single" w:sz="4" w:space="0" w:color="auto"/>
              <w:right w:val="single" w:sz="4" w:space="0" w:color="auto"/>
            </w:tcBorders>
            <w:shd w:val="clear" w:color="auto" w:fill="BDD7EE"/>
            <w:vAlign w:val="center"/>
            <w:hideMark/>
          </w:tcPr>
          <w:p w14:paraId="305CF2EF" w14:textId="77777777" w:rsidR="00F208CE" w:rsidRDefault="00513E84">
            <w:pPr>
              <w:pStyle w:val="P68B1DB1-Normal15"/>
              <w:spacing w:after="0"/>
              <w:jc w:val="center"/>
              <w:rPr>
                <w:rFonts w:eastAsia="Times New Roman" w:cs="Times New Roman"/>
                <w:noProof/>
              </w:rPr>
            </w:pPr>
            <w:r>
              <w:rPr>
                <w:noProof/>
              </w:rPr>
              <w:t>Nombre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E0927D"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120" w:type="dxa"/>
            <w:gridSpan w:val="3"/>
            <w:tcBorders>
              <w:top w:val="single" w:sz="4" w:space="0" w:color="auto"/>
              <w:left w:val="nil"/>
              <w:bottom w:val="single" w:sz="4" w:space="0" w:color="auto"/>
              <w:right w:val="single" w:sz="4" w:space="0" w:color="auto"/>
            </w:tcBorders>
            <w:shd w:val="clear" w:color="auto" w:fill="BDD7EE"/>
            <w:vAlign w:val="center"/>
            <w:hideMark/>
          </w:tcPr>
          <w:p w14:paraId="5A60B32E"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4AC6C999"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7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30BCE9"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661F89BB" w14:textId="77777777">
        <w:trPr>
          <w:trHeight w:val="101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7B52A4E" w14:textId="77777777" w:rsidR="00F208CE" w:rsidRDefault="00F208CE">
            <w:pPr>
              <w:spacing w:after="0"/>
              <w:rPr>
                <w:rFonts w:ascii="Times New Roman" w:eastAsia="Times New Roman" w:hAnsi="Times New Roman" w:cs="Times New Roman"/>
                <w:b/>
                <w:noProof/>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24BFBD" w14:textId="77777777" w:rsidR="00F208CE" w:rsidRDefault="00F208CE">
            <w:pPr>
              <w:spacing w:after="0"/>
              <w:rPr>
                <w:rFonts w:ascii="Times New Roman" w:eastAsia="Times New Roman" w:hAnsi="Times New Roman" w:cs="Times New Roman"/>
                <w:b/>
                <w:noProof/>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8DC817C" w14:textId="77777777" w:rsidR="00F208CE" w:rsidRDefault="00F208CE">
            <w:pPr>
              <w:spacing w:after="0"/>
              <w:rPr>
                <w:rFonts w:ascii="Times New Roman" w:eastAsia="Times New Roman" w:hAnsi="Times New Roman" w:cs="Times New Roman"/>
                <w:b/>
                <w:noProof/>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6E606B5A" w14:textId="77777777" w:rsidR="00F208CE" w:rsidRDefault="00F208CE">
            <w:pPr>
              <w:spacing w:after="0"/>
              <w:rPr>
                <w:rFonts w:ascii="Times New Roman" w:eastAsia="Times New Roman" w:hAnsi="Times New Roman" w:cs="Times New Roman"/>
                <w:b/>
                <w:noProof/>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4035ED3" w14:textId="77777777" w:rsidR="00F208CE" w:rsidRDefault="00F208CE">
            <w:pPr>
              <w:spacing w:after="0"/>
              <w:rPr>
                <w:rFonts w:ascii="Times New Roman" w:eastAsia="Times New Roman" w:hAnsi="Times New Roman" w:cs="Times New Roman"/>
                <w:b/>
                <w:noProof/>
              </w:rPr>
            </w:pPr>
          </w:p>
        </w:tc>
        <w:tc>
          <w:tcPr>
            <w:tcW w:w="1320" w:type="dxa"/>
            <w:tcBorders>
              <w:top w:val="nil"/>
              <w:left w:val="single" w:sz="4" w:space="0" w:color="auto"/>
              <w:bottom w:val="single" w:sz="4" w:space="0" w:color="auto"/>
              <w:right w:val="single" w:sz="4" w:space="0" w:color="auto"/>
            </w:tcBorders>
            <w:shd w:val="clear" w:color="auto" w:fill="BDD7EE"/>
            <w:vAlign w:val="center"/>
            <w:hideMark/>
          </w:tcPr>
          <w:p w14:paraId="10597356" w14:textId="77777777" w:rsidR="00F208CE" w:rsidRDefault="00513E84">
            <w:pPr>
              <w:pStyle w:val="P68B1DB1-Normal15"/>
              <w:spacing w:after="0"/>
              <w:jc w:val="center"/>
              <w:rPr>
                <w:rFonts w:eastAsia="Times New Roman" w:cs="Times New Roman"/>
                <w:noProof/>
              </w:rPr>
            </w:pPr>
            <w:r>
              <w:rPr>
                <w:noProof/>
              </w:rPr>
              <w:t>Unidad de medida</w:t>
            </w:r>
          </w:p>
        </w:tc>
        <w:tc>
          <w:tcPr>
            <w:tcW w:w="1080" w:type="dxa"/>
            <w:tcBorders>
              <w:top w:val="nil"/>
              <w:left w:val="nil"/>
              <w:bottom w:val="single" w:sz="4" w:space="0" w:color="auto"/>
              <w:right w:val="single" w:sz="4" w:space="0" w:color="auto"/>
            </w:tcBorders>
            <w:shd w:val="clear" w:color="auto" w:fill="BDD7EE"/>
            <w:vAlign w:val="center"/>
            <w:hideMark/>
          </w:tcPr>
          <w:p w14:paraId="52AA63F0" w14:textId="3B113DC9" w:rsidR="00F208CE" w:rsidRDefault="00513E84">
            <w:pPr>
              <w:pStyle w:val="P68B1DB1-Normal15"/>
              <w:spacing w:after="0"/>
              <w:jc w:val="center"/>
              <w:rPr>
                <w:rFonts w:eastAsia="Times New Roman" w:cs="Times New Roman"/>
                <w:noProof/>
              </w:rPr>
            </w:pPr>
            <w:r>
              <w:rPr>
                <w:noProof/>
              </w:rPr>
              <w:t>Basal</w:t>
            </w:r>
          </w:p>
        </w:tc>
        <w:tc>
          <w:tcPr>
            <w:tcW w:w="720" w:type="dxa"/>
            <w:tcBorders>
              <w:top w:val="nil"/>
              <w:left w:val="nil"/>
              <w:bottom w:val="single" w:sz="4" w:space="0" w:color="auto"/>
              <w:right w:val="single" w:sz="4" w:space="0" w:color="auto"/>
            </w:tcBorders>
            <w:shd w:val="clear" w:color="auto" w:fill="BDD7EE"/>
            <w:vAlign w:val="center"/>
            <w:hideMark/>
          </w:tcPr>
          <w:p w14:paraId="6DC8C2C7" w14:textId="1F7C1FEA" w:rsidR="00F208CE" w:rsidRDefault="00513E84">
            <w:pPr>
              <w:pStyle w:val="P68B1DB1-Normal15"/>
              <w:spacing w:after="0"/>
              <w:jc w:val="center"/>
              <w:rPr>
                <w:rFonts w:eastAsia="Times New Roman" w:cs="Times New Roman"/>
                <w:noProof/>
              </w:rPr>
            </w:pPr>
            <w:r>
              <w:rPr>
                <w:noProof/>
              </w:rPr>
              <w:t>Meta</w:t>
            </w:r>
          </w:p>
        </w:tc>
        <w:tc>
          <w:tcPr>
            <w:tcW w:w="1080" w:type="dxa"/>
            <w:tcBorders>
              <w:top w:val="nil"/>
              <w:left w:val="nil"/>
              <w:bottom w:val="single" w:sz="4" w:space="0" w:color="auto"/>
              <w:right w:val="single" w:sz="4" w:space="0" w:color="auto"/>
            </w:tcBorders>
            <w:shd w:val="clear" w:color="auto" w:fill="BDD7EE"/>
            <w:vAlign w:val="center"/>
            <w:hideMark/>
          </w:tcPr>
          <w:p w14:paraId="49E54F44" w14:textId="77777777" w:rsidR="00F208CE" w:rsidRDefault="00513E84">
            <w:pPr>
              <w:pStyle w:val="P68B1DB1-Normal15"/>
              <w:spacing w:after="0"/>
              <w:jc w:val="center"/>
              <w:rPr>
                <w:rFonts w:eastAsia="Times New Roman" w:cs="Times New Roman"/>
                <w:noProof/>
              </w:rPr>
            </w:pPr>
            <w:r>
              <w:rPr>
                <w:noProof/>
              </w:rPr>
              <w:t>Trimestre</w:t>
            </w:r>
          </w:p>
        </w:tc>
        <w:tc>
          <w:tcPr>
            <w:tcW w:w="720" w:type="dxa"/>
            <w:tcBorders>
              <w:top w:val="nil"/>
              <w:left w:val="nil"/>
              <w:bottom w:val="single" w:sz="4" w:space="0" w:color="auto"/>
              <w:right w:val="single" w:sz="4" w:space="0" w:color="auto"/>
            </w:tcBorders>
            <w:shd w:val="clear" w:color="auto" w:fill="BDD7EE"/>
            <w:vAlign w:val="center"/>
            <w:hideMark/>
          </w:tcPr>
          <w:p w14:paraId="7D1ED105" w14:textId="77777777" w:rsidR="00F208CE" w:rsidRDefault="00513E84">
            <w:pPr>
              <w:pStyle w:val="P68B1DB1-Normal15"/>
              <w:spacing w:after="0"/>
              <w:jc w:val="center"/>
              <w:rPr>
                <w:rFonts w:eastAsia="Times New Roman" w:cs="Times New Roman"/>
                <w:noProof/>
              </w:rPr>
            </w:pPr>
            <w:r>
              <w:rPr>
                <w:noProof/>
              </w:rPr>
              <w:t>Año</w:t>
            </w:r>
          </w:p>
        </w:tc>
        <w:tc>
          <w:tcPr>
            <w:tcW w:w="3747" w:type="dxa"/>
            <w:vMerge/>
            <w:tcBorders>
              <w:top w:val="single" w:sz="4" w:space="0" w:color="auto"/>
              <w:bottom w:val="single" w:sz="4" w:space="0" w:color="auto"/>
              <w:right w:val="single" w:sz="4" w:space="0" w:color="auto"/>
            </w:tcBorders>
            <w:vAlign w:val="center"/>
            <w:hideMark/>
          </w:tcPr>
          <w:p w14:paraId="2245AD8C" w14:textId="77777777" w:rsidR="00F208CE" w:rsidRDefault="00F208CE">
            <w:pPr>
              <w:spacing w:after="0"/>
              <w:rPr>
                <w:rFonts w:ascii="Times New Roman" w:eastAsia="Times New Roman" w:hAnsi="Times New Roman" w:cs="Times New Roman"/>
                <w:b/>
                <w:noProof/>
              </w:rPr>
            </w:pPr>
          </w:p>
        </w:tc>
      </w:tr>
      <w:tr w:rsidR="00F208CE" w14:paraId="5D7E4479" w14:textId="77777777">
        <w:trPr>
          <w:trHeight w:val="309"/>
          <w:jc w:val="center"/>
        </w:trPr>
        <w:tc>
          <w:tcPr>
            <w:tcW w:w="5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2F3BBC6" w14:textId="77777777" w:rsidR="00F208CE" w:rsidRDefault="00513E84">
            <w:pPr>
              <w:pStyle w:val="P68B1DB1-Normal8"/>
              <w:spacing w:after="0"/>
              <w:jc w:val="center"/>
              <w:rPr>
                <w:rFonts w:eastAsia="Times New Roman" w:cs="Times New Roman"/>
                <w:noProof/>
              </w:rPr>
            </w:pPr>
            <w:r>
              <w:rPr>
                <w:noProof/>
              </w:rPr>
              <w:t>150</w:t>
            </w:r>
          </w:p>
        </w:tc>
        <w:tc>
          <w:tcPr>
            <w:tcW w:w="1560" w:type="dxa"/>
            <w:tcBorders>
              <w:top w:val="single" w:sz="4" w:space="0" w:color="auto"/>
              <w:left w:val="nil"/>
              <w:bottom w:val="single" w:sz="4" w:space="0" w:color="auto"/>
              <w:right w:val="single" w:sz="4" w:space="0" w:color="auto"/>
            </w:tcBorders>
            <w:shd w:val="clear" w:color="auto" w:fill="C6EFCE"/>
            <w:noWrap/>
            <w:vAlign w:val="center"/>
            <w:hideMark/>
          </w:tcPr>
          <w:p w14:paraId="3B7789E6" w14:textId="77777777" w:rsidR="00F208CE" w:rsidRDefault="00513E84">
            <w:pPr>
              <w:pStyle w:val="P68B1DB1-Normal8"/>
              <w:spacing w:after="0"/>
              <w:rPr>
                <w:rFonts w:eastAsia="Times New Roman" w:cs="Times New Roman"/>
                <w:noProof/>
              </w:rPr>
            </w:pPr>
            <w:r>
              <w:rPr>
                <w:noProof/>
              </w:rPr>
              <w:t xml:space="preserve">Desarrollo de viviendas de utilidad </w:t>
            </w:r>
            <w:r>
              <w:rPr>
                <w:noProof/>
              </w:rPr>
              <w:t>pública y vivienda para personas vulnerables (I-4.12)</w:t>
            </w:r>
          </w:p>
        </w:tc>
        <w:tc>
          <w:tcPr>
            <w:tcW w:w="1200" w:type="dxa"/>
            <w:tcBorders>
              <w:top w:val="single" w:sz="4" w:space="0" w:color="auto"/>
              <w:left w:val="nil"/>
              <w:bottom w:val="single" w:sz="4" w:space="0" w:color="auto"/>
              <w:right w:val="single" w:sz="4" w:space="0" w:color="auto"/>
            </w:tcBorders>
            <w:shd w:val="clear" w:color="auto" w:fill="C6EFCE"/>
            <w:noWrap/>
            <w:vAlign w:val="center"/>
            <w:hideMark/>
          </w:tcPr>
          <w:p w14:paraId="73F216C4" w14:textId="4D997962" w:rsidR="00F208CE" w:rsidRDefault="00513E84">
            <w:pPr>
              <w:pStyle w:val="P68B1DB1-Normal8"/>
              <w:spacing w:after="0"/>
              <w:rPr>
                <w:rFonts w:eastAsia="Times New Roman" w:cs="Times New Roman"/>
                <w:noProof/>
              </w:rPr>
            </w:pPr>
            <w:r>
              <w:rPr>
                <w:noProof/>
              </w:rPr>
              <w:t>M</w:t>
            </w:r>
          </w:p>
        </w:tc>
        <w:tc>
          <w:tcPr>
            <w:tcW w:w="2040" w:type="dxa"/>
            <w:tcBorders>
              <w:top w:val="single" w:sz="4" w:space="0" w:color="auto"/>
              <w:left w:val="nil"/>
              <w:bottom w:val="single" w:sz="4" w:space="0" w:color="auto"/>
              <w:right w:val="single" w:sz="4" w:space="0" w:color="auto"/>
            </w:tcBorders>
            <w:shd w:val="clear" w:color="auto" w:fill="C6EFCE"/>
            <w:noWrap/>
            <w:vAlign w:val="center"/>
            <w:hideMark/>
          </w:tcPr>
          <w:p w14:paraId="296051B8" w14:textId="77777777" w:rsidR="00F208CE" w:rsidRDefault="00513E84">
            <w:pPr>
              <w:pStyle w:val="P68B1DB1-Normal14"/>
              <w:spacing w:after="0"/>
              <w:rPr>
                <w:rFonts w:eastAsia="Times New Roman" w:cs="Times New Roman"/>
                <w:noProof/>
              </w:rPr>
            </w:pPr>
            <w:r>
              <w:rPr>
                <w:noProof/>
              </w:rPr>
              <w:t>Estrategia valona para la desinstitucionalización (política sanitaria valona)</w:t>
            </w:r>
          </w:p>
        </w:tc>
        <w:tc>
          <w:tcPr>
            <w:tcW w:w="1440" w:type="dxa"/>
            <w:tcBorders>
              <w:top w:val="single" w:sz="4" w:space="0" w:color="auto"/>
              <w:left w:val="nil"/>
              <w:bottom w:val="single" w:sz="4" w:space="0" w:color="auto"/>
              <w:right w:val="single" w:sz="4" w:space="0" w:color="auto"/>
            </w:tcBorders>
            <w:shd w:val="clear" w:color="auto" w:fill="C6EFCE"/>
            <w:noWrap/>
            <w:vAlign w:val="center"/>
            <w:hideMark/>
          </w:tcPr>
          <w:p w14:paraId="6F2BC4B3" w14:textId="68652F75" w:rsidR="00F208CE" w:rsidRDefault="00513E84">
            <w:pPr>
              <w:pStyle w:val="P68B1DB1-Normal8"/>
              <w:spacing w:after="0"/>
              <w:rPr>
                <w:rFonts w:eastAsia="Times New Roman" w:cs="Times New Roman"/>
                <w:noProof/>
              </w:rPr>
            </w:pPr>
            <w:r>
              <w:rPr>
                <w:noProof/>
              </w:rPr>
              <w:t>Aprobación por el Gobierno valón de una estrategia valona para la desinstitucionalización</w:t>
            </w:r>
          </w:p>
        </w:tc>
        <w:tc>
          <w:tcPr>
            <w:tcW w:w="1320" w:type="dxa"/>
            <w:tcBorders>
              <w:top w:val="nil"/>
              <w:left w:val="nil"/>
              <w:bottom w:val="single" w:sz="4" w:space="0" w:color="auto"/>
              <w:right w:val="single" w:sz="4" w:space="0" w:color="auto"/>
            </w:tcBorders>
            <w:shd w:val="clear" w:color="auto" w:fill="C6EFCE"/>
            <w:noWrap/>
            <w:vAlign w:val="center"/>
          </w:tcPr>
          <w:p w14:paraId="7D260474"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3685D90B" w14:textId="77777777"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47E43B0F" w14:textId="77777777" w:rsidR="00F208CE" w:rsidRDefault="00F208CE">
            <w:pPr>
              <w:spacing w:after="0"/>
              <w:jc w:val="right"/>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19BA93E8"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25C8DC83" w14:textId="77777777" w:rsidR="00F208CE" w:rsidRDefault="00513E84">
            <w:pPr>
              <w:pStyle w:val="P68B1DB1-Normal8"/>
              <w:spacing w:after="0"/>
              <w:jc w:val="center"/>
              <w:rPr>
                <w:rFonts w:eastAsia="Times New Roman" w:cs="Times New Roman"/>
                <w:noProof/>
              </w:rPr>
            </w:pPr>
            <w:r>
              <w:rPr>
                <w:noProof/>
              </w:rPr>
              <w:t>2021</w:t>
            </w:r>
          </w:p>
        </w:tc>
        <w:tc>
          <w:tcPr>
            <w:tcW w:w="3747" w:type="dxa"/>
            <w:tcBorders>
              <w:top w:val="single" w:sz="4" w:space="0" w:color="auto"/>
              <w:left w:val="nil"/>
              <w:bottom w:val="single" w:sz="4" w:space="0" w:color="auto"/>
              <w:right w:val="single" w:sz="4" w:space="0" w:color="auto"/>
            </w:tcBorders>
            <w:shd w:val="clear" w:color="auto" w:fill="C6EFCE"/>
            <w:noWrap/>
            <w:vAlign w:val="center"/>
            <w:hideMark/>
          </w:tcPr>
          <w:p w14:paraId="25C04E08" w14:textId="77777777" w:rsidR="00F208CE" w:rsidRDefault="00513E84">
            <w:pPr>
              <w:pStyle w:val="P68B1DB1-Normal8"/>
              <w:spacing w:after="0"/>
              <w:rPr>
                <w:rFonts w:eastAsia="Times New Roman" w:cs="Times New Roman"/>
                <w:noProof/>
              </w:rPr>
            </w:pPr>
            <w:r>
              <w:rPr>
                <w:noProof/>
              </w:rPr>
              <w:t>Aprob</w:t>
            </w:r>
            <w:r>
              <w:rPr>
                <w:noProof/>
              </w:rPr>
              <w:t>ación de una estrategia de la Región Valona sobre la desinstitucionalización en el contexto de la política sanitaria valona, en particular para las personas mayores y las personas con discapacidad: (1) especificar el concepto de desinstitucionalización, (2</w:t>
            </w:r>
            <w:r>
              <w:rPr>
                <w:noProof/>
              </w:rPr>
              <w:t>) establecer criterios para la institucionalización y desinstitucionalización, (3) proporcionar una evaluación cuantitativa y cualitativa de la desinstitucionalización iniciada por las instituciones de acogida y de acogida, (4) elaborar un estado actual de</w:t>
            </w:r>
            <w:r>
              <w:rPr>
                <w:noProof/>
              </w:rPr>
              <w:t xml:space="preserve"> la prestación de servicios (5) y formular recomendaciones para la puesta en práctica de la estrategia.</w:t>
            </w:r>
          </w:p>
        </w:tc>
      </w:tr>
      <w:tr w:rsidR="00F208CE" w14:paraId="18E46086"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5015BF4E" w14:textId="77777777" w:rsidR="00F208CE" w:rsidRDefault="00513E84">
            <w:pPr>
              <w:pStyle w:val="P68B1DB1-Normal8"/>
              <w:spacing w:after="0"/>
              <w:jc w:val="center"/>
              <w:rPr>
                <w:rFonts w:eastAsia="Times New Roman" w:cs="Times New Roman"/>
                <w:noProof/>
              </w:rPr>
            </w:pPr>
            <w:r>
              <w:rPr>
                <w:noProof/>
              </w:rPr>
              <w:t>151</w:t>
            </w:r>
          </w:p>
        </w:tc>
        <w:tc>
          <w:tcPr>
            <w:tcW w:w="1560" w:type="dxa"/>
            <w:tcBorders>
              <w:top w:val="nil"/>
              <w:left w:val="nil"/>
              <w:bottom w:val="single" w:sz="4" w:space="0" w:color="auto"/>
              <w:right w:val="single" w:sz="4" w:space="0" w:color="auto"/>
            </w:tcBorders>
            <w:shd w:val="clear" w:color="auto" w:fill="C6EFCE"/>
            <w:noWrap/>
            <w:vAlign w:val="center"/>
            <w:hideMark/>
          </w:tcPr>
          <w:p w14:paraId="6D58FC02" w14:textId="77777777" w:rsidR="00F208CE" w:rsidRDefault="00513E84">
            <w:pPr>
              <w:pStyle w:val="P68B1DB1-Normal8"/>
              <w:spacing w:after="0"/>
              <w:rPr>
                <w:rFonts w:eastAsia="Times New Roman" w:cs="Times New Roman"/>
                <w:noProof/>
              </w:rPr>
            </w:pPr>
            <w:r>
              <w:rPr>
                <w:noProof/>
              </w:rPr>
              <w:t>Desarrollo de viviendas de utilidad pública y vivienda para personas vulnerables (I-4.12)</w:t>
            </w:r>
          </w:p>
        </w:tc>
        <w:tc>
          <w:tcPr>
            <w:tcW w:w="1200" w:type="dxa"/>
            <w:tcBorders>
              <w:top w:val="nil"/>
              <w:left w:val="nil"/>
              <w:bottom w:val="single" w:sz="4" w:space="0" w:color="auto"/>
              <w:right w:val="single" w:sz="4" w:space="0" w:color="auto"/>
            </w:tcBorders>
            <w:shd w:val="clear" w:color="auto" w:fill="C6EFCE"/>
            <w:noWrap/>
            <w:vAlign w:val="center"/>
            <w:hideMark/>
          </w:tcPr>
          <w:p w14:paraId="09C8CF6B" w14:textId="424A05CD" w:rsidR="00F208CE" w:rsidRDefault="00513E84">
            <w:pPr>
              <w:pStyle w:val="P68B1DB1-Normal8"/>
              <w:spacing w:after="0"/>
              <w:rPr>
                <w:rFonts w:eastAsia="Times New Roman" w:cs="Times New Roman"/>
                <w:noProof/>
              </w:rPr>
            </w:pPr>
            <w:r>
              <w:rPr>
                <w:noProof/>
              </w:rPr>
              <w:t>T</w:t>
            </w:r>
          </w:p>
        </w:tc>
        <w:tc>
          <w:tcPr>
            <w:tcW w:w="2040" w:type="dxa"/>
            <w:tcBorders>
              <w:top w:val="nil"/>
              <w:left w:val="nil"/>
              <w:bottom w:val="single" w:sz="4" w:space="0" w:color="auto"/>
              <w:right w:val="single" w:sz="4" w:space="0" w:color="auto"/>
            </w:tcBorders>
            <w:shd w:val="clear" w:color="auto" w:fill="C6EFCE"/>
            <w:noWrap/>
            <w:vAlign w:val="center"/>
            <w:hideMark/>
          </w:tcPr>
          <w:p w14:paraId="77C9E48E" w14:textId="77777777" w:rsidR="00F208CE" w:rsidRDefault="00513E84">
            <w:pPr>
              <w:pStyle w:val="P68B1DB1-Normal8"/>
              <w:spacing w:after="0"/>
              <w:rPr>
                <w:rFonts w:eastAsia="Times New Roman" w:cs="Times New Roman"/>
                <w:noProof/>
              </w:rPr>
            </w:pPr>
            <w:r>
              <w:rPr>
                <w:noProof/>
              </w:rPr>
              <w:t>Adjudicación de una parte de las obras</w:t>
            </w:r>
          </w:p>
        </w:tc>
        <w:tc>
          <w:tcPr>
            <w:tcW w:w="1440" w:type="dxa"/>
            <w:tcBorders>
              <w:top w:val="nil"/>
              <w:left w:val="nil"/>
              <w:bottom w:val="single" w:sz="4" w:space="0" w:color="auto"/>
              <w:right w:val="single" w:sz="4" w:space="0" w:color="auto"/>
            </w:tcBorders>
            <w:shd w:val="clear" w:color="auto" w:fill="C6EFCE"/>
            <w:noWrap/>
            <w:vAlign w:val="center"/>
            <w:hideMark/>
          </w:tcPr>
          <w:p w14:paraId="17520DA1"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41E19EA6" w14:textId="77777777" w:rsidR="00F208CE" w:rsidRDefault="00513E84">
            <w:pPr>
              <w:pStyle w:val="P68B1DB1-Normal8"/>
              <w:spacing w:after="0"/>
              <w:rPr>
                <w:rFonts w:eastAsia="Times New Roman" w:cs="Times New Roman"/>
                <w:noProof/>
              </w:rPr>
            </w:pPr>
            <w:r>
              <w:rPr>
                <w:noProof/>
              </w:rPr>
              <w:t>Viviendas</w:t>
            </w:r>
          </w:p>
        </w:tc>
        <w:tc>
          <w:tcPr>
            <w:tcW w:w="1080" w:type="dxa"/>
            <w:tcBorders>
              <w:top w:val="nil"/>
              <w:left w:val="nil"/>
              <w:bottom w:val="single" w:sz="4" w:space="0" w:color="auto"/>
              <w:right w:val="single" w:sz="4" w:space="0" w:color="auto"/>
            </w:tcBorders>
            <w:shd w:val="clear" w:color="auto" w:fill="C6EFCE"/>
            <w:noWrap/>
            <w:vAlign w:val="center"/>
          </w:tcPr>
          <w:p w14:paraId="079012E3"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23A4E447" w14:textId="77777777" w:rsidR="00F208CE" w:rsidRDefault="00513E84">
            <w:pPr>
              <w:pStyle w:val="P68B1DB1-Normal8"/>
              <w:spacing w:after="0"/>
              <w:jc w:val="center"/>
              <w:rPr>
                <w:rFonts w:eastAsia="Times New Roman" w:cs="Times New Roman"/>
                <w:noProof/>
              </w:rPr>
            </w:pPr>
            <w:r>
              <w:rPr>
                <w:noProof/>
              </w:rPr>
              <w:t>280</w:t>
            </w:r>
          </w:p>
        </w:tc>
        <w:tc>
          <w:tcPr>
            <w:tcW w:w="1080" w:type="dxa"/>
            <w:tcBorders>
              <w:top w:val="nil"/>
              <w:left w:val="nil"/>
              <w:bottom w:val="single" w:sz="4" w:space="0" w:color="auto"/>
              <w:right w:val="single" w:sz="4" w:space="0" w:color="auto"/>
            </w:tcBorders>
            <w:shd w:val="clear" w:color="auto" w:fill="C6EFCE"/>
            <w:noWrap/>
            <w:vAlign w:val="center"/>
            <w:hideMark/>
          </w:tcPr>
          <w:p w14:paraId="07D65070" w14:textId="30F8D46C"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43D88798" w14:textId="54FA122B" w:rsidR="00F208CE" w:rsidRDefault="00513E84">
            <w:pPr>
              <w:pStyle w:val="P68B1DB1-Normal8"/>
              <w:spacing w:after="0"/>
              <w:jc w:val="center"/>
              <w:rPr>
                <w:rFonts w:eastAsia="Times New Roman" w:cs="Times New Roman"/>
                <w:noProof/>
              </w:rPr>
            </w:pPr>
            <w:r>
              <w:rPr>
                <w:noProof/>
              </w:rPr>
              <w:t>2024</w:t>
            </w:r>
          </w:p>
        </w:tc>
        <w:tc>
          <w:tcPr>
            <w:tcW w:w="3747" w:type="dxa"/>
            <w:tcBorders>
              <w:top w:val="nil"/>
              <w:left w:val="nil"/>
              <w:bottom w:val="single" w:sz="4" w:space="0" w:color="auto"/>
              <w:right w:val="single" w:sz="4" w:space="0" w:color="auto"/>
            </w:tcBorders>
            <w:shd w:val="clear" w:color="auto" w:fill="C6EFCE"/>
            <w:noWrap/>
            <w:vAlign w:val="center"/>
          </w:tcPr>
          <w:p w14:paraId="64D6A0D1" w14:textId="433FC99B" w:rsidR="00F208CE" w:rsidRDefault="00513E84">
            <w:pPr>
              <w:pStyle w:val="P68B1DB1-Normal8"/>
              <w:spacing w:after="0"/>
              <w:rPr>
                <w:rFonts w:eastAsia="Times New Roman" w:cs="Times New Roman"/>
                <w:noProof/>
              </w:rPr>
            </w:pPr>
            <w:r>
              <w:rPr>
                <w:noProof/>
              </w:rPr>
              <w:t>Adjudicación de contratos de obras por parte de los operadores para 280 de viviendas de alquiler reducido).</w:t>
            </w:r>
          </w:p>
        </w:tc>
      </w:tr>
      <w:tr w:rsidR="00F208CE" w14:paraId="21AD8CEC"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tcPr>
          <w:p w14:paraId="0C57AC0E" w14:textId="77777777" w:rsidR="00F208CE" w:rsidRDefault="00513E84">
            <w:pPr>
              <w:pStyle w:val="P68B1DB1-Normal8"/>
              <w:spacing w:after="0"/>
              <w:jc w:val="center"/>
              <w:rPr>
                <w:rFonts w:eastAsia="Times New Roman" w:cs="Times New Roman"/>
                <w:noProof/>
              </w:rPr>
            </w:pPr>
            <w:r>
              <w:rPr>
                <w:noProof/>
              </w:rPr>
              <w:t>152</w:t>
            </w:r>
          </w:p>
        </w:tc>
        <w:tc>
          <w:tcPr>
            <w:tcW w:w="1560" w:type="dxa"/>
            <w:tcBorders>
              <w:top w:val="nil"/>
              <w:left w:val="nil"/>
              <w:bottom w:val="single" w:sz="4" w:space="0" w:color="auto"/>
              <w:right w:val="single" w:sz="4" w:space="0" w:color="auto"/>
            </w:tcBorders>
            <w:shd w:val="clear" w:color="auto" w:fill="C6EFCE"/>
            <w:noWrap/>
            <w:vAlign w:val="center"/>
          </w:tcPr>
          <w:p w14:paraId="1A70517B" w14:textId="77777777" w:rsidR="00F208CE" w:rsidRDefault="00513E84">
            <w:pPr>
              <w:pStyle w:val="P68B1DB1-Normal8"/>
              <w:spacing w:after="0"/>
              <w:rPr>
                <w:rFonts w:eastAsia="Times New Roman" w:cs="Times New Roman"/>
                <w:noProof/>
              </w:rPr>
            </w:pPr>
            <w:r>
              <w:rPr>
                <w:noProof/>
              </w:rPr>
              <w:t>Desarrollo de viviendas de utilidad pública y vivienda para personas vulnerables (I-4.12)</w:t>
            </w:r>
          </w:p>
        </w:tc>
        <w:tc>
          <w:tcPr>
            <w:tcW w:w="1200" w:type="dxa"/>
            <w:tcBorders>
              <w:top w:val="nil"/>
              <w:left w:val="nil"/>
              <w:bottom w:val="single" w:sz="4" w:space="0" w:color="auto"/>
              <w:right w:val="single" w:sz="4" w:space="0" w:color="auto"/>
            </w:tcBorders>
            <w:shd w:val="clear" w:color="auto" w:fill="C6EFCE"/>
            <w:noWrap/>
            <w:vAlign w:val="center"/>
          </w:tcPr>
          <w:p w14:paraId="61F29E98" w14:textId="7F5D70E7" w:rsidR="00F208CE" w:rsidRDefault="00513E84">
            <w:pPr>
              <w:pStyle w:val="P68B1DB1-Normal8"/>
              <w:spacing w:after="0"/>
              <w:rPr>
                <w:rFonts w:eastAsia="Times New Roman" w:cs="Times New Roman"/>
                <w:noProof/>
              </w:rPr>
            </w:pPr>
            <w:r>
              <w:rPr>
                <w:noProof/>
              </w:rPr>
              <w:t>T</w:t>
            </w:r>
          </w:p>
        </w:tc>
        <w:tc>
          <w:tcPr>
            <w:tcW w:w="2040" w:type="dxa"/>
            <w:tcBorders>
              <w:top w:val="nil"/>
              <w:left w:val="nil"/>
              <w:bottom w:val="single" w:sz="4" w:space="0" w:color="auto"/>
              <w:right w:val="single" w:sz="4" w:space="0" w:color="auto"/>
            </w:tcBorders>
            <w:shd w:val="clear" w:color="auto" w:fill="C6EFCE"/>
            <w:noWrap/>
            <w:vAlign w:val="center"/>
          </w:tcPr>
          <w:p w14:paraId="33BB0EED" w14:textId="77777777" w:rsidR="00F208CE" w:rsidRDefault="00513E84">
            <w:pPr>
              <w:pStyle w:val="P68B1DB1-Normal8"/>
              <w:spacing w:after="0"/>
              <w:rPr>
                <w:rFonts w:eastAsia="Times New Roman" w:cs="Times New Roman"/>
                <w:noProof/>
              </w:rPr>
            </w:pPr>
            <w:r>
              <w:rPr>
                <w:noProof/>
              </w:rPr>
              <w:t xml:space="preserve">Instalación de asistencia </w:t>
            </w:r>
            <w:r>
              <w:rPr>
                <w:noProof/>
              </w:rPr>
              <w:t>a distancia para personas con pérdida de autonomía</w:t>
            </w:r>
          </w:p>
        </w:tc>
        <w:tc>
          <w:tcPr>
            <w:tcW w:w="1440" w:type="dxa"/>
            <w:tcBorders>
              <w:top w:val="nil"/>
              <w:left w:val="nil"/>
              <w:bottom w:val="single" w:sz="4" w:space="0" w:color="auto"/>
              <w:right w:val="single" w:sz="4" w:space="0" w:color="auto"/>
            </w:tcBorders>
            <w:shd w:val="clear" w:color="auto" w:fill="C6EFCE"/>
            <w:noWrap/>
            <w:vAlign w:val="center"/>
          </w:tcPr>
          <w:p w14:paraId="2A386E8B"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tcPr>
          <w:p w14:paraId="51F5992C" w14:textId="77777777" w:rsidR="00F208CE" w:rsidRDefault="00513E84">
            <w:pPr>
              <w:pStyle w:val="P68B1DB1-Normal8"/>
              <w:spacing w:after="0"/>
              <w:rPr>
                <w:rFonts w:eastAsia="Times New Roman" w:cs="Times New Roman"/>
                <w:noProof/>
              </w:rPr>
            </w:pPr>
            <w:r>
              <w:rPr>
                <w:noProof/>
              </w:rPr>
              <w:t>Cajas de asistencia a distancia instaladas</w:t>
            </w:r>
          </w:p>
        </w:tc>
        <w:tc>
          <w:tcPr>
            <w:tcW w:w="1080" w:type="dxa"/>
            <w:tcBorders>
              <w:top w:val="nil"/>
              <w:left w:val="nil"/>
              <w:bottom w:val="single" w:sz="4" w:space="0" w:color="auto"/>
              <w:right w:val="single" w:sz="4" w:space="0" w:color="auto"/>
            </w:tcBorders>
            <w:shd w:val="clear" w:color="auto" w:fill="C6EFCE"/>
            <w:noWrap/>
            <w:vAlign w:val="center"/>
          </w:tcPr>
          <w:p w14:paraId="5601FC2F"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253470B1" w14:textId="22D41517" w:rsidR="00F208CE" w:rsidRDefault="00513E84">
            <w:pPr>
              <w:pStyle w:val="P68B1DB1-Normal8"/>
              <w:spacing w:after="0"/>
              <w:jc w:val="center"/>
              <w:rPr>
                <w:rFonts w:eastAsia="Times New Roman" w:cs="Times New Roman"/>
                <w:noProof/>
              </w:rPr>
            </w:pPr>
            <w:r>
              <w:rPr>
                <w:noProof/>
              </w:rPr>
              <w:t>5 000</w:t>
            </w:r>
          </w:p>
        </w:tc>
        <w:tc>
          <w:tcPr>
            <w:tcW w:w="1080" w:type="dxa"/>
            <w:tcBorders>
              <w:top w:val="nil"/>
              <w:left w:val="nil"/>
              <w:bottom w:val="single" w:sz="4" w:space="0" w:color="auto"/>
              <w:right w:val="single" w:sz="4" w:space="0" w:color="auto"/>
            </w:tcBorders>
            <w:shd w:val="clear" w:color="auto" w:fill="C6EFCE"/>
            <w:noWrap/>
            <w:vAlign w:val="center"/>
          </w:tcPr>
          <w:p w14:paraId="67D3F311" w14:textId="77777777" w:rsidR="00F208CE" w:rsidRDefault="00513E84">
            <w:pPr>
              <w:pStyle w:val="P68B1DB1-Normal8"/>
              <w:spacing w:after="0"/>
              <w:jc w:val="center"/>
              <w:rPr>
                <w:rFonts w:eastAsia="Times New Roman" w:cs="Times New Roman"/>
                <w:noProof/>
              </w:rPr>
            </w:pPr>
            <w:r>
              <w:rPr>
                <w:noProof/>
              </w:rPr>
              <w:t>TERCER TRIMESTRE 3</w:t>
            </w:r>
          </w:p>
        </w:tc>
        <w:tc>
          <w:tcPr>
            <w:tcW w:w="720" w:type="dxa"/>
            <w:tcBorders>
              <w:top w:val="nil"/>
              <w:left w:val="nil"/>
              <w:bottom w:val="single" w:sz="4" w:space="0" w:color="auto"/>
              <w:right w:val="single" w:sz="4" w:space="0" w:color="auto"/>
            </w:tcBorders>
            <w:shd w:val="clear" w:color="auto" w:fill="C6EFCE"/>
            <w:noWrap/>
            <w:vAlign w:val="center"/>
          </w:tcPr>
          <w:p w14:paraId="4920B8EE" w14:textId="77777777" w:rsidR="00F208CE" w:rsidRDefault="00513E84">
            <w:pPr>
              <w:pStyle w:val="P68B1DB1-Normal8"/>
              <w:spacing w:after="0"/>
              <w:jc w:val="center"/>
              <w:rPr>
                <w:rFonts w:eastAsia="Times New Roman" w:cs="Times New Roman"/>
                <w:noProof/>
              </w:rPr>
            </w:pPr>
            <w:r>
              <w:rPr>
                <w:noProof/>
              </w:rPr>
              <w:t>2025</w:t>
            </w:r>
          </w:p>
        </w:tc>
        <w:tc>
          <w:tcPr>
            <w:tcW w:w="3747" w:type="dxa"/>
            <w:tcBorders>
              <w:top w:val="nil"/>
              <w:left w:val="nil"/>
              <w:bottom w:val="single" w:sz="4" w:space="0" w:color="auto"/>
              <w:right w:val="single" w:sz="4" w:space="0" w:color="auto"/>
            </w:tcBorders>
            <w:shd w:val="clear" w:color="auto" w:fill="C6EFCE"/>
            <w:noWrap/>
            <w:vAlign w:val="center"/>
          </w:tcPr>
          <w:p w14:paraId="07F01DA2" w14:textId="3D39C58F" w:rsidR="00F208CE" w:rsidRDefault="00513E84">
            <w:pPr>
              <w:pStyle w:val="P68B1DB1-Normal8"/>
              <w:spacing w:after="0"/>
              <w:rPr>
                <w:rFonts w:eastAsia="Times New Roman" w:cs="Times New Roman"/>
                <w:noProof/>
              </w:rPr>
            </w:pPr>
            <w:r>
              <w:rPr>
                <w:noProof/>
              </w:rPr>
              <w:t xml:space="preserve">5 000 cajas de asistencia a distancia instaladas en los hogares de personas vulnerables, es decir, personas mayores de 65 años o </w:t>
            </w:r>
            <w:r>
              <w:rPr>
                <w:noProof/>
              </w:rPr>
              <w:t>personas con discapacidad.</w:t>
            </w:r>
          </w:p>
        </w:tc>
      </w:tr>
      <w:tr w:rsidR="00F208CE" w14:paraId="25D4670F"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1A03EEA3" w14:textId="77777777" w:rsidR="00F208CE" w:rsidRDefault="00513E84">
            <w:pPr>
              <w:pStyle w:val="P68B1DB1-Normal8"/>
              <w:spacing w:after="0"/>
              <w:jc w:val="center"/>
              <w:rPr>
                <w:rFonts w:eastAsia="Times New Roman" w:cs="Times New Roman"/>
                <w:noProof/>
              </w:rPr>
            </w:pPr>
            <w:r>
              <w:rPr>
                <w:noProof/>
              </w:rPr>
              <w:t>153</w:t>
            </w:r>
          </w:p>
        </w:tc>
        <w:tc>
          <w:tcPr>
            <w:tcW w:w="1560" w:type="dxa"/>
            <w:tcBorders>
              <w:top w:val="nil"/>
              <w:left w:val="nil"/>
              <w:bottom w:val="single" w:sz="4" w:space="0" w:color="auto"/>
              <w:right w:val="single" w:sz="4" w:space="0" w:color="auto"/>
            </w:tcBorders>
            <w:shd w:val="clear" w:color="auto" w:fill="C6EFCE"/>
            <w:noWrap/>
            <w:vAlign w:val="center"/>
            <w:hideMark/>
          </w:tcPr>
          <w:p w14:paraId="23E69FD5" w14:textId="77777777" w:rsidR="00F208CE" w:rsidRDefault="00513E84">
            <w:pPr>
              <w:pStyle w:val="P68B1DB1-Normal8"/>
              <w:spacing w:after="0"/>
              <w:rPr>
                <w:rFonts w:eastAsia="Times New Roman" w:cs="Times New Roman"/>
                <w:noProof/>
              </w:rPr>
            </w:pPr>
            <w:r>
              <w:rPr>
                <w:noProof/>
              </w:rPr>
              <w:t>Desarrollo de viviendas de utilidad pública y vivienda para personas vulnerables (I-4.12)</w:t>
            </w:r>
          </w:p>
        </w:tc>
        <w:tc>
          <w:tcPr>
            <w:tcW w:w="1200" w:type="dxa"/>
            <w:tcBorders>
              <w:top w:val="nil"/>
              <w:left w:val="nil"/>
              <w:bottom w:val="single" w:sz="4" w:space="0" w:color="auto"/>
              <w:right w:val="single" w:sz="4" w:space="0" w:color="auto"/>
            </w:tcBorders>
            <w:shd w:val="clear" w:color="auto" w:fill="C6EFCE"/>
            <w:noWrap/>
            <w:vAlign w:val="center"/>
            <w:hideMark/>
          </w:tcPr>
          <w:p w14:paraId="618E8631" w14:textId="05C069DB" w:rsidR="00F208CE" w:rsidRDefault="00513E84">
            <w:pPr>
              <w:pStyle w:val="P68B1DB1-Normal8"/>
              <w:spacing w:after="0"/>
              <w:rPr>
                <w:rFonts w:eastAsia="Times New Roman" w:cs="Times New Roman"/>
                <w:noProof/>
              </w:rPr>
            </w:pPr>
            <w:r>
              <w:rPr>
                <w:noProof/>
              </w:rPr>
              <w:t>T</w:t>
            </w:r>
          </w:p>
        </w:tc>
        <w:tc>
          <w:tcPr>
            <w:tcW w:w="2040" w:type="dxa"/>
            <w:tcBorders>
              <w:top w:val="nil"/>
              <w:left w:val="nil"/>
              <w:bottom w:val="single" w:sz="4" w:space="0" w:color="auto"/>
              <w:right w:val="single" w:sz="4" w:space="0" w:color="auto"/>
            </w:tcBorders>
            <w:shd w:val="clear" w:color="auto" w:fill="C6EFCE"/>
            <w:noWrap/>
            <w:vAlign w:val="center"/>
            <w:hideMark/>
          </w:tcPr>
          <w:p w14:paraId="33BF0182" w14:textId="77777777" w:rsidR="00F208CE" w:rsidRDefault="00513E84">
            <w:pPr>
              <w:pStyle w:val="P68B1DB1-Normal8"/>
              <w:spacing w:after="0"/>
              <w:rPr>
                <w:rFonts w:eastAsia="Times New Roman" w:cs="Times New Roman"/>
                <w:noProof/>
              </w:rPr>
            </w:pPr>
            <w:r>
              <w:rPr>
                <w:noProof/>
              </w:rPr>
              <w:t>Viviendas listas para ser ocupadas</w:t>
            </w:r>
          </w:p>
        </w:tc>
        <w:tc>
          <w:tcPr>
            <w:tcW w:w="1440" w:type="dxa"/>
            <w:tcBorders>
              <w:top w:val="nil"/>
              <w:left w:val="nil"/>
              <w:bottom w:val="single" w:sz="4" w:space="0" w:color="auto"/>
              <w:right w:val="single" w:sz="4" w:space="0" w:color="auto"/>
            </w:tcBorders>
            <w:shd w:val="clear" w:color="auto" w:fill="C6EFCE"/>
            <w:noWrap/>
            <w:vAlign w:val="center"/>
            <w:hideMark/>
          </w:tcPr>
          <w:p w14:paraId="41A9ADCB"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hideMark/>
          </w:tcPr>
          <w:p w14:paraId="257D2F39" w14:textId="77777777" w:rsidR="00F208CE" w:rsidRDefault="00513E84">
            <w:pPr>
              <w:pStyle w:val="P68B1DB1-Normal8"/>
              <w:spacing w:after="0"/>
              <w:rPr>
                <w:rFonts w:eastAsia="Times New Roman" w:cs="Times New Roman"/>
                <w:noProof/>
              </w:rPr>
            </w:pPr>
            <w:r>
              <w:rPr>
                <w:noProof/>
              </w:rPr>
              <w:t>Número de unidades de vivienda nuevas o renovadas</w:t>
            </w:r>
          </w:p>
        </w:tc>
        <w:tc>
          <w:tcPr>
            <w:tcW w:w="1080" w:type="dxa"/>
            <w:tcBorders>
              <w:top w:val="nil"/>
              <w:left w:val="nil"/>
              <w:bottom w:val="single" w:sz="4" w:space="0" w:color="auto"/>
              <w:right w:val="single" w:sz="4" w:space="0" w:color="auto"/>
            </w:tcBorders>
            <w:shd w:val="clear" w:color="auto" w:fill="C6EFCE"/>
            <w:noWrap/>
            <w:vAlign w:val="center"/>
          </w:tcPr>
          <w:p w14:paraId="4E895574"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05A02261" w14:textId="3F3AE2F9" w:rsidR="00F208CE" w:rsidRDefault="00513E84">
            <w:pPr>
              <w:pStyle w:val="P68B1DB1-Normal8"/>
              <w:spacing w:after="0"/>
              <w:jc w:val="center"/>
              <w:rPr>
                <w:rFonts w:eastAsia="Times New Roman" w:cs="Times New Roman"/>
                <w:noProof/>
              </w:rPr>
            </w:pPr>
            <w:r>
              <w:rPr>
                <w:noProof/>
              </w:rPr>
              <w:t>1 212</w:t>
            </w:r>
          </w:p>
        </w:tc>
        <w:tc>
          <w:tcPr>
            <w:tcW w:w="1080" w:type="dxa"/>
            <w:tcBorders>
              <w:top w:val="nil"/>
              <w:left w:val="nil"/>
              <w:bottom w:val="single" w:sz="4" w:space="0" w:color="auto"/>
              <w:right w:val="single" w:sz="4" w:space="0" w:color="auto"/>
            </w:tcBorders>
            <w:shd w:val="clear" w:color="auto" w:fill="C6EFCE"/>
            <w:noWrap/>
            <w:vAlign w:val="center"/>
            <w:hideMark/>
          </w:tcPr>
          <w:p w14:paraId="6B53918B" w14:textId="77777777" w:rsidR="00F208CE" w:rsidRDefault="00513E84">
            <w:pPr>
              <w:pStyle w:val="P68B1DB1-Normal8"/>
              <w:spacing w:after="0"/>
              <w:jc w:val="center"/>
              <w:rPr>
                <w:rFonts w:eastAsia="Times New Roman" w:cs="Times New Roman"/>
                <w:noProof/>
              </w:rPr>
            </w:pPr>
            <w:r>
              <w:rPr>
                <w:noProof/>
              </w:rPr>
              <w:t>TERCER TRIMESTRE 3</w:t>
            </w:r>
          </w:p>
        </w:tc>
        <w:tc>
          <w:tcPr>
            <w:tcW w:w="720" w:type="dxa"/>
            <w:tcBorders>
              <w:top w:val="nil"/>
              <w:left w:val="nil"/>
              <w:bottom w:val="single" w:sz="4" w:space="0" w:color="auto"/>
              <w:right w:val="single" w:sz="4" w:space="0" w:color="auto"/>
            </w:tcBorders>
            <w:shd w:val="clear" w:color="auto" w:fill="C6EFCE"/>
            <w:noWrap/>
            <w:vAlign w:val="center"/>
            <w:hideMark/>
          </w:tcPr>
          <w:p w14:paraId="00036514" w14:textId="77777777" w:rsidR="00F208CE" w:rsidRDefault="00513E84">
            <w:pPr>
              <w:pStyle w:val="P68B1DB1-Normal8"/>
              <w:spacing w:after="0"/>
              <w:jc w:val="center"/>
              <w:rPr>
                <w:rFonts w:eastAsia="Times New Roman" w:cs="Times New Roman"/>
                <w:noProof/>
              </w:rPr>
            </w:pPr>
            <w:r>
              <w:rPr>
                <w:noProof/>
              </w:rPr>
              <w:t>2026</w:t>
            </w:r>
          </w:p>
        </w:tc>
        <w:tc>
          <w:tcPr>
            <w:tcW w:w="3747" w:type="dxa"/>
            <w:tcBorders>
              <w:top w:val="nil"/>
              <w:left w:val="nil"/>
              <w:bottom w:val="single" w:sz="4" w:space="0" w:color="auto"/>
              <w:right w:val="single" w:sz="4" w:space="0" w:color="auto"/>
            </w:tcBorders>
            <w:shd w:val="clear" w:color="auto" w:fill="C6EFCE"/>
            <w:noWrap/>
            <w:vAlign w:val="center"/>
            <w:hideMark/>
          </w:tcPr>
          <w:p w14:paraId="1D49732E" w14:textId="27F10852" w:rsidR="00F208CE" w:rsidRDefault="00513E84">
            <w:pPr>
              <w:pStyle w:val="P68B1DB1-Normal8"/>
              <w:spacing w:after="0"/>
              <w:rPr>
                <w:rFonts w:eastAsia="Times New Roman" w:cs="Times New Roman"/>
                <w:noProof/>
              </w:rPr>
            </w:pPr>
            <w:r>
              <w:rPr>
                <w:noProof/>
              </w:rPr>
              <w:t>1 212 viviendas de utilidad pública (viviendas de alquiler bajo, viviendas inclusivas y solidarias, así como plazas de alojamiento para grupos mal alojados) construidas o renovadas en la Región Valona están listas para ser ocupadas.</w:t>
            </w:r>
          </w:p>
        </w:tc>
      </w:tr>
      <w:tr w:rsidR="00F208CE" w14:paraId="7D25A189"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6082665A" w14:textId="77777777" w:rsidR="00F208CE" w:rsidRDefault="00513E84">
            <w:pPr>
              <w:pStyle w:val="P68B1DB1-Normal8"/>
              <w:spacing w:after="0"/>
              <w:jc w:val="center"/>
              <w:rPr>
                <w:rFonts w:eastAsia="Times New Roman" w:cs="Times New Roman"/>
                <w:noProof/>
              </w:rPr>
            </w:pPr>
            <w:r>
              <w:rPr>
                <w:noProof/>
              </w:rPr>
              <w:t>154</w:t>
            </w:r>
          </w:p>
        </w:tc>
        <w:tc>
          <w:tcPr>
            <w:tcW w:w="1560" w:type="dxa"/>
            <w:tcBorders>
              <w:top w:val="nil"/>
              <w:left w:val="nil"/>
              <w:bottom w:val="single" w:sz="4" w:space="0" w:color="auto"/>
              <w:right w:val="single" w:sz="4" w:space="0" w:color="auto"/>
            </w:tcBorders>
            <w:shd w:val="clear" w:color="auto" w:fill="C6EFCE"/>
            <w:noWrap/>
            <w:vAlign w:val="center"/>
            <w:hideMark/>
          </w:tcPr>
          <w:p w14:paraId="059D8039" w14:textId="77777777" w:rsidR="00F208CE" w:rsidRDefault="00513E84">
            <w:pPr>
              <w:pStyle w:val="P68B1DB1-Normal8"/>
              <w:spacing w:after="0"/>
              <w:rPr>
                <w:rFonts w:eastAsia="Times New Roman" w:cs="Times New Roman"/>
                <w:noProof/>
              </w:rPr>
            </w:pPr>
            <w:r>
              <w:rPr>
                <w:noProof/>
              </w:rPr>
              <w:t xml:space="preserve">Construcción y </w:t>
            </w:r>
            <w:r>
              <w:rPr>
                <w:noProof/>
              </w:rPr>
              <w:t>renovación de la infraestructura de guardería infantil (I-4.13)</w:t>
            </w:r>
          </w:p>
        </w:tc>
        <w:tc>
          <w:tcPr>
            <w:tcW w:w="1200" w:type="dxa"/>
            <w:tcBorders>
              <w:top w:val="nil"/>
              <w:left w:val="nil"/>
              <w:bottom w:val="single" w:sz="4" w:space="0" w:color="auto"/>
              <w:right w:val="single" w:sz="4" w:space="0" w:color="auto"/>
            </w:tcBorders>
            <w:shd w:val="clear" w:color="auto" w:fill="C6EFCE"/>
            <w:noWrap/>
            <w:vAlign w:val="center"/>
            <w:hideMark/>
          </w:tcPr>
          <w:p w14:paraId="4B7BE7FA" w14:textId="5387608C" w:rsidR="00F208CE" w:rsidRDefault="00513E84">
            <w:pPr>
              <w:pStyle w:val="P68B1DB1-Normal8"/>
              <w:spacing w:after="0"/>
              <w:rPr>
                <w:rFonts w:eastAsia="Times New Roman" w:cs="Times New Roman"/>
                <w:noProof/>
              </w:rPr>
            </w:pPr>
            <w:r>
              <w:rPr>
                <w:noProof/>
              </w:rPr>
              <w:t>T</w:t>
            </w:r>
          </w:p>
        </w:tc>
        <w:tc>
          <w:tcPr>
            <w:tcW w:w="2040" w:type="dxa"/>
            <w:tcBorders>
              <w:top w:val="nil"/>
              <w:left w:val="nil"/>
              <w:bottom w:val="single" w:sz="4" w:space="0" w:color="auto"/>
              <w:right w:val="single" w:sz="4" w:space="0" w:color="auto"/>
            </w:tcBorders>
            <w:shd w:val="clear" w:color="auto" w:fill="C6EFCE"/>
            <w:noWrap/>
            <w:vAlign w:val="center"/>
            <w:hideMark/>
          </w:tcPr>
          <w:p w14:paraId="6B7F3224" w14:textId="77777777" w:rsidR="00F208CE" w:rsidRDefault="00513E84">
            <w:pPr>
              <w:pStyle w:val="P68B1DB1-Normal8"/>
              <w:spacing w:after="0"/>
              <w:rPr>
                <w:rFonts w:eastAsia="Times New Roman" w:cs="Times New Roman"/>
                <w:noProof/>
              </w:rPr>
            </w:pPr>
            <w:r>
              <w:rPr>
                <w:noProof/>
              </w:rPr>
              <w:t>Adjudicación de contratos de obras para promotores de proyectos</w:t>
            </w:r>
          </w:p>
        </w:tc>
        <w:tc>
          <w:tcPr>
            <w:tcW w:w="1440" w:type="dxa"/>
            <w:tcBorders>
              <w:top w:val="nil"/>
              <w:left w:val="nil"/>
              <w:bottom w:val="single" w:sz="4" w:space="0" w:color="auto"/>
              <w:right w:val="single" w:sz="4" w:space="0" w:color="auto"/>
            </w:tcBorders>
            <w:shd w:val="clear" w:color="auto" w:fill="C6EFCE"/>
            <w:noWrap/>
            <w:vAlign w:val="center"/>
          </w:tcPr>
          <w:p w14:paraId="09B3847F"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hideMark/>
          </w:tcPr>
          <w:p w14:paraId="46EEA187" w14:textId="77777777" w:rsidR="00F208CE" w:rsidRDefault="00513E84">
            <w:pPr>
              <w:pStyle w:val="P68B1DB1-Normal8"/>
              <w:spacing w:after="0"/>
              <w:rPr>
                <w:rFonts w:eastAsia="Times New Roman" w:cs="Times New Roman"/>
                <w:noProof/>
              </w:rPr>
            </w:pPr>
            <w:r>
              <w:rPr>
                <w:noProof/>
              </w:rPr>
              <w:t>Plazas de guardería</w:t>
            </w:r>
          </w:p>
        </w:tc>
        <w:tc>
          <w:tcPr>
            <w:tcW w:w="1080" w:type="dxa"/>
            <w:tcBorders>
              <w:top w:val="nil"/>
              <w:left w:val="nil"/>
              <w:bottom w:val="single" w:sz="4" w:space="0" w:color="auto"/>
              <w:right w:val="single" w:sz="4" w:space="0" w:color="auto"/>
            </w:tcBorders>
            <w:shd w:val="clear" w:color="auto" w:fill="C6EFCE"/>
            <w:noWrap/>
            <w:vAlign w:val="center"/>
            <w:hideMark/>
          </w:tcPr>
          <w:p w14:paraId="4BB78405"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hideMark/>
          </w:tcPr>
          <w:p w14:paraId="5A5094B3" w14:textId="77777777" w:rsidR="00F208CE" w:rsidRDefault="00513E84">
            <w:pPr>
              <w:pStyle w:val="P68B1DB1-Normal8"/>
              <w:spacing w:after="0"/>
              <w:jc w:val="center"/>
              <w:rPr>
                <w:rFonts w:eastAsia="Times New Roman" w:cs="Times New Roman"/>
                <w:noProof/>
              </w:rPr>
            </w:pPr>
            <w:r>
              <w:rPr>
                <w:noProof/>
              </w:rPr>
              <w:t>255</w:t>
            </w:r>
          </w:p>
        </w:tc>
        <w:tc>
          <w:tcPr>
            <w:tcW w:w="1080" w:type="dxa"/>
            <w:tcBorders>
              <w:top w:val="nil"/>
              <w:left w:val="nil"/>
              <w:bottom w:val="single" w:sz="4" w:space="0" w:color="auto"/>
              <w:right w:val="single" w:sz="4" w:space="0" w:color="auto"/>
            </w:tcBorders>
            <w:shd w:val="clear" w:color="auto" w:fill="C6EFCE"/>
            <w:noWrap/>
            <w:vAlign w:val="center"/>
            <w:hideMark/>
          </w:tcPr>
          <w:p w14:paraId="60656B8B" w14:textId="0B8FC5DC"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2DDBAF81" w14:textId="77777777" w:rsidR="00F208CE" w:rsidRDefault="00513E84">
            <w:pPr>
              <w:pStyle w:val="P68B1DB1-Normal8"/>
              <w:spacing w:after="0"/>
              <w:jc w:val="center"/>
              <w:rPr>
                <w:rFonts w:eastAsia="Times New Roman" w:cs="Times New Roman"/>
                <w:noProof/>
              </w:rPr>
            </w:pPr>
            <w:r>
              <w:rPr>
                <w:noProof/>
              </w:rPr>
              <w:t>2023</w:t>
            </w:r>
          </w:p>
        </w:tc>
        <w:tc>
          <w:tcPr>
            <w:tcW w:w="3747" w:type="dxa"/>
            <w:tcBorders>
              <w:top w:val="nil"/>
              <w:left w:val="nil"/>
              <w:bottom w:val="single" w:sz="4" w:space="0" w:color="auto"/>
              <w:right w:val="single" w:sz="4" w:space="0" w:color="auto"/>
            </w:tcBorders>
            <w:shd w:val="clear" w:color="auto" w:fill="C6EFCE"/>
            <w:noWrap/>
            <w:vAlign w:val="center"/>
            <w:hideMark/>
          </w:tcPr>
          <w:p w14:paraId="5FE8B2F1" w14:textId="0A49EDCA" w:rsidR="00F208CE" w:rsidRDefault="00513E84">
            <w:pPr>
              <w:pStyle w:val="P68B1DB1-Normal8"/>
              <w:spacing w:after="0"/>
              <w:rPr>
                <w:rFonts w:eastAsia="Times New Roman" w:cs="Times New Roman"/>
                <w:noProof/>
              </w:rPr>
            </w:pPr>
            <w:r>
              <w:rPr>
                <w:noProof/>
              </w:rPr>
              <w:t>Adjudicación de contratos de obras por parte de los operadores (guarderías)</w:t>
            </w:r>
            <w:r>
              <w:rPr>
                <w:noProof/>
              </w:rPr>
              <w:t xml:space="preserve"> para el 15 % de las plazas de guardería de nueva creación, es decir, 255.</w:t>
            </w:r>
          </w:p>
        </w:tc>
      </w:tr>
      <w:tr w:rsidR="00F208CE" w14:paraId="68B3496B" w14:textId="77777777">
        <w:trPr>
          <w:trHeight w:val="309"/>
          <w:jc w:val="center"/>
        </w:trPr>
        <w:tc>
          <w:tcPr>
            <w:tcW w:w="595" w:type="dxa"/>
            <w:tcBorders>
              <w:top w:val="nil"/>
              <w:left w:val="single" w:sz="4" w:space="0" w:color="auto"/>
              <w:bottom w:val="single" w:sz="4" w:space="0" w:color="auto"/>
              <w:right w:val="single" w:sz="4" w:space="0" w:color="auto"/>
            </w:tcBorders>
            <w:shd w:val="clear" w:color="auto" w:fill="C6EFCE"/>
            <w:noWrap/>
            <w:vAlign w:val="center"/>
            <w:hideMark/>
          </w:tcPr>
          <w:p w14:paraId="27B30ABE" w14:textId="77777777" w:rsidR="00F208CE" w:rsidRDefault="00513E84">
            <w:pPr>
              <w:pStyle w:val="P68B1DB1-Normal8"/>
              <w:spacing w:after="0"/>
              <w:jc w:val="center"/>
              <w:rPr>
                <w:rFonts w:eastAsia="Times New Roman" w:cs="Times New Roman"/>
                <w:noProof/>
              </w:rPr>
            </w:pPr>
            <w:r>
              <w:rPr>
                <w:noProof/>
              </w:rPr>
              <w:t>155</w:t>
            </w:r>
          </w:p>
        </w:tc>
        <w:tc>
          <w:tcPr>
            <w:tcW w:w="1560" w:type="dxa"/>
            <w:tcBorders>
              <w:top w:val="nil"/>
              <w:left w:val="nil"/>
              <w:bottom w:val="single" w:sz="4" w:space="0" w:color="auto"/>
              <w:right w:val="single" w:sz="4" w:space="0" w:color="auto"/>
            </w:tcBorders>
            <w:shd w:val="clear" w:color="auto" w:fill="C6EFCE"/>
            <w:noWrap/>
            <w:vAlign w:val="center"/>
            <w:hideMark/>
          </w:tcPr>
          <w:p w14:paraId="1AAFEC2C" w14:textId="77777777" w:rsidR="00F208CE" w:rsidRDefault="00513E84">
            <w:pPr>
              <w:pStyle w:val="P68B1DB1-Normal8"/>
              <w:spacing w:after="0"/>
              <w:rPr>
                <w:rFonts w:eastAsia="Times New Roman" w:cs="Times New Roman"/>
                <w:noProof/>
              </w:rPr>
            </w:pPr>
            <w:r>
              <w:rPr>
                <w:noProof/>
              </w:rPr>
              <w:t>Construcción y renovación de la infraestructura de guardería infantil (I-4.13)</w:t>
            </w:r>
          </w:p>
        </w:tc>
        <w:tc>
          <w:tcPr>
            <w:tcW w:w="1200" w:type="dxa"/>
            <w:tcBorders>
              <w:top w:val="nil"/>
              <w:left w:val="nil"/>
              <w:bottom w:val="single" w:sz="4" w:space="0" w:color="auto"/>
              <w:right w:val="single" w:sz="4" w:space="0" w:color="auto"/>
            </w:tcBorders>
            <w:shd w:val="clear" w:color="auto" w:fill="C6EFCE"/>
            <w:noWrap/>
            <w:vAlign w:val="center"/>
            <w:hideMark/>
          </w:tcPr>
          <w:p w14:paraId="6A0422F5" w14:textId="37A630A6" w:rsidR="00F208CE" w:rsidRDefault="00513E84">
            <w:pPr>
              <w:pStyle w:val="P68B1DB1-Normal8"/>
              <w:spacing w:after="0"/>
              <w:rPr>
                <w:rFonts w:eastAsia="Times New Roman" w:cs="Times New Roman"/>
                <w:noProof/>
              </w:rPr>
            </w:pPr>
            <w:r>
              <w:rPr>
                <w:noProof/>
              </w:rPr>
              <w:t>T</w:t>
            </w:r>
          </w:p>
        </w:tc>
        <w:tc>
          <w:tcPr>
            <w:tcW w:w="2040" w:type="dxa"/>
            <w:tcBorders>
              <w:top w:val="nil"/>
              <w:left w:val="nil"/>
              <w:bottom w:val="single" w:sz="4" w:space="0" w:color="auto"/>
              <w:right w:val="single" w:sz="4" w:space="0" w:color="auto"/>
            </w:tcBorders>
            <w:shd w:val="clear" w:color="auto" w:fill="C6EFCE"/>
            <w:noWrap/>
            <w:vAlign w:val="center"/>
            <w:hideMark/>
          </w:tcPr>
          <w:p w14:paraId="3BBDFC14" w14:textId="77777777" w:rsidR="00F208CE" w:rsidRDefault="00513E84">
            <w:pPr>
              <w:pStyle w:val="P68B1DB1-Normal8"/>
              <w:spacing w:after="0"/>
              <w:rPr>
                <w:rFonts w:eastAsia="Times New Roman" w:cs="Times New Roman"/>
                <w:noProof/>
              </w:rPr>
            </w:pPr>
            <w:r>
              <w:rPr>
                <w:noProof/>
              </w:rPr>
              <w:t>Apertura de plazas de guardería</w:t>
            </w:r>
          </w:p>
        </w:tc>
        <w:tc>
          <w:tcPr>
            <w:tcW w:w="1440" w:type="dxa"/>
            <w:tcBorders>
              <w:top w:val="nil"/>
              <w:left w:val="nil"/>
              <w:bottom w:val="single" w:sz="4" w:space="0" w:color="auto"/>
              <w:right w:val="single" w:sz="4" w:space="0" w:color="auto"/>
            </w:tcBorders>
            <w:shd w:val="clear" w:color="auto" w:fill="C6EFCE"/>
            <w:noWrap/>
            <w:vAlign w:val="center"/>
            <w:hideMark/>
          </w:tcPr>
          <w:p w14:paraId="027C5466" w14:textId="77777777" w:rsidR="00F208CE" w:rsidRDefault="00F208CE">
            <w:pPr>
              <w:spacing w:after="0"/>
              <w:rPr>
                <w:rFonts w:ascii="Times New Roman" w:eastAsia="Times New Roman" w:hAnsi="Times New Roman" w:cs="Times New Roman"/>
                <w:noProof/>
                <w:color w:val="006100"/>
              </w:rPr>
            </w:pPr>
          </w:p>
        </w:tc>
        <w:tc>
          <w:tcPr>
            <w:tcW w:w="1320" w:type="dxa"/>
            <w:tcBorders>
              <w:top w:val="nil"/>
              <w:left w:val="nil"/>
              <w:bottom w:val="single" w:sz="4" w:space="0" w:color="auto"/>
              <w:right w:val="single" w:sz="4" w:space="0" w:color="auto"/>
            </w:tcBorders>
            <w:shd w:val="clear" w:color="auto" w:fill="C6EFCE"/>
            <w:noWrap/>
            <w:vAlign w:val="center"/>
            <w:hideMark/>
          </w:tcPr>
          <w:p w14:paraId="76BE8B51" w14:textId="77777777" w:rsidR="00F208CE" w:rsidRDefault="00513E84">
            <w:pPr>
              <w:pStyle w:val="P68B1DB1-Normal8"/>
              <w:spacing w:after="0"/>
              <w:rPr>
                <w:rFonts w:eastAsia="Times New Roman" w:cs="Times New Roman"/>
                <w:noProof/>
              </w:rPr>
            </w:pPr>
            <w:r>
              <w:rPr>
                <w:noProof/>
              </w:rPr>
              <w:t>Número de plazas de guardería creadas o renovadas</w:t>
            </w:r>
          </w:p>
        </w:tc>
        <w:tc>
          <w:tcPr>
            <w:tcW w:w="1080" w:type="dxa"/>
            <w:tcBorders>
              <w:top w:val="nil"/>
              <w:left w:val="nil"/>
              <w:bottom w:val="single" w:sz="4" w:space="0" w:color="auto"/>
              <w:right w:val="single" w:sz="4" w:space="0" w:color="auto"/>
            </w:tcBorders>
            <w:shd w:val="clear" w:color="auto" w:fill="C6EFCE"/>
            <w:noWrap/>
            <w:vAlign w:val="center"/>
            <w:hideMark/>
          </w:tcPr>
          <w:p w14:paraId="06F3A076"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hideMark/>
          </w:tcPr>
          <w:p w14:paraId="4B5F86FD" w14:textId="18CEC9D5" w:rsidR="00F208CE" w:rsidRDefault="00513E84">
            <w:pPr>
              <w:pStyle w:val="P68B1DB1-Normal8"/>
              <w:spacing w:after="0"/>
              <w:jc w:val="center"/>
              <w:rPr>
                <w:rFonts w:eastAsia="Times New Roman" w:cs="Times New Roman"/>
                <w:noProof/>
              </w:rPr>
            </w:pPr>
            <w:r>
              <w:rPr>
                <w:noProof/>
              </w:rPr>
              <w:t>1 700</w:t>
            </w:r>
          </w:p>
        </w:tc>
        <w:tc>
          <w:tcPr>
            <w:tcW w:w="1080" w:type="dxa"/>
            <w:tcBorders>
              <w:top w:val="nil"/>
              <w:left w:val="nil"/>
              <w:bottom w:val="single" w:sz="4" w:space="0" w:color="auto"/>
              <w:right w:val="single" w:sz="4" w:space="0" w:color="auto"/>
            </w:tcBorders>
            <w:shd w:val="clear" w:color="auto" w:fill="C6EFCE"/>
            <w:noWrap/>
            <w:vAlign w:val="center"/>
            <w:hideMark/>
          </w:tcPr>
          <w:p w14:paraId="2ACA73A0" w14:textId="77777777" w:rsidR="00F208CE" w:rsidRDefault="00513E84">
            <w:pPr>
              <w:pStyle w:val="P68B1DB1-Normal8"/>
              <w:spacing w:after="0"/>
              <w:jc w:val="center"/>
              <w:rPr>
                <w:rFonts w:eastAsia="Times New Roman" w:cs="Times New Roman"/>
                <w:noProof/>
              </w:rPr>
            </w:pPr>
            <w:r>
              <w:rPr>
                <w:noProof/>
              </w:rPr>
              <w:t>TERCER TRIMESTRE 3</w:t>
            </w:r>
          </w:p>
        </w:tc>
        <w:tc>
          <w:tcPr>
            <w:tcW w:w="720" w:type="dxa"/>
            <w:tcBorders>
              <w:top w:val="nil"/>
              <w:left w:val="nil"/>
              <w:bottom w:val="single" w:sz="4" w:space="0" w:color="auto"/>
              <w:right w:val="single" w:sz="4" w:space="0" w:color="auto"/>
            </w:tcBorders>
            <w:shd w:val="clear" w:color="auto" w:fill="C6EFCE"/>
            <w:noWrap/>
            <w:vAlign w:val="center"/>
            <w:hideMark/>
          </w:tcPr>
          <w:p w14:paraId="33C28131" w14:textId="77777777" w:rsidR="00F208CE" w:rsidRDefault="00513E84">
            <w:pPr>
              <w:pStyle w:val="P68B1DB1-Normal8"/>
              <w:spacing w:after="0"/>
              <w:jc w:val="center"/>
              <w:rPr>
                <w:rFonts w:eastAsia="Times New Roman" w:cs="Times New Roman"/>
                <w:noProof/>
              </w:rPr>
            </w:pPr>
            <w:r>
              <w:rPr>
                <w:noProof/>
              </w:rPr>
              <w:t>2026</w:t>
            </w:r>
          </w:p>
        </w:tc>
        <w:tc>
          <w:tcPr>
            <w:tcW w:w="3747" w:type="dxa"/>
            <w:tcBorders>
              <w:top w:val="nil"/>
              <w:left w:val="nil"/>
              <w:bottom w:val="single" w:sz="4" w:space="0" w:color="auto"/>
              <w:right w:val="single" w:sz="4" w:space="0" w:color="auto"/>
            </w:tcBorders>
            <w:shd w:val="clear" w:color="auto" w:fill="C6EFCE"/>
            <w:noWrap/>
            <w:vAlign w:val="center"/>
            <w:hideMark/>
          </w:tcPr>
          <w:p w14:paraId="47E2F3E4" w14:textId="35869B02" w:rsidR="00F208CE" w:rsidRDefault="00513E84">
            <w:pPr>
              <w:pStyle w:val="P68B1DB1-Normal8"/>
              <w:spacing w:after="0"/>
              <w:rPr>
                <w:rFonts w:eastAsia="Times New Roman" w:cs="Times New Roman"/>
                <w:noProof/>
              </w:rPr>
            </w:pPr>
            <w:r>
              <w:rPr>
                <w:noProof/>
              </w:rPr>
              <w:t xml:space="preserve">Se han creado 1 700 plazas de guardería como parte de la infraestructura de guarderías infantiles en Valonia. Las nuevas plazas de guardería incluyen las dos plazas creadas como resultado de la construcción de nuevos edificios o de </w:t>
            </w:r>
            <w:r>
              <w:rPr>
                <w:noProof/>
              </w:rPr>
              <w:t>la renovación de edificios existentes.</w:t>
            </w:r>
          </w:p>
        </w:tc>
      </w:tr>
    </w:tbl>
    <w:p w14:paraId="411474AC" w14:textId="77777777" w:rsidR="00F208CE" w:rsidRDefault="00F208CE">
      <w:pPr>
        <w:pStyle w:val="Text1"/>
        <w:ind w:left="709"/>
        <w:rPr>
          <w:noProof/>
        </w:rPr>
      </w:pPr>
    </w:p>
    <w:p w14:paraId="48CCCC6A" w14:textId="77777777" w:rsidR="00F208CE" w:rsidRDefault="00F208CE">
      <w:pPr>
        <w:ind w:left="709"/>
        <w:rPr>
          <w:rFonts w:ascii="Times New Roman" w:hAnsi="Times New Roman" w:cs="Times New Roman"/>
          <w:noProof/>
        </w:rPr>
        <w:sectPr w:rsidR="00F208CE" w:rsidSect="007F56C3">
          <w:headerReference w:type="default" r:id="rId132"/>
          <w:footerReference w:type="default" r:id="rId133"/>
          <w:pgSz w:w="16839" w:h="11907" w:orient="landscape"/>
          <w:pgMar w:top="1134" w:right="1134" w:bottom="1134" w:left="1134" w:header="567" w:footer="567" w:gutter="0"/>
          <w:cols w:space="720"/>
          <w:docGrid w:linePitch="360"/>
        </w:sectPr>
      </w:pPr>
    </w:p>
    <w:p w14:paraId="73CAE7DB" w14:textId="64707A78" w:rsidR="00F208CE" w:rsidRDefault="00513E84">
      <w:pPr>
        <w:pStyle w:val="ManualHeading1"/>
        <w:spacing w:before="120"/>
        <w:ind w:left="0" w:firstLine="0"/>
        <w:rPr>
          <w:noProof/>
        </w:rPr>
      </w:pPr>
      <w:r>
        <w:rPr>
          <w:noProof/>
        </w:rPr>
        <w:t>M. COMPONENTE 4.4: Fin de carrera y pensiones</w:t>
      </w:r>
    </w:p>
    <w:p w14:paraId="4A2DA53C" w14:textId="44161C3F" w:rsidR="00F208CE" w:rsidRDefault="00513E84">
      <w:pPr>
        <w:pStyle w:val="P68B1DB1-Normal1"/>
        <w:spacing w:before="120" w:after="120" w:line="240" w:lineRule="auto"/>
        <w:jc w:val="both"/>
        <w:rPr>
          <w:rFonts w:cs="Times New Roman"/>
          <w:noProof/>
        </w:rPr>
      </w:pPr>
      <w:r>
        <w:rPr>
          <w:noProof/>
        </w:rPr>
        <w:t xml:space="preserve">Este componente del plan belga de recuperación y resiliencia tiene por objeto ofrecer una respuesta política a </w:t>
      </w:r>
      <w:r>
        <w:rPr>
          <w:noProof/>
        </w:rPr>
        <w:t>los retos del sistema de pensiones en términos de adecuación social y sostenibilidad presupuestaria.</w:t>
      </w:r>
    </w:p>
    <w:p w14:paraId="5428BF32"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2019.1 para garantizar la sostenibilidad presupuestaria del sistema de pensione</w:t>
      </w:r>
      <w:r>
        <w:rPr>
          <w:noProof/>
        </w:rPr>
        <w:t>s.</w:t>
      </w:r>
    </w:p>
    <w:p w14:paraId="3A3BB72F" w14:textId="77777777"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M.1. </w:t>
      </w:r>
      <w:r>
        <w:rPr>
          <w:noProof/>
        </w:rPr>
        <w:t xml:space="preserve"> </w:t>
      </w:r>
      <w:r>
        <w:rPr>
          <w:rFonts w:ascii="Times New Roman" w:hAnsi="Times New Roman"/>
          <w:b/>
          <w:noProof/>
          <w:sz w:val="24"/>
          <w:u w:val="single"/>
        </w:rPr>
        <w:t>Descripción de las reformas e inversiones para la ayuda financiera no reembolsable</w:t>
      </w:r>
    </w:p>
    <w:p w14:paraId="1FEF4DA2" w14:textId="77777777" w:rsidR="00F208CE" w:rsidRDefault="00513E84">
      <w:pPr>
        <w:pStyle w:val="P68B1DB1-Normal11"/>
        <w:spacing w:before="120" w:after="120" w:line="240" w:lineRule="auto"/>
        <w:jc w:val="both"/>
        <w:rPr>
          <w:rFonts w:cs="Times New Roman"/>
          <w:noProof/>
        </w:rPr>
      </w:pPr>
      <w:r>
        <w:rPr>
          <w:noProof/>
        </w:rPr>
        <w:t>Reforma R-4.07: «Fin de carrera y pensiones» del Estado federal</w:t>
      </w:r>
    </w:p>
    <w:p w14:paraId="3A82053C" w14:textId="77777777" w:rsidR="00F208CE" w:rsidRDefault="00513E84">
      <w:pPr>
        <w:pStyle w:val="P68B1DB1-Normal1"/>
        <w:spacing w:before="120" w:after="120" w:line="240" w:lineRule="auto"/>
        <w:jc w:val="both"/>
        <w:rPr>
          <w:rFonts w:cs="Times New Roman"/>
          <w:noProof/>
        </w:rPr>
      </w:pPr>
      <w:r>
        <w:rPr>
          <w:noProof/>
        </w:rPr>
        <w:t>Esta reforma tiene por objeto (1) hacer que el sistema de pensiones esté preparado para el futuro, (</w:t>
      </w:r>
      <w:r>
        <w:rPr>
          <w:noProof/>
        </w:rPr>
        <w:t xml:space="preserve">2) mejorar la sostenibilidad financiera del sistema de seguridad social y de las finanzas públicas, (3) aumentar el papel de solidaridad del sistema de pensiones, (4) reforzar el «principio de seguro», (5) introducir una «prueba de género», (6) garantizar </w:t>
      </w:r>
      <w:r>
        <w:rPr>
          <w:noProof/>
        </w:rPr>
        <w:t>la convergencia entre los distintos sistemas de pensiones y dentro de ellos, (7) mejorar la eficiencia de los servicios administrativos que se ocupan de las pensiones. La ley de reforma del régimen de pensiones se adoptará a más tardar el 30 de junio de 20</w:t>
      </w:r>
      <w:r>
        <w:rPr>
          <w:noProof/>
        </w:rPr>
        <w:t>24 y entrará en vigor el 1 de enero de 2025, entendiéndose que podrá establecer períodos transitorios razonables para determinadas disposiciones.</w:t>
      </w:r>
    </w:p>
    <w:p w14:paraId="038083B4" w14:textId="77777777" w:rsidR="00F208CE" w:rsidRDefault="00513E84">
      <w:pPr>
        <w:pStyle w:val="P68B1DB1-Normal1"/>
        <w:spacing w:before="120" w:after="120" w:line="240" w:lineRule="auto"/>
        <w:jc w:val="both"/>
        <w:rPr>
          <w:rFonts w:cs="Times New Roman"/>
          <w:noProof/>
        </w:rPr>
        <w:sectPr w:rsidR="00F208CE" w:rsidSect="0071084B">
          <w:headerReference w:type="even" r:id="rId134"/>
          <w:headerReference w:type="default" r:id="rId135"/>
          <w:footerReference w:type="even" r:id="rId136"/>
          <w:footerReference w:type="default" r:id="rId137"/>
          <w:headerReference w:type="first" r:id="rId138"/>
          <w:footerReference w:type="first" r:id="rId139"/>
          <w:pgSz w:w="11907" w:h="16839"/>
          <w:pgMar w:top="1134" w:right="1134" w:bottom="1134" w:left="1134" w:header="567" w:footer="567" w:gutter="0"/>
          <w:cols w:space="720"/>
          <w:docGrid w:linePitch="360"/>
        </w:sectPr>
      </w:pPr>
      <w:r>
        <w:rPr>
          <w:noProof/>
        </w:rPr>
        <w:t>Para implicar a las partes interesadas, el Gobiern</w:t>
      </w:r>
      <w:r>
        <w:rPr>
          <w:noProof/>
        </w:rPr>
        <w:t>o federal tiene previsto organizar una conferencia sobre el empleo en 2021, que se centrará en los «fines profesionales» y en el empleo de los trabajadores de más edad. Sobre la base de las conclusiones de esta conferencia, se presentará al Gobierno federa</w:t>
      </w:r>
      <w:r>
        <w:rPr>
          <w:noProof/>
        </w:rPr>
        <w:t>l un plan de acción con propuestas de medidas concretas.</w:t>
      </w:r>
    </w:p>
    <w:p w14:paraId="59EA79B2" w14:textId="3719EBB6" w:rsidR="00F208CE" w:rsidRDefault="00513E84">
      <w:pPr>
        <w:pStyle w:val="Text1"/>
        <w:ind w:left="0"/>
        <w:rPr>
          <w:b/>
          <w:noProof/>
          <w:u w:val="single"/>
        </w:rPr>
      </w:pPr>
      <w:r>
        <w:rPr>
          <w:b/>
          <w:noProof/>
          <w:u w:val="single"/>
        </w:rPr>
        <w:t xml:space="preserve">M.2. </w:t>
      </w:r>
      <w:r>
        <w:rPr>
          <w:noProof/>
        </w:rPr>
        <w:t xml:space="preserve"> </w:t>
      </w:r>
      <w:r>
        <w:rPr>
          <w:b/>
          <w:noProof/>
          <w:u w:val="single"/>
        </w:rPr>
        <w:t>Hitos, metas, indicadores y calendario para el seguimiento y la ejecución de la ayuda financiera no reembolsable</w:t>
      </w:r>
    </w:p>
    <w:tbl>
      <w:tblPr>
        <w:tblW w:w="15502" w:type="dxa"/>
        <w:jc w:val="center"/>
        <w:tblLayout w:type="fixed"/>
        <w:tblLook w:val="04A0" w:firstRow="1" w:lastRow="0" w:firstColumn="1" w:lastColumn="0" w:noHBand="0" w:noVBand="1"/>
      </w:tblPr>
      <w:tblGrid>
        <w:gridCol w:w="704"/>
        <w:gridCol w:w="1452"/>
        <w:gridCol w:w="1276"/>
        <w:gridCol w:w="1417"/>
        <w:gridCol w:w="1559"/>
        <w:gridCol w:w="1134"/>
        <w:gridCol w:w="1134"/>
        <w:gridCol w:w="709"/>
        <w:gridCol w:w="992"/>
        <w:gridCol w:w="993"/>
        <w:gridCol w:w="4132"/>
      </w:tblGrid>
      <w:tr w:rsidR="00F208CE" w14:paraId="502DCAE2" w14:textId="77777777">
        <w:trPr>
          <w:trHeight w:val="927"/>
          <w:tblHeade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B3B705D" w14:textId="419DE07E" w:rsidR="00F208CE" w:rsidRDefault="00513E84">
            <w:pPr>
              <w:pStyle w:val="P68B1DB1-Normal15"/>
              <w:spacing w:after="0"/>
              <w:jc w:val="center"/>
              <w:rPr>
                <w:rFonts w:eastAsia="Times New Roman" w:cs="Times New Roman"/>
                <w:noProof/>
              </w:rPr>
            </w:pPr>
            <w:r>
              <w:rPr>
                <w:noProof/>
              </w:rPr>
              <w:t>Sr. Nb.</w:t>
            </w:r>
          </w:p>
        </w:tc>
        <w:tc>
          <w:tcPr>
            <w:tcW w:w="145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2527FEA"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20235EF" w14:textId="77777777" w:rsidR="00F208CE" w:rsidRDefault="00513E84">
            <w:pPr>
              <w:pStyle w:val="P68B1DB1-Normal15"/>
              <w:spacing w:after="0"/>
              <w:jc w:val="center"/>
              <w:rPr>
                <w:rFonts w:eastAsia="Times New Roman" w:cs="Times New Roman"/>
                <w:noProof/>
              </w:rPr>
            </w:pPr>
            <w:r>
              <w:rPr>
                <w:noProof/>
              </w:rPr>
              <w:t>Hito/Objetivo</w:t>
            </w:r>
          </w:p>
        </w:tc>
        <w:tc>
          <w:tcPr>
            <w:tcW w:w="141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09DBEA78" w14:textId="77777777" w:rsidR="00F208CE" w:rsidRDefault="00513E84">
            <w:pPr>
              <w:pStyle w:val="P68B1DB1-Normal15"/>
              <w:spacing w:after="0"/>
              <w:jc w:val="center"/>
              <w:rPr>
                <w:rFonts w:eastAsia="Times New Roman" w:cs="Times New Roman"/>
                <w:noProof/>
              </w:rPr>
            </w:pPr>
            <w:r>
              <w:rPr>
                <w:noProof/>
              </w:rPr>
              <w:t>Nombre</w:t>
            </w:r>
          </w:p>
        </w:tc>
        <w:tc>
          <w:tcPr>
            <w:tcW w:w="155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54BEAC7F"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2977" w:type="dxa"/>
            <w:gridSpan w:val="3"/>
            <w:tcBorders>
              <w:top w:val="single" w:sz="4" w:space="0" w:color="auto"/>
              <w:left w:val="nil"/>
              <w:bottom w:val="single" w:sz="4" w:space="0" w:color="auto"/>
              <w:right w:val="single" w:sz="4" w:space="0" w:color="auto"/>
            </w:tcBorders>
            <w:shd w:val="clear" w:color="auto" w:fill="BDD7EE"/>
            <w:vAlign w:val="center"/>
            <w:hideMark/>
          </w:tcPr>
          <w:p w14:paraId="31EC791A"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57EEA2AD"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41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E3A494"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0B05782E" w14:textId="77777777">
        <w:trPr>
          <w:trHeight w:val="1013"/>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7CD2988" w14:textId="77777777" w:rsidR="00F208CE" w:rsidRDefault="00F208CE">
            <w:pPr>
              <w:spacing w:after="0"/>
              <w:rPr>
                <w:rFonts w:ascii="Times New Roman" w:eastAsia="Times New Roman" w:hAnsi="Times New Roman" w:cs="Times New Roman"/>
                <w:b/>
                <w:noProof/>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14:paraId="64BEE952" w14:textId="77777777" w:rsidR="00F208CE" w:rsidRDefault="00F208CE">
            <w:pPr>
              <w:spacing w:after="0"/>
              <w:rPr>
                <w:rFonts w:ascii="Times New Roman" w:eastAsia="Times New Roman" w:hAnsi="Times New Roman" w:cs="Times New Roman"/>
                <w:b/>
                <w:noProof/>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B09E15C" w14:textId="77777777" w:rsidR="00F208CE" w:rsidRDefault="00F208CE">
            <w:pPr>
              <w:spacing w:after="0"/>
              <w:rPr>
                <w:rFonts w:ascii="Times New Roman" w:eastAsia="Times New Roman" w:hAnsi="Times New Roman" w:cs="Times New Roman"/>
                <w:b/>
                <w:noProof/>
              </w:rPr>
            </w:pPr>
          </w:p>
        </w:tc>
        <w:tc>
          <w:tcPr>
            <w:tcW w:w="1417" w:type="dxa"/>
            <w:vMerge/>
            <w:tcBorders>
              <w:top w:val="single" w:sz="4" w:space="0" w:color="auto"/>
              <w:left w:val="nil"/>
              <w:bottom w:val="single" w:sz="4" w:space="0" w:color="000000"/>
              <w:right w:val="single" w:sz="4" w:space="0" w:color="auto"/>
            </w:tcBorders>
            <w:vAlign w:val="center"/>
            <w:hideMark/>
          </w:tcPr>
          <w:p w14:paraId="15172F7C" w14:textId="77777777" w:rsidR="00F208CE" w:rsidRDefault="00F208CE">
            <w:pPr>
              <w:spacing w:after="0"/>
              <w:rPr>
                <w:rFonts w:ascii="Times New Roman" w:eastAsia="Times New Roman" w:hAnsi="Times New Roman" w:cs="Times New Roman"/>
                <w:b/>
                <w:noProof/>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5857034" w14:textId="77777777" w:rsidR="00F208CE" w:rsidRDefault="00F208CE">
            <w:pPr>
              <w:spacing w:after="0"/>
              <w:rPr>
                <w:rFonts w:ascii="Times New Roman" w:eastAsia="Times New Roman" w:hAnsi="Times New Roman" w:cs="Times New Roman"/>
                <w:b/>
                <w:noProof/>
              </w:rPr>
            </w:pPr>
          </w:p>
        </w:tc>
        <w:tc>
          <w:tcPr>
            <w:tcW w:w="1134" w:type="dxa"/>
            <w:tcBorders>
              <w:top w:val="nil"/>
              <w:left w:val="nil"/>
              <w:bottom w:val="single" w:sz="4" w:space="0" w:color="auto"/>
              <w:right w:val="single" w:sz="4" w:space="0" w:color="auto"/>
            </w:tcBorders>
            <w:shd w:val="clear" w:color="auto" w:fill="BDD7EE"/>
            <w:vAlign w:val="center"/>
            <w:hideMark/>
          </w:tcPr>
          <w:p w14:paraId="5B2E51A8" w14:textId="77777777" w:rsidR="00F208CE" w:rsidRDefault="00513E84">
            <w:pPr>
              <w:pStyle w:val="P68B1DB1-Normal15"/>
              <w:spacing w:after="0"/>
              <w:jc w:val="center"/>
              <w:rPr>
                <w:rFonts w:eastAsia="Times New Roman" w:cs="Times New Roman"/>
                <w:noProof/>
              </w:rPr>
            </w:pPr>
            <w:r>
              <w:rPr>
                <w:noProof/>
              </w:rPr>
              <w:t>Unidad de medida</w:t>
            </w:r>
          </w:p>
        </w:tc>
        <w:tc>
          <w:tcPr>
            <w:tcW w:w="1134" w:type="dxa"/>
            <w:tcBorders>
              <w:top w:val="nil"/>
              <w:left w:val="nil"/>
              <w:bottom w:val="single" w:sz="4" w:space="0" w:color="auto"/>
              <w:right w:val="single" w:sz="4" w:space="0" w:color="auto"/>
            </w:tcBorders>
            <w:shd w:val="clear" w:color="auto" w:fill="BDD7EE"/>
            <w:vAlign w:val="center"/>
            <w:hideMark/>
          </w:tcPr>
          <w:p w14:paraId="1AFF80E9" w14:textId="77777777" w:rsidR="00F208CE" w:rsidRDefault="00513E84">
            <w:pPr>
              <w:pStyle w:val="P68B1DB1-Normal15"/>
              <w:spacing w:after="0"/>
              <w:jc w:val="center"/>
              <w:rPr>
                <w:rFonts w:eastAsia="Times New Roman" w:cs="Times New Roman"/>
                <w:noProof/>
              </w:rPr>
            </w:pPr>
            <w:r>
              <w:rPr>
                <w:noProof/>
              </w:rPr>
              <w:t xml:space="preserve">Basal </w:t>
            </w:r>
          </w:p>
        </w:tc>
        <w:tc>
          <w:tcPr>
            <w:tcW w:w="709" w:type="dxa"/>
            <w:tcBorders>
              <w:top w:val="nil"/>
              <w:left w:val="nil"/>
              <w:bottom w:val="single" w:sz="4" w:space="0" w:color="auto"/>
              <w:right w:val="single" w:sz="4" w:space="0" w:color="auto"/>
            </w:tcBorders>
            <w:shd w:val="clear" w:color="auto" w:fill="BDD7EE"/>
            <w:vAlign w:val="center"/>
            <w:hideMark/>
          </w:tcPr>
          <w:p w14:paraId="57012D2E" w14:textId="77777777" w:rsidR="00F208CE" w:rsidRDefault="00513E84">
            <w:pPr>
              <w:pStyle w:val="P68B1DB1-Normal15"/>
              <w:spacing w:after="0"/>
              <w:jc w:val="center"/>
              <w:rPr>
                <w:rFonts w:eastAsia="Times New Roman" w:cs="Times New Roman"/>
                <w:noProof/>
              </w:rPr>
            </w:pPr>
            <w:r>
              <w:rPr>
                <w:noProof/>
              </w:rPr>
              <w:t xml:space="preserve">Meta </w:t>
            </w:r>
          </w:p>
        </w:tc>
        <w:tc>
          <w:tcPr>
            <w:tcW w:w="992" w:type="dxa"/>
            <w:tcBorders>
              <w:top w:val="nil"/>
              <w:left w:val="nil"/>
              <w:bottom w:val="single" w:sz="4" w:space="0" w:color="auto"/>
              <w:right w:val="single" w:sz="4" w:space="0" w:color="auto"/>
            </w:tcBorders>
            <w:shd w:val="clear" w:color="auto" w:fill="BDD7EE"/>
            <w:vAlign w:val="center"/>
            <w:hideMark/>
          </w:tcPr>
          <w:p w14:paraId="632F22F0" w14:textId="77777777" w:rsidR="00F208CE" w:rsidRDefault="00513E84">
            <w:pPr>
              <w:pStyle w:val="P68B1DB1-Normal15"/>
              <w:spacing w:after="0"/>
              <w:jc w:val="center"/>
              <w:rPr>
                <w:rFonts w:eastAsia="Times New Roman" w:cs="Times New Roman"/>
                <w:noProof/>
              </w:rPr>
            </w:pPr>
            <w:r>
              <w:rPr>
                <w:noProof/>
              </w:rPr>
              <w:t>Trimestre</w:t>
            </w:r>
          </w:p>
        </w:tc>
        <w:tc>
          <w:tcPr>
            <w:tcW w:w="993" w:type="dxa"/>
            <w:tcBorders>
              <w:top w:val="nil"/>
              <w:left w:val="nil"/>
              <w:bottom w:val="single" w:sz="4" w:space="0" w:color="auto"/>
              <w:right w:val="single" w:sz="4" w:space="0" w:color="auto"/>
            </w:tcBorders>
            <w:shd w:val="clear" w:color="auto" w:fill="BDD7EE"/>
            <w:vAlign w:val="center"/>
            <w:hideMark/>
          </w:tcPr>
          <w:p w14:paraId="225C3A3D" w14:textId="77777777" w:rsidR="00F208CE" w:rsidRDefault="00513E84">
            <w:pPr>
              <w:pStyle w:val="P68B1DB1-Normal15"/>
              <w:spacing w:after="0"/>
              <w:jc w:val="center"/>
              <w:rPr>
                <w:rFonts w:eastAsia="Times New Roman" w:cs="Times New Roman"/>
                <w:noProof/>
              </w:rPr>
            </w:pPr>
            <w:r>
              <w:rPr>
                <w:noProof/>
              </w:rPr>
              <w:t>Año</w:t>
            </w:r>
          </w:p>
        </w:tc>
        <w:tc>
          <w:tcPr>
            <w:tcW w:w="4132" w:type="dxa"/>
            <w:vMerge/>
            <w:tcBorders>
              <w:top w:val="single" w:sz="4" w:space="0" w:color="auto"/>
              <w:left w:val="single" w:sz="4" w:space="0" w:color="auto"/>
              <w:bottom w:val="single" w:sz="4" w:space="0" w:color="auto"/>
              <w:right w:val="single" w:sz="4" w:space="0" w:color="auto"/>
            </w:tcBorders>
            <w:vAlign w:val="center"/>
            <w:hideMark/>
          </w:tcPr>
          <w:p w14:paraId="473302F6" w14:textId="77777777" w:rsidR="00F208CE" w:rsidRDefault="00F208CE">
            <w:pPr>
              <w:spacing w:after="0"/>
              <w:rPr>
                <w:rFonts w:ascii="Times New Roman" w:eastAsia="Times New Roman" w:hAnsi="Times New Roman" w:cs="Times New Roman"/>
                <w:b/>
                <w:noProof/>
              </w:rPr>
            </w:pPr>
          </w:p>
        </w:tc>
      </w:tr>
      <w:tr w:rsidR="00F208CE" w14:paraId="1DAD9B5D"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vAlign w:val="center"/>
            <w:hideMark/>
          </w:tcPr>
          <w:p w14:paraId="6BE023E5" w14:textId="77777777" w:rsidR="00F208CE" w:rsidRDefault="00513E84">
            <w:pPr>
              <w:pStyle w:val="P68B1DB1-Normal8"/>
              <w:spacing w:after="0"/>
              <w:jc w:val="center"/>
              <w:rPr>
                <w:rFonts w:eastAsia="Times New Roman" w:cs="Times New Roman"/>
                <w:noProof/>
              </w:rPr>
            </w:pPr>
            <w:r>
              <w:rPr>
                <w:noProof/>
              </w:rPr>
              <w:t>156</w:t>
            </w:r>
          </w:p>
        </w:tc>
        <w:tc>
          <w:tcPr>
            <w:tcW w:w="1452" w:type="dxa"/>
            <w:tcBorders>
              <w:top w:val="nil"/>
              <w:left w:val="nil"/>
              <w:bottom w:val="single" w:sz="4" w:space="0" w:color="auto"/>
              <w:right w:val="single" w:sz="4" w:space="0" w:color="auto"/>
            </w:tcBorders>
            <w:shd w:val="clear" w:color="auto" w:fill="C6EFCE"/>
            <w:noWrap/>
            <w:vAlign w:val="center"/>
            <w:hideMark/>
          </w:tcPr>
          <w:p w14:paraId="10CE0852" w14:textId="77777777" w:rsidR="00F208CE" w:rsidRDefault="00513E84">
            <w:pPr>
              <w:pStyle w:val="P68B1DB1-Normal8"/>
              <w:spacing w:after="0"/>
              <w:rPr>
                <w:rFonts w:eastAsia="Times New Roman" w:cs="Times New Roman"/>
                <w:noProof/>
              </w:rPr>
            </w:pPr>
            <w:r>
              <w:rPr>
                <w:noProof/>
              </w:rPr>
              <w:t>Pensión y fin de carrera (R-4.07)</w:t>
            </w:r>
          </w:p>
        </w:tc>
        <w:tc>
          <w:tcPr>
            <w:tcW w:w="1276" w:type="dxa"/>
            <w:tcBorders>
              <w:top w:val="nil"/>
              <w:left w:val="nil"/>
              <w:bottom w:val="single" w:sz="4" w:space="0" w:color="auto"/>
              <w:right w:val="single" w:sz="4" w:space="0" w:color="auto"/>
            </w:tcBorders>
            <w:shd w:val="clear" w:color="auto" w:fill="C6EFCE"/>
            <w:noWrap/>
            <w:vAlign w:val="center"/>
            <w:hideMark/>
          </w:tcPr>
          <w:p w14:paraId="4B21FCA4" w14:textId="7C2613E9" w:rsidR="00F208CE" w:rsidRDefault="00513E84">
            <w:pPr>
              <w:pStyle w:val="P68B1DB1-Normal8"/>
              <w:spacing w:after="0"/>
              <w:rPr>
                <w:rFonts w:eastAsia="Times New Roman" w:cs="Times New Roman"/>
                <w:noProof/>
              </w:rPr>
            </w:pPr>
            <w:r>
              <w:rPr>
                <w:noProof/>
              </w:rPr>
              <w:t>M</w:t>
            </w:r>
          </w:p>
        </w:tc>
        <w:tc>
          <w:tcPr>
            <w:tcW w:w="1417" w:type="dxa"/>
            <w:tcBorders>
              <w:top w:val="nil"/>
              <w:left w:val="nil"/>
              <w:bottom w:val="single" w:sz="4" w:space="0" w:color="auto"/>
              <w:right w:val="single" w:sz="4" w:space="0" w:color="auto"/>
            </w:tcBorders>
            <w:shd w:val="clear" w:color="auto" w:fill="C6EFCE"/>
            <w:noWrap/>
            <w:vAlign w:val="center"/>
            <w:hideMark/>
          </w:tcPr>
          <w:p w14:paraId="71E60B06" w14:textId="77777777" w:rsidR="00F208CE" w:rsidRDefault="00513E84">
            <w:pPr>
              <w:pStyle w:val="P68B1DB1-Normal8"/>
              <w:spacing w:after="0"/>
              <w:rPr>
                <w:rFonts w:eastAsia="Times New Roman" w:cs="Times New Roman"/>
                <w:noProof/>
              </w:rPr>
            </w:pPr>
            <w:r>
              <w:rPr>
                <w:noProof/>
              </w:rPr>
              <w:t>Plan de acción basado en los resultados de la conferencia sobre el empleo</w:t>
            </w:r>
          </w:p>
        </w:tc>
        <w:tc>
          <w:tcPr>
            <w:tcW w:w="1559" w:type="dxa"/>
            <w:tcBorders>
              <w:top w:val="nil"/>
              <w:left w:val="nil"/>
              <w:bottom w:val="single" w:sz="4" w:space="0" w:color="auto"/>
              <w:right w:val="single" w:sz="4" w:space="0" w:color="auto"/>
            </w:tcBorders>
            <w:shd w:val="clear" w:color="auto" w:fill="C6EFCE"/>
            <w:noWrap/>
            <w:vAlign w:val="center"/>
            <w:hideMark/>
          </w:tcPr>
          <w:p w14:paraId="2141D127" w14:textId="77777777" w:rsidR="00F208CE" w:rsidRDefault="00513E84">
            <w:pPr>
              <w:pStyle w:val="P68B1DB1-Normal8"/>
              <w:spacing w:after="0"/>
              <w:rPr>
                <w:rFonts w:eastAsia="Times New Roman" w:cs="Times New Roman"/>
                <w:noProof/>
              </w:rPr>
            </w:pPr>
            <w:r>
              <w:rPr>
                <w:noProof/>
              </w:rPr>
              <w:t>Transmisión (y grabación) de los debates de las conferencias sobre empleo y de la propuesta de plan de acción incluidos en el orden del día del Consejo Federal de Ministros</w:t>
            </w:r>
          </w:p>
        </w:tc>
        <w:tc>
          <w:tcPr>
            <w:tcW w:w="1134" w:type="dxa"/>
            <w:tcBorders>
              <w:top w:val="nil"/>
              <w:left w:val="nil"/>
              <w:bottom w:val="single" w:sz="4" w:space="0" w:color="auto"/>
              <w:right w:val="single" w:sz="4" w:space="0" w:color="auto"/>
            </w:tcBorders>
            <w:shd w:val="clear" w:color="auto" w:fill="C6EFCE"/>
            <w:noWrap/>
            <w:vAlign w:val="center"/>
          </w:tcPr>
          <w:p w14:paraId="75019543" w14:textId="77777777" w:rsidR="00F208CE" w:rsidRDefault="00F208CE">
            <w:pPr>
              <w:spacing w:after="0"/>
              <w:jc w:val="center"/>
              <w:rPr>
                <w:rFonts w:ascii="Times New Roman" w:eastAsia="Times New Roman" w:hAnsi="Times New Roman" w:cs="Times New Roman"/>
                <w:noProof/>
                <w:color w:val="006100"/>
              </w:rPr>
            </w:pPr>
          </w:p>
        </w:tc>
        <w:tc>
          <w:tcPr>
            <w:tcW w:w="1134" w:type="dxa"/>
            <w:tcBorders>
              <w:top w:val="nil"/>
              <w:left w:val="nil"/>
              <w:bottom w:val="single" w:sz="4" w:space="0" w:color="auto"/>
              <w:right w:val="single" w:sz="4" w:space="0" w:color="auto"/>
            </w:tcBorders>
            <w:shd w:val="clear" w:color="auto" w:fill="C6EFCE"/>
            <w:noWrap/>
            <w:vAlign w:val="center"/>
          </w:tcPr>
          <w:p w14:paraId="58C83236" w14:textId="77777777" w:rsidR="00F208CE" w:rsidRDefault="00F208CE">
            <w:pPr>
              <w:spacing w:after="0"/>
              <w:jc w:val="center"/>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133B19A9"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hideMark/>
          </w:tcPr>
          <w:p w14:paraId="5D542C47" w14:textId="77777777" w:rsidR="00F208CE" w:rsidRDefault="00513E84">
            <w:pPr>
              <w:pStyle w:val="P68B1DB1-Normal8"/>
              <w:spacing w:after="0"/>
              <w:jc w:val="center"/>
              <w:rPr>
                <w:rFonts w:eastAsia="Times New Roman" w:cs="Times New Roman"/>
                <w:noProof/>
              </w:rPr>
            </w:pPr>
            <w:r>
              <w:rPr>
                <w:noProof/>
              </w:rPr>
              <w:t>TERCER</w:t>
            </w:r>
            <w:r>
              <w:rPr>
                <w:noProof/>
              </w:rPr>
              <w:t xml:space="preserve"> TRIMESTRE 2</w:t>
            </w:r>
          </w:p>
        </w:tc>
        <w:tc>
          <w:tcPr>
            <w:tcW w:w="993" w:type="dxa"/>
            <w:tcBorders>
              <w:top w:val="nil"/>
              <w:left w:val="nil"/>
              <w:bottom w:val="single" w:sz="4" w:space="0" w:color="auto"/>
              <w:right w:val="single" w:sz="4" w:space="0" w:color="auto"/>
            </w:tcBorders>
            <w:shd w:val="clear" w:color="auto" w:fill="C6EFCE"/>
            <w:noWrap/>
            <w:vAlign w:val="center"/>
            <w:hideMark/>
          </w:tcPr>
          <w:p w14:paraId="01338F5E" w14:textId="77777777" w:rsidR="00F208CE" w:rsidRDefault="00513E84">
            <w:pPr>
              <w:pStyle w:val="P68B1DB1-Normal8"/>
              <w:spacing w:after="0"/>
              <w:jc w:val="center"/>
              <w:rPr>
                <w:rFonts w:eastAsia="Times New Roman" w:cs="Times New Roman"/>
                <w:noProof/>
              </w:rPr>
            </w:pPr>
            <w:r>
              <w:rPr>
                <w:noProof/>
              </w:rPr>
              <w:t>2022</w:t>
            </w:r>
          </w:p>
        </w:tc>
        <w:tc>
          <w:tcPr>
            <w:tcW w:w="4132" w:type="dxa"/>
            <w:tcBorders>
              <w:top w:val="nil"/>
              <w:left w:val="nil"/>
              <w:bottom w:val="single" w:sz="4" w:space="0" w:color="auto"/>
              <w:right w:val="single" w:sz="4" w:space="0" w:color="auto"/>
            </w:tcBorders>
            <w:shd w:val="clear" w:color="auto" w:fill="C6EFCE"/>
            <w:noWrap/>
            <w:vAlign w:val="center"/>
            <w:hideMark/>
          </w:tcPr>
          <w:p w14:paraId="320FA805" w14:textId="77777777" w:rsidR="00F208CE" w:rsidRDefault="00513E84">
            <w:pPr>
              <w:pStyle w:val="P68B1DB1-Normal8"/>
              <w:spacing w:after="0"/>
              <w:rPr>
                <w:rFonts w:eastAsia="Times New Roman" w:cs="Times New Roman"/>
                <w:noProof/>
              </w:rPr>
            </w:pPr>
            <w:r>
              <w:rPr>
                <w:noProof/>
              </w:rPr>
              <w:t>Transmisión (y grabación) de los debates de la conferencia sobre empleo por parte de la administración (SPF ETCS). Se ha elaborado e incluido en el orden del día del Consejo de Ministros una propuesta de plan de acción para aumentar la ta</w:t>
            </w:r>
            <w:r>
              <w:rPr>
                <w:noProof/>
              </w:rPr>
              <w:t xml:space="preserve">sa de empleo de los trabajadores que se acercan al final de su carrera profesional, basado en un inventario de las medidas federales existentes, elaborado por el Ministerio federal de Trabajo y las aportaciones de los interlocutores sociales, las regiones </w:t>
            </w:r>
            <w:r>
              <w:rPr>
                <w:noProof/>
              </w:rPr>
              <w:t xml:space="preserve">y otras partes interesadas antes y durante la conferencia. El objetivo de este plan de acción es traducir en propuestas reglamentarias concretas (legislativas o administrativas) que deben adoptar las autoridades federales (en caso necesario, el Parlamento </w:t>
            </w:r>
            <w:r>
              <w:rPr>
                <w:noProof/>
              </w:rPr>
              <w:t>federal).</w:t>
            </w:r>
          </w:p>
        </w:tc>
      </w:tr>
      <w:tr w:rsidR="00F208CE" w14:paraId="0FCEBAB4"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vAlign w:val="center"/>
            <w:hideMark/>
          </w:tcPr>
          <w:p w14:paraId="282E1212" w14:textId="77777777" w:rsidR="00F208CE" w:rsidRDefault="00513E84">
            <w:pPr>
              <w:pStyle w:val="P68B1DB1-Normal8"/>
              <w:spacing w:after="0"/>
              <w:jc w:val="center"/>
              <w:rPr>
                <w:rFonts w:eastAsia="Times New Roman" w:cs="Times New Roman"/>
                <w:noProof/>
              </w:rPr>
            </w:pPr>
            <w:r>
              <w:rPr>
                <w:noProof/>
              </w:rPr>
              <w:t>157</w:t>
            </w:r>
          </w:p>
        </w:tc>
        <w:tc>
          <w:tcPr>
            <w:tcW w:w="1452" w:type="dxa"/>
            <w:tcBorders>
              <w:top w:val="nil"/>
              <w:left w:val="nil"/>
              <w:bottom w:val="single" w:sz="4" w:space="0" w:color="auto"/>
              <w:right w:val="single" w:sz="4" w:space="0" w:color="auto"/>
            </w:tcBorders>
            <w:shd w:val="clear" w:color="auto" w:fill="C6EFCE"/>
            <w:noWrap/>
            <w:vAlign w:val="center"/>
            <w:hideMark/>
          </w:tcPr>
          <w:p w14:paraId="0A77FF1E" w14:textId="77777777" w:rsidR="00F208CE" w:rsidRDefault="00513E84">
            <w:pPr>
              <w:pStyle w:val="P68B1DB1-Normal8"/>
              <w:spacing w:after="0"/>
              <w:rPr>
                <w:rFonts w:eastAsia="Times New Roman" w:cs="Times New Roman"/>
                <w:noProof/>
              </w:rPr>
            </w:pPr>
            <w:r>
              <w:rPr>
                <w:noProof/>
              </w:rPr>
              <w:t>Pensión y fin de carrera (R-4.07)</w:t>
            </w:r>
          </w:p>
        </w:tc>
        <w:tc>
          <w:tcPr>
            <w:tcW w:w="1276" w:type="dxa"/>
            <w:tcBorders>
              <w:top w:val="nil"/>
              <w:left w:val="nil"/>
              <w:bottom w:val="single" w:sz="4" w:space="0" w:color="auto"/>
              <w:right w:val="single" w:sz="4" w:space="0" w:color="auto"/>
            </w:tcBorders>
            <w:shd w:val="clear" w:color="auto" w:fill="C6EFCE"/>
            <w:noWrap/>
            <w:vAlign w:val="center"/>
            <w:hideMark/>
          </w:tcPr>
          <w:p w14:paraId="3882D111" w14:textId="22A616B9" w:rsidR="00F208CE" w:rsidRDefault="00513E84">
            <w:pPr>
              <w:pStyle w:val="P68B1DB1-Normal8"/>
              <w:spacing w:after="0"/>
              <w:rPr>
                <w:rFonts w:eastAsia="Times New Roman" w:cs="Times New Roman"/>
                <w:noProof/>
              </w:rPr>
            </w:pPr>
            <w:r>
              <w:rPr>
                <w:noProof/>
              </w:rPr>
              <w:t>M</w:t>
            </w:r>
          </w:p>
        </w:tc>
        <w:tc>
          <w:tcPr>
            <w:tcW w:w="1417" w:type="dxa"/>
            <w:tcBorders>
              <w:top w:val="nil"/>
              <w:left w:val="nil"/>
              <w:bottom w:val="single" w:sz="4" w:space="0" w:color="auto"/>
              <w:right w:val="single" w:sz="4" w:space="0" w:color="auto"/>
            </w:tcBorders>
            <w:shd w:val="clear" w:color="auto" w:fill="C6EFCE"/>
            <w:noWrap/>
            <w:vAlign w:val="center"/>
            <w:hideMark/>
          </w:tcPr>
          <w:p w14:paraId="0D9B4CFD" w14:textId="77777777" w:rsidR="00F208CE" w:rsidRDefault="00513E84">
            <w:pPr>
              <w:pStyle w:val="P68B1DB1-Normal8"/>
              <w:spacing w:after="0"/>
              <w:rPr>
                <w:rFonts w:eastAsia="Times New Roman" w:cs="Times New Roman"/>
                <w:noProof/>
              </w:rPr>
            </w:pPr>
            <w:r>
              <w:rPr>
                <w:noProof/>
              </w:rPr>
              <w:t>Propuesta de reforma de las pensiones</w:t>
            </w:r>
          </w:p>
        </w:tc>
        <w:tc>
          <w:tcPr>
            <w:tcW w:w="1559" w:type="dxa"/>
            <w:tcBorders>
              <w:top w:val="nil"/>
              <w:left w:val="nil"/>
              <w:bottom w:val="single" w:sz="4" w:space="0" w:color="auto"/>
              <w:right w:val="single" w:sz="4" w:space="0" w:color="auto"/>
            </w:tcBorders>
            <w:shd w:val="clear" w:color="auto" w:fill="C6EFCE"/>
            <w:noWrap/>
            <w:vAlign w:val="center"/>
          </w:tcPr>
          <w:p w14:paraId="19E52C93" w14:textId="74E673EC" w:rsidR="00F208CE" w:rsidRDefault="00513E84">
            <w:pPr>
              <w:pStyle w:val="P68B1DB1-Normal8"/>
              <w:spacing w:after="0"/>
              <w:rPr>
                <w:rFonts w:eastAsia="Times New Roman" w:cs="Times New Roman"/>
                <w:noProof/>
              </w:rPr>
            </w:pPr>
            <w:r>
              <w:rPr>
                <w:noProof/>
              </w:rPr>
              <w:t>Propuesta de reforma adoptada por el Consejo de Ministros del Gobierno federal</w:t>
            </w:r>
          </w:p>
        </w:tc>
        <w:tc>
          <w:tcPr>
            <w:tcW w:w="1134" w:type="dxa"/>
            <w:tcBorders>
              <w:top w:val="nil"/>
              <w:left w:val="nil"/>
              <w:bottom w:val="single" w:sz="4" w:space="0" w:color="auto"/>
              <w:right w:val="single" w:sz="4" w:space="0" w:color="auto"/>
            </w:tcBorders>
            <w:shd w:val="clear" w:color="auto" w:fill="C6EFCE"/>
            <w:noWrap/>
            <w:vAlign w:val="center"/>
          </w:tcPr>
          <w:p w14:paraId="07EBD2C1" w14:textId="77777777" w:rsidR="00F208CE" w:rsidRDefault="00F208CE">
            <w:pPr>
              <w:spacing w:after="0"/>
              <w:jc w:val="center"/>
              <w:rPr>
                <w:rFonts w:ascii="Times New Roman" w:eastAsia="Times New Roman" w:hAnsi="Times New Roman" w:cs="Times New Roman"/>
                <w:noProof/>
                <w:color w:val="006100"/>
              </w:rPr>
            </w:pPr>
          </w:p>
        </w:tc>
        <w:tc>
          <w:tcPr>
            <w:tcW w:w="1134" w:type="dxa"/>
            <w:tcBorders>
              <w:top w:val="nil"/>
              <w:left w:val="nil"/>
              <w:bottom w:val="single" w:sz="4" w:space="0" w:color="auto"/>
              <w:right w:val="single" w:sz="4" w:space="0" w:color="auto"/>
            </w:tcBorders>
            <w:shd w:val="clear" w:color="auto" w:fill="C6EFCE"/>
            <w:noWrap/>
            <w:vAlign w:val="center"/>
          </w:tcPr>
          <w:p w14:paraId="7D00F74C" w14:textId="77777777" w:rsidR="00F208CE" w:rsidRDefault="00F208CE">
            <w:pPr>
              <w:spacing w:after="0"/>
              <w:jc w:val="center"/>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tcPr>
          <w:p w14:paraId="291C1FDD"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hideMark/>
          </w:tcPr>
          <w:p w14:paraId="36FF2180" w14:textId="77777777" w:rsidR="00F208CE" w:rsidRDefault="00513E84">
            <w:pPr>
              <w:pStyle w:val="P68B1DB1-Normal8"/>
              <w:spacing w:after="0"/>
              <w:jc w:val="center"/>
              <w:rPr>
                <w:rFonts w:eastAsia="Times New Roman" w:cs="Times New Roman"/>
                <w:noProof/>
              </w:rPr>
            </w:pPr>
            <w:r>
              <w:rPr>
                <w:noProof/>
              </w:rPr>
              <w:t>TERCER TRIMESTRE 4</w:t>
            </w:r>
          </w:p>
        </w:tc>
        <w:tc>
          <w:tcPr>
            <w:tcW w:w="993" w:type="dxa"/>
            <w:tcBorders>
              <w:top w:val="nil"/>
              <w:left w:val="nil"/>
              <w:bottom w:val="single" w:sz="4" w:space="0" w:color="auto"/>
              <w:right w:val="single" w:sz="4" w:space="0" w:color="auto"/>
            </w:tcBorders>
            <w:shd w:val="clear" w:color="auto" w:fill="C6EFCE"/>
            <w:noWrap/>
            <w:vAlign w:val="center"/>
            <w:hideMark/>
          </w:tcPr>
          <w:p w14:paraId="74B4F886" w14:textId="77777777" w:rsidR="00F208CE" w:rsidRDefault="00513E84">
            <w:pPr>
              <w:pStyle w:val="P68B1DB1-Normal8"/>
              <w:spacing w:after="0"/>
              <w:jc w:val="center"/>
              <w:rPr>
                <w:rFonts w:eastAsia="Times New Roman" w:cs="Times New Roman"/>
                <w:noProof/>
              </w:rPr>
            </w:pPr>
            <w:r>
              <w:rPr>
                <w:noProof/>
              </w:rPr>
              <w:t>2021</w:t>
            </w:r>
          </w:p>
        </w:tc>
        <w:tc>
          <w:tcPr>
            <w:tcW w:w="4132" w:type="dxa"/>
            <w:tcBorders>
              <w:top w:val="nil"/>
              <w:left w:val="nil"/>
              <w:bottom w:val="single" w:sz="4" w:space="0" w:color="auto"/>
              <w:right w:val="single" w:sz="4" w:space="0" w:color="auto"/>
            </w:tcBorders>
            <w:shd w:val="clear" w:color="auto" w:fill="C6EFCE"/>
            <w:noWrap/>
            <w:vAlign w:val="center"/>
            <w:hideMark/>
          </w:tcPr>
          <w:p w14:paraId="5DAF2264" w14:textId="72F07CA8" w:rsidR="00F208CE" w:rsidRDefault="00513E84">
            <w:pPr>
              <w:pStyle w:val="P68B1DB1-Normal8"/>
              <w:spacing w:after="0"/>
              <w:rPr>
                <w:rFonts w:eastAsia="Times New Roman" w:cs="Times New Roman"/>
                <w:noProof/>
              </w:rPr>
            </w:pPr>
            <w:r>
              <w:rPr>
                <w:noProof/>
              </w:rPr>
              <w:t xml:space="preserve">Propuesta adoptada por el Consejo de Ministros del Gobierno federal para reformar el régimen de pensiones, que incluirá los siguientes elementos: </w:t>
            </w:r>
          </w:p>
          <w:p w14:paraId="22C73DF5" w14:textId="77777777" w:rsidR="00F208CE" w:rsidRDefault="00513E84">
            <w:pPr>
              <w:pStyle w:val="P68B1DB1-Normal8"/>
              <w:spacing w:after="0"/>
              <w:rPr>
                <w:rFonts w:eastAsia="Times New Roman" w:cs="Times New Roman"/>
                <w:noProof/>
              </w:rPr>
            </w:pPr>
            <w:r>
              <w:rPr>
                <w:noProof/>
              </w:rPr>
              <w:t xml:space="preserve">I) Medidas para mejorar la sostenibilidad financiera y social del sistema de pensiones; </w:t>
            </w:r>
          </w:p>
          <w:p w14:paraId="50A09B7F" w14:textId="77777777" w:rsidR="00F208CE" w:rsidRDefault="00513E84">
            <w:pPr>
              <w:pStyle w:val="P68B1DB1-Normal8"/>
              <w:spacing w:after="0"/>
              <w:rPr>
                <w:rFonts w:eastAsia="Times New Roman" w:cs="Times New Roman"/>
                <w:noProof/>
              </w:rPr>
            </w:pPr>
            <w:r>
              <w:rPr>
                <w:noProof/>
              </w:rPr>
              <w:t>II) Medidas para inc</w:t>
            </w:r>
            <w:r>
              <w:rPr>
                <w:noProof/>
              </w:rPr>
              <w:t xml:space="preserve">entivar a las personas a permanecer activas en el mercado laboral tras cumplir las condiciones de jubilación anticipada; </w:t>
            </w:r>
          </w:p>
          <w:p w14:paraId="3C7A3985" w14:textId="77777777" w:rsidR="00F208CE" w:rsidRDefault="00513E84">
            <w:pPr>
              <w:pStyle w:val="P68B1DB1-Normal8"/>
              <w:spacing w:after="0"/>
              <w:rPr>
                <w:rFonts w:eastAsia="Times New Roman" w:cs="Times New Roman"/>
                <w:noProof/>
              </w:rPr>
            </w:pPr>
            <w:r>
              <w:rPr>
                <w:noProof/>
              </w:rPr>
              <w:t>III) Medidas para aumentar su papel de solidaridad para garantizar una pensión mínima digna, su papel en materia de seguros y el equil</w:t>
            </w:r>
            <w:r>
              <w:rPr>
                <w:noProof/>
              </w:rPr>
              <w:t>ibrio de género, teniendo en cuenta el objetivo general de mejora de la sostenibilidad financiera y social del régimen de pensiones;</w:t>
            </w:r>
          </w:p>
          <w:p w14:paraId="37FD69C0" w14:textId="77777777" w:rsidR="00F208CE" w:rsidRDefault="00513E84">
            <w:pPr>
              <w:pStyle w:val="P68B1DB1-Normal8"/>
              <w:spacing w:after="0"/>
              <w:rPr>
                <w:rFonts w:eastAsia="Times New Roman" w:cs="Times New Roman"/>
                <w:noProof/>
              </w:rPr>
            </w:pPr>
            <w:r>
              <w:rPr>
                <w:noProof/>
              </w:rPr>
              <w:t>IV) Medidas para garantizar la convergencia entre los distintos sistemas y dentro de ellos.</w:t>
            </w:r>
          </w:p>
        </w:tc>
      </w:tr>
      <w:tr w:rsidR="00F208CE" w14:paraId="19DD432B"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vAlign w:val="center"/>
            <w:hideMark/>
          </w:tcPr>
          <w:p w14:paraId="08DD379A" w14:textId="77777777" w:rsidR="00F208CE" w:rsidRDefault="00513E84">
            <w:pPr>
              <w:pStyle w:val="P68B1DB1-Normal8"/>
              <w:spacing w:after="0"/>
              <w:jc w:val="center"/>
              <w:rPr>
                <w:rFonts w:eastAsia="Times New Roman" w:cs="Times New Roman"/>
                <w:noProof/>
              </w:rPr>
            </w:pPr>
            <w:r>
              <w:rPr>
                <w:noProof/>
              </w:rPr>
              <w:t>158</w:t>
            </w:r>
          </w:p>
        </w:tc>
        <w:tc>
          <w:tcPr>
            <w:tcW w:w="1452" w:type="dxa"/>
            <w:tcBorders>
              <w:top w:val="nil"/>
              <w:left w:val="nil"/>
              <w:bottom w:val="single" w:sz="4" w:space="0" w:color="auto"/>
              <w:right w:val="single" w:sz="4" w:space="0" w:color="auto"/>
            </w:tcBorders>
            <w:shd w:val="clear" w:color="auto" w:fill="C6EFCE"/>
            <w:noWrap/>
            <w:vAlign w:val="center"/>
            <w:hideMark/>
          </w:tcPr>
          <w:p w14:paraId="29AAC8DE" w14:textId="77777777" w:rsidR="00F208CE" w:rsidRDefault="00513E84">
            <w:pPr>
              <w:pStyle w:val="P68B1DB1-Normal8"/>
              <w:spacing w:after="0"/>
              <w:rPr>
                <w:rFonts w:eastAsia="Times New Roman" w:cs="Times New Roman"/>
                <w:noProof/>
              </w:rPr>
            </w:pPr>
            <w:r>
              <w:rPr>
                <w:noProof/>
              </w:rPr>
              <w:t xml:space="preserve">Pensión y fin de carrera </w:t>
            </w:r>
            <w:r>
              <w:rPr>
                <w:noProof/>
              </w:rPr>
              <w:t>(R-4.07)</w:t>
            </w:r>
          </w:p>
        </w:tc>
        <w:tc>
          <w:tcPr>
            <w:tcW w:w="1276" w:type="dxa"/>
            <w:tcBorders>
              <w:top w:val="nil"/>
              <w:left w:val="nil"/>
              <w:bottom w:val="single" w:sz="4" w:space="0" w:color="auto"/>
              <w:right w:val="single" w:sz="4" w:space="0" w:color="auto"/>
            </w:tcBorders>
            <w:shd w:val="clear" w:color="auto" w:fill="C6EFCE"/>
            <w:noWrap/>
            <w:vAlign w:val="center"/>
            <w:hideMark/>
          </w:tcPr>
          <w:p w14:paraId="17E8AFC9" w14:textId="46ECC974" w:rsidR="00F208CE" w:rsidRDefault="00513E84">
            <w:pPr>
              <w:pStyle w:val="P68B1DB1-Normal8"/>
              <w:spacing w:after="0"/>
              <w:rPr>
                <w:rFonts w:eastAsia="Times New Roman" w:cs="Times New Roman"/>
                <w:noProof/>
              </w:rPr>
            </w:pPr>
            <w:r>
              <w:rPr>
                <w:noProof/>
              </w:rPr>
              <w:t>M</w:t>
            </w:r>
          </w:p>
        </w:tc>
        <w:tc>
          <w:tcPr>
            <w:tcW w:w="1417" w:type="dxa"/>
            <w:tcBorders>
              <w:top w:val="nil"/>
              <w:left w:val="nil"/>
              <w:bottom w:val="single" w:sz="4" w:space="0" w:color="auto"/>
              <w:right w:val="single" w:sz="4" w:space="0" w:color="auto"/>
            </w:tcBorders>
            <w:shd w:val="clear" w:color="auto" w:fill="C6EFCE"/>
            <w:noWrap/>
            <w:vAlign w:val="center"/>
            <w:hideMark/>
          </w:tcPr>
          <w:p w14:paraId="54AC8244" w14:textId="77777777" w:rsidR="00F208CE" w:rsidRDefault="00513E84">
            <w:pPr>
              <w:pStyle w:val="P68B1DB1-Normal8"/>
              <w:spacing w:after="0"/>
              <w:rPr>
                <w:rFonts w:eastAsia="Times New Roman" w:cs="Times New Roman"/>
                <w:noProof/>
              </w:rPr>
            </w:pPr>
            <w:r>
              <w:rPr>
                <w:noProof/>
              </w:rPr>
              <w:t>Adopción de la reforma de las pensiones</w:t>
            </w:r>
          </w:p>
        </w:tc>
        <w:tc>
          <w:tcPr>
            <w:tcW w:w="1559" w:type="dxa"/>
            <w:tcBorders>
              <w:top w:val="nil"/>
              <w:left w:val="nil"/>
              <w:bottom w:val="single" w:sz="4" w:space="0" w:color="auto"/>
              <w:right w:val="single" w:sz="4" w:space="0" w:color="auto"/>
            </w:tcBorders>
            <w:shd w:val="clear" w:color="auto" w:fill="C6EFCE"/>
            <w:noWrap/>
            <w:vAlign w:val="center"/>
            <w:hideMark/>
          </w:tcPr>
          <w:p w14:paraId="790E5925" w14:textId="77777777" w:rsidR="00F208CE" w:rsidRDefault="00513E84">
            <w:pPr>
              <w:pStyle w:val="P68B1DB1-Normal8"/>
              <w:spacing w:after="0"/>
              <w:rPr>
                <w:rFonts w:eastAsia="Times New Roman" w:cs="Times New Roman"/>
                <w:noProof/>
              </w:rPr>
            </w:pPr>
            <w:r>
              <w:rPr>
                <w:noProof/>
              </w:rPr>
              <w:t>Aprobación por el Parlamento federal de la ley de reforma del sistema de pensiones</w:t>
            </w:r>
          </w:p>
        </w:tc>
        <w:tc>
          <w:tcPr>
            <w:tcW w:w="1134" w:type="dxa"/>
            <w:tcBorders>
              <w:top w:val="nil"/>
              <w:left w:val="nil"/>
              <w:bottom w:val="single" w:sz="4" w:space="0" w:color="auto"/>
              <w:right w:val="single" w:sz="4" w:space="0" w:color="auto"/>
            </w:tcBorders>
            <w:shd w:val="clear" w:color="auto" w:fill="C6EFCE"/>
            <w:noWrap/>
            <w:vAlign w:val="center"/>
            <w:hideMark/>
          </w:tcPr>
          <w:p w14:paraId="367ED69B" w14:textId="77777777" w:rsidR="00F208CE" w:rsidRDefault="00F208CE">
            <w:pPr>
              <w:spacing w:after="0"/>
              <w:jc w:val="center"/>
              <w:rPr>
                <w:rFonts w:ascii="Times New Roman" w:eastAsia="Times New Roman" w:hAnsi="Times New Roman" w:cs="Times New Roman"/>
                <w:noProof/>
                <w:color w:val="006100"/>
              </w:rPr>
            </w:pPr>
          </w:p>
        </w:tc>
        <w:tc>
          <w:tcPr>
            <w:tcW w:w="1134" w:type="dxa"/>
            <w:tcBorders>
              <w:top w:val="nil"/>
              <w:left w:val="nil"/>
              <w:bottom w:val="single" w:sz="4" w:space="0" w:color="auto"/>
              <w:right w:val="single" w:sz="4" w:space="0" w:color="auto"/>
            </w:tcBorders>
            <w:shd w:val="clear" w:color="auto" w:fill="C6EFCE"/>
            <w:noWrap/>
            <w:vAlign w:val="center"/>
            <w:hideMark/>
          </w:tcPr>
          <w:p w14:paraId="3AFBBD05" w14:textId="77777777" w:rsidR="00F208CE" w:rsidRDefault="00F208CE">
            <w:pPr>
              <w:spacing w:after="0"/>
              <w:jc w:val="center"/>
              <w:rPr>
                <w:rFonts w:ascii="Times New Roman" w:eastAsia="Times New Roman" w:hAnsi="Times New Roman" w:cs="Times New Roman"/>
                <w:noProof/>
                <w:color w:val="006100"/>
              </w:rPr>
            </w:pPr>
          </w:p>
        </w:tc>
        <w:tc>
          <w:tcPr>
            <w:tcW w:w="709" w:type="dxa"/>
            <w:tcBorders>
              <w:top w:val="nil"/>
              <w:left w:val="nil"/>
              <w:bottom w:val="single" w:sz="4" w:space="0" w:color="auto"/>
              <w:right w:val="single" w:sz="4" w:space="0" w:color="auto"/>
            </w:tcBorders>
            <w:shd w:val="clear" w:color="auto" w:fill="C6EFCE"/>
            <w:noWrap/>
            <w:vAlign w:val="center"/>
            <w:hideMark/>
          </w:tcPr>
          <w:p w14:paraId="668F31F2" w14:textId="77777777" w:rsidR="00F208CE" w:rsidRDefault="00F208CE">
            <w:pPr>
              <w:spacing w:after="0"/>
              <w:jc w:val="center"/>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hideMark/>
          </w:tcPr>
          <w:p w14:paraId="1E7BF58C" w14:textId="77777777" w:rsidR="00F208CE" w:rsidRDefault="00513E84">
            <w:pPr>
              <w:pStyle w:val="P68B1DB1-Normal8"/>
              <w:spacing w:after="0"/>
              <w:jc w:val="center"/>
              <w:rPr>
                <w:rFonts w:eastAsia="Times New Roman" w:cs="Times New Roman"/>
                <w:noProof/>
              </w:rPr>
            </w:pPr>
            <w:r>
              <w:rPr>
                <w:noProof/>
              </w:rPr>
              <w:t>TERCER TRIMESTRE 2</w:t>
            </w:r>
          </w:p>
        </w:tc>
        <w:tc>
          <w:tcPr>
            <w:tcW w:w="993" w:type="dxa"/>
            <w:tcBorders>
              <w:top w:val="nil"/>
              <w:left w:val="nil"/>
              <w:bottom w:val="single" w:sz="4" w:space="0" w:color="auto"/>
              <w:right w:val="single" w:sz="4" w:space="0" w:color="auto"/>
            </w:tcBorders>
            <w:shd w:val="clear" w:color="auto" w:fill="C6EFCE"/>
            <w:noWrap/>
            <w:vAlign w:val="center"/>
            <w:hideMark/>
          </w:tcPr>
          <w:p w14:paraId="1487AD2A" w14:textId="77777777" w:rsidR="00F208CE" w:rsidRDefault="00513E84">
            <w:pPr>
              <w:pStyle w:val="P68B1DB1-Normal8"/>
              <w:spacing w:after="0"/>
              <w:jc w:val="center"/>
              <w:rPr>
                <w:rFonts w:eastAsia="Times New Roman" w:cs="Times New Roman"/>
                <w:noProof/>
              </w:rPr>
            </w:pPr>
            <w:r>
              <w:rPr>
                <w:noProof/>
              </w:rPr>
              <w:t>2024</w:t>
            </w:r>
          </w:p>
        </w:tc>
        <w:tc>
          <w:tcPr>
            <w:tcW w:w="4132" w:type="dxa"/>
            <w:tcBorders>
              <w:top w:val="nil"/>
              <w:left w:val="nil"/>
              <w:bottom w:val="single" w:sz="4" w:space="0" w:color="auto"/>
              <w:right w:val="single" w:sz="4" w:space="0" w:color="auto"/>
            </w:tcBorders>
            <w:shd w:val="clear" w:color="auto" w:fill="C6EFCE"/>
            <w:noWrap/>
            <w:vAlign w:val="center"/>
            <w:hideMark/>
          </w:tcPr>
          <w:p w14:paraId="340AEBAA" w14:textId="77777777" w:rsidR="00F208CE" w:rsidRDefault="00513E84">
            <w:pPr>
              <w:pStyle w:val="P68B1DB1-Normal8"/>
              <w:spacing w:after="0"/>
              <w:rPr>
                <w:rFonts w:eastAsia="Times New Roman" w:cs="Times New Roman"/>
                <w:noProof/>
              </w:rPr>
            </w:pPr>
            <w:r>
              <w:rPr>
                <w:noProof/>
              </w:rPr>
              <w:t xml:space="preserve">Adopción de la ley de reforma del régimen de pensiones por el Parlamento federal. La ley </w:t>
            </w:r>
            <w:r>
              <w:rPr>
                <w:noProof/>
              </w:rPr>
              <w:t>contemplará los siguientes aspectos:</w:t>
            </w:r>
          </w:p>
          <w:p w14:paraId="21FFB692" w14:textId="77777777" w:rsidR="00F208CE" w:rsidRDefault="00513E84">
            <w:pPr>
              <w:pStyle w:val="P68B1DB1-Normal8"/>
              <w:spacing w:after="0"/>
              <w:rPr>
                <w:rFonts w:eastAsia="Times New Roman" w:cs="Times New Roman"/>
                <w:noProof/>
              </w:rPr>
            </w:pPr>
            <w:r>
              <w:rPr>
                <w:noProof/>
              </w:rPr>
              <w:t xml:space="preserve">I) Medidas para mejorar la sostenibilidad financiera y social del sistema de pensiones; </w:t>
            </w:r>
          </w:p>
          <w:p w14:paraId="6A0BC266" w14:textId="77777777" w:rsidR="00F208CE" w:rsidRDefault="00513E84">
            <w:pPr>
              <w:pStyle w:val="P68B1DB1-Normal8"/>
              <w:spacing w:after="0"/>
              <w:rPr>
                <w:rFonts w:eastAsia="Times New Roman" w:cs="Times New Roman"/>
                <w:noProof/>
              </w:rPr>
            </w:pPr>
            <w:r>
              <w:rPr>
                <w:noProof/>
              </w:rPr>
              <w:t>II) Medidas para incentivar a las personas a permanecer activas en el mercado laboral tras cumplir las condiciones de jubilación a</w:t>
            </w:r>
            <w:r>
              <w:rPr>
                <w:noProof/>
              </w:rPr>
              <w:t xml:space="preserve">nticipada; </w:t>
            </w:r>
          </w:p>
          <w:p w14:paraId="602DA835" w14:textId="77777777" w:rsidR="00F208CE" w:rsidRDefault="00513E84">
            <w:pPr>
              <w:pStyle w:val="P68B1DB1-Normal8"/>
              <w:spacing w:after="0"/>
              <w:rPr>
                <w:rFonts w:eastAsia="Times New Roman" w:cs="Times New Roman"/>
                <w:noProof/>
              </w:rPr>
            </w:pPr>
            <w:r>
              <w:rPr>
                <w:noProof/>
              </w:rPr>
              <w:t>III) Medidas para aumentar su papel de solidaridad para garantizar una pensión mínima digna, su papel en materia de seguros y el equilibrio de género, teniendo en cuenta el objetivo general de mejora de la sostenibilidad financiera y social del</w:t>
            </w:r>
            <w:r>
              <w:rPr>
                <w:noProof/>
              </w:rPr>
              <w:t xml:space="preserve"> régimen de pensiones;</w:t>
            </w:r>
          </w:p>
          <w:p w14:paraId="529ADB56" w14:textId="77777777" w:rsidR="00F208CE" w:rsidRDefault="00513E84">
            <w:pPr>
              <w:pStyle w:val="P68B1DB1-Normal8"/>
              <w:spacing w:after="0"/>
              <w:rPr>
                <w:rFonts w:eastAsia="Times New Roman" w:cs="Times New Roman"/>
                <w:noProof/>
              </w:rPr>
            </w:pPr>
            <w:r>
              <w:rPr>
                <w:noProof/>
              </w:rPr>
              <w:t>IV) Medidas para garantizar la convergencia entre los distintos sistemas y dentro de ellos.</w:t>
            </w:r>
          </w:p>
        </w:tc>
      </w:tr>
    </w:tbl>
    <w:p w14:paraId="668F7222" w14:textId="77777777" w:rsidR="00F208CE" w:rsidRDefault="00F208CE">
      <w:pPr>
        <w:pStyle w:val="Text1"/>
        <w:rPr>
          <w:noProof/>
        </w:rPr>
      </w:pPr>
    </w:p>
    <w:p w14:paraId="281A82EE" w14:textId="77777777" w:rsidR="00F208CE" w:rsidRDefault="00F208CE">
      <w:pPr>
        <w:pStyle w:val="Text1"/>
        <w:ind w:left="709"/>
        <w:rPr>
          <w:noProof/>
        </w:rPr>
        <w:sectPr w:rsidR="00F208CE" w:rsidSect="007F56C3">
          <w:headerReference w:type="default" r:id="rId140"/>
          <w:footerReference w:type="default" r:id="rId141"/>
          <w:pgSz w:w="16839" w:h="11907" w:orient="landscape"/>
          <w:pgMar w:top="1134" w:right="1134" w:bottom="1134" w:left="1134" w:header="567" w:footer="567" w:gutter="0"/>
          <w:cols w:space="720"/>
          <w:docGrid w:linePitch="360"/>
        </w:sectPr>
      </w:pPr>
    </w:p>
    <w:p w14:paraId="5B548FD5" w14:textId="3928B8FF" w:rsidR="00F208CE" w:rsidRDefault="00513E84">
      <w:pPr>
        <w:pStyle w:val="ManualHeading1"/>
        <w:spacing w:before="120"/>
        <w:ind w:left="0" w:firstLine="0"/>
        <w:rPr>
          <w:noProof/>
        </w:rPr>
      </w:pPr>
      <w:r>
        <w:rPr>
          <w:noProof/>
        </w:rPr>
        <w:t>N. COMPONENTE 5.1: Formación y mercado de trabajo</w:t>
      </w:r>
    </w:p>
    <w:p w14:paraId="561EC7F4" w14:textId="77777777" w:rsidR="00F208CE" w:rsidRDefault="00513E84">
      <w:pPr>
        <w:pStyle w:val="Text1"/>
        <w:ind w:left="0"/>
        <w:rPr>
          <w:noProof/>
        </w:rPr>
      </w:pPr>
      <w:r>
        <w:rPr>
          <w:noProof/>
        </w:rPr>
        <w:t>Este componente del plan belga</w:t>
      </w:r>
      <w:r>
        <w:rPr>
          <w:noProof/>
        </w:rPr>
        <w:t xml:space="preserve"> de recuperación y resiliencia se compone de medidas destinadas a aumentar la tasa de empleo garantizando al mismo tiempo un mercado laboral inclusivo. Las medidas consisten en dotar a la mano de obra de capacidades que correspondan a las necesidades actua</w:t>
      </w:r>
      <w:r>
        <w:rPr>
          <w:noProof/>
        </w:rPr>
        <w:t>les y futuras del mercado laboral, incluidas las transiciones ecológica y digital, y aumentar la participación en el mercado laboral a través de la formación, la activación y la tutoría, pero también abordando las trampas del empleo y haciendo que trabajar</w:t>
      </w:r>
      <w:r>
        <w:rPr>
          <w:noProof/>
        </w:rPr>
        <w:t xml:space="preserve"> sea rentable.</w:t>
      </w:r>
    </w:p>
    <w:p w14:paraId="75E9B2DB" w14:textId="77777777" w:rsidR="00F208CE" w:rsidRDefault="00513E84">
      <w:pPr>
        <w:pStyle w:val="Text1"/>
        <w:ind w:left="0"/>
        <w:rPr>
          <w:noProof/>
        </w:rPr>
      </w:pPr>
      <w:r>
        <w:rPr>
          <w:noProof/>
        </w:rPr>
        <w:t>El componente contribuye a abordar la Recomendación específica por país n.º 2019.2 para reducir la inadecuación de las cualificaciones y la Recomendación específica por país n.º 2020.2 para mitigar el impacto social y en el empleo de la cris</w:t>
      </w:r>
      <w:r>
        <w:rPr>
          <w:noProof/>
        </w:rPr>
        <w:t>is.</w:t>
      </w:r>
    </w:p>
    <w:p w14:paraId="217F65E2" w14:textId="77777777" w:rsidR="00F208CE" w:rsidRDefault="00513E84">
      <w:pPr>
        <w:pStyle w:val="Text1"/>
        <w:ind w:left="0"/>
        <w:rPr>
          <w:noProof/>
        </w:rPr>
      </w:pPr>
      <w:r>
        <w:rPr>
          <w:noProof/>
        </w:rPr>
        <w:t>Se espera que ninguna medida de este componente perjudique significativamente a los objetivos medioambientales en el sentido del artículo 17 del Reglamento (UE) 2020/852, teniendo en cuenta la descripción de las medidas y las medidas atenuantes estable</w:t>
      </w:r>
      <w:r>
        <w:rPr>
          <w:noProof/>
        </w:rPr>
        <w:t>cidas en el plan de recuperación y resiliencia de conformidad con las orientaciones técnicas de DNSH (2021/C58/01).</w:t>
      </w:r>
    </w:p>
    <w:p w14:paraId="2F745F5A" w14:textId="77777777"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N.1. </w:t>
      </w:r>
      <w:r>
        <w:rPr>
          <w:noProof/>
        </w:rPr>
        <w:t xml:space="preserve"> </w:t>
      </w:r>
      <w:r>
        <w:rPr>
          <w:rFonts w:ascii="Times New Roman" w:hAnsi="Times New Roman"/>
          <w:b/>
          <w:noProof/>
          <w:sz w:val="24"/>
          <w:u w:val="single"/>
        </w:rPr>
        <w:t>Descripción de las reformas e inversiones para la ayuda financiera no reembolsable</w:t>
      </w:r>
    </w:p>
    <w:p w14:paraId="1E7AC7C7" w14:textId="77777777" w:rsidR="00F208CE" w:rsidRDefault="00513E84">
      <w:pPr>
        <w:pStyle w:val="P68B1DB1-Text12"/>
        <w:ind w:left="0"/>
        <w:rPr>
          <w:noProof/>
        </w:rPr>
      </w:pPr>
      <w:r>
        <w:rPr>
          <w:noProof/>
        </w:rPr>
        <w:t>Inversión I-5.01: «A6K/E6K Centro de Innovación y F</w:t>
      </w:r>
      <w:r>
        <w:rPr>
          <w:noProof/>
        </w:rPr>
        <w:t>ormación Digitales y Tecnológicas» de la Región Valona</w:t>
      </w:r>
    </w:p>
    <w:p w14:paraId="674EED17" w14:textId="77777777" w:rsidR="00F208CE" w:rsidRDefault="00513E84">
      <w:pPr>
        <w:pStyle w:val="Text1"/>
        <w:ind w:left="0"/>
        <w:rPr>
          <w:noProof/>
          <w:color w:val="000000" w:themeColor="text1"/>
        </w:rPr>
      </w:pPr>
      <w:r>
        <w:rPr>
          <w:noProof/>
          <w:color w:val="000000" w:themeColor="text1"/>
        </w:rPr>
        <w:t>La medida de inversión desarrollará un centro multidisciplinar para las ciencias de la ingeniería (A6K), que ubicará conjuntamente equipos de empresas industriales, empresas emergentes, universidades y</w:t>
      </w:r>
      <w:r>
        <w:rPr>
          <w:noProof/>
          <w:color w:val="000000" w:themeColor="text1"/>
        </w:rPr>
        <w:t xml:space="preserve"> centros de investigación para estimular la innovación y la transformación industrial en Valonia, así como un centro de educación tecnológica (E6K), una plataforma física innovadora que reúne a operadores de educación digital y tecnológica públicos y priva</w:t>
      </w:r>
      <w:r>
        <w:rPr>
          <w:noProof/>
          <w:color w:val="000000" w:themeColor="text1"/>
        </w:rPr>
        <w:t>dos en el centro de la ciudad de Charleroi que ofrecen una formación variada en contenidos y duración. La inversión consiste en la renovación y construcción de edificios que albergan los centros y el apoyo a las actividades necesarias para acelerar y ampli</w:t>
      </w:r>
      <w:r>
        <w:rPr>
          <w:noProof/>
          <w:color w:val="000000" w:themeColor="text1"/>
        </w:rPr>
        <w:t>ar el proyecto.</w:t>
      </w:r>
      <w:r>
        <w:rPr>
          <w:noProof/>
        </w:rPr>
        <w:t xml:space="preserve"> La ejecución de la inversión deberá estar terminada a más tardar el 30 de junio de 2026.</w:t>
      </w:r>
    </w:p>
    <w:p w14:paraId="59EA765A" w14:textId="77777777" w:rsidR="00F208CE" w:rsidRDefault="00513E84">
      <w:pPr>
        <w:pStyle w:val="P68B1DB1-Text12"/>
        <w:ind w:left="0"/>
        <w:rPr>
          <w:noProof/>
        </w:rPr>
      </w:pPr>
      <w:r>
        <w:rPr>
          <w:noProof/>
        </w:rPr>
        <w:t>Inversión I-5.02: «EU Biotech School and Health Hub» de la Región Valona</w:t>
      </w:r>
    </w:p>
    <w:p w14:paraId="12CB4339" w14:textId="4F3AFCFE" w:rsidR="00F208CE" w:rsidRDefault="00513E84">
      <w:pPr>
        <w:pStyle w:val="Text1"/>
        <w:ind w:left="0"/>
        <w:rPr>
          <w:noProof/>
          <w:color w:val="000000" w:themeColor="text1"/>
        </w:rPr>
      </w:pPr>
      <w:r>
        <w:rPr>
          <w:noProof/>
          <w:color w:val="000000" w:themeColor="text1"/>
        </w:rPr>
        <w:t>La medida de inversión abarcará la construcción y el equipamiento de un centro</w:t>
      </w:r>
      <w:r>
        <w:rPr>
          <w:noProof/>
          <w:color w:val="000000" w:themeColor="text1"/>
        </w:rPr>
        <w:t xml:space="preserve"> de formación de 5</w:t>
      </w:r>
      <w:r>
        <w:rPr>
          <w:noProof/>
        </w:rPr>
        <w:t xml:space="preserve"> </w:t>
      </w:r>
      <w:r>
        <w:rPr>
          <w:noProof/>
          <w:color w:val="000000" w:themeColor="text1"/>
        </w:rPr>
        <w:t>500 m² situado en el Bio-Parque de Gosselies (provincia de Hainaut, Región Valona) centrado en el desarrollo de capacidades para el desarrollo ulterior del sector biotecnológico/biofarma. El Centro de Salud de la Escuela de Biotecnología</w:t>
      </w:r>
      <w:r>
        <w:rPr>
          <w:noProof/>
          <w:color w:val="000000" w:themeColor="text1"/>
        </w:rPr>
        <w:t xml:space="preserve"> de la UE se centrará en impartir programas de formación estructurados en torno a cuatro pilares: Inmersión de STIM, Bioproducción y Cadena de Suministro, Datos y Digitales, General y Mini MBA. </w:t>
      </w:r>
      <w:r>
        <w:rPr>
          <w:noProof/>
        </w:rPr>
        <w:t>La ejecución de la inversión deberá estar terminada a más tard</w:t>
      </w:r>
      <w:r>
        <w:rPr>
          <w:noProof/>
        </w:rPr>
        <w:t>ar el 30 de septiembre de 2025.</w:t>
      </w:r>
    </w:p>
    <w:p w14:paraId="1ADEA419" w14:textId="77777777" w:rsidR="00F208CE" w:rsidRDefault="00513E84">
      <w:pPr>
        <w:pStyle w:val="P68B1DB1-Text12"/>
        <w:ind w:left="0"/>
        <w:rPr>
          <w:noProof/>
        </w:rPr>
      </w:pPr>
      <w:r>
        <w:rPr>
          <w:noProof/>
        </w:rPr>
        <w:t>Inversión I-5.03: «Modernización de la infraestructura de formación avanzada» de la Región Valona</w:t>
      </w:r>
    </w:p>
    <w:p w14:paraId="6A4A0402" w14:textId="7A926DD6" w:rsidR="00F208CE" w:rsidRDefault="00513E84">
      <w:pPr>
        <w:pStyle w:val="Text1"/>
        <w:ind w:left="0"/>
        <w:rPr>
          <w:noProof/>
          <w:color w:val="000000" w:themeColor="text1"/>
        </w:rPr>
      </w:pPr>
      <w:r>
        <w:rPr>
          <w:noProof/>
          <w:color w:val="000000" w:themeColor="text1"/>
        </w:rPr>
        <w:t>La medida de inversión abarcará la construcción, renovación y renovación de equipos de última generación, de seis proyectos pa</w:t>
      </w:r>
      <w:r>
        <w:rPr>
          <w:noProof/>
          <w:color w:val="000000" w:themeColor="text1"/>
        </w:rPr>
        <w:t>ra apoyar el desarrollo de capacidades en Valonia: I) el Centro de Formación de Belgrado (Namur); II)</w:t>
      </w:r>
      <w:r>
        <w:rPr>
          <w:noProof/>
        </w:rPr>
        <w:t xml:space="preserve"> </w:t>
      </w:r>
      <w:r>
        <w:rPr>
          <w:noProof/>
          <w:color w:val="000000" w:themeColor="text1"/>
        </w:rPr>
        <w:t>la ampliación (273 m² del emplazamiento de Seneffe) y el acondicionamiento (1</w:t>
      </w:r>
      <w:r>
        <w:rPr>
          <w:noProof/>
        </w:rPr>
        <w:t xml:space="preserve"> </w:t>
      </w:r>
      <w:r>
        <w:rPr>
          <w:noProof/>
          <w:color w:val="000000" w:themeColor="text1"/>
        </w:rPr>
        <w:t>052 m² del edificio FOREM — 300 m² Hall 3-700 m² de Lieja) del Centro de Com</w:t>
      </w:r>
      <w:r>
        <w:rPr>
          <w:noProof/>
          <w:color w:val="000000" w:themeColor="text1"/>
        </w:rPr>
        <w:t xml:space="preserve">petencia de Aptaskil, que también pueden recibir ayuda de otros fondos de la UE; III) la ampliación del Centro de Competencia Tecnológica; IV) la renovación del Centro de Competencia Técnica (Seraing); V) la ampliación de la infraestructura de los centros </w:t>
      </w:r>
      <w:r>
        <w:rPr>
          <w:noProof/>
          <w:color w:val="000000" w:themeColor="text1"/>
        </w:rPr>
        <w:t xml:space="preserve">de formación clásicos del Setm; VI) la creación de un Centro de Tecnologías Ecológicas y Formación Continua (Mons). </w:t>
      </w:r>
      <w:r>
        <w:rPr>
          <w:noProof/>
        </w:rPr>
        <w:t>La ejecución de la inversión deberá estar terminada a más tardar el 30 de junio de 2026.</w:t>
      </w:r>
    </w:p>
    <w:p w14:paraId="3488B205" w14:textId="77777777" w:rsidR="00F208CE" w:rsidRDefault="00513E84">
      <w:pPr>
        <w:pStyle w:val="P68B1DB1-Text12"/>
        <w:ind w:left="0"/>
        <w:rPr>
          <w:noProof/>
        </w:rPr>
      </w:pPr>
      <w:r>
        <w:rPr>
          <w:noProof/>
        </w:rPr>
        <w:t>Inversión I-5.04: «Ofensiva del aprendizaje y la ca</w:t>
      </w:r>
      <w:r>
        <w:rPr>
          <w:noProof/>
        </w:rPr>
        <w:t>rrera profesional» de la Región Flamenca</w:t>
      </w:r>
    </w:p>
    <w:p w14:paraId="7B2235DE" w14:textId="65641DCC" w:rsidR="00F208CE" w:rsidRDefault="00513E84">
      <w:pPr>
        <w:pStyle w:val="P68B1DB1-Text13"/>
        <w:ind w:left="0"/>
        <w:rPr>
          <w:noProof/>
        </w:rPr>
      </w:pPr>
      <w:r>
        <w:rPr>
          <w:noProof/>
        </w:rPr>
        <w:t>La medida aplica el acuerdo celebrado entre el Gobierno flamenco y los interlocutores sociales, que incluye el objetivo de impulsar la formación y el aprendizaje permanente. La medida consiste en un conjunto de subm</w:t>
      </w:r>
      <w:r>
        <w:rPr>
          <w:noProof/>
        </w:rPr>
        <w:t>edidas: I) controles de competencias de las empresas; II) ampliar la oferta de formación en línea; III) formación para desempleados temporales; IV) un emprendimiento social fuerte; V) apoyo adicional al permiso de formación. La ejecución de la inversión de</w:t>
      </w:r>
      <w:r>
        <w:rPr>
          <w:noProof/>
        </w:rPr>
        <w:t>berá estar terminada a más tardar el 31 de diciembre de 2024.</w:t>
      </w:r>
    </w:p>
    <w:p w14:paraId="6A796D7F" w14:textId="77777777" w:rsidR="00F208CE" w:rsidRDefault="00513E84">
      <w:pPr>
        <w:pStyle w:val="P68B1DB1-Text12"/>
        <w:ind w:left="0"/>
        <w:rPr>
          <w:noProof/>
        </w:rPr>
      </w:pPr>
      <w:r>
        <w:rPr>
          <w:noProof/>
        </w:rPr>
        <w:t>Inversión I-5.05: «Estrategia para reactivar el mercado laboral» de la Región de Bruselas-Capital</w:t>
      </w:r>
    </w:p>
    <w:p w14:paraId="4F6A980C" w14:textId="78E6749A" w:rsidR="00F208CE" w:rsidRDefault="00513E84">
      <w:pPr>
        <w:pStyle w:val="Text1"/>
        <w:ind w:left="0"/>
        <w:rPr>
          <w:noProof/>
          <w:color w:val="000000" w:themeColor="text1"/>
        </w:rPr>
      </w:pPr>
      <w:r>
        <w:rPr>
          <w:noProof/>
          <w:color w:val="000000" w:themeColor="text1"/>
        </w:rPr>
        <w:t>La inversión consiste en aplicar una estrategia de recuperación del mercado laboral en la Región</w:t>
      </w:r>
      <w:r>
        <w:rPr>
          <w:noProof/>
          <w:color w:val="000000" w:themeColor="text1"/>
        </w:rPr>
        <w:t xml:space="preserve"> de Bruselas-Capital. La estrategia se centra en la eficiencia y la optimización de las políticas de activación y formación y en el apoyo de los solicitantes de empleo y los trabajadores hacia futuros puestos de trabajo o en situación de escasez. Las medid</w:t>
      </w:r>
      <w:r>
        <w:rPr>
          <w:noProof/>
          <w:color w:val="000000" w:themeColor="text1"/>
        </w:rPr>
        <w:t>as de inversión consisten en el apoyo al reciclaje profesional o a la reorientación hacia ocupaciones con escasez de mano de obra. A tal fin, 600 personas que se beneficien de las medidas de la Estrategia de Bruselas también recibirán apoyo para el recicla</w:t>
      </w:r>
      <w:r>
        <w:rPr>
          <w:noProof/>
          <w:color w:val="000000" w:themeColor="text1"/>
        </w:rPr>
        <w:t xml:space="preserve">je profesional o la reorientación hacia ocupaciones con escasez de mano de obra. El reciclaje o la reorientación serán multiformas: formación, cribado, pruebas y adaptación del perfil laboral en las bases de datos. </w:t>
      </w:r>
      <w:r>
        <w:rPr>
          <w:noProof/>
        </w:rPr>
        <w:t>La ejecución de la inversión deberá estar</w:t>
      </w:r>
      <w:r>
        <w:rPr>
          <w:noProof/>
        </w:rPr>
        <w:t xml:space="preserve"> terminada a más tardar el 31 de diciembre de 2024.</w:t>
      </w:r>
    </w:p>
    <w:p w14:paraId="4757E850" w14:textId="002387E3" w:rsidR="00F208CE" w:rsidRDefault="00513E84">
      <w:pPr>
        <w:pStyle w:val="P68B1DB1-Text12"/>
        <w:ind w:left="0"/>
        <w:rPr>
          <w:noProof/>
        </w:rPr>
      </w:pPr>
      <w:r>
        <w:rPr>
          <w:noProof/>
        </w:rPr>
        <w:t>Inversión I-5.06: «Competencias digitales» de la Región Flamenca</w:t>
      </w:r>
    </w:p>
    <w:p w14:paraId="12782ABE" w14:textId="4207B18C" w:rsidR="00F208CE" w:rsidRDefault="00513E84">
      <w:pPr>
        <w:pStyle w:val="Text1"/>
        <w:ind w:left="0"/>
        <w:rPr>
          <w:noProof/>
          <w:color w:val="000000" w:themeColor="text1"/>
        </w:rPr>
      </w:pPr>
      <w:r>
        <w:rPr>
          <w:noProof/>
          <w:color w:val="000000" w:themeColor="text1"/>
        </w:rPr>
        <w:t>La medida aplica el acuerdo celebrado entre el Gobierno flamenco y los interlocutores sociales, que incluye el objetivo de la «transformaci</w:t>
      </w:r>
      <w:r>
        <w:rPr>
          <w:noProof/>
          <w:color w:val="000000" w:themeColor="text1"/>
        </w:rPr>
        <w:t>ón digital de Flandes» (pilar II del acuerdo). El proyecto</w:t>
      </w:r>
      <w:r>
        <w:rPr>
          <w:noProof/>
        </w:rPr>
        <w:t xml:space="preserve">consta de tres iniciativas distintas: I) «plan de acción eLearning», con llamamientos a los proveedores públicos de formación para que desarrollen su oferta de formación en línea, ii) «herramientas </w:t>
      </w:r>
      <w:r>
        <w:rPr>
          <w:noProof/>
        </w:rPr>
        <w:t xml:space="preserve">y servicios digitales profesionales», con el desarrollo de una cuenta individual de formación y de </w:t>
      </w:r>
      <w:r>
        <w:rPr>
          <w:noProof/>
          <w:color w:val="000000" w:themeColor="text1"/>
        </w:rPr>
        <w:t>carrera profesional</w:t>
      </w:r>
      <w:r>
        <w:rPr>
          <w:noProof/>
        </w:rPr>
        <w:t>,</w:t>
      </w:r>
      <w:r>
        <w:rPr>
          <w:noProof/>
          <w:color w:val="000000" w:themeColor="text1"/>
        </w:rPr>
        <w:t xml:space="preserve"> iii</w:t>
      </w:r>
      <w:r>
        <w:rPr>
          <w:noProof/>
        </w:rPr>
        <w:t>) «herramientas y servicios digitales para empleadores y socios», con la transformación digital del servicio público de empleo de Fla</w:t>
      </w:r>
      <w:r>
        <w:rPr>
          <w:noProof/>
        </w:rPr>
        <w:t>ndes (VDAB) y del Departamento de Trabajo y Economía Social (Werk of Social Economie). La ejecución de la inversión deberá estar terminada a más tardar el 31 de diciembre de 2024.</w:t>
      </w:r>
    </w:p>
    <w:p w14:paraId="270C8128" w14:textId="77777777" w:rsidR="00F208CE" w:rsidRDefault="00513E84">
      <w:pPr>
        <w:pStyle w:val="P68B1DB1-Text12"/>
        <w:ind w:left="0"/>
        <w:rPr>
          <w:noProof/>
        </w:rPr>
      </w:pPr>
      <w:r>
        <w:rPr>
          <w:noProof/>
        </w:rPr>
        <w:t>Inversión I-5.07: «Aprendizaje permanente digital» de la Región Valona</w:t>
      </w:r>
    </w:p>
    <w:p w14:paraId="18796697" w14:textId="07EFBA17" w:rsidR="00F208CE" w:rsidRDefault="00513E84">
      <w:pPr>
        <w:pStyle w:val="Text1"/>
        <w:ind w:left="0"/>
        <w:rPr>
          <w:noProof/>
        </w:rPr>
      </w:pPr>
      <w:r>
        <w:rPr>
          <w:noProof/>
          <w:color w:val="000000" w:themeColor="text1"/>
        </w:rPr>
        <w:t>La me</w:t>
      </w:r>
      <w:r>
        <w:rPr>
          <w:noProof/>
          <w:color w:val="000000" w:themeColor="text1"/>
        </w:rPr>
        <w:t>dida de inversión tiene por objeto reforzar la formación digital en Valonia. En el</w:t>
      </w:r>
      <w:r>
        <w:rPr>
          <w:noProof/>
        </w:rPr>
        <w:t xml:space="preserve">marco de este objetivo, se proporcionarán equipos digitales para el desarrollo de 22 espacios de formación inmersivos en centros de formación y 17 esquinas inteligentes para </w:t>
      </w:r>
      <w:r>
        <w:rPr>
          <w:noProof/>
        </w:rPr>
        <w:t>los servicios locales del Instituto Valón de Formación Alternativa para los Trabajadores Autónomos y las Pequeñas y Medianas Empresas (IFAPME). Las necesidades básicas de formación digital se integrarán en los programas de formación y se proporcionarán 10 </w:t>
      </w:r>
      <w:r>
        <w:rPr>
          <w:noProof/>
        </w:rPr>
        <w:t>000 horas de formación pedagógica para la transición digital al personal docente y a los becarios.</w:t>
      </w:r>
    </w:p>
    <w:p w14:paraId="2B7B5536" w14:textId="13281B63" w:rsidR="00F208CE" w:rsidRDefault="00513E84">
      <w:pPr>
        <w:pStyle w:val="Text1"/>
        <w:ind w:left="0"/>
        <w:rPr>
          <w:noProof/>
          <w:color w:val="000000" w:themeColor="text1"/>
        </w:rPr>
      </w:pPr>
      <w:r>
        <w:rPr>
          <w:noProof/>
        </w:rPr>
        <w:t>Se construirán cinco nuevos emplazamientos de formación del servicio público de empleo (FOREM), se construirá una nueva plataforma de «reingeniería y CTIM» y</w:t>
      </w:r>
      <w:r>
        <w:rPr>
          <w:noProof/>
        </w:rPr>
        <w:t xml:space="preserve"> se renovarán cuatro emplazamientos existentes. Se proporcionará equipo digital que permita la creación de 9 espacios de formación inmersivos («fábricas digitales») y la digitalización de la «plataforma de reingeniería y CTIM». La ejecución de la inversión</w:t>
      </w:r>
      <w:r>
        <w:rPr>
          <w:noProof/>
        </w:rPr>
        <w:t xml:space="preserve"> deberá estar terminada a más tardar el 30 de junio de 2026.</w:t>
      </w:r>
    </w:p>
    <w:p w14:paraId="3580B935" w14:textId="77777777" w:rsidR="00F208CE" w:rsidRDefault="00513E84">
      <w:pPr>
        <w:pStyle w:val="P68B1DB1-Text12"/>
        <w:ind w:left="0"/>
        <w:rPr>
          <w:noProof/>
        </w:rPr>
      </w:pPr>
      <w:r>
        <w:rPr>
          <w:noProof/>
        </w:rPr>
        <w:t>Reforma R-5.01: «Régimen de acumulación y movilidad a sectores deficitarios» del Estado Federal</w:t>
      </w:r>
    </w:p>
    <w:p w14:paraId="264DEFC3" w14:textId="77777777" w:rsidR="00F208CE" w:rsidRDefault="00513E84">
      <w:pPr>
        <w:pStyle w:val="P68B1DB1-Text13"/>
        <w:ind w:left="0"/>
        <w:rPr>
          <w:noProof/>
        </w:rPr>
      </w:pPr>
      <w:r>
        <w:rPr>
          <w:noProof/>
        </w:rPr>
        <w:t>La medida de reforma se compone de dos vertientes con el objetivo de i) hacer que el trabajo sea má</w:t>
      </w:r>
      <w:r>
        <w:rPr>
          <w:noProof/>
        </w:rPr>
        <w:t>s gratificante y ii) promover la movilidad laboral hacia sectores que se enfrentan a escasez.</w:t>
      </w:r>
    </w:p>
    <w:p w14:paraId="16F3C696" w14:textId="77777777" w:rsidR="00F208CE" w:rsidRDefault="00513E84">
      <w:pPr>
        <w:pStyle w:val="P68B1DB1-Text13"/>
        <w:ind w:left="0"/>
        <w:rPr>
          <w:noProof/>
          <w:color w:val="000000"/>
        </w:rPr>
      </w:pPr>
      <w:r>
        <w:rPr>
          <w:noProof/>
        </w:rPr>
        <w:t>El primer componente de la reforma es hacer que el empleo sea más gratificante para quienes se benefician de prestaciones de desempleo o de ingresos de integració</w:t>
      </w:r>
      <w:r>
        <w:rPr>
          <w:noProof/>
        </w:rPr>
        <w:t xml:space="preserve">n. Esto se hará garantizando que, en caso de combinación de trabajo (a tiempo parcial) y percepción de prestaciones (parciales) por desempleo o de ingresos de integración (a tiempo parcial), resulte más ventajoso para el interesado desde el punto de vista </w:t>
      </w:r>
      <w:r>
        <w:rPr>
          <w:noProof/>
        </w:rPr>
        <w:t xml:space="preserve">económico y social aumentar su tiempo de trabajo a tiempo parcial. Tras consultar a los interlocutores sociales, se tomará una decisión sobre la ampliación de las posibilidades de combinar temporalmente o de manera limitada los salarios y las prestaciones </w:t>
      </w:r>
      <w:r>
        <w:rPr>
          <w:noProof/>
        </w:rPr>
        <w:t>sociales.</w:t>
      </w:r>
    </w:p>
    <w:p w14:paraId="21162B8E" w14:textId="69CC3022" w:rsidR="00F208CE" w:rsidRDefault="00513E84">
      <w:pPr>
        <w:pStyle w:val="P68B1DB1-Text13"/>
        <w:ind w:left="0"/>
        <w:rPr>
          <w:noProof/>
          <w:color w:val="000000"/>
        </w:rPr>
      </w:pPr>
      <w:r>
        <w:rPr>
          <w:noProof/>
        </w:rPr>
        <w:t xml:space="preserve">En el segundo capítulo de reforma, el objetivo de la medida es promover la movilidad laboral de los trabajadores despedidos en un sector determinado hacia sectores en los que hay escasez de trabajadores cualificados. A tal fin, el Gobierno, en </w:t>
      </w:r>
      <w:r>
        <w:rPr>
          <w:noProof/>
        </w:rPr>
        <w:t>consulta con los interlocutores sociales, introducirá un subsidio adicional para los desempleados de larga duración que vuelvan a trabajar en otra región o en un sector en el que haya escasez.</w:t>
      </w:r>
    </w:p>
    <w:p w14:paraId="6A91AFDD" w14:textId="77777777" w:rsidR="00F208CE" w:rsidRDefault="00513E84">
      <w:pPr>
        <w:pStyle w:val="P68B1DB1-Text13"/>
        <w:ind w:left="0"/>
        <w:rPr>
          <w:noProof/>
          <w:color w:val="000000"/>
        </w:rPr>
      </w:pPr>
      <w:r>
        <w:rPr>
          <w:noProof/>
        </w:rPr>
        <w:t>La decisión del Gobierno federal por la que se establece la ref</w:t>
      </w:r>
      <w:r>
        <w:rPr>
          <w:noProof/>
        </w:rPr>
        <w:t>orma entrará en vigor a más tardar el 1 de enero de 2024.</w:t>
      </w:r>
    </w:p>
    <w:p w14:paraId="6C8FA5A9" w14:textId="77777777" w:rsidR="00F208CE" w:rsidRDefault="00513E84">
      <w:pPr>
        <w:pStyle w:val="P68B1DB1-Normal6"/>
        <w:rPr>
          <w:rFonts w:ascii="Times New Roman" w:hAnsi="Times New Roman" w:cs="Times New Roman"/>
          <w:noProof/>
          <w:sz w:val="24"/>
        </w:rPr>
      </w:pPr>
      <w:r>
        <w:rPr>
          <w:noProof/>
        </w:rPr>
        <w:br w:type="page"/>
      </w:r>
    </w:p>
    <w:p w14:paraId="7214A3D9" w14:textId="07F5677C" w:rsidR="00F208CE" w:rsidRDefault="00513E84">
      <w:pPr>
        <w:pStyle w:val="P68B1DB1-Text12"/>
        <w:ind w:left="0"/>
        <w:rPr>
          <w:noProof/>
        </w:rPr>
      </w:pPr>
      <w:r>
        <w:rPr>
          <w:noProof/>
        </w:rPr>
        <w:t>Reforma R-5.03: «Cuenta de aprendizaje» del Estado Federal</w:t>
      </w:r>
    </w:p>
    <w:p w14:paraId="1CDEB19F" w14:textId="77777777" w:rsidR="00F208CE" w:rsidRDefault="00513E84">
      <w:pPr>
        <w:pStyle w:val="P68B1DB1-Text13"/>
        <w:ind w:left="0"/>
        <w:rPr>
          <w:noProof/>
        </w:rPr>
      </w:pPr>
      <w:r>
        <w:rPr>
          <w:noProof/>
        </w:rPr>
        <w:t xml:space="preserve">La medida de reforma consta de tres partes. La medida tiene por objeto: conceder un derecho individual a la formación a cada trabajador; </w:t>
      </w:r>
      <w:r>
        <w:rPr>
          <w:noProof/>
        </w:rPr>
        <w:t>II) desarrollar ventajas fiscales para las empresas que ofrezcan a los trabajadores más horas de formación que las ya previstas por la ley y iii) eliminar, en consulta con las entidades federadas, los obstáculos a la participación en la formación de los tr</w:t>
      </w:r>
      <w:r>
        <w:rPr>
          <w:noProof/>
        </w:rPr>
        <w:t>abajadores en situación de desempleo temporal. La aplicación de la reforma se completará a más tardar el 31 de diciembre de 2023.</w:t>
      </w:r>
    </w:p>
    <w:p w14:paraId="2650E8EB" w14:textId="77777777" w:rsidR="00F208CE" w:rsidRDefault="00513E84">
      <w:pPr>
        <w:pStyle w:val="P68B1DB1-Text13"/>
        <w:ind w:left="0"/>
        <w:rPr>
          <w:noProof/>
        </w:rPr>
      </w:pPr>
      <w:r>
        <w:rPr>
          <w:noProof/>
        </w:rPr>
        <w:t xml:space="preserve">Con el fin de conceder a cada trabajador un derecho individual a la formación i), está prevista una modificación de la Ley de </w:t>
      </w:r>
      <w:r>
        <w:rPr>
          <w:noProof/>
        </w:rPr>
        <w:t>5 de marzo de 2017 sobre trabajo viable y gestionable. Con arreglo a la legislación actual, es necesario garantizar a nivel intersectorial que cada trabajador tenga derecho a una media de cinco días de formación (o el número equivalente de horas) al año. E</w:t>
      </w:r>
      <w:r>
        <w:rPr>
          <w:noProof/>
        </w:rPr>
        <w:t>l objetivo de la reforma es lograr un derecho individual a la formación de cada empleado antes del final de la legislatura. Las empresas con menos de 10 empleados y las empresas de menos de 20 empleados siguen siendo, mutatis mutandis, objeto de excepcione</w:t>
      </w:r>
      <w:r>
        <w:rPr>
          <w:noProof/>
        </w:rPr>
        <w:t>s o excepciones.</w:t>
      </w:r>
    </w:p>
    <w:p w14:paraId="09045624" w14:textId="77777777" w:rsidR="00F208CE" w:rsidRDefault="00513E84">
      <w:pPr>
        <w:pStyle w:val="P68B1DB1-Text13"/>
        <w:ind w:left="0"/>
        <w:rPr>
          <w:noProof/>
        </w:rPr>
      </w:pPr>
      <w:r>
        <w:rPr>
          <w:noProof/>
        </w:rPr>
        <w:t>Para ii) la reforma entró en vigor el 1 de enero de 2021, tal como se establece en la sección 4 del capítulo 1 del título 2 de la Ley-Programa de 20 de diciembre de 2020, publicada en el Diario Oficial el 30 de diciembre de 2020. Las venta</w:t>
      </w:r>
      <w:r>
        <w:rPr>
          <w:noProof/>
        </w:rPr>
        <w:t>jas fiscales adoptan la forma de una exención del pago del impuesto anticipado para los trabajadores que hayan completado un curso de formación de al menos 10 días en un período ininterrumpido de 30 días naturales (en el caso de las empresas con trabajo po</w:t>
      </w:r>
      <w:r>
        <w:rPr>
          <w:noProof/>
        </w:rPr>
        <w:t>r turnos o nocturno durante un período ininterrumpido de 60 días naturales; en el caso de las pequeñas empresas, el umbral es de 5 días en un período ininterrumpido de 75 días naturales).</w:t>
      </w:r>
    </w:p>
    <w:p w14:paraId="06696398" w14:textId="126C11E9" w:rsidR="00F208CE" w:rsidRDefault="00513E84">
      <w:pPr>
        <w:pStyle w:val="P68B1DB1-Text13"/>
        <w:ind w:left="0"/>
        <w:rPr>
          <w:noProof/>
        </w:rPr>
      </w:pPr>
      <w:r>
        <w:rPr>
          <w:noProof/>
        </w:rPr>
        <w:t>Se está estudiando la posibilidad de garantizar un mejor flujo de da</w:t>
      </w:r>
      <w:r>
        <w:rPr>
          <w:noProof/>
        </w:rPr>
        <w:t>tos entre la Oficina Nacional de Empleo y los servicios regionales de empleo (VDAB/ACTIRIS/FOREM/Arbeitsambt) para la organización de una oferta de formación para los trabajadores cuyo desempleo temporal se prolongue o sea más estructural (iii). La informa</w:t>
      </w:r>
      <w:r>
        <w:rPr>
          <w:noProof/>
        </w:rPr>
        <w:t>ción permitirá a los servicios regionales de empleo ofrecer formación a los trabajadores en situación de desempleo temporal estructural o de larga duración con el fin de reintegrarlos en el mercado laboral.</w:t>
      </w:r>
    </w:p>
    <w:p w14:paraId="141E80C2" w14:textId="77777777" w:rsidR="00F208CE" w:rsidRDefault="00513E84">
      <w:pPr>
        <w:pStyle w:val="P68B1DB1-Text13"/>
        <w:ind w:left="0"/>
        <w:rPr>
          <w:noProof/>
        </w:rPr>
      </w:pPr>
      <w:r>
        <w:rPr>
          <w:noProof/>
        </w:rPr>
        <w:t>La modificación de la Ley de 5 de marzo de 2017 s</w:t>
      </w:r>
      <w:r>
        <w:rPr>
          <w:noProof/>
        </w:rPr>
        <w:t>obre trabajo viable y gestionable entrará en vigor el 1 de enero de 2022.</w:t>
      </w:r>
    </w:p>
    <w:p w14:paraId="713E5157" w14:textId="77777777" w:rsidR="00F208CE" w:rsidRDefault="00513E84">
      <w:pPr>
        <w:pStyle w:val="P68B1DB1-Text12"/>
        <w:ind w:left="0"/>
        <w:rPr>
          <w:noProof/>
        </w:rPr>
      </w:pPr>
      <w:r>
        <w:rPr>
          <w:noProof/>
        </w:rPr>
        <w:t>Reforma R-5.04: «Aprendizaje permanente» de la Comunidad Flamenca</w:t>
      </w:r>
    </w:p>
    <w:p w14:paraId="7EC35FA7" w14:textId="56F7DCCD" w:rsidR="00F208CE" w:rsidRDefault="00513E84">
      <w:pPr>
        <w:pStyle w:val="P68B1DB1-Text13"/>
        <w:ind w:left="0"/>
        <w:rPr>
          <w:noProof/>
        </w:rPr>
      </w:pPr>
      <w:r>
        <w:rPr>
          <w:noProof/>
        </w:rPr>
        <w:t>La medida de reforma allanará el camino hacia una cuenta individual de aprendizaje y carrera profesional que haga cl</w:t>
      </w:r>
      <w:r>
        <w:rPr>
          <w:noProof/>
        </w:rPr>
        <w:t xml:space="preserve">aramente visibles todos los incentivos a la formación en un único lugar central, de modo que los ciudadanos conozcan claramente sus derechos de aprendizaje y el apoyo disponible. Los interlocutores sociales y el Gobierno flamenco acordarán un documento de </w:t>
      </w:r>
      <w:r>
        <w:rPr>
          <w:noProof/>
        </w:rPr>
        <w:t>reflexión en el que se exponga cómo se introducirá una cuenta de aprendizaje y de carrera en Flandes, teniendo en cuenta la necesidad de aumentar la transparencia para los ciudadanos, una mejor inclusión de los grupos vulnerables y garantizar la armonizaci</w:t>
      </w:r>
      <w:r>
        <w:rPr>
          <w:noProof/>
        </w:rPr>
        <w:t>ón con la plataforma digital de cuentas de aprendizaje creada a nivel federal. El documento de visión se entregará a más tardar el 30 de junio de 2022.</w:t>
      </w:r>
    </w:p>
    <w:p w14:paraId="28397CFC" w14:textId="77777777" w:rsidR="00F208CE" w:rsidRDefault="00513E84">
      <w:pPr>
        <w:pStyle w:val="P68B1DB1-Text12"/>
        <w:ind w:left="0"/>
        <w:rPr>
          <w:noProof/>
        </w:rPr>
      </w:pPr>
      <w:r>
        <w:rPr>
          <w:noProof/>
        </w:rPr>
        <w:t>Reforma R-5.05: «Reforma del apoyo a los demandantes de empleo en Valonia» de la Región Valona</w:t>
      </w:r>
    </w:p>
    <w:p w14:paraId="5F5D7675" w14:textId="77777777" w:rsidR="00F208CE" w:rsidRDefault="00513E84">
      <w:pPr>
        <w:pStyle w:val="Text1"/>
        <w:ind w:left="0"/>
        <w:rPr>
          <w:i/>
          <w:noProof/>
          <w:color w:val="000000" w:themeColor="text1"/>
        </w:rPr>
        <w:sectPr w:rsidR="00F208CE" w:rsidSect="0071084B">
          <w:headerReference w:type="even" r:id="rId142"/>
          <w:headerReference w:type="default" r:id="rId143"/>
          <w:footerReference w:type="even" r:id="rId144"/>
          <w:footerReference w:type="default" r:id="rId145"/>
          <w:headerReference w:type="first" r:id="rId146"/>
          <w:footerReference w:type="first" r:id="rId147"/>
          <w:pgSz w:w="11907" w:h="16839"/>
          <w:pgMar w:top="1134" w:right="1134" w:bottom="1134" w:left="1134" w:header="567" w:footer="567" w:gutter="0"/>
          <w:cols w:space="720"/>
          <w:docGrid w:linePitch="360"/>
        </w:sectPr>
      </w:pPr>
      <w:r>
        <w:rPr>
          <w:noProof/>
          <w:color w:val="000000" w:themeColor="text1"/>
        </w:rPr>
        <w:t xml:space="preserve">Las medidas de reforma tienen por objeto mejorar la eficacia de la activación de los demandantes de empleo en Valonia mediante </w:t>
      </w:r>
      <w:r>
        <w:rPr>
          <w:noProof/>
        </w:rPr>
        <w:t>la adaptación del decreto relativo a la orientación y el apoyo orientado a las</w:t>
      </w:r>
      <w:r>
        <w:rPr>
          <w:noProof/>
        </w:rPr>
        <w:t xml:space="preserve"> soluciones a los solicitantes de empleo. La </w:t>
      </w:r>
      <w:r>
        <w:rPr>
          <w:noProof/>
          <w:color w:val="000000" w:themeColor="text1"/>
        </w:rPr>
        <w:t>nueva orientación y apoyo orientado a las soluciones para los solicitantes de empleo tiene por objeto apoyar a todos los solicitantes de empleo, aprovechar toda la información disponible, verificar las capacidad</w:t>
      </w:r>
      <w:r>
        <w:rPr>
          <w:noProof/>
          <w:color w:val="000000" w:themeColor="text1"/>
        </w:rPr>
        <w:t>es en el momento del registro y optimizar las colaboraciones entre el Servicio Público de Empleo de Valonia (Forem) y apoyar a los socios. La reforma aprovechará herramientas digitales eficientes que permitan gestionar trayectorias profesionales a distanci</w:t>
      </w:r>
      <w:r>
        <w:rPr>
          <w:noProof/>
          <w:color w:val="000000" w:themeColor="text1"/>
        </w:rPr>
        <w:t>a o presenciales para los solicitantes de empleo más independientes, reforzando al mismo tiempo el apoyo cara a cara a los más necesitados de apoyo. El decreto relativo a la orientación y al apoyo orientado a las soluciones para los demandantes de empleo s</w:t>
      </w:r>
      <w:r>
        <w:rPr>
          <w:noProof/>
          <w:color w:val="000000" w:themeColor="text1"/>
        </w:rPr>
        <w:t>e adoptará a más tardar el 30 de septiembre de 2021 y entrará en vigor diez días después de su publicación en el Diario Oficial</w:t>
      </w:r>
      <w:r>
        <w:rPr>
          <w:i/>
          <w:noProof/>
          <w:color w:val="000000" w:themeColor="text1"/>
        </w:rPr>
        <w:t>.</w:t>
      </w:r>
    </w:p>
    <w:p w14:paraId="1F964FC8" w14:textId="77777777" w:rsidR="00F208CE" w:rsidRDefault="00513E84">
      <w:pPr>
        <w:pStyle w:val="Text1"/>
        <w:ind w:left="0"/>
        <w:rPr>
          <w:noProof/>
        </w:rPr>
      </w:pPr>
      <w:r>
        <w:rPr>
          <w:b/>
          <w:noProof/>
          <w:u w:val="single"/>
        </w:rPr>
        <w:t xml:space="preserve">N.2. </w:t>
      </w:r>
      <w:r>
        <w:rPr>
          <w:noProof/>
        </w:rPr>
        <w:t xml:space="preserve"> </w:t>
      </w:r>
      <w:r>
        <w:rPr>
          <w:b/>
          <w:noProof/>
          <w:u w:val="single"/>
        </w:rPr>
        <w:t>Hitos, metas, indicadores y calendario para el seguimiento y la ejecución de la ayuda financiera no reembolsable</w:t>
      </w:r>
    </w:p>
    <w:tbl>
      <w:tblPr>
        <w:tblW w:w="16268" w:type="dxa"/>
        <w:tblInd w:w="-856" w:type="dxa"/>
        <w:tblLayout w:type="fixed"/>
        <w:tblLook w:val="04A0" w:firstRow="1" w:lastRow="0" w:firstColumn="1" w:lastColumn="0" w:noHBand="0" w:noVBand="1"/>
      </w:tblPr>
      <w:tblGrid>
        <w:gridCol w:w="709"/>
        <w:gridCol w:w="1560"/>
        <w:gridCol w:w="1134"/>
        <w:gridCol w:w="1559"/>
        <w:gridCol w:w="1418"/>
        <w:gridCol w:w="1311"/>
        <w:gridCol w:w="957"/>
        <w:gridCol w:w="992"/>
        <w:gridCol w:w="992"/>
        <w:gridCol w:w="709"/>
        <w:gridCol w:w="4927"/>
      </w:tblGrid>
      <w:tr w:rsidR="00F208CE" w14:paraId="60E6B25E" w14:textId="77777777">
        <w:trPr>
          <w:trHeight w:val="939"/>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C6D75D" w14:textId="63E61567" w:rsidR="00F208CE" w:rsidRDefault="00513E84">
            <w:pPr>
              <w:pStyle w:val="P68B1DB1-Normal7"/>
              <w:spacing w:after="0"/>
              <w:jc w:val="center"/>
              <w:rPr>
                <w:rFonts w:eastAsia="Times New Roman" w:cs="Times New Roman"/>
                <w:noProof/>
              </w:rPr>
            </w:pPr>
            <w:r>
              <w:rPr>
                <w:noProof/>
              </w:rPr>
              <w:t>Código N</w:t>
            </w:r>
            <w:r>
              <w:rPr>
                <w:noProof/>
              </w:rPr>
              <w:t>.B.:</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40DF15"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BAE95E" w14:textId="77777777" w:rsidR="00F208CE" w:rsidRDefault="00513E84">
            <w:pPr>
              <w:pStyle w:val="P68B1DB1-Normal7"/>
              <w:spacing w:after="0"/>
              <w:jc w:val="center"/>
              <w:rPr>
                <w:rFonts w:eastAsia="Times New Roman" w:cs="Times New Roman"/>
                <w:noProof/>
              </w:rPr>
            </w:pPr>
            <w:r>
              <w:rPr>
                <w:noProof/>
              </w:rPr>
              <w:t>Hito/Objetivo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979296" w14:textId="77777777" w:rsidR="00F208CE" w:rsidRDefault="00513E84">
            <w:pPr>
              <w:pStyle w:val="P68B1DB1-Normal7"/>
              <w:spacing w:after="0"/>
              <w:jc w:val="center"/>
              <w:rPr>
                <w:rFonts w:eastAsia="Times New Roman" w:cs="Times New Roman"/>
                <w:noProof/>
              </w:rPr>
            </w:pPr>
            <w:r>
              <w:rPr>
                <w:noProof/>
              </w:rPr>
              <w:t>Nombre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DF83B9"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5CD142A"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578B85CB"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49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98A460"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3E5C1C02" w14:textId="77777777">
        <w:trPr>
          <w:trHeight w:val="102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D55A288" w14:textId="77777777" w:rsidR="00F208CE" w:rsidRDefault="00F208CE">
            <w:pPr>
              <w:spacing w:after="0"/>
              <w:rPr>
                <w:rFonts w:ascii="Times New Roman" w:eastAsia="Times New Roman" w:hAnsi="Times New Roman" w:cs="Times New Roman"/>
                <w:b/>
                <w:noProof/>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4901D7" w14:textId="77777777" w:rsidR="00F208CE" w:rsidRDefault="00F208CE">
            <w:pPr>
              <w:spacing w:after="0"/>
              <w:rPr>
                <w:rFonts w:ascii="Times New Roman" w:eastAsia="Times New Roman" w:hAnsi="Times New Roman" w:cs="Times New Roman"/>
                <w:b/>
                <w:noProof/>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D8650D" w14:textId="77777777" w:rsidR="00F208CE" w:rsidRDefault="00F208CE">
            <w:pPr>
              <w:spacing w:after="0"/>
              <w:rPr>
                <w:rFonts w:ascii="Times New Roman" w:eastAsia="Times New Roman" w:hAnsi="Times New Roman" w:cs="Times New Roman"/>
                <w:b/>
                <w:noProof/>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A99CA8" w14:textId="77777777" w:rsidR="00F208CE" w:rsidRDefault="00F208CE">
            <w:pPr>
              <w:spacing w:after="0"/>
              <w:rPr>
                <w:rFonts w:ascii="Times New Roman" w:eastAsia="Times New Roman" w:hAnsi="Times New Roman" w:cs="Times New Roman"/>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EBB976" w14:textId="77777777" w:rsidR="00F208CE" w:rsidRDefault="00F208CE">
            <w:pPr>
              <w:spacing w:after="0"/>
              <w:rPr>
                <w:rFonts w:ascii="Times New Roman" w:eastAsia="Times New Roman" w:hAnsi="Times New Roman" w:cs="Times New Roman"/>
                <w:b/>
                <w:noProof/>
              </w:rPr>
            </w:pPr>
          </w:p>
        </w:tc>
        <w:tc>
          <w:tcPr>
            <w:tcW w:w="131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736DB4E" w14:textId="77777777" w:rsidR="00F208CE" w:rsidRDefault="00513E84">
            <w:pPr>
              <w:pStyle w:val="P68B1DB1-Normal7"/>
              <w:spacing w:after="0"/>
              <w:jc w:val="center"/>
              <w:rPr>
                <w:rFonts w:eastAsia="Times New Roman" w:cs="Times New Roman"/>
                <w:noProof/>
              </w:rPr>
            </w:pPr>
            <w:r>
              <w:rPr>
                <w:noProof/>
              </w:rPr>
              <w:t>Unidad de medida</w:t>
            </w:r>
          </w:p>
        </w:tc>
        <w:tc>
          <w:tcPr>
            <w:tcW w:w="957" w:type="dxa"/>
            <w:tcBorders>
              <w:top w:val="single" w:sz="4" w:space="0" w:color="auto"/>
              <w:left w:val="nil"/>
              <w:bottom w:val="single" w:sz="4" w:space="0" w:color="auto"/>
              <w:right w:val="single" w:sz="4" w:space="0" w:color="auto"/>
            </w:tcBorders>
            <w:shd w:val="clear" w:color="auto" w:fill="BDD7EE"/>
            <w:vAlign w:val="center"/>
            <w:hideMark/>
          </w:tcPr>
          <w:p w14:paraId="4E880757" w14:textId="77777777" w:rsidR="00F208CE" w:rsidRDefault="00513E84">
            <w:pPr>
              <w:pStyle w:val="P68B1DB1-Normal7"/>
              <w:spacing w:after="0"/>
              <w:jc w:val="center"/>
              <w:rPr>
                <w:rFonts w:eastAsia="Times New Roman" w:cs="Times New Roman"/>
                <w:noProof/>
              </w:rPr>
            </w:pPr>
            <w:r>
              <w:rPr>
                <w:noProof/>
              </w:rPr>
              <w:t xml:space="preserve">Basal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538E83CC" w14:textId="77777777" w:rsidR="00F208CE" w:rsidRDefault="00513E84">
            <w:pPr>
              <w:pStyle w:val="P68B1DB1-Normal7"/>
              <w:spacing w:after="0"/>
              <w:jc w:val="center"/>
              <w:rPr>
                <w:rFonts w:eastAsia="Times New Roman" w:cs="Times New Roman"/>
                <w:noProof/>
              </w:rPr>
            </w:pPr>
            <w:r>
              <w:rPr>
                <w:noProof/>
              </w:rPr>
              <w:t xml:space="preserve">Meta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1D63183B" w14:textId="77777777" w:rsidR="00F208CE" w:rsidRDefault="00513E84">
            <w:pPr>
              <w:pStyle w:val="P68B1DB1-Normal7"/>
              <w:spacing w:after="0"/>
              <w:jc w:val="center"/>
              <w:rPr>
                <w:rFonts w:eastAsia="Times New Roman" w:cs="Times New Roman"/>
                <w:noProof/>
              </w:rPr>
            </w:pPr>
            <w:r>
              <w:rPr>
                <w:noProof/>
              </w:rPr>
              <w:t>Trimestre</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7DA55138" w14:textId="77777777" w:rsidR="00F208CE" w:rsidRDefault="00513E84">
            <w:pPr>
              <w:pStyle w:val="P68B1DB1-Normal7"/>
              <w:spacing w:after="0"/>
              <w:jc w:val="center"/>
              <w:rPr>
                <w:rFonts w:eastAsia="Times New Roman" w:cs="Times New Roman"/>
                <w:noProof/>
              </w:rPr>
            </w:pPr>
            <w:r>
              <w:rPr>
                <w:noProof/>
              </w:rPr>
              <w:t>Año</w:t>
            </w:r>
          </w:p>
        </w:tc>
        <w:tc>
          <w:tcPr>
            <w:tcW w:w="4927" w:type="dxa"/>
            <w:vMerge/>
            <w:tcBorders>
              <w:top w:val="single" w:sz="4" w:space="0" w:color="auto"/>
              <w:bottom w:val="single" w:sz="4" w:space="0" w:color="auto"/>
              <w:right w:val="single" w:sz="4" w:space="0" w:color="auto"/>
            </w:tcBorders>
            <w:vAlign w:val="center"/>
            <w:hideMark/>
          </w:tcPr>
          <w:p w14:paraId="4A29BD9D" w14:textId="77777777" w:rsidR="00F208CE" w:rsidRDefault="00F208CE">
            <w:pPr>
              <w:spacing w:after="0"/>
              <w:rPr>
                <w:rFonts w:ascii="Times New Roman" w:eastAsia="Times New Roman" w:hAnsi="Times New Roman" w:cs="Times New Roman"/>
                <w:b/>
                <w:noProof/>
              </w:rPr>
            </w:pPr>
          </w:p>
        </w:tc>
      </w:tr>
      <w:tr w:rsidR="00F208CE" w14:paraId="0F57F192" w14:textId="77777777">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EAB48BF" w14:textId="77777777" w:rsidR="00F208CE" w:rsidRDefault="00513E84">
            <w:pPr>
              <w:pStyle w:val="P68B1DB1-Normal8"/>
              <w:spacing w:after="0"/>
              <w:jc w:val="center"/>
              <w:rPr>
                <w:rFonts w:eastAsia="Times New Roman" w:cs="Times New Roman"/>
                <w:noProof/>
              </w:rPr>
            </w:pPr>
            <w:r>
              <w:rPr>
                <w:noProof/>
              </w:rPr>
              <w:t>159</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3C12C74A" w14:textId="77777777" w:rsidR="00F208CE" w:rsidRDefault="00513E84">
            <w:pPr>
              <w:pStyle w:val="P68B1DB1-Normal8"/>
              <w:spacing w:after="0"/>
              <w:rPr>
                <w:rFonts w:cs="Times New Roman"/>
                <w:noProof/>
              </w:rPr>
            </w:pPr>
            <w:r>
              <w:rPr>
                <w:noProof/>
              </w:rPr>
              <w:t xml:space="preserve">A6K/E6K </w:t>
            </w:r>
          </w:p>
          <w:p w14:paraId="37743E1F" w14:textId="77777777" w:rsidR="00F208CE" w:rsidRDefault="00513E84">
            <w:pPr>
              <w:pStyle w:val="P68B1DB1-Normal8"/>
              <w:spacing w:after="0"/>
              <w:rPr>
                <w:rFonts w:cs="Times New Roman"/>
                <w:noProof/>
              </w:rPr>
            </w:pPr>
            <w:r>
              <w:rPr>
                <w:noProof/>
              </w:rPr>
              <w:t>Centro de Innovación y Formación Digitales y Tecnológicas (I-5.01)</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017FF5BF" w14:textId="5F1933F8" w:rsidR="00F208CE" w:rsidRDefault="00513E84">
            <w:pPr>
              <w:pStyle w:val="P68B1DB1-Normal8"/>
              <w:spacing w:after="0"/>
              <w:jc w:val="center"/>
              <w:rPr>
                <w:rFonts w:eastAsia="Times New Roman"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50342A2" w14:textId="77777777" w:rsidR="00F208CE" w:rsidRDefault="00513E84">
            <w:pPr>
              <w:pStyle w:val="P68B1DB1-Normal8"/>
              <w:spacing w:after="0"/>
              <w:rPr>
                <w:rFonts w:cs="Times New Roman"/>
                <w:noProof/>
              </w:rPr>
            </w:pPr>
            <w:r>
              <w:rPr>
                <w:noProof/>
              </w:rPr>
              <w:t>Actividad desarrollada a través de A6K-E6K</w:t>
            </w:r>
          </w:p>
        </w:tc>
        <w:tc>
          <w:tcPr>
            <w:tcW w:w="1418" w:type="dxa"/>
            <w:tcBorders>
              <w:top w:val="single" w:sz="4" w:space="0" w:color="auto"/>
              <w:left w:val="nil"/>
              <w:bottom w:val="single" w:sz="4" w:space="0" w:color="auto"/>
              <w:right w:val="single" w:sz="4" w:space="0" w:color="auto"/>
            </w:tcBorders>
            <w:shd w:val="clear" w:color="auto" w:fill="C6EFCE"/>
            <w:noWrap/>
            <w:vAlign w:val="center"/>
            <w:hideMark/>
          </w:tcPr>
          <w:p w14:paraId="091FF4B5" w14:textId="77777777" w:rsidR="00F208CE" w:rsidRDefault="00513E84">
            <w:pPr>
              <w:pStyle w:val="P68B1DB1-Normal8"/>
              <w:spacing w:after="0"/>
              <w:rPr>
                <w:rFonts w:cs="Times New Roman"/>
                <w:noProof/>
              </w:rPr>
            </w:pPr>
            <w:r>
              <w:rPr>
                <w:noProof/>
              </w:rPr>
              <w:t>Informe sobre los pasos empresariales realizados por el comité director</w:t>
            </w:r>
          </w:p>
        </w:tc>
        <w:tc>
          <w:tcPr>
            <w:tcW w:w="1311" w:type="dxa"/>
            <w:tcBorders>
              <w:top w:val="single" w:sz="4" w:space="0" w:color="auto"/>
              <w:left w:val="nil"/>
              <w:bottom w:val="single" w:sz="4" w:space="0" w:color="auto"/>
              <w:right w:val="single" w:sz="4" w:space="0" w:color="auto"/>
            </w:tcBorders>
            <w:shd w:val="clear" w:color="auto" w:fill="C6EFCE"/>
            <w:noWrap/>
            <w:vAlign w:val="center"/>
            <w:hideMark/>
          </w:tcPr>
          <w:p w14:paraId="29FB770B" w14:textId="77777777" w:rsidR="00F208CE" w:rsidRDefault="00F208CE">
            <w:pPr>
              <w:spacing w:after="0"/>
              <w:jc w:val="center"/>
              <w:rPr>
                <w:rFonts w:ascii="Times New Roman" w:hAnsi="Times New Roman" w:cs="Times New Roman"/>
                <w:noProof/>
                <w:color w:val="006100"/>
              </w:rPr>
            </w:pPr>
          </w:p>
        </w:tc>
        <w:tc>
          <w:tcPr>
            <w:tcW w:w="957" w:type="dxa"/>
            <w:tcBorders>
              <w:top w:val="single" w:sz="4" w:space="0" w:color="auto"/>
              <w:left w:val="nil"/>
              <w:bottom w:val="single" w:sz="4" w:space="0" w:color="auto"/>
              <w:right w:val="single" w:sz="4" w:space="0" w:color="auto"/>
            </w:tcBorders>
            <w:shd w:val="clear" w:color="auto" w:fill="C6EFCE"/>
            <w:noWrap/>
            <w:vAlign w:val="center"/>
          </w:tcPr>
          <w:p w14:paraId="2F12B46E" w14:textId="77777777" w:rsidR="00F208CE" w:rsidRDefault="00F208CE">
            <w:pPr>
              <w:spacing w:after="0"/>
              <w:jc w:val="center"/>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BA0B078" w14:textId="77777777" w:rsidR="00F208CE" w:rsidRDefault="00F208CE">
            <w:pPr>
              <w:spacing w:after="0"/>
              <w:jc w:val="center"/>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hideMark/>
          </w:tcPr>
          <w:p w14:paraId="5E9EDF3E" w14:textId="77777777" w:rsidR="00F208CE" w:rsidRDefault="00513E84">
            <w:pPr>
              <w:pStyle w:val="P68B1DB1-Normal8"/>
              <w:spacing w:after="0"/>
              <w:jc w:val="center"/>
              <w:rPr>
                <w:rFonts w:cs="Times New Roman"/>
                <w:noProof/>
              </w:rPr>
            </w:pPr>
            <w:r>
              <w:rPr>
                <w:noProof/>
              </w:rPr>
              <w:t>TERCER TRIMESTRE 1</w:t>
            </w:r>
          </w:p>
        </w:tc>
        <w:tc>
          <w:tcPr>
            <w:tcW w:w="709" w:type="dxa"/>
            <w:tcBorders>
              <w:top w:val="single" w:sz="4" w:space="0" w:color="auto"/>
              <w:left w:val="nil"/>
              <w:bottom w:val="single" w:sz="4" w:space="0" w:color="auto"/>
              <w:right w:val="single" w:sz="4" w:space="0" w:color="auto"/>
            </w:tcBorders>
            <w:shd w:val="clear" w:color="auto" w:fill="C6EFCE"/>
            <w:noWrap/>
            <w:vAlign w:val="center"/>
            <w:hideMark/>
          </w:tcPr>
          <w:p w14:paraId="0FE7487C" w14:textId="77777777" w:rsidR="00F208CE" w:rsidRDefault="00513E84">
            <w:pPr>
              <w:pStyle w:val="P68B1DB1-Normal8"/>
              <w:spacing w:after="0"/>
              <w:jc w:val="center"/>
              <w:rPr>
                <w:rFonts w:cs="Times New Roman"/>
                <w:noProof/>
              </w:rPr>
            </w:pPr>
            <w:r>
              <w:rPr>
                <w:noProof/>
              </w:rPr>
              <w:t>2023</w:t>
            </w:r>
          </w:p>
        </w:tc>
        <w:tc>
          <w:tcPr>
            <w:tcW w:w="492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D4734C" w14:textId="77777777" w:rsidR="00F208CE" w:rsidRDefault="00513E84">
            <w:pPr>
              <w:pStyle w:val="P68B1DB1-Normal8"/>
              <w:spacing w:after="0"/>
              <w:rPr>
                <w:rFonts w:eastAsia="Times New Roman" w:cs="Times New Roman"/>
                <w:noProof/>
              </w:rPr>
            </w:pPr>
            <w:r>
              <w:rPr>
                <w:noProof/>
              </w:rPr>
              <w:t>Finalización de las fases de desarrollo empresarial para la creación del Centro de Innovación y Formación Digitales y Tecnológicas: desarrollo de la oferta de incubación mediante la creación de un promotor de empresas, desarrollo de una oferta de formación</w:t>
            </w:r>
            <w:r>
              <w:rPr>
                <w:noProof/>
              </w:rPr>
              <w:t xml:space="preserve"> digital, convocatoria de proyectos para empresas emergentes finalizadas, demostradores tecnológicos e infraestructuras vinculadas a proyectos colaborativos y operativos.</w:t>
            </w:r>
          </w:p>
        </w:tc>
      </w:tr>
      <w:tr w:rsidR="00F208CE" w14:paraId="189B6AD1"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14:paraId="3BDB220A" w14:textId="77777777" w:rsidR="00F208CE" w:rsidRDefault="00513E84">
            <w:pPr>
              <w:pStyle w:val="P68B1DB1-Normal8"/>
              <w:spacing w:after="0"/>
              <w:jc w:val="center"/>
              <w:rPr>
                <w:rFonts w:eastAsia="Times New Roman" w:cs="Times New Roman"/>
                <w:noProof/>
              </w:rPr>
            </w:pPr>
            <w:r>
              <w:rPr>
                <w:noProof/>
              </w:rPr>
              <w:t>160</w:t>
            </w:r>
          </w:p>
        </w:tc>
        <w:tc>
          <w:tcPr>
            <w:tcW w:w="1560" w:type="dxa"/>
            <w:tcBorders>
              <w:top w:val="nil"/>
              <w:left w:val="nil"/>
              <w:bottom w:val="single" w:sz="4" w:space="0" w:color="auto"/>
              <w:right w:val="single" w:sz="4" w:space="0" w:color="auto"/>
            </w:tcBorders>
            <w:shd w:val="clear" w:color="auto" w:fill="C6EFCE"/>
            <w:noWrap/>
            <w:vAlign w:val="center"/>
          </w:tcPr>
          <w:p w14:paraId="60B5B5B8" w14:textId="77777777" w:rsidR="00F208CE" w:rsidRDefault="00513E84">
            <w:pPr>
              <w:pStyle w:val="P68B1DB1-Normal8"/>
              <w:spacing w:after="0"/>
              <w:rPr>
                <w:rFonts w:cs="Times New Roman"/>
                <w:noProof/>
              </w:rPr>
            </w:pPr>
            <w:r>
              <w:rPr>
                <w:noProof/>
              </w:rPr>
              <w:t>Mejora de la infraestructura de formación avanzada (I-5.03)</w:t>
            </w:r>
          </w:p>
        </w:tc>
        <w:tc>
          <w:tcPr>
            <w:tcW w:w="1134" w:type="dxa"/>
            <w:tcBorders>
              <w:top w:val="nil"/>
              <w:left w:val="nil"/>
              <w:bottom w:val="single" w:sz="4" w:space="0" w:color="auto"/>
              <w:right w:val="single" w:sz="4" w:space="0" w:color="auto"/>
            </w:tcBorders>
            <w:shd w:val="clear" w:color="auto" w:fill="C6EFCE"/>
            <w:noWrap/>
            <w:vAlign w:val="center"/>
            <w:hideMark/>
          </w:tcPr>
          <w:p w14:paraId="360936C0" w14:textId="7A88DBD4" w:rsidR="00F208CE" w:rsidRDefault="00513E84">
            <w:pPr>
              <w:pStyle w:val="P68B1DB1-Normal8"/>
              <w:spacing w:after="0"/>
              <w:jc w:val="center"/>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299CAB0C" w14:textId="7DCC896C" w:rsidR="00F208CE" w:rsidRDefault="00513E84">
            <w:pPr>
              <w:pStyle w:val="P68B1DB1-Normal8"/>
              <w:spacing w:after="0"/>
              <w:rPr>
                <w:rFonts w:eastAsia="Times New Roman" w:cs="Times New Roman"/>
                <w:noProof/>
              </w:rPr>
            </w:pPr>
            <w:r>
              <w:rPr>
                <w:noProof/>
              </w:rPr>
              <w:t xml:space="preserve">Edificios y </w:t>
            </w:r>
            <w:r>
              <w:rPr>
                <w:noProof/>
              </w:rPr>
              <w:t>equipos para la formación y los servicios de empleo</w:t>
            </w:r>
          </w:p>
        </w:tc>
        <w:tc>
          <w:tcPr>
            <w:tcW w:w="1418" w:type="dxa"/>
            <w:tcBorders>
              <w:top w:val="nil"/>
              <w:left w:val="nil"/>
              <w:bottom w:val="single" w:sz="4" w:space="0" w:color="auto"/>
              <w:right w:val="single" w:sz="4" w:space="0" w:color="auto"/>
            </w:tcBorders>
            <w:shd w:val="clear" w:color="auto" w:fill="C6EFCE"/>
            <w:noWrap/>
            <w:vAlign w:val="center"/>
            <w:hideMark/>
          </w:tcPr>
          <w:p w14:paraId="7A5AC08D" w14:textId="77777777" w:rsidR="00F208CE" w:rsidRDefault="00F208CE">
            <w:pPr>
              <w:spacing w:after="0"/>
              <w:rPr>
                <w:rFonts w:ascii="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hideMark/>
          </w:tcPr>
          <w:p w14:paraId="0699CF39" w14:textId="77777777" w:rsidR="00F208CE" w:rsidRDefault="00513E84">
            <w:pPr>
              <w:pStyle w:val="P68B1DB1-Normal8"/>
              <w:spacing w:after="0"/>
              <w:rPr>
                <w:rFonts w:cs="Times New Roman"/>
                <w:noProof/>
              </w:rPr>
            </w:pPr>
            <w:r>
              <w:rPr>
                <w:noProof/>
              </w:rPr>
              <w:t>m</w:t>
            </w:r>
            <w:r>
              <w:rPr>
                <w:noProof/>
                <w:vertAlign w:val="superscript"/>
              </w:rPr>
              <w:t>2</w:t>
            </w:r>
          </w:p>
        </w:tc>
        <w:tc>
          <w:tcPr>
            <w:tcW w:w="957" w:type="dxa"/>
            <w:tcBorders>
              <w:top w:val="nil"/>
              <w:left w:val="nil"/>
              <w:bottom w:val="single" w:sz="4" w:space="0" w:color="auto"/>
              <w:right w:val="single" w:sz="4" w:space="0" w:color="auto"/>
            </w:tcBorders>
            <w:shd w:val="clear" w:color="auto" w:fill="C6EFCE"/>
            <w:noWrap/>
            <w:vAlign w:val="center"/>
          </w:tcPr>
          <w:p w14:paraId="55AF63B2" w14:textId="77777777" w:rsidR="00F208CE" w:rsidRDefault="00513E84">
            <w:pPr>
              <w:pStyle w:val="P68B1DB1-Normal8"/>
              <w:spacing w:after="0"/>
              <w:jc w:val="center"/>
              <w:rPr>
                <w:rFonts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44908106" w14:textId="0849E964" w:rsidR="00F208CE" w:rsidRDefault="00513E84">
            <w:pPr>
              <w:pStyle w:val="P68B1DB1-Normal8"/>
              <w:spacing w:after="0"/>
              <w:jc w:val="center"/>
              <w:rPr>
                <w:rFonts w:cs="Times New Roman"/>
                <w:noProof/>
              </w:rPr>
            </w:pPr>
            <w:r>
              <w:rPr>
                <w:noProof/>
              </w:rPr>
              <w:t xml:space="preserve">11 374 </w:t>
            </w:r>
          </w:p>
        </w:tc>
        <w:tc>
          <w:tcPr>
            <w:tcW w:w="992" w:type="dxa"/>
            <w:tcBorders>
              <w:top w:val="nil"/>
              <w:left w:val="nil"/>
              <w:bottom w:val="single" w:sz="4" w:space="0" w:color="auto"/>
              <w:right w:val="single" w:sz="4" w:space="0" w:color="auto"/>
            </w:tcBorders>
            <w:shd w:val="clear" w:color="auto" w:fill="C6EFCE"/>
            <w:noWrap/>
            <w:vAlign w:val="center"/>
            <w:hideMark/>
          </w:tcPr>
          <w:p w14:paraId="76B2A974" w14:textId="501B173E" w:rsidR="00F208CE" w:rsidRDefault="00513E84">
            <w:pPr>
              <w:pStyle w:val="P68B1DB1-Normal8"/>
              <w:spacing w:after="0"/>
              <w:jc w:val="center"/>
              <w:rPr>
                <w:rFonts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hideMark/>
          </w:tcPr>
          <w:p w14:paraId="3F1BC505" w14:textId="77777777" w:rsidR="00F208CE" w:rsidRDefault="00513E84">
            <w:pPr>
              <w:pStyle w:val="P68B1DB1-Normal8"/>
              <w:spacing w:after="0"/>
              <w:jc w:val="center"/>
              <w:rPr>
                <w:rFonts w:cs="Times New Roman"/>
                <w:noProof/>
              </w:rPr>
            </w:pPr>
            <w:r>
              <w:rPr>
                <w:noProof/>
              </w:rPr>
              <w:t>2025</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76230A7" w14:textId="0658B10F" w:rsidR="00F208CE" w:rsidRDefault="00513E84">
            <w:pPr>
              <w:pStyle w:val="P68B1DB1-Normal8"/>
              <w:spacing w:after="0"/>
              <w:rPr>
                <w:rFonts w:eastAsia="Times New Roman" w:cs="Times New Roman"/>
                <w:noProof/>
              </w:rPr>
            </w:pPr>
            <w:r>
              <w:rPr>
                <w:noProof/>
              </w:rPr>
              <w:t>11 374 m² cubren la compra, la renovación, la construcción (y el acondicionamiento) o el equipamiento de los edificios siguientes:</w:t>
            </w:r>
          </w:p>
          <w:p w14:paraId="7CF1365B" w14:textId="4C182C1C" w:rsidR="00F208CE" w:rsidRDefault="00513E84">
            <w:pPr>
              <w:pStyle w:val="P68B1DB1-ListParagraph10"/>
              <w:numPr>
                <w:ilvl w:val="0"/>
                <w:numId w:val="32"/>
              </w:numPr>
              <w:spacing w:after="0"/>
              <w:rPr>
                <w:rFonts w:eastAsia="Times New Roman" w:cs="Times New Roman"/>
                <w:noProof/>
              </w:rPr>
            </w:pPr>
            <w:r>
              <w:rPr>
                <w:noProof/>
              </w:rPr>
              <w:t>Aptaskil</w:t>
            </w:r>
          </w:p>
          <w:p w14:paraId="4CBF2A08" w14:textId="77777777" w:rsidR="00F208CE" w:rsidRDefault="00513E84">
            <w:pPr>
              <w:pStyle w:val="P68B1DB1-ListParagraph10"/>
              <w:numPr>
                <w:ilvl w:val="0"/>
                <w:numId w:val="32"/>
              </w:numPr>
              <w:spacing w:after="0"/>
              <w:rPr>
                <w:rFonts w:eastAsia="Times New Roman" w:cs="Times New Roman"/>
                <w:noProof/>
              </w:rPr>
            </w:pPr>
            <w:r>
              <w:rPr>
                <w:noProof/>
              </w:rPr>
              <w:t>Technocité</w:t>
            </w:r>
          </w:p>
          <w:p w14:paraId="5CBC612D" w14:textId="77777777" w:rsidR="00F208CE" w:rsidRDefault="00513E84">
            <w:pPr>
              <w:pStyle w:val="P68B1DB1-ListParagraph10"/>
              <w:numPr>
                <w:ilvl w:val="0"/>
                <w:numId w:val="32"/>
              </w:numPr>
              <w:spacing w:after="0"/>
              <w:rPr>
                <w:rFonts w:eastAsia="Times New Roman" w:cs="Times New Roman"/>
                <w:noProof/>
              </w:rPr>
            </w:pPr>
            <w:r>
              <w:rPr>
                <w:noProof/>
              </w:rPr>
              <w:t>FOREM</w:t>
            </w:r>
          </w:p>
          <w:p w14:paraId="17AE6668" w14:textId="6A5B7E35" w:rsidR="00F208CE" w:rsidRDefault="00513E84">
            <w:pPr>
              <w:pStyle w:val="P68B1DB1-ListParagraph10"/>
              <w:numPr>
                <w:ilvl w:val="0"/>
                <w:numId w:val="32"/>
              </w:numPr>
              <w:spacing w:after="0"/>
              <w:rPr>
                <w:rFonts w:eastAsia="Times New Roman" w:cs="Times New Roman"/>
                <w:noProof/>
              </w:rPr>
            </w:pPr>
            <w:r>
              <w:rPr>
                <w:noProof/>
              </w:rPr>
              <w:t>Centro de</w:t>
            </w:r>
            <w:r>
              <w:rPr>
                <w:noProof/>
              </w:rPr>
              <w:t xml:space="preserve"> Ecotecnologías — Mons</w:t>
            </w:r>
          </w:p>
        </w:tc>
      </w:tr>
      <w:tr w:rsidR="00F208CE" w14:paraId="4CC05DF7" w14:textId="77777777">
        <w:trPr>
          <w:trHeight w:val="1591"/>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5D8EE6" w14:textId="77777777" w:rsidR="00F208CE" w:rsidRDefault="00513E84">
            <w:pPr>
              <w:pStyle w:val="P68B1DB1-Normal8"/>
              <w:spacing w:after="0"/>
              <w:jc w:val="center"/>
              <w:rPr>
                <w:rFonts w:eastAsia="Times New Roman" w:cs="Times New Roman"/>
                <w:noProof/>
              </w:rPr>
            </w:pPr>
            <w:r>
              <w:rPr>
                <w:noProof/>
              </w:rPr>
              <w:t>161</w:t>
            </w:r>
          </w:p>
        </w:tc>
        <w:tc>
          <w:tcPr>
            <w:tcW w:w="1560" w:type="dxa"/>
            <w:tcBorders>
              <w:top w:val="single" w:sz="4" w:space="0" w:color="auto"/>
              <w:left w:val="nil"/>
              <w:bottom w:val="single" w:sz="4" w:space="0" w:color="auto"/>
              <w:right w:val="single" w:sz="4" w:space="0" w:color="auto"/>
            </w:tcBorders>
            <w:shd w:val="clear" w:color="auto" w:fill="C6EFCE"/>
            <w:noWrap/>
            <w:vAlign w:val="center"/>
            <w:hideMark/>
          </w:tcPr>
          <w:p w14:paraId="293FBF29" w14:textId="77777777" w:rsidR="00F208CE" w:rsidRDefault="00513E84">
            <w:pPr>
              <w:pStyle w:val="P68B1DB1-Normal8"/>
              <w:spacing w:after="0"/>
              <w:rPr>
                <w:rFonts w:cs="Times New Roman"/>
                <w:noProof/>
              </w:rPr>
            </w:pPr>
            <w:r>
              <w:rPr>
                <w:noProof/>
              </w:rPr>
              <w:t>Escuela de Biotecnología y Centro de Salud de la UE (I-5.02)</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0D9544D1" w14:textId="19DC1626" w:rsidR="00F208CE" w:rsidRDefault="00513E84">
            <w:pPr>
              <w:pStyle w:val="P68B1DB1-Normal8"/>
              <w:spacing w:after="0"/>
              <w:jc w:val="center"/>
              <w:rPr>
                <w:rFonts w:cs="Times New Roman"/>
                <w:noProof/>
              </w:rPr>
            </w:pPr>
            <w:r>
              <w:rPr>
                <w:noProof/>
              </w:rPr>
              <w:t>T</w:t>
            </w:r>
          </w:p>
        </w:tc>
        <w:tc>
          <w:tcPr>
            <w:tcW w:w="1559" w:type="dxa"/>
            <w:tcBorders>
              <w:top w:val="single" w:sz="4" w:space="0" w:color="auto"/>
              <w:left w:val="nil"/>
              <w:bottom w:val="single" w:sz="4" w:space="0" w:color="auto"/>
              <w:right w:val="single" w:sz="4" w:space="0" w:color="auto"/>
            </w:tcBorders>
            <w:shd w:val="clear" w:color="auto" w:fill="C6EFCE"/>
            <w:noWrap/>
            <w:vAlign w:val="center"/>
            <w:hideMark/>
          </w:tcPr>
          <w:p w14:paraId="327DACE4" w14:textId="77777777" w:rsidR="00F208CE" w:rsidRDefault="00513E84">
            <w:pPr>
              <w:pStyle w:val="P68B1DB1-Normal8"/>
              <w:spacing w:after="0"/>
              <w:rPr>
                <w:rFonts w:eastAsia="Times New Roman" w:cs="Times New Roman"/>
                <w:noProof/>
              </w:rPr>
            </w:pPr>
            <w:r>
              <w:rPr>
                <w:noProof/>
              </w:rPr>
              <w:t>Construcción y equipamiento de la Escuela de Biotecnología y del Centro de Salud de la UE</w:t>
            </w:r>
          </w:p>
        </w:tc>
        <w:tc>
          <w:tcPr>
            <w:tcW w:w="1418" w:type="dxa"/>
            <w:tcBorders>
              <w:top w:val="nil"/>
              <w:left w:val="nil"/>
              <w:bottom w:val="single" w:sz="4" w:space="0" w:color="auto"/>
              <w:right w:val="single" w:sz="4" w:space="0" w:color="auto"/>
            </w:tcBorders>
            <w:shd w:val="clear" w:color="auto" w:fill="C6EFCE"/>
            <w:noWrap/>
            <w:vAlign w:val="center"/>
            <w:hideMark/>
          </w:tcPr>
          <w:p w14:paraId="1A5E6BB1" w14:textId="77777777" w:rsidR="00F208CE" w:rsidRDefault="00F208CE">
            <w:pPr>
              <w:spacing w:after="0"/>
              <w:rPr>
                <w:rFonts w:ascii="Times New Roman" w:hAnsi="Times New Roman" w:cs="Times New Roman"/>
                <w:noProof/>
                <w:color w:val="006100"/>
              </w:rPr>
            </w:pPr>
          </w:p>
        </w:tc>
        <w:tc>
          <w:tcPr>
            <w:tcW w:w="1311" w:type="dxa"/>
            <w:tcBorders>
              <w:top w:val="single" w:sz="4" w:space="0" w:color="auto"/>
              <w:left w:val="nil"/>
              <w:bottom w:val="single" w:sz="4" w:space="0" w:color="auto"/>
              <w:right w:val="single" w:sz="4" w:space="0" w:color="auto"/>
            </w:tcBorders>
            <w:shd w:val="clear" w:color="auto" w:fill="C6EFCE"/>
            <w:noWrap/>
            <w:vAlign w:val="center"/>
            <w:hideMark/>
          </w:tcPr>
          <w:p w14:paraId="33561601" w14:textId="77777777" w:rsidR="00F208CE" w:rsidRDefault="00513E84">
            <w:pPr>
              <w:pStyle w:val="P68B1DB1-Normal8"/>
              <w:spacing w:after="0"/>
              <w:rPr>
                <w:rFonts w:cs="Times New Roman"/>
                <w:noProof/>
              </w:rPr>
            </w:pPr>
            <w:r>
              <w:rPr>
                <w:noProof/>
              </w:rPr>
              <w:t>m</w:t>
            </w:r>
            <w:r>
              <w:rPr>
                <w:noProof/>
                <w:vertAlign w:val="superscript"/>
              </w:rPr>
              <w:t>2</w:t>
            </w:r>
          </w:p>
        </w:tc>
        <w:tc>
          <w:tcPr>
            <w:tcW w:w="957" w:type="dxa"/>
            <w:tcBorders>
              <w:top w:val="single" w:sz="4" w:space="0" w:color="auto"/>
              <w:left w:val="nil"/>
              <w:bottom w:val="single" w:sz="4" w:space="0" w:color="auto"/>
              <w:right w:val="single" w:sz="4" w:space="0" w:color="auto"/>
            </w:tcBorders>
            <w:shd w:val="clear" w:color="auto" w:fill="C6EFCE"/>
            <w:noWrap/>
            <w:vAlign w:val="center"/>
            <w:hideMark/>
          </w:tcPr>
          <w:p w14:paraId="089700C1" w14:textId="77777777" w:rsidR="00F208CE" w:rsidRDefault="00513E84">
            <w:pPr>
              <w:pStyle w:val="P68B1DB1-Normal8"/>
              <w:spacing w:after="0"/>
              <w:jc w:val="center"/>
              <w:rPr>
                <w:rFonts w:cs="Times New Roman"/>
                <w:noProof/>
              </w:rPr>
            </w:pPr>
            <w:r>
              <w:rPr>
                <w:noProof/>
              </w:rPr>
              <w:t>0</w:t>
            </w:r>
          </w:p>
        </w:tc>
        <w:tc>
          <w:tcPr>
            <w:tcW w:w="992" w:type="dxa"/>
            <w:tcBorders>
              <w:top w:val="single" w:sz="4" w:space="0" w:color="auto"/>
              <w:left w:val="nil"/>
              <w:bottom w:val="single" w:sz="4" w:space="0" w:color="auto"/>
              <w:right w:val="single" w:sz="4" w:space="0" w:color="auto"/>
            </w:tcBorders>
            <w:shd w:val="clear" w:color="auto" w:fill="C6EFCE"/>
            <w:noWrap/>
            <w:vAlign w:val="center"/>
            <w:hideMark/>
          </w:tcPr>
          <w:p w14:paraId="24049E2B" w14:textId="53F93F09" w:rsidR="00F208CE" w:rsidRDefault="00513E84">
            <w:pPr>
              <w:pStyle w:val="P68B1DB1-Normal8"/>
              <w:spacing w:after="0"/>
              <w:jc w:val="center"/>
              <w:rPr>
                <w:rFonts w:cs="Times New Roman"/>
                <w:noProof/>
              </w:rPr>
            </w:pPr>
            <w:r>
              <w:rPr>
                <w:noProof/>
              </w:rPr>
              <w:t>5 500</w:t>
            </w:r>
          </w:p>
        </w:tc>
        <w:tc>
          <w:tcPr>
            <w:tcW w:w="992" w:type="dxa"/>
            <w:tcBorders>
              <w:top w:val="single" w:sz="4" w:space="0" w:color="auto"/>
              <w:left w:val="nil"/>
              <w:bottom w:val="single" w:sz="4" w:space="0" w:color="auto"/>
              <w:right w:val="single" w:sz="4" w:space="0" w:color="auto"/>
            </w:tcBorders>
            <w:shd w:val="clear" w:color="auto" w:fill="C6EFCE"/>
            <w:noWrap/>
            <w:vAlign w:val="center"/>
            <w:hideMark/>
          </w:tcPr>
          <w:p w14:paraId="603497FC" w14:textId="77777777" w:rsidR="00F208CE" w:rsidRDefault="00513E84">
            <w:pPr>
              <w:pStyle w:val="P68B1DB1-Normal8"/>
              <w:spacing w:after="0"/>
              <w:jc w:val="center"/>
              <w:rPr>
                <w:rFonts w:cs="Times New Roman"/>
                <w:noProof/>
              </w:rPr>
            </w:pPr>
            <w:r>
              <w:rPr>
                <w:noProof/>
              </w:rPr>
              <w:t>TERCER TRIMESTRE 3</w:t>
            </w:r>
          </w:p>
        </w:tc>
        <w:tc>
          <w:tcPr>
            <w:tcW w:w="709" w:type="dxa"/>
            <w:tcBorders>
              <w:top w:val="single" w:sz="4" w:space="0" w:color="auto"/>
              <w:left w:val="nil"/>
              <w:bottom w:val="single" w:sz="4" w:space="0" w:color="auto"/>
              <w:right w:val="single" w:sz="4" w:space="0" w:color="auto"/>
            </w:tcBorders>
            <w:shd w:val="clear" w:color="auto" w:fill="C6EFCE"/>
            <w:noWrap/>
            <w:vAlign w:val="center"/>
            <w:hideMark/>
          </w:tcPr>
          <w:p w14:paraId="5CB77982" w14:textId="77777777" w:rsidR="00F208CE" w:rsidRDefault="00513E84">
            <w:pPr>
              <w:pStyle w:val="P68B1DB1-Normal8"/>
              <w:spacing w:after="0"/>
              <w:jc w:val="center"/>
              <w:rPr>
                <w:rFonts w:cs="Times New Roman"/>
                <w:noProof/>
              </w:rPr>
            </w:pPr>
            <w:r>
              <w:rPr>
                <w:noProof/>
              </w:rPr>
              <w:t>2025</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05BD5DB3" w14:textId="2F191EE8" w:rsidR="00F208CE" w:rsidRDefault="00513E84">
            <w:pPr>
              <w:pStyle w:val="P68B1DB1-Normal8"/>
              <w:spacing w:after="0"/>
              <w:rPr>
                <w:rFonts w:eastAsia="Times New Roman" w:cs="Times New Roman"/>
                <w:noProof/>
              </w:rPr>
            </w:pPr>
            <w:r>
              <w:rPr>
                <w:noProof/>
              </w:rPr>
              <w:t xml:space="preserve">5 500 m² de edificio totalmente </w:t>
            </w:r>
            <w:r>
              <w:rPr>
                <w:noProof/>
              </w:rPr>
              <w:t>equipado para servicios de formación, empleo e incubación, como parte de una construcción por parte de SODEVIMMO de un edificio polivalente denominado Biotech 5 de 25 000 m² en el parque BioPark de Gosselies. Los equipos incluirán, en particular, módulos d</w:t>
            </w:r>
            <w:r>
              <w:rPr>
                <w:noProof/>
              </w:rPr>
              <w:t>e realidad virtual, una sala de inmersión CTIM, equipos digitales gemelos, equipos digitales para salas de aprendizaje y una línea de producción robotizada.</w:t>
            </w:r>
          </w:p>
        </w:tc>
      </w:tr>
      <w:tr w:rsidR="00F208CE" w14:paraId="512E9C2A"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14:paraId="0AE1A094" w14:textId="77777777" w:rsidR="00F208CE" w:rsidRDefault="00513E84">
            <w:pPr>
              <w:pStyle w:val="P68B1DB1-Normal8"/>
              <w:spacing w:after="0"/>
              <w:jc w:val="center"/>
              <w:rPr>
                <w:rFonts w:eastAsia="Times New Roman" w:cs="Times New Roman"/>
                <w:noProof/>
              </w:rPr>
            </w:pPr>
            <w:r>
              <w:rPr>
                <w:noProof/>
              </w:rPr>
              <w:t>162</w:t>
            </w:r>
          </w:p>
        </w:tc>
        <w:tc>
          <w:tcPr>
            <w:tcW w:w="1560" w:type="dxa"/>
            <w:tcBorders>
              <w:top w:val="nil"/>
              <w:left w:val="nil"/>
              <w:bottom w:val="single" w:sz="4" w:space="0" w:color="auto"/>
              <w:right w:val="single" w:sz="4" w:space="0" w:color="auto"/>
            </w:tcBorders>
            <w:shd w:val="clear" w:color="auto" w:fill="C6EFCE"/>
            <w:noWrap/>
            <w:vAlign w:val="center"/>
            <w:hideMark/>
          </w:tcPr>
          <w:p w14:paraId="0CDA0B0F" w14:textId="77777777" w:rsidR="00F208CE" w:rsidRDefault="00513E84">
            <w:pPr>
              <w:pStyle w:val="P68B1DB1-Normal8"/>
              <w:spacing w:after="0"/>
              <w:rPr>
                <w:rFonts w:eastAsia="Times New Roman" w:cs="Times New Roman"/>
                <w:noProof/>
              </w:rPr>
            </w:pPr>
            <w:r>
              <w:rPr>
                <w:noProof/>
              </w:rPr>
              <w:t>A6K/E6K Centro de Innovación y Formación Digitales y Tecnológicas (I-5.01)</w:t>
            </w:r>
          </w:p>
        </w:tc>
        <w:tc>
          <w:tcPr>
            <w:tcW w:w="1134" w:type="dxa"/>
            <w:tcBorders>
              <w:top w:val="nil"/>
              <w:left w:val="nil"/>
              <w:bottom w:val="single" w:sz="4" w:space="0" w:color="auto"/>
              <w:right w:val="single" w:sz="4" w:space="0" w:color="auto"/>
            </w:tcBorders>
            <w:shd w:val="clear" w:color="auto" w:fill="C6EFCE"/>
            <w:noWrap/>
            <w:vAlign w:val="center"/>
            <w:hideMark/>
          </w:tcPr>
          <w:p w14:paraId="23E70841" w14:textId="5C08C21F" w:rsidR="00F208CE" w:rsidRDefault="00513E84">
            <w:pPr>
              <w:pStyle w:val="P68B1DB1-Normal8"/>
              <w:spacing w:after="0"/>
              <w:jc w:val="center"/>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hideMark/>
          </w:tcPr>
          <w:p w14:paraId="71347C3A" w14:textId="77777777" w:rsidR="00F208CE" w:rsidRDefault="00513E84">
            <w:pPr>
              <w:pStyle w:val="P68B1DB1-Normal8"/>
              <w:spacing w:after="0"/>
              <w:rPr>
                <w:rFonts w:eastAsia="Times New Roman" w:cs="Times New Roman"/>
                <w:noProof/>
              </w:rPr>
            </w:pPr>
            <w:r>
              <w:rPr>
                <w:noProof/>
              </w:rPr>
              <w:t xml:space="preserve">Finalización de </w:t>
            </w:r>
            <w:r>
              <w:rPr>
                <w:noProof/>
              </w:rPr>
              <w:t>la renovación y ampliación de A6K-E6K</w:t>
            </w:r>
          </w:p>
        </w:tc>
        <w:tc>
          <w:tcPr>
            <w:tcW w:w="1418" w:type="dxa"/>
            <w:tcBorders>
              <w:top w:val="nil"/>
              <w:left w:val="nil"/>
              <w:bottom w:val="single" w:sz="4" w:space="0" w:color="auto"/>
              <w:right w:val="single" w:sz="4" w:space="0" w:color="auto"/>
            </w:tcBorders>
            <w:shd w:val="clear" w:color="auto" w:fill="C6EFCE"/>
            <w:noWrap/>
            <w:vAlign w:val="center"/>
          </w:tcPr>
          <w:p w14:paraId="058EBC61" w14:textId="77777777" w:rsidR="00F208CE" w:rsidRDefault="00F208CE">
            <w:pPr>
              <w:spacing w:after="0"/>
              <w:rPr>
                <w:rFonts w:ascii="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hideMark/>
          </w:tcPr>
          <w:p w14:paraId="4FDD79BA" w14:textId="77777777" w:rsidR="00F208CE" w:rsidRDefault="00513E84">
            <w:pPr>
              <w:pStyle w:val="P68B1DB1-Normal8"/>
              <w:spacing w:after="0"/>
              <w:rPr>
                <w:rFonts w:cs="Times New Roman"/>
                <w:noProof/>
              </w:rPr>
            </w:pPr>
            <w:r>
              <w:rPr>
                <w:noProof/>
              </w:rPr>
              <w:t>m</w:t>
            </w:r>
            <w:r>
              <w:rPr>
                <w:noProof/>
                <w:vertAlign w:val="superscript"/>
              </w:rPr>
              <w:t>2</w:t>
            </w:r>
          </w:p>
        </w:tc>
        <w:tc>
          <w:tcPr>
            <w:tcW w:w="957" w:type="dxa"/>
            <w:tcBorders>
              <w:top w:val="nil"/>
              <w:left w:val="nil"/>
              <w:bottom w:val="single" w:sz="4" w:space="0" w:color="auto"/>
              <w:right w:val="single" w:sz="4" w:space="0" w:color="auto"/>
            </w:tcBorders>
            <w:shd w:val="clear" w:color="auto" w:fill="C6EFCE"/>
            <w:noWrap/>
            <w:vAlign w:val="center"/>
            <w:hideMark/>
          </w:tcPr>
          <w:p w14:paraId="7E93C004" w14:textId="7584C709" w:rsidR="00F208CE" w:rsidRDefault="00513E84">
            <w:pPr>
              <w:pStyle w:val="P68B1DB1-Normal8"/>
              <w:spacing w:after="0"/>
              <w:jc w:val="center"/>
              <w:rPr>
                <w:rFonts w:cs="Times New Roman"/>
                <w:noProof/>
              </w:rPr>
            </w:pPr>
            <w:r>
              <w:rPr>
                <w:noProof/>
              </w:rPr>
              <w:t>5 000</w:t>
            </w:r>
          </w:p>
        </w:tc>
        <w:tc>
          <w:tcPr>
            <w:tcW w:w="992" w:type="dxa"/>
            <w:tcBorders>
              <w:top w:val="nil"/>
              <w:left w:val="nil"/>
              <w:bottom w:val="single" w:sz="4" w:space="0" w:color="auto"/>
              <w:right w:val="single" w:sz="4" w:space="0" w:color="auto"/>
            </w:tcBorders>
            <w:shd w:val="clear" w:color="auto" w:fill="C6EFCE"/>
            <w:noWrap/>
            <w:vAlign w:val="center"/>
            <w:hideMark/>
          </w:tcPr>
          <w:p w14:paraId="278636B3" w14:textId="7E0F6132" w:rsidR="00F208CE" w:rsidRDefault="00513E84">
            <w:pPr>
              <w:pStyle w:val="P68B1DB1-Normal8"/>
              <w:spacing w:after="0"/>
              <w:jc w:val="center"/>
              <w:rPr>
                <w:rFonts w:cs="Times New Roman"/>
                <w:noProof/>
              </w:rPr>
            </w:pPr>
            <w:r>
              <w:rPr>
                <w:noProof/>
              </w:rPr>
              <w:t>25 000</w:t>
            </w:r>
          </w:p>
        </w:tc>
        <w:tc>
          <w:tcPr>
            <w:tcW w:w="992" w:type="dxa"/>
            <w:tcBorders>
              <w:top w:val="nil"/>
              <w:left w:val="nil"/>
              <w:bottom w:val="single" w:sz="4" w:space="0" w:color="auto"/>
              <w:right w:val="single" w:sz="4" w:space="0" w:color="auto"/>
            </w:tcBorders>
            <w:shd w:val="clear" w:color="auto" w:fill="C6EFCE"/>
            <w:noWrap/>
            <w:vAlign w:val="center"/>
            <w:hideMark/>
          </w:tcPr>
          <w:p w14:paraId="62ED2B2B" w14:textId="77777777" w:rsidR="00F208CE" w:rsidRDefault="00513E84">
            <w:pPr>
              <w:pStyle w:val="P68B1DB1-Normal8"/>
              <w:spacing w:after="0"/>
              <w:jc w:val="center"/>
              <w:rPr>
                <w:rFonts w:cs="Times New Roman"/>
                <w:noProof/>
              </w:rPr>
            </w:pPr>
            <w:r>
              <w:rPr>
                <w:noProof/>
              </w:rPr>
              <w:t>TERCER TRIMESTRE 2</w:t>
            </w:r>
          </w:p>
        </w:tc>
        <w:tc>
          <w:tcPr>
            <w:tcW w:w="709" w:type="dxa"/>
            <w:tcBorders>
              <w:top w:val="nil"/>
              <w:left w:val="nil"/>
              <w:bottom w:val="single" w:sz="4" w:space="0" w:color="auto"/>
              <w:right w:val="single" w:sz="4" w:space="0" w:color="auto"/>
            </w:tcBorders>
            <w:shd w:val="clear" w:color="auto" w:fill="C6EFCE"/>
            <w:noWrap/>
            <w:vAlign w:val="center"/>
            <w:hideMark/>
          </w:tcPr>
          <w:p w14:paraId="3F9E0F07" w14:textId="77777777" w:rsidR="00F208CE" w:rsidRDefault="00513E84">
            <w:pPr>
              <w:pStyle w:val="P68B1DB1-Normal8"/>
              <w:spacing w:after="0"/>
              <w:jc w:val="center"/>
              <w:rPr>
                <w:rFonts w:cs="Times New Roman"/>
                <w:noProof/>
              </w:rPr>
            </w:pPr>
            <w:r>
              <w:rPr>
                <w:noProof/>
              </w:rPr>
              <w:t>2026</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DB3436E" w14:textId="2CC91B50" w:rsidR="00F208CE" w:rsidRDefault="00513E84">
            <w:pPr>
              <w:pStyle w:val="P68B1DB1-Normal8"/>
              <w:spacing w:after="0"/>
              <w:rPr>
                <w:rFonts w:eastAsia="Times New Roman" w:cs="Times New Roman"/>
                <w:noProof/>
              </w:rPr>
            </w:pPr>
            <w:r>
              <w:rPr>
                <w:noProof/>
              </w:rPr>
              <w:t>25 000 m² de edificio totalmente equipado para servicios de formación, empleo e incubación.</w:t>
            </w:r>
          </w:p>
        </w:tc>
      </w:tr>
      <w:tr w:rsidR="00F208CE" w14:paraId="1CBEF858"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0429E2DC" w14:textId="77777777" w:rsidR="00F208CE" w:rsidRDefault="00513E84">
            <w:pPr>
              <w:pStyle w:val="P68B1DB1-Normal8"/>
              <w:spacing w:after="0"/>
              <w:jc w:val="center"/>
              <w:rPr>
                <w:rFonts w:eastAsia="Times New Roman" w:cs="Times New Roman"/>
                <w:noProof/>
              </w:rPr>
            </w:pPr>
            <w:r>
              <w:rPr>
                <w:noProof/>
              </w:rPr>
              <w:t>163</w:t>
            </w:r>
          </w:p>
        </w:tc>
        <w:tc>
          <w:tcPr>
            <w:tcW w:w="1560" w:type="dxa"/>
            <w:tcBorders>
              <w:top w:val="nil"/>
              <w:left w:val="nil"/>
              <w:bottom w:val="single" w:sz="4" w:space="0" w:color="auto"/>
              <w:right w:val="single" w:sz="4" w:space="0" w:color="auto"/>
            </w:tcBorders>
            <w:shd w:val="clear" w:color="auto" w:fill="C6EFCE"/>
            <w:noWrap/>
            <w:vAlign w:val="center"/>
          </w:tcPr>
          <w:p w14:paraId="55F0BF1A" w14:textId="77777777" w:rsidR="00F208CE" w:rsidRDefault="00513E84">
            <w:pPr>
              <w:pStyle w:val="P68B1DB1-Normal8"/>
              <w:spacing w:after="0"/>
              <w:rPr>
                <w:rFonts w:cs="Times New Roman"/>
                <w:noProof/>
              </w:rPr>
            </w:pPr>
            <w:r>
              <w:rPr>
                <w:noProof/>
              </w:rPr>
              <w:t>Mejora de la infraestructura de formación avanzada (I-5.03)</w:t>
            </w:r>
          </w:p>
        </w:tc>
        <w:tc>
          <w:tcPr>
            <w:tcW w:w="1134" w:type="dxa"/>
            <w:tcBorders>
              <w:top w:val="nil"/>
              <w:left w:val="nil"/>
              <w:bottom w:val="single" w:sz="4" w:space="0" w:color="auto"/>
              <w:right w:val="single" w:sz="4" w:space="0" w:color="auto"/>
            </w:tcBorders>
            <w:shd w:val="clear" w:color="auto" w:fill="C6EFCE"/>
            <w:noWrap/>
            <w:vAlign w:val="center"/>
          </w:tcPr>
          <w:p w14:paraId="0FE03698" w14:textId="08291DC6" w:rsidR="00F208CE" w:rsidRDefault="00513E84">
            <w:pPr>
              <w:pStyle w:val="P68B1DB1-Normal8"/>
              <w:spacing w:after="0"/>
              <w:jc w:val="center"/>
              <w:rPr>
                <w:rFonts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04207590" w14:textId="515FB0D5" w:rsidR="00F208CE" w:rsidRDefault="00513E84">
            <w:pPr>
              <w:pStyle w:val="P68B1DB1-Normal8"/>
              <w:spacing w:after="0"/>
              <w:rPr>
                <w:rFonts w:cs="Times New Roman"/>
                <w:noProof/>
              </w:rPr>
            </w:pPr>
            <w:r>
              <w:rPr>
                <w:noProof/>
              </w:rPr>
              <w:t xml:space="preserve">Edificios y </w:t>
            </w:r>
            <w:r>
              <w:rPr>
                <w:noProof/>
              </w:rPr>
              <w:t>equipos para la formación y los servicios de empleo</w:t>
            </w:r>
          </w:p>
        </w:tc>
        <w:tc>
          <w:tcPr>
            <w:tcW w:w="1418" w:type="dxa"/>
            <w:tcBorders>
              <w:top w:val="nil"/>
              <w:left w:val="nil"/>
              <w:bottom w:val="single" w:sz="4" w:space="0" w:color="auto"/>
              <w:right w:val="single" w:sz="4" w:space="0" w:color="auto"/>
            </w:tcBorders>
            <w:shd w:val="clear" w:color="auto" w:fill="C6EFCE"/>
            <w:noWrap/>
            <w:vAlign w:val="center"/>
          </w:tcPr>
          <w:p w14:paraId="6C4AD5F9" w14:textId="77777777" w:rsidR="00F208CE" w:rsidRDefault="00F208CE">
            <w:pPr>
              <w:spacing w:after="0"/>
              <w:rPr>
                <w:rFonts w:ascii="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tcPr>
          <w:p w14:paraId="0DFFA84C" w14:textId="77777777" w:rsidR="00F208CE" w:rsidRDefault="00513E84">
            <w:pPr>
              <w:pStyle w:val="P68B1DB1-Normal8"/>
              <w:spacing w:after="0"/>
              <w:rPr>
                <w:rFonts w:cs="Times New Roman"/>
                <w:noProof/>
              </w:rPr>
            </w:pPr>
            <w:r>
              <w:rPr>
                <w:noProof/>
              </w:rPr>
              <w:t>m²</w:t>
            </w:r>
          </w:p>
        </w:tc>
        <w:tc>
          <w:tcPr>
            <w:tcW w:w="957" w:type="dxa"/>
            <w:tcBorders>
              <w:top w:val="nil"/>
              <w:left w:val="nil"/>
              <w:bottom w:val="single" w:sz="4" w:space="0" w:color="auto"/>
              <w:right w:val="single" w:sz="4" w:space="0" w:color="auto"/>
            </w:tcBorders>
            <w:shd w:val="clear" w:color="auto" w:fill="C6EFCE"/>
            <w:noWrap/>
            <w:vAlign w:val="center"/>
          </w:tcPr>
          <w:p w14:paraId="23E82262" w14:textId="71D64BC8" w:rsidR="00F208CE" w:rsidRDefault="00513E84">
            <w:pPr>
              <w:pStyle w:val="P68B1DB1-Normal8"/>
              <w:spacing w:after="0"/>
              <w:rPr>
                <w:rFonts w:cs="Times New Roman"/>
                <w:noProof/>
              </w:rPr>
            </w:pPr>
            <w:r>
              <w:rPr>
                <w:noProof/>
              </w:rPr>
              <w:t>11 374</w:t>
            </w:r>
          </w:p>
        </w:tc>
        <w:tc>
          <w:tcPr>
            <w:tcW w:w="992" w:type="dxa"/>
            <w:tcBorders>
              <w:top w:val="nil"/>
              <w:left w:val="nil"/>
              <w:bottom w:val="single" w:sz="4" w:space="0" w:color="auto"/>
              <w:right w:val="single" w:sz="4" w:space="0" w:color="auto"/>
            </w:tcBorders>
            <w:shd w:val="clear" w:color="auto" w:fill="C6EFCE"/>
            <w:noWrap/>
            <w:vAlign w:val="center"/>
          </w:tcPr>
          <w:p w14:paraId="798C6655" w14:textId="620C74C7" w:rsidR="00F208CE" w:rsidRDefault="00513E84">
            <w:pPr>
              <w:pStyle w:val="P68B1DB1-Normal8"/>
              <w:spacing w:after="0"/>
              <w:rPr>
                <w:rFonts w:cs="Times New Roman"/>
                <w:noProof/>
              </w:rPr>
            </w:pPr>
            <w:r>
              <w:rPr>
                <w:noProof/>
              </w:rPr>
              <w:t>35 574</w:t>
            </w:r>
          </w:p>
        </w:tc>
        <w:tc>
          <w:tcPr>
            <w:tcW w:w="992" w:type="dxa"/>
            <w:tcBorders>
              <w:top w:val="nil"/>
              <w:left w:val="nil"/>
              <w:bottom w:val="single" w:sz="4" w:space="0" w:color="auto"/>
              <w:right w:val="single" w:sz="4" w:space="0" w:color="auto"/>
            </w:tcBorders>
            <w:shd w:val="clear" w:color="auto" w:fill="C6EFCE"/>
            <w:noWrap/>
            <w:vAlign w:val="center"/>
          </w:tcPr>
          <w:p w14:paraId="1A3ECFF4" w14:textId="77777777" w:rsidR="00F208CE" w:rsidRDefault="00513E84">
            <w:pPr>
              <w:pStyle w:val="P68B1DB1-Normal8"/>
              <w:spacing w:after="0"/>
              <w:jc w:val="center"/>
              <w:rPr>
                <w:rFonts w:cs="Times New Roman"/>
                <w:noProof/>
              </w:rPr>
            </w:pPr>
            <w:r>
              <w:rPr>
                <w:noProof/>
              </w:rPr>
              <w:t>TERCER TRIMESTRE 2</w:t>
            </w:r>
          </w:p>
        </w:tc>
        <w:tc>
          <w:tcPr>
            <w:tcW w:w="709" w:type="dxa"/>
            <w:tcBorders>
              <w:top w:val="nil"/>
              <w:left w:val="nil"/>
              <w:bottom w:val="single" w:sz="4" w:space="0" w:color="auto"/>
              <w:right w:val="single" w:sz="4" w:space="0" w:color="auto"/>
            </w:tcBorders>
            <w:shd w:val="clear" w:color="auto" w:fill="C6EFCE"/>
            <w:noWrap/>
            <w:vAlign w:val="center"/>
          </w:tcPr>
          <w:p w14:paraId="76BC8DE4" w14:textId="77777777" w:rsidR="00F208CE" w:rsidRDefault="00513E84">
            <w:pPr>
              <w:pStyle w:val="P68B1DB1-Normal8"/>
              <w:spacing w:after="0"/>
              <w:jc w:val="center"/>
              <w:rPr>
                <w:rFonts w:cs="Times New Roman"/>
                <w:noProof/>
              </w:rPr>
            </w:pPr>
            <w:r>
              <w:rPr>
                <w:noProof/>
              </w:rPr>
              <w:t>2026</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3A9C6442" w14:textId="1852D9DA" w:rsidR="00F208CE" w:rsidRDefault="00513E84">
            <w:pPr>
              <w:pStyle w:val="P68B1DB1-Normal8"/>
              <w:spacing w:after="0"/>
              <w:rPr>
                <w:rFonts w:eastAsia="Times New Roman" w:cs="Times New Roman"/>
                <w:noProof/>
              </w:rPr>
            </w:pPr>
            <w:r>
              <w:rPr>
                <w:noProof/>
              </w:rPr>
              <w:t>Un total de 35 574 m² de edificios construidos, renovados o equipados, incluidos 24 200 m² que cubren el «Ecocentre de formation» en Belgrado, Technifutur, y el «</w:t>
            </w:r>
            <w:r>
              <w:rPr>
                <w:noProof/>
              </w:rPr>
              <w:t>Centre des Ecotechnologies» en Jemappes.</w:t>
            </w:r>
          </w:p>
        </w:tc>
      </w:tr>
      <w:tr w:rsidR="00F208CE" w14:paraId="335E0496"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6549FC91" w14:textId="77777777" w:rsidR="00F208CE" w:rsidRDefault="00513E84">
            <w:pPr>
              <w:pStyle w:val="P68B1DB1-Normal8"/>
              <w:spacing w:after="0"/>
              <w:jc w:val="center"/>
              <w:rPr>
                <w:rFonts w:cs="Times New Roman"/>
                <w:noProof/>
              </w:rPr>
            </w:pPr>
            <w:r>
              <w:rPr>
                <w:noProof/>
              </w:rPr>
              <w:t>164</w:t>
            </w:r>
          </w:p>
        </w:tc>
        <w:tc>
          <w:tcPr>
            <w:tcW w:w="1560" w:type="dxa"/>
            <w:tcBorders>
              <w:top w:val="nil"/>
              <w:left w:val="nil"/>
              <w:bottom w:val="single" w:sz="4" w:space="0" w:color="auto"/>
              <w:right w:val="single" w:sz="4" w:space="0" w:color="auto"/>
            </w:tcBorders>
            <w:shd w:val="clear" w:color="auto" w:fill="C6EFCE"/>
            <w:noWrap/>
            <w:vAlign w:val="center"/>
          </w:tcPr>
          <w:p w14:paraId="626B3425" w14:textId="77777777" w:rsidR="00F208CE" w:rsidRDefault="00513E84">
            <w:pPr>
              <w:pStyle w:val="P68B1DB1-Normal8"/>
              <w:spacing w:after="0"/>
              <w:rPr>
                <w:rFonts w:cs="Times New Roman"/>
                <w:noProof/>
              </w:rPr>
            </w:pPr>
            <w:r>
              <w:rPr>
                <w:noProof/>
              </w:rPr>
              <w:t>Ofensiva de aprendizaje y carrera profesional (I-5.04)</w:t>
            </w:r>
          </w:p>
        </w:tc>
        <w:tc>
          <w:tcPr>
            <w:tcW w:w="1134" w:type="dxa"/>
            <w:tcBorders>
              <w:top w:val="nil"/>
              <w:left w:val="nil"/>
              <w:bottom w:val="single" w:sz="4" w:space="0" w:color="auto"/>
              <w:right w:val="single" w:sz="4" w:space="0" w:color="auto"/>
            </w:tcBorders>
            <w:shd w:val="clear" w:color="auto" w:fill="C6EFCE"/>
            <w:noWrap/>
            <w:vAlign w:val="center"/>
          </w:tcPr>
          <w:p w14:paraId="45BC57BE" w14:textId="47CBD2A9" w:rsidR="00F208CE" w:rsidRDefault="00513E84">
            <w:pPr>
              <w:pStyle w:val="P68B1DB1-Normal8"/>
              <w:spacing w:after="0"/>
              <w:jc w:val="center"/>
              <w:rPr>
                <w:rFonts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657EE7DE" w14:textId="77777777" w:rsidR="00F208CE" w:rsidRDefault="00513E84">
            <w:pPr>
              <w:pStyle w:val="P68B1DB1-Normal8"/>
              <w:spacing w:after="0"/>
              <w:rPr>
                <w:rFonts w:cs="Times New Roman"/>
                <w:noProof/>
              </w:rPr>
            </w:pPr>
            <w:r>
              <w:rPr>
                <w:noProof/>
              </w:rPr>
              <w:t>Apoyo a los permisos de formación y a la oferta de formación en línea en Flandes</w:t>
            </w:r>
          </w:p>
        </w:tc>
        <w:tc>
          <w:tcPr>
            <w:tcW w:w="1418" w:type="dxa"/>
            <w:tcBorders>
              <w:top w:val="nil"/>
              <w:left w:val="nil"/>
              <w:bottom w:val="single" w:sz="4" w:space="0" w:color="auto"/>
              <w:right w:val="single" w:sz="4" w:space="0" w:color="auto"/>
            </w:tcBorders>
            <w:shd w:val="clear" w:color="auto" w:fill="C6EFCE"/>
            <w:noWrap/>
            <w:vAlign w:val="center"/>
          </w:tcPr>
          <w:p w14:paraId="5092134D" w14:textId="77777777" w:rsidR="00F208CE" w:rsidRDefault="00F208CE">
            <w:pPr>
              <w:spacing w:after="0"/>
              <w:rPr>
                <w:rFonts w:ascii="Times New Roman" w:eastAsia="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tcPr>
          <w:p w14:paraId="0EFB6125" w14:textId="38694DE0" w:rsidR="00F208CE" w:rsidRDefault="00513E84">
            <w:pPr>
              <w:pStyle w:val="P68B1DB1-Normal8"/>
              <w:spacing w:after="0"/>
              <w:rPr>
                <w:rFonts w:cs="Times New Roman"/>
                <w:noProof/>
              </w:rPr>
            </w:pPr>
            <w:r>
              <w:rPr>
                <w:noProof/>
              </w:rPr>
              <w:t>Número de inscripciones en la formación en línea/derechos de permiso de</w:t>
            </w:r>
            <w:r>
              <w:rPr>
                <w:noProof/>
              </w:rPr>
              <w:t xml:space="preserve"> formación que se han utilizado</w:t>
            </w:r>
          </w:p>
        </w:tc>
        <w:tc>
          <w:tcPr>
            <w:tcW w:w="957" w:type="dxa"/>
            <w:tcBorders>
              <w:top w:val="nil"/>
              <w:left w:val="nil"/>
              <w:bottom w:val="single" w:sz="4" w:space="0" w:color="auto"/>
              <w:right w:val="single" w:sz="4" w:space="0" w:color="auto"/>
            </w:tcBorders>
            <w:shd w:val="clear" w:color="auto" w:fill="C6EFCE"/>
            <w:noWrap/>
            <w:vAlign w:val="center"/>
          </w:tcPr>
          <w:p w14:paraId="5CCA78B2" w14:textId="77777777" w:rsidR="00F208CE" w:rsidRDefault="00513E84">
            <w:pPr>
              <w:pStyle w:val="P68B1DB1-Normal8"/>
              <w:spacing w:after="0"/>
              <w:rPr>
                <w:rFonts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5E851D9A" w14:textId="0946115D" w:rsidR="00F208CE" w:rsidRDefault="00513E84">
            <w:pPr>
              <w:pStyle w:val="P68B1DB1-Normal8"/>
              <w:spacing w:after="0"/>
              <w:rPr>
                <w:rFonts w:cs="Times New Roman"/>
                <w:noProof/>
              </w:rPr>
            </w:pPr>
            <w:r>
              <w:rPr>
                <w:noProof/>
              </w:rPr>
              <w:t>307 500</w:t>
            </w:r>
          </w:p>
        </w:tc>
        <w:tc>
          <w:tcPr>
            <w:tcW w:w="992" w:type="dxa"/>
            <w:tcBorders>
              <w:top w:val="nil"/>
              <w:left w:val="nil"/>
              <w:bottom w:val="single" w:sz="4" w:space="0" w:color="auto"/>
              <w:right w:val="single" w:sz="4" w:space="0" w:color="auto"/>
            </w:tcBorders>
            <w:shd w:val="clear" w:color="auto" w:fill="C6EFCE"/>
            <w:noWrap/>
            <w:vAlign w:val="center"/>
          </w:tcPr>
          <w:p w14:paraId="33CD8E17" w14:textId="77777777" w:rsidR="00F208CE" w:rsidRDefault="00513E84">
            <w:pPr>
              <w:pStyle w:val="P68B1DB1-Normal8"/>
              <w:spacing w:after="0"/>
              <w:jc w:val="center"/>
              <w:rPr>
                <w:rFonts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6FD0C678" w14:textId="77777777" w:rsidR="00F208CE" w:rsidRDefault="00513E84">
            <w:pPr>
              <w:pStyle w:val="P68B1DB1-Normal8"/>
              <w:spacing w:after="0"/>
              <w:jc w:val="center"/>
              <w:rPr>
                <w:rFonts w:cs="Times New Roman"/>
                <w:noProof/>
              </w:rPr>
            </w:pPr>
            <w:r>
              <w:rPr>
                <w:noProof/>
              </w:rPr>
              <w:t>2022</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375AD9B0" w14:textId="639D1F36" w:rsidR="00F208CE" w:rsidRDefault="00513E84">
            <w:pPr>
              <w:pStyle w:val="P68B1DB1-Normal8"/>
              <w:spacing w:after="0"/>
              <w:rPr>
                <w:rFonts w:eastAsia="Times New Roman" w:cs="Times New Roman"/>
                <w:noProof/>
              </w:rPr>
            </w:pPr>
            <w:r>
              <w:rPr>
                <w:noProof/>
              </w:rPr>
              <w:t>Desde 2021, se han hecho uso de 307 500 permisos de formación o se han registrado inscripciones en la oferta de formación en línea.</w:t>
            </w:r>
          </w:p>
        </w:tc>
      </w:tr>
      <w:tr w:rsidR="00F208CE" w14:paraId="607F721D"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38E2CB8E" w14:textId="77777777" w:rsidR="00F208CE" w:rsidRDefault="00513E84">
            <w:pPr>
              <w:pStyle w:val="P68B1DB1-Normal8"/>
              <w:spacing w:after="0"/>
              <w:jc w:val="center"/>
              <w:rPr>
                <w:rFonts w:eastAsia="Times New Roman" w:cs="Times New Roman"/>
                <w:noProof/>
              </w:rPr>
            </w:pPr>
            <w:r>
              <w:rPr>
                <w:noProof/>
              </w:rPr>
              <w:t>165</w:t>
            </w:r>
          </w:p>
        </w:tc>
        <w:tc>
          <w:tcPr>
            <w:tcW w:w="1560" w:type="dxa"/>
            <w:tcBorders>
              <w:top w:val="nil"/>
              <w:left w:val="nil"/>
              <w:bottom w:val="single" w:sz="4" w:space="0" w:color="auto"/>
              <w:right w:val="single" w:sz="4" w:space="0" w:color="auto"/>
            </w:tcBorders>
            <w:shd w:val="clear" w:color="auto" w:fill="C6EFCE"/>
            <w:noWrap/>
            <w:vAlign w:val="center"/>
          </w:tcPr>
          <w:p w14:paraId="6FA7D0FD" w14:textId="77777777" w:rsidR="00F208CE" w:rsidRDefault="00513E84">
            <w:pPr>
              <w:pStyle w:val="P68B1DB1-Normal8"/>
              <w:spacing w:after="0"/>
              <w:rPr>
                <w:rFonts w:cs="Times New Roman"/>
                <w:noProof/>
              </w:rPr>
            </w:pPr>
            <w:r>
              <w:rPr>
                <w:noProof/>
              </w:rPr>
              <w:t>Aprendizaje y ofensiva asistencial (I-5.04)</w:t>
            </w:r>
          </w:p>
        </w:tc>
        <w:tc>
          <w:tcPr>
            <w:tcW w:w="1134" w:type="dxa"/>
            <w:tcBorders>
              <w:top w:val="nil"/>
              <w:left w:val="nil"/>
              <w:bottom w:val="single" w:sz="4" w:space="0" w:color="auto"/>
              <w:right w:val="single" w:sz="4" w:space="0" w:color="auto"/>
            </w:tcBorders>
            <w:shd w:val="clear" w:color="auto" w:fill="C6EFCE"/>
            <w:noWrap/>
            <w:vAlign w:val="center"/>
          </w:tcPr>
          <w:p w14:paraId="140961EA" w14:textId="7A65C8CF" w:rsidR="00F208CE" w:rsidRDefault="00513E84">
            <w:pPr>
              <w:pStyle w:val="P68B1DB1-Normal8"/>
              <w:spacing w:after="0"/>
              <w:jc w:val="center"/>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46FE05FB" w14:textId="624619B2" w:rsidR="00F208CE" w:rsidRDefault="00513E84">
            <w:pPr>
              <w:pStyle w:val="P68B1DB1-Normal8"/>
              <w:spacing w:after="0"/>
              <w:rPr>
                <w:rFonts w:eastAsia="Times New Roman" w:cs="Times New Roman"/>
                <w:noProof/>
              </w:rPr>
            </w:pPr>
            <w:r>
              <w:rPr>
                <w:noProof/>
              </w:rPr>
              <w:t>Apoyo a</w:t>
            </w:r>
            <w:r>
              <w:rPr>
                <w:noProof/>
              </w:rPr>
              <w:t xml:space="preserve"> las empresas de Flandes a través de controles de competencias y convocatorias de proyectos</w:t>
            </w:r>
          </w:p>
        </w:tc>
        <w:tc>
          <w:tcPr>
            <w:tcW w:w="1418" w:type="dxa"/>
            <w:tcBorders>
              <w:top w:val="nil"/>
              <w:left w:val="nil"/>
              <w:bottom w:val="single" w:sz="4" w:space="0" w:color="auto"/>
              <w:right w:val="single" w:sz="4" w:space="0" w:color="auto"/>
            </w:tcBorders>
            <w:shd w:val="clear" w:color="auto" w:fill="C6EFCE"/>
            <w:noWrap/>
            <w:vAlign w:val="center"/>
          </w:tcPr>
          <w:p w14:paraId="1A383BF6" w14:textId="5BBD5430" w:rsidR="00F208CE" w:rsidRDefault="00F208CE">
            <w:pPr>
              <w:spacing w:after="0"/>
              <w:rPr>
                <w:rFonts w:ascii="Times New Roman" w:eastAsia="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tcPr>
          <w:p w14:paraId="7962EF2F" w14:textId="3654A193" w:rsidR="00F208CE" w:rsidRDefault="00513E84">
            <w:pPr>
              <w:pStyle w:val="P68B1DB1-Normal8"/>
              <w:spacing w:after="0"/>
              <w:rPr>
                <w:rFonts w:cs="Times New Roman"/>
                <w:noProof/>
              </w:rPr>
            </w:pPr>
            <w:r>
              <w:rPr>
                <w:noProof/>
              </w:rPr>
              <w:t>Empresas</w:t>
            </w:r>
          </w:p>
        </w:tc>
        <w:tc>
          <w:tcPr>
            <w:tcW w:w="957" w:type="dxa"/>
            <w:tcBorders>
              <w:top w:val="nil"/>
              <w:left w:val="nil"/>
              <w:bottom w:val="single" w:sz="4" w:space="0" w:color="auto"/>
              <w:right w:val="single" w:sz="4" w:space="0" w:color="auto"/>
            </w:tcBorders>
            <w:shd w:val="clear" w:color="auto" w:fill="C6EFCE"/>
            <w:noWrap/>
            <w:vAlign w:val="center"/>
          </w:tcPr>
          <w:p w14:paraId="637EE312" w14:textId="77777777" w:rsidR="00F208CE" w:rsidRDefault="00513E84">
            <w:pPr>
              <w:pStyle w:val="P68B1DB1-Normal8"/>
              <w:spacing w:after="0"/>
              <w:rPr>
                <w:rFonts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15DA1344" w14:textId="6397634D" w:rsidR="00F208CE" w:rsidRDefault="00513E84">
            <w:pPr>
              <w:pStyle w:val="P68B1DB1-Normal8"/>
              <w:spacing w:after="0"/>
              <w:rPr>
                <w:rFonts w:cs="Times New Roman"/>
                <w:noProof/>
              </w:rPr>
            </w:pPr>
            <w:r>
              <w:rPr>
                <w:noProof/>
              </w:rPr>
              <w:t>357</w:t>
            </w:r>
          </w:p>
        </w:tc>
        <w:tc>
          <w:tcPr>
            <w:tcW w:w="992" w:type="dxa"/>
            <w:tcBorders>
              <w:top w:val="nil"/>
              <w:left w:val="nil"/>
              <w:bottom w:val="single" w:sz="4" w:space="0" w:color="auto"/>
              <w:right w:val="single" w:sz="4" w:space="0" w:color="auto"/>
            </w:tcBorders>
            <w:shd w:val="clear" w:color="auto" w:fill="C6EFCE"/>
            <w:noWrap/>
            <w:vAlign w:val="center"/>
          </w:tcPr>
          <w:p w14:paraId="6A21D67E" w14:textId="77777777" w:rsidR="00F208CE" w:rsidRDefault="00513E84">
            <w:pPr>
              <w:pStyle w:val="P68B1DB1-Normal8"/>
              <w:spacing w:after="0"/>
              <w:jc w:val="center"/>
              <w:rPr>
                <w:rFonts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2F2E81DB" w14:textId="77777777" w:rsidR="00F208CE" w:rsidRDefault="00513E84">
            <w:pPr>
              <w:pStyle w:val="P68B1DB1-Normal8"/>
              <w:spacing w:after="0"/>
              <w:jc w:val="center"/>
              <w:rPr>
                <w:rFonts w:cs="Times New Roman"/>
                <w:noProof/>
              </w:rPr>
            </w:pPr>
            <w:r>
              <w:rPr>
                <w:noProof/>
              </w:rPr>
              <w:t>2024</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6387F7C" w14:textId="677C4EE7" w:rsidR="00F208CE" w:rsidRDefault="00513E84">
            <w:pPr>
              <w:pStyle w:val="P68B1DB1-Normal8"/>
              <w:spacing w:after="0"/>
              <w:rPr>
                <w:rFonts w:eastAsia="Times New Roman" w:cs="Times New Roman"/>
                <w:noProof/>
              </w:rPr>
            </w:pPr>
            <w:r>
              <w:rPr>
                <w:noProof/>
              </w:rPr>
              <w:t xml:space="preserve">357 empresas incluidas en una de las siguientes categorías se han beneficiado de la ayuda en virtud de la medida: las pymes </w:t>
            </w:r>
            <w:r>
              <w:rPr>
                <w:noProof/>
              </w:rPr>
              <w:t>a las que se ha llegado con un control de competencias; I) las pymes alcanzaron un control de competencias ii) las empresas de la economía social apoyadas en su transformación estratégica innovadora a través de las convocatorias de «transformación estratég</w:t>
            </w:r>
            <w:r>
              <w:rPr>
                <w:noProof/>
              </w:rPr>
              <w:t>ica de innovación abierta» y «formación orientada al futuro para apoyar a los grupos más vulnerables de la economía social».</w:t>
            </w:r>
          </w:p>
        </w:tc>
      </w:tr>
      <w:tr w:rsidR="00F208CE" w14:paraId="0C4F78F0"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1449B9F9" w14:textId="77777777" w:rsidR="00F208CE" w:rsidRDefault="00513E84">
            <w:pPr>
              <w:pStyle w:val="P68B1DB1-Normal8"/>
              <w:spacing w:after="0"/>
              <w:jc w:val="center"/>
              <w:rPr>
                <w:rFonts w:eastAsia="Times New Roman" w:cs="Times New Roman"/>
                <w:noProof/>
              </w:rPr>
            </w:pPr>
            <w:r>
              <w:rPr>
                <w:noProof/>
              </w:rPr>
              <w:t>166</w:t>
            </w:r>
          </w:p>
        </w:tc>
        <w:tc>
          <w:tcPr>
            <w:tcW w:w="1560" w:type="dxa"/>
            <w:tcBorders>
              <w:top w:val="nil"/>
              <w:left w:val="nil"/>
              <w:bottom w:val="single" w:sz="4" w:space="0" w:color="auto"/>
              <w:right w:val="single" w:sz="4" w:space="0" w:color="auto"/>
            </w:tcBorders>
            <w:shd w:val="clear" w:color="auto" w:fill="C6EFCE"/>
            <w:noWrap/>
            <w:vAlign w:val="center"/>
          </w:tcPr>
          <w:p w14:paraId="6B704D76" w14:textId="77777777" w:rsidR="00F208CE" w:rsidRDefault="00513E84">
            <w:pPr>
              <w:pStyle w:val="P68B1DB1-Normal8"/>
              <w:spacing w:after="0"/>
              <w:rPr>
                <w:rFonts w:cs="Times New Roman"/>
                <w:noProof/>
              </w:rPr>
            </w:pPr>
            <w:r>
              <w:rPr>
                <w:noProof/>
              </w:rPr>
              <w:t xml:space="preserve">Estrategia para reactivar el mercado laboral centrada en la eficiencia y optimización de las políticas de activación y </w:t>
            </w:r>
            <w:r>
              <w:rPr>
                <w:noProof/>
              </w:rPr>
              <w:t>formación (I-5.05)</w:t>
            </w:r>
          </w:p>
        </w:tc>
        <w:tc>
          <w:tcPr>
            <w:tcW w:w="1134" w:type="dxa"/>
            <w:tcBorders>
              <w:top w:val="nil"/>
              <w:left w:val="nil"/>
              <w:bottom w:val="single" w:sz="4" w:space="0" w:color="auto"/>
              <w:right w:val="single" w:sz="4" w:space="0" w:color="auto"/>
            </w:tcBorders>
            <w:shd w:val="clear" w:color="auto" w:fill="C6EFCE"/>
            <w:noWrap/>
            <w:vAlign w:val="center"/>
          </w:tcPr>
          <w:p w14:paraId="4E58970F" w14:textId="1D145AD0" w:rsidR="00F208CE" w:rsidRDefault="00513E84">
            <w:pPr>
              <w:pStyle w:val="P68B1DB1-Normal8"/>
              <w:spacing w:after="0"/>
              <w:jc w:val="center"/>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37A80992" w14:textId="77777777" w:rsidR="00F208CE" w:rsidRDefault="00513E84">
            <w:pPr>
              <w:pStyle w:val="P68B1DB1-Normal8"/>
              <w:spacing w:after="0"/>
              <w:rPr>
                <w:rFonts w:eastAsia="Times New Roman" w:cs="Times New Roman"/>
                <w:noProof/>
              </w:rPr>
            </w:pPr>
            <w:r>
              <w:rPr>
                <w:noProof/>
              </w:rPr>
              <w:t>Apoyo a la activación de solicitantes de empleo y trabajadores en Bruselas</w:t>
            </w:r>
          </w:p>
        </w:tc>
        <w:tc>
          <w:tcPr>
            <w:tcW w:w="1418" w:type="dxa"/>
            <w:tcBorders>
              <w:top w:val="nil"/>
              <w:left w:val="nil"/>
              <w:bottom w:val="single" w:sz="4" w:space="0" w:color="auto"/>
              <w:right w:val="single" w:sz="4" w:space="0" w:color="auto"/>
            </w:tcBorders>
            <w:shd w:val="clear" w:color="auto" w:fill="C6EFCE"/>
            <w:noWrap/>
            <w:vAlign w:val="center"/>
          </w:tcPr>
          <w:p w14:paraId="4483E7D3" w14:textId="3CA89BF5" w:rsidR="00F208CE" w:rsidRDefault="00F208CE">
            <w:pPr>
              <w:spacing w:after="0"/>
              <w:rPr>
                <w:rFonts w:ascii="Times New Roman" w:eastAsia="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tcPr>
          <w:p w14:paraId="136175ED" w14:textId="77777777" w:rsidR="00F208CE" w:rsidRDefault="00513E84">
            <w:pPr>
              <w:pStyle w:val="P68B1DB1-Normal8"/>
              <w:spacing w:after="0"/>
              <w:rPr>
                <w:rFonts w:cs="Times New Roman"/>
                <w:noProof/>
              </w:rPr>
            </w:pPr>
            <w:r>
              <w:rPr>
                <w:noProof/>
              </w:rPr>
              <w:t>Personas</w:t>
            </w:r>
          </w:p>
        </w:tc>
        <w:tc>
          <w:tcPr>
            <w:tcW w:w="957" w:type="dxa"/>
            <w:tcBorders>
              <w:top w:val="nil"/>
              <w:left w:val="nil"/>
              <w:bottom w:val="single" w:sz="4" w:space="0" w:color="auto"/>
              <w:right w:val="single" w:sz="4" w:space="0" w:color="auto"/>
            </w:tcBorders>
            <w:shd w:val="clear" w:color="auto" w:fill="C6EFCE"/>
            <w:noWrap/>
            <w:vAlign w:val="center"/>
          </w:tcPr>
          <w:p w14:paraId="1CF5CAA2" w14:textId="77777777" w:rsidR="00F208CE" w:rsidRDefault="00513E84">
            <w:pPr>
              <w:pStyle w:val="P68B1DB1-Normal8"/>
              <w:spacing w:after="0"/>
              <w:rPr>
                <w:rFonts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1C6B71E9" w14:textId="77777777" w:rsidR="00F208CE" w:rsidRDefault="00513E84">
            <w:pPr>
              <w:pStyle w:val="P68B1DB1-Normal8"/>
              <w:spacing w:after="0"/>
              <w:rPr>
                <w:rFonts w:cs="Times New Roman"/>
                <w:noProof/>
              </w:rPr>
            </w:pPr>
            <w:r>
              <w:rPr>
                <w:noProof/>
              </w:rPr>
              <w:t>600</w:t>
            </w:r>
          </w:p>
        </w:tc>
        <w:tc>
          <w:tcPr>
            <w:tcW w:w="992" w:type="dxa"/>
            <w:tcBorders>
              <w:top w:val="nil"/>
              <w:left w:val="nil"/>
              <w:bottom w:val="single" w:sz="4" w:space="0" w:color="auto"/>
              <w:right w:val="single" w:sz="4" w:space="0" w:color="auto"/>
            </w:tcBorders>
            <w:shd w:val="clear" w:color="auto" w:fill="C6EFCE"/>
            <w:noWrap/>
            <w:vAlign w:val="center"/>
          </w:tcPr>
          <w:p w14:paraId="60FDAEF1" w14:textId="77777777" w:rsidR="00F208CE" w:rsidRDefault="00513E84">
            <w:pPr>
              <w:pStyle w:val="P68B1DB1-Normal8"/>
              <w:spacing w:after="0"/>
              <w:jc w:val="center"/>
              <w:rPr>
                <w:rFonts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7F2D2F56" w14:textId="77777777" w:rsidR="00F208CE" w:rsidRDefault="00513E84">
            <w:pPr>
              <w:pStyle w:val="P68B1DB1-Normal8"/>
              <w:spacing w:after="0"/>
              <w:jc w:val="center"/>
              <w:rPr>
                <w:rFonts w:cs="Times New Roman"/>
                <w:noProof/>
              </w:rPr>
            </w:pPr>
            <w:r>
              <w:rPr>
                <w:noProof/>
              </w:rPr>
              <w:t>2024</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0CB163D4" w14:textId="216A4DCA" w:rsidR="00F208CE" w:rsidRDefault="00513E84">
            <w:pPr>
              <w:pStyle w:val="P68B1DB1-Normal8"/>
              <w:spacing w:after="0"/>
              <w:rPr>
                <w:rFonts w:cs="Times New Roman"/>
                <w:noProof/>
              </w:rPr>
            </w:pPr>
            <w:r>
              <w:rPr>
                <w:noProof/>
              </w:rPr>
              <w:t>600 personas se beneficiarán de las medidas de la Estrategia de Bruselas, incluido el programa de apoyo para el reciclaj</w:t>
            </w:r>
            <w:r>
              <w:rPr>
                <w:noProof/>
              </w:rPr>
              <w:t>e profesional o la reorientación hacia ocupaciones con escasez de mano de obra. El reciclaje o la reorientación serán multiformas: formación, cribado, pruebas e incluso adaptación del perfil del puesto de trabajo en las bases de datos.</w:t>
            </w:r>
          </w:p>
        </w:tc>
      </w:tr>
      <w:tr w:rsidR="00F208CE" w14:paraId="70525F64" w14:textId="77777777">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DF3626" w14:textId="77777777" w:rsidR="00F208CE" w:rsidRDefault="00513E84">
            <w:pPr>
              <w:pStyle w:val="P68B1DB1-Normal8"/>
              <w:spacing w:after="0"/>
              <w:jc w:val="center"/>
              <w:rPr>
                <w:rFonts w:eastAsia="Times New Roman" w:cs="Times New Roman"/>
                <w:noProof/>
              </w:rPr>
            </w:pPr>
            <w:r>
              <w:rPr>
                <w:noProof/>
              </w:rPr>
              <w:t>167</w:t>
            </w:r>
          </w:p>
        </w:tc>
        <w:tc>
          <w:tcPr>
            <w:tcW w:w="1560"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112D3B08" w14:textId="77777777" w:rsidR="00F208CE" w:rsidRDefault="00513E84">
            <w:pPr>
              <w:pStyle w:val="P68B1DB1-Normal8"/>
              <w:spacing w:after="0"/>
              <w:rPr>
                <w:rFonts w:eastAsia="Times New Roman" w:cs="Times New Roman"/>
                <w:noProof/>
              </w:rPr>
            </w:pPr>
            <w:r>
              <w:rPr>
                <w:noProof/>
              </w:rPr>
              <w:t xml:space="preserve">Aprendizaje y </w:t>
            </w:r>
            <w:r>
              <w:rPr>
                <w:noProof/>
              </w:rPr>
              <w:t>ofensiva asistencial (I-5.04)</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0F3E529D" w14:textId="6DD06474" w:rsidR="00F208CE" w:rsidRDefault="00513E84">
            <w:pPr>
              <w:pStyle w:val="P68B1DB1-Normal8"/>
              <w:spacing w:after="0"/>
              <w:jc w:val="center"/>
              <w:rPr>
                <w:rFonts w:eastAsia="Times New Roman"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64F4070E" w14:textId="77777777" w:rsidR="00F208CE" w:rsidRDefault="00513E84">
            <w:pPr>
              <w:pStyle w:val="P68B1DB1-Normal8"/>
              <w:spacing w:after="0"/>
              <w:rPr>
                <w:rFonts w:eastAsia="Times New Roman" w:cs="Times New Roman"/>
                <w:noProof/>
              </w:rPr>
            </w:pPr>
            <w:r>
              <w:rPr>
                <w:noProof/>
              </w:rPr>
              <w:t>Apoyo a los desempleados temporales en Flandes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00BFA2DE" w14:textId="77777777" w:rsidR="00F208CE" w:rsidRDefault="00513E84">
            <w:pPr>
              <w:pStyle w:val="P68B1DB1-Normal8"/>
              <w:spacing w:after="0"/>
              <w:rPr>
                <w:rFonts w:eastAsia="Times New Roman" w:cs="Times New Roman"/>
                <w:noProof/>
              </w:rPr>
            </w:pPr>
            <w:r>
              <w:rPr>
                <w:noProof/>
              </w:rPr>
              <w:t>Informe VDAB presentado en el que se acredita el esfuerzo de sensibilización</w:t>
            </w:r>
          </w:p>
        </w:tc>
        <w:tc>
          <w:tcPr>
            <w:tcW w:w="1311"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52D7DF03" w14:textId="77777777" w:rsidR="00F208CE" w:rsidRDefault="00F208CE">
            <w:pPr>
              <w:spacing w:after="0"/>
              <w:rPr>
                <w:rFonts w:ascii="Times New Roman" w:hAnsi="Times New Roman" w:cs="Times New Roman"/>
                <w:noProof/>
                <w:color w:val="006100"/>
              </w:rPr>
            </w:pPr>
          </w:p>
        </w:tc>
        <w:tc>
          <w:tcPr>
            <w:tcW w:w="957"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3E93510E" w14:textId="77777777" w:rsidR="00F208CE" w:rsidRDefault="00F208CE">
            <w:pPr>
              <w:spacing w:after="0"/>
              <w:rPr>
                <w:rFonts w:ascii="Times New Roman" w:hAnsi="Times New Roman" w:cs="Times New Roman"/>
                <w:noProof/>
                <w:color w:val="006100"/>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349958A8" w14:textId="77777777" w:rsidR="00F208CE" w:rsidRDefault="00F208CE">
            <w:pPr>
              <w:spacing w:after="0"/>
              <w:rPr>
                <w:rFonts w:ascii="Times New Roman" w:hAnsi="Times New Roman" w:cs="Times New Roman"/>
                <w:noProof/>
                <w:color w:val="006100"/>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79EB0550" w14:textId="77777777" w:rsidR="00F208CE" w:rsidRDefault="00513E84">
            <w:pPr>
              <w:pStyle w:val="P68B1DB1-Normal8"/>
              <w:spacing w:after="0"/>
              <w:jc w:val="center"/>
              <w:rPr>
                <w:rFonts w:cs="Times New Roman"/>
                <w:noProof/>
              </w:rPr>
            </w:pPr>
            <w:r>
              <w:rPr>
                <w:noProof/>
              </w:rPr>
              <w:t>TERCER TRIMESTRE 4</w:t>
            </w:r>
          </w:p>
        </w:tc>
        <w:tc>
          <w:tcPr>
            <w:tcW w:w="709" w:type="dxa"/>
            <w:tcBorders>
              <w:top w:val="single" w:sz="4" w:space="0" w:color="000000" w:themeColor="text1"/>
              <w:left w:val="nil"/>
              <w:bottom w:val="single" w:sz="4" w:space="0" w:color="000000" w:themeColor="text1"/>
              <w:right w:val="single" w:sz="4" w:space="0" w:color="000000" w:themeColor="text1"/>
            </w:tcBorders>
            <w:shd w:val="clear" w:color="auto" w:fill="C6EFCE"/>
            <w:noWrap/>
            <w:vAlign w:val="center"/>
          </w:tcPr>
          <w:p w14:paraId="4837B790" w14:textId="77777777" w:rsidR="00F208CE" w:rsidRDefault="00513E84">
            <w:pPr>
              <w:pStyle w:val="P68B1DB1-Normal8"/>
              <w:spacing w:after="0"/>
              <w:jc w:val="center"/>
              <w:rPr>
                <w:rFonts w:cs="Times New Roman"/>
                <w:noProof/>
              </w:rPr>
            </w:pPr>
            <w:r>
              <w:rPr>
                <w:noProof/>
              </w:rPr>
              <w:t>2022</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vAlign w:val="center"/>
          </w:tcPr>
          <w:p w14:paraId="1C89DF90" w14:textId="77777777" w:rsidR="00F208CE" w:rsidRDefault="00513E84">
            <w:pPr>
              <w:pStyle w:val="P68B1DB1-Normal8"/>
              <w:spacing w:after="0"/>
              <w:rPr>
                <w:rFonts w:eastAsia="Times New Roman" w:cs="Times New Roman"/>
                <w:noProof/>
              </w:rPr>
            </w:pPr>
            <w:r>
              <w:rPr>
                <w:noProof/>
              </w:rPr>
              <w:t>El Servicio Público de Empleo de Flandes (VDAB) se pondrá en contacto con</w:t>
            </w:r>
            <w:r>
              <w:rPr>
                <w:noProof/>
              </w:rPr>
              <w:t xml:space="preserve"> todas las personas en paro temporal desde 01/01/2021 para inscribirse en una formación, un período de prácticas, un empleo temporal o un trabajo de voluntariado.</w:t>
            </w:r>
          </w:p>
        </w:tc>
      </w:tr>
      <w:tr w:rsidR="00F208CE" w14:paraId="2DCEE66D"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2322757E" w14:textId="77777777" w:rsidR="00F208CE" w:rsidRDefault="00513E84">
            <w:pPr>
              <w:pStyle w:val="P68B1DB1-Normal8"/>
              <w:spacing w:after="0"/>
              <w:jc w:val="center"/>
              <w:rPr>
                <w:rFonts w:eastAsia="Times New Roman" w:cs="Times New Roman"/>
                <w:noProof/>
              </w:rPr>
            </w:pPr>
            <w:r>
              <w:rPr>
                <w:noProof/>
              </w:rPr>
              <w:t>168</w:t>
            </w:r>
          </w:p>
        </w:tc>
        <w:tc>
          <w:tcPr>
            <w:tcW w:w="1560" w:type="dxa"/>
            <w:tcBorders>
              <w:top w:val="nil"/>
              <w:left w:val="nil"/>
              <w:bottom w:val="single" w:sz="4" w:space="0" w:color="000000" w:themeColor="text1"/>
              <w:right w:val="single" w:sz="4" w:space="0" w:color="000000" w:themeColor="text1"/>
            </w:tcBorders>
            <w:shd w:val="clear" w:color="auto" w:fill="C6EFCE"/>
            <w:noWrap/>
            <w:vAlign w:val="center"/>
          </w:tcPr>
          <w:p w14:paraId="7C02277B" w14:textId="1A4F282E" w:rsidR="00F208CE" w:rsidRDefault="00513E84">
            <w:pPr>
              <w:pStyle w:val="P68B1DB1-Normal8"/>
              <w:spacing w:after="0"/>
              <w:rPr>
                <w:rFonts w:eastAsia="Times New Roman" w:cs="Times New Roman"/>
                <w:noProof/>
              </w:rPr>
            </w:pPr>
            <w:r>
              <w:rPr>
                <w:noProof/>
              </w:rPr>
              <w:t>Aprendizaje permanente de la Comunidad Flamenca (R-5.04)</w:t>
            </w:r>
          </w:p>
        </w:tc>
        <w:tc>
          <w:tcPr>
            <w:tcW w:w="1134" w:type="dxa"/>
            <w:tcBorders>
              <w:top w:val="nil"/>
              <w:left w:val="nil"/>
              <w:bottom w:val="single" w:sz="4" w:space="0" w:color="auto"/>
              <w:right w:val="single" w:sz="4" w:space="0" w:color="auto"/>
            </w:tcBorders>
            <w:shd w:val="clear" w:color="auto" w:fill="C6EFCE"/>
            <w:noWrap/>
            <w:vAlign w:val="center"/>
          </w:tcPr>
          <w:p w14:paraId="79B1892C" w14:textId="7944BDE5" w:rsidR="00F208CE" w:rsidRDefault="00513E84">
            <w:pPr>
              <w:pStyle w:val="P68B1DB1-Normal8"/>
              <w:spacing w:after="0"/>
              <w:jc w:val="center"/>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2AE867FA" w14:textId="77777777" w:rsidR="00F208CE" w:rsidRDefault="00513E84">
            <w:pPr>
              <w:pStyle w:val="P68B1DB1-Normal8"/>
              <w:spacing w:after="0"/>
              <w:rPr>
                <w:rFonts w:eastAsia="Times New Roman" w:cs="Times New Roman"/>
                <w:noProof/>
              </w:rPr>
            </w:pPr>
            <w:r>
              <w:rPr>
                <w:noProof/>
              </w:rPr>
              <w:t xml:space="preserve">Documento de reflexión sobre </w:t>
            </w:r>
            <w:r>
              <w:rPr>
                <w:noProof/>
              </w:rPr>
              <w:t>el aprendizaje y la cuenta de carrera profesional en Flandes</w:t>
            </w:r>
          </w:p>
        </w:tc>
        <w:tc>
          <w:tcPr>
            <w:tcW w:w="1418" w:type="dxa"/>
            <w:tcBorders>
              <w:top w:val="nil"/>
              <w:left w:val="nil"/>
              <w:bottom w:val="single" w:sz="4" w:space="0" w:color="auto"/>
              <w:right w:val="single" w:sz="4" w:space="0" w:color="auto"/>
            </w:tcBorders>
            <w:shd w:val="clear" w:color="auto" w:fill="C6EFCE"/>
            <w:noWrap/>
            <w:vAlign w:val="center"/>
          </w:tcPr>
          <w:p w14:paraId="30E9B990" w14:textId="77777777" w:rsidR="00F208CE" w:rsidRDefault="00513E84">
            <w:pPr>
              <w:pStyle w:val="P68B1DB1-Normal8"/>
              <w:spacing w:after="0"/>
              <w:rPr>
                <w:rFonts w:eastAsia="Times New Roman" w:cs="Times New Roman"/>
                <w:noProof/>
              </w:rPr>
            </w:pPr>
            <w:r>
              <w:rPr>
                <w:noProof/>
              </w:rPr>
              <w:t>Publicación del acuerdo por el Gobierno</w:t>
            </w:r>
          </w:p>
        </w:tc>
        <w:tc>
          <w:tcPr>
            <w:tcW w:w="1311" w:type="dxa"/>
            <w:tcBorders>
              <w:top w:val="nil"/>
              <w:left w:val="nil"/>
              <w:bottom w:val="single" w:sz="4" w:space="0" w:color="000000" w:themeColor="text1"/>
              <w:right w:val="single" w:sz="4" w:space="0" w:color="000000" w:themeColor="text1"/>
            </w:tcBorders>
            <w:shd w:val="clear" w:color="auto" w:fill="C6EFCE"/>
            <w:noWrap/>
            <w:vAlign w:val="center"/>
          </w:tcPr>
          <w:p w14:paraId="118097B1" w14:textId="77777777" w:rsidR="00F208CE" w:rsidRDefault="00513E84">
            <w:pPr>
              <w:pStyle w:val="P68B1DB1-Normal8"/>
              <w:spacing w:after="0"/>
              <w:rPr>
                <w:rFonts w:cs="Times New Roman"/>
                <w:noProof/>
              </w:rPr>
            </w:pPr>
            <w:r>
              <w:rPr>
                <w:noProof/>
              </w:rPr>
              <w:t xml:space="preserve"> </w:t>
            </w:r>
          </w:p>
        </w:tc>
        <w:tc>
          <w:tcPr>
            <w:tcW w:w="957" w:type="dxa"/>
            <w:tcBorders>
              <w:top w:val="nil"/>
              <w:left w:val="nil"/>
              <w:bottom w:val="single" w:sz="4" w:space="0" w:color="000000" w:themeColor="text1"/>
              <w:right w:val="single" w:sz="4" w:space="0" w:color="000000" w:themeColor="text1"/>
            </w:tcBorders>
            <w:shd w:val="clear" w:color="auto" w:fill="C6EFCE"/>
            <w:noWrap/>
            <w:vAlign w:val="center"/>
          </w:tcPr>
          <w:p w14:paraId="0D4814A1" w14:textId="77777777" w:rsidR="00F208CE" w:rsidRDefault="00513E84">
            <w:pPr>
              <w:pStyle w:val="P68B1DB1-Normal8"/>
              <w:spacing w:after="0"/>
              <w:rPr>
                <w:rFonts w:cs="Times New Roman"/>
                <w:noProof/>
              </w:rPr>
            </w:pPr>
            <w:r>
              <w:rPr>
                <w:noProof/>
              </w:rPr>
              <w:t xml:space="preserve"> </w:t>
            </w:r>
          </w:p>
        </w:tc>
        <w:tc>
          <w:tcPr>
            <w:tcW w:w="992" w:type="dxa"/>
            <w:tcBorders>
              <w:top w:val="nil"/>
              <w:left w:val="nil"/>
              <w:bottom w:val="single" w:sz="4" w:space="0" w:color="000000" w:themeColor="text1"/>
              <w:right w:val="single" w:sz="4" w:space="0" w:color="000000" w:themeColor="text1"/>
            </w:tcBorders>
            <w:shd w:val="clear" w:color="auto" w:fill="C6EFCE"/>
            <w:noWrap/>
            <w:vAlign w:val="center"/>
          </w:tcPr>
          <w:p w14:paraId="214C283A" w14:textId="77777777" w:rsidR="00F208CE" w:rsidRDefault="00513E84">
            <w:pPr>
              <w:pStyle w:val="P68B1DB1-Normal8"/>
              <w:spacing w:after="0"/>
              <w:rPr>
                <w:rFonts w:cs="Times New Roman"/>
                <w:noProof/>
              </w:rPr>
            </w:pPr>
            <w:r>
              <w:rPr>
                <w:noProof/>
              </w:rPr>
              <w:t xml:space="preserve"> </w:t>
            </w:r>
          </w:p>
        </w:tc>
        <w:tc>
          <w:tcPr>
            <w:tcW w:w="992" w:type="dxa"/>
            <w:tcBorders>
              <w:top w:val="nil"/>
              <w:left w:val="nil"/>
              <w:bottom w:val="single" w:sz="4" w:space="0" w:color="000000" w:themeColor="text1"/>
              <w:right w:val="single" w:sz="4" w:space="0" w:color="000000" w:themeColor="text1"/>
            </w:tcBorders>
            <w:shd w:val="clear" w:color="auto" w:fill="C6EFCE"/>
            <w:noWrap/>
            <w:vAlign w:val="center"/>
          </w:tcPr>
          <w:p w14:paraId="01AFF458" w14:textId="77777777" w:rsidR="00F208CE" w:rsidRDefault="00513E84">
            <w:pPr>
              <w:pStyle w:val="P68B1DB1-Normal8"/>
              <w:spacing w:after="0"/>
              <w:jc w:val="center"/>
              <w:rPr>
                <w:rFonts w:cs="Times New Roman"/>
                <w:noProof/>
              </w:rPr>
            </w:pPr>
            <w:r>
              <w:rPr>
                <w:noProof/>
              </w:rPr>
              <w:t>TERCER TRIMESTRE 2</w:t>
            </w:r>
          </w:p>
        </w:tc>
        <w:tc>
          <w:tcPr>
            <w:tcW w:w="709" w:type="dxa"/>
            <w:tcBorders>
              <w:top w:val="nil"/>
              <w:left w:val="nil"/>
              <w:bottom w:val="single" w:sz="4" w:space="0" w:color="000000" w:themeColor="text1"/>
              <w:right w:val="single" w:sz="4" w:space="0" w:color="000000" w:themeColor="text1"/>
            </w:tcBorders>
            <w:shd w:val="clear" w:color="auto" w:fill="C6EFCE"/>
            <w:noWrap/>
            <w:vAlign w:val="center"/>
          </w:tcPr>
          <w:p w14:paraId="563D7B15" w14:textId="77777777" w:rsidR="00F208CE" w:rsidRDefault="00513E84">
            <w:pPr>
              <w:pStyle w:val="P68B1DB1-Normal8"/>
              <w:spacing w:after="0"/>
              <w:jc w:val="center"/>
              <w:rPr>
                <w:rFonts w:cs="Times New Roman"/>
                <w:noProof/>
              </w:rPr>
            </w:pPr>
            <w:r>
              <w:rPr>
                <w:noProof/>
              </w:rPr>
              <w:t>2022</w:t>
            </w:r>
          </w:p>
        </w:tc>
        <w:tc>
          <w:tcPr>
            <w:tcW w:w="4927" w:type="dxa"/>
            <w:tcBorders>
              <w:top w:val="nil"/>
              <w:left w:val="single" w:sz="4" w:space="0" w:color="000000" w:themeColor="text1"/>
              <w:bottom w:val="single" w:sz="4" w:space="0" w:color="000000" w:themeColor="text1"/>
              <w:right w:val="single" w:sz="4" w:space="0" w:color="000000" w:themeColor="text1"/>
            </w:tcBorders>
            <w:shd w:val="clear" w:color="auto" w:fill="C6EFCE"/>
            <w:noWrap/>
            <w:vAlign w:val="center"/>
          </w:tcPr>
          <w:p w14:paraId="0FA7A76E" w14:textId="77777777" w:rsidR="00F208CE" w:rsidRDefault="00513E84">
            <w:pPr>
              <w:pStyle w:val="P68B1DB1-Normal8"/>
              <w:spacing w:after="0"/>
              <w:rPr>
                <w:rFonts w:eastAsia="Times New Roman" w:cs="Times New Roman"/>
                <w:noProof/>
              </w:rPr>
            </w:pPr>
            <w:r>
              <w:rPr>
                <w:noProof/>
              </w:rPr>
              <w:t>Acuerdo entre los interlocutores sociales y el Gobierno flamenco sobre el documento de visión, en el que se establece cómo se</w:t>
            </w:r>
            <w:r>
              <w:rPr>
                <w:noProof/>
              </w:rPr>
              <w:t xml:space="preserve"> introducirá una cuenta de aprendizaje y de carrera en Flandes, teniendo en cuenta la necesidad de aumentar la transparencia para los ciudadanos, una mejor inclusión de los grupos vulnerables y garantizar la armonización con la plataforma digital de cuenta</w:t>
            </w:r>
            <w:r>
              <w:rPr>
                <w:noProof/>
              </w:rPr>
              <w:t>s de aprendizaje creada a nivel federal.</w:t>
            </w:r>
          </w:p>
        </w:tc>
      </w:tr>
      <w:tr w:rsidR="00F208CE" w14:paraId="45379B95"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756AB7AA" w14:textId="77777777" w:rsidR="00F208CE" w:rsidRDefault="00513E84">
            <w:pPr>
              <w:pStyle w:val="P68B1DB1-Normal8"/>
              <w:spacing w:after="0"/>
              <w:jc w:val="center"/>
              <w:rPr>
                <w:rFonts w:eastAsia="Times New Roman" w:cs="Times New Roman"/>
                <w:noProof/>
              </w:rPr>
            </w:pPr>
            <w:r>
              <w:rPr>
                <w:noProof/>
              </w:rPr>
              <w:t>169</w:t>
            </w:r>
          </w:p>
        </w:tc>
        <w:tc>
          <w:tcPr>
            <w:tcW w:w="1560" w:type="dxa"/>
            <w:tcBorders>
              <w:top w:val="nil"/>
              <w:left w:val="nil"/>
              <w:bottom w:val="single" w:sz="4" w:space="0" w:color="auto"/>
              <w:right w:val="single" w:sz="4" w:space="0" w:color="auto"/>
            </w:tcBorders>
            <w:shd w:val="clear" w:color="auto" w:fill="C6EFCE"/>
            <w:noWrap/>
            <w:vAlign w:val="center"/>
          </w:tcPr>
          <w:p w14:paraId="1A14ED52" w14:textId="77777777" w:rsidR="00F208CE" w:rsidRDefault="00513E84">
            <w:pPr>
              <w:pStyle w:val="P68B1DB1-Normal8"/>
              <w:spacing w:after="0"/>
              <w:rPr>
                <w:rFonts w:eastAsia="Times New Roman" w:cs="Times New Roman"/>
                <w:noProof/>
              </w:rPr>
            </w:pPr>
            <w:r>
              <w:rPr>
                <w:noProof/>
              </w:rPr>
              <w:t>Competencias digitales (I-5.06)</w:t>
            </w:r>
          </w:p>
        </w:tc>
        <w:tc>
          <w:tcPr>
            <w:tcW w:w="1134" w:type="dxa"/>
            <w:tcBorders>
              <w:top w:val="nil"/>
              <w:left w:val="nil"/>
              <w:bottom w:val="single" w:sz="4" w:space="0" w:color="auto"/>
              <w:right w:val="single" w:sz="4" w:space="0" w:color="auto"/>
            </w:tcBorders>
            <w:shd w:val="clear" w:color="auto" w:fill="C6EFCE"/>
            <w:noWrap/>
            <w:vAlign w:val="center"/>
          </w:tcPr>
          <w:p w14:paraId="2FE1204E" w14:textId="5E35997E" w:rsidR="00F208CE" w:rsidRDefault="00513E84">
            <w:pPr>
              <w:pStyle w:val="P68B1DB1-Normal8"/>
              <w:spacing w:after="0"/>
              <w:jc w:val="center"/>
              <w:rPr>
                <w:rFonts w:eastAsia="Times New Roman" w:cs="Times New Roman"/>
                <w:noProof/>
              </w:rPr>
            </w:pPr>
            <w:r>
              <w:rPr>
                <w:noProof/>
              </w:rPr>
              <w:t>T</w:t>
            </w:r>
          </w:p>
        </w:tc>
        <w:tc>
          <w:tcPr>
            <w:tcW w:w="1559" w:type="dxa"/>
            <w:tcBorders>
              <w:top w:val="nil"/>
              <w:left w:val="nil"/>
              <w:bottom w:val="single" w:sz="4" w:space="0" w:color="auto"/>
              <w:right w:val="single" w:sz="4" w:space="0" w:color="auto"/>
            </w:tcBorders>
            <w:shd w:val="clear" w:color="auto" w:fill="C6EFCE"/>
            <w:noWrap/>
            <w:vAlign w:val="center"/>
          </w:tcPr>
          <w:p w14:paraId="6AA12F0B" w14:textId="0B73887D" w:rsidR="00F208CE" w:rsidRDefault="00513E84">
            <w:pPr>
              <w:pStyle w:val="P68B1DB1-Normal8"/>
              <w:spacing w:after="0"/>
              <w:rPr>
                <w:rFonts w:cs="Times New Roman"/>
                <w:noProof/>
              </w:rPr>
            </w:pPr>
            <w:r>
              <w:rPr>
                <w:noProof/>
              </w:rPr>
              <w:t>Desarrollo de la oferta de aprendizaje electrónico en Flandes</w:t>
            </w:r>
          </w:p>
        </w:tc>
        <w:tc>
          <w:tcPr>
            <w:tcW w:w="1418" w:type="dxa"/>
            <w:tcBorders>
              <w:top w:val="nil"/>
              <w:left w:val="nil"/>
              <w:bottom w:val="single" w:sz="4" w:space="0" w:color="auto"/>
              <w:right w:val="single" w:sz="4" w:space="0" w:color="auto"/>
            </w:tcBorders>
            <w:shd w:val="clear" w:color="auto" w:fill="C6EFCE"/>
            <w:noWrap/>
            <w:vAlign w:val="center"/>
          </w:tcPr>
          <w:p w14:paraId="4496A99D" w14:textId="77777777" w:rsidR="00F208CE" w:rsidRDefault="00F208CE">
            <w:pPr>
              <w:spacing w:after="0"/>
              <w:rPr>
                <w:rFonts w:ascii="Times New Roman" w:eastAsia="Times New Roman" w:hAnsi="Times New Roman" w:cs="Times New Roman"/>
                <w:noProof/>
                <w:color w:val="006100"/>
              </w:rPr>
            </w:pPr>
          </w:p>
        </w:tc>
        <w:tc>
          <w:tcPr>
            <w:tcW w:w="1311" w:type="dxa"/>
            <w:tcBorders>
              <w:top w:val="nil"/>
              <w:left w:val="nil"/>
              <w:bottom w:val="single" w:sz="4" w:space="0" w:color="auto"/>
              <w:right w:val="single" w:sz="4" w:space="0" w:color="auto"/>
            </w:tcBorders>
            <w:shd w:val="clear" w:color="auto" w:fill="C6EFCE"/>
            <w:noWrap/>
            <w:vAlign w:val="center"/>
          </w:tcPr>
          <w:p w14:paraId="62F5C619" w14:textId="77777777" w:rsidR="00F208CE" w:rsidRDefault="00513E84">
            <w:pPr>
              <w:pStyle w:val="P68B1DB1-Normal8"/>
              <w:spacing w:after="0"/>
              <w:rPr>
                <w:rFonts w:cs="Times New Roman"/>
                <w:noProof/>
              </w:rPr>
            </w:pPr>
            <w:r>
              <w:rPr>
                <w:noProof/>
              </w:rPr>
              <w:t>Proyectos de aprendizaje electrónico</w:t>
            </w:r>
          </w:p>
        </w:tc>
        <w:tc>
          <w:tcPr>
            <w:tcW w:w="957" w:type="dxa"/>
            <w:tcBorders>
              <w:top w:val="nil"/>
              <w:left w:val="nil"/>
              <w:bottom w:val="single" w:sz="4" w:space="0" w:color="auto"/>
              <w:right w:val="single" w:sz="4" w:space="0" w:color="auto"/>
            </w:tcBorders>
            <w:shd w:val="clear" w:color="auto" w:fill="C6EFCE"/>
            <w:noWrap/>
            <w:vAlign w:val="center"/>
          </w:tcPr>
          <w:p w14:paraId="09BD93AA" w14:textId="77777777" w:rsidR="00F208CE" w:rsidRDefault="00513E84">
            <w:pPr>
              <w:pStyle w:val="P68B1DB1-Normal8"/>
              <w:spacing w:after="0"/>
              <w:rPr>
                <w:rFonts w:cs="Times New Roman"/>
                <w:noProof/>
              </w:rPr>
            </w:pPr>
            <w:r>
              <w:rPr>
                <w:noProof/>
              </w:rPr>
              <w:t>0</w:t>
            </w:r>
          </w:p>
        </w:tc>
        <w:tc>
          <w:tcPr>
            <w:tcW w:w="992" w:type="dxa"/>
            <w:tcBorders>
              <w:top w:val="nil"/>
              <w:left w:val="nil"/>
              <w:bottom w:val="single" w:sz="4" w:space="0" w:color="auto"/>
              <w:right w:val="single" w:sz="4" w:space="0" w:color="auto"/>
            </w:tcBorders>
            <w:shd w:val="clear" w:color="auto" w:fill="C6EFCE"/>
            <w:noWrap/>
            <w:vAlign w:val="center"/>
          </w:tcPr>
          <w:p w14:paraId="48D6876C" w14:textId="4CFD25C0" w:rsidR="00F208CE" w:rsidRDefault="00513E84">
            <w:pPr>
              <w:pStyle w:val="P68B1DB1-Normal8"/>
              <w:spacing w:after="0"/>
              <w:rPr>
                <w:rFonts w:cs="Times New Roman"/>
                <w:noProof/>
              </w:rPr>
            </w:pPr>
            <w:r>
              <w:rPr>
                <w:noProof/>
              </w:rPr>
              <w:t xml:space="preserve">37 </w:t>
            </w:r>
          </w:p>
        </w:tc>
        <w:tc>
          <w:tcPr>
            <w:tcW w:w="992" w:type="dxa"/>
            <w:tcBorders>
              <w:top w:val="nil"/>
              <w:left w:val="nil"/>
              <w:bottom w:val="single" w:sz="4" w:space="0" w:color="auto"/>
              <w:right w:val="single" w:sz="4" w:space="0" w:color="auto"/>
            </w:tcBorders>
            <w:shd w:val="clear" w:color="auto" w:fill="C6EFCE"/>
            <w:noWrap/>
            <w:vAlign w:val="center"/>
          </w:tcPr>
          <w:p w14:paraId="69160995" w14:textId="77777777" w:rsidR="00F208CE" w:rsidRDefault="00513E84">
            <w:pPr>
              <w:pStyle w:val="P68B1DB1-Normal8"/>
              <w:spacing w:after="0"/>
              <w:jc w:val="center"/>
              <w:rPr>
                <w:rFonts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0D7A80AF" w14:textId="77777777" w:rsidR="00F208CE" w:rsidRDefault="00513E84">
            <w:pPr>
              <w:pStyle w:val="P68B1DB1-Normal8"/>
              <w:spacing w:after="0"/>
              <w:jc w:val="center"/>
              <w:rPr>
                <w:rFonts w:cs="Times New Roman"/>
                <w:noProof/>
              </w:rPr>
            </w:pPr>
            <w:r>
              <w:rPr>
                <w:noProof/>
              </w:rPr>
              <w:t>2022</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FA76E1A" w14:textId="1C677A91" w:rsidR="00F208CE" w:rsidRDefault="00513E84">
            <w:pPr>
              <w:pStyle w:val="P68B1DB1-Normal8"/>
              <w:spacing w:after="0"/>
              <w:rPr>
                <w:rFonts w:eastAsia="Times New Roman" w:cs="Times New Roman"/>
                <w:strike/>
                <w:noProof/>
              </w:rPr>
            </w:pPr>
            <w:r>
              <w:rPr>
                <w:noProof/>
              </w:rPr>
              <w:t xml:space="preserve">Se aprueban, ponen en marcha y concluyen 37 </w:t>
            </w:r>
            <w:r>
              <w:rPr>
                <w:noProof/>
              </w:rPr>
              <w:t>proyectos de aprendizaje electrónico tras una convocatoria de proyectos.</w:t>
            </w:r>
          </w:p>
        </w:tc>
      </w:tr>
      <w:tr w:rsidR="00F208CE" w14:paraId="6F02310C"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01588F8E" w14:textId="77777777" w:rsidR="00F208CE" w:rsidRDefault="00513E84">
            <w:pPr>
              <w:pStyle w:val="P68B1DB1-Normal8"/>
              <w:spacing w:after="0"/>
              <w:jc w:val="center"/>
              <w:rPr>
                <w:rFonts w:eastAsia="Times New Roman" w:cs="Times New Roman"/>
                <w:noProof/>
              </w:rPr>
            </w:pPr>
            <w:r>
              <w:rPr>
                <w:noProof/>
              </w:rPr>
              <w:t>170</w:t>
            </w:r>
          </w:p>
        </w:tc>
        <w:tc>
          <w:tcPr>
            <w:tcW w:w="1560" w:type="dxa"/>
            <w:tcBorders>
              <w:top w:val="nil"/>
              <w:left w:val="nil"/>
              <w:bottom w:val="single" w:sz="4" w:space="0" w:color="auto"/>
              <w:right w:val="single" w:sz="4" w:space="0" w:color="auto"/>
            </w:tcBorders>
            <w:shd w:val="clear" w:color="auto" w:fill="C6EFCE"/>
            <w:noWrap/>
            <w:vAlign w:val="center"/>
          </w:tcPr>
          <w:p w14:paraId="3D87E7B1" w14:textId="77777777" w:rsidR="00F208CE" w:rsidRDefault="00513E84">
            <w:pPr>
              <w:pStyle w:val="P68B1DB1-Normal8"/>
              <w:spacing w:after="0"/>
              <w:rPr>
                <w:rFonts w:eastAsia="Times New Roman" w:cs="Times New Roman"/>
                <w:noProof/>
              </w:rPr>
            </w:pPr>
            <w:r>
              <w:rPr>
                <w:noProof/>
              </w:rPr>
              <w:t>Competencias digitales (I-5.06)</w:t>
            </w:r>
          </w:p>
        </w:tc>
        <w:tc>
          <w:tcPr>
            <w:tcW w:w="1134" w:type="dxa"/>
            <w:tcBorders>
              <w:top w:val="nil"/>
              <w:left w:val="nil"/>
              <w:bottom w:val="single" w:sz="4" w:space="0" w:color="auto"/>
              <w:right w:val="single" w:sz="4" w:space="0" w:color="auto"/>
            </w:tcBorders>
            <w:shd w:val="clear" w:color="auto" w:fill="C6EFCE"/>
            <w:noWrap/>
            <w:vAlign w:val="center"/>
          </w:tcPr>
          <w:p w14:paraId="21D0587B" w14:textId="3F905649" w:rsidR="00F208CE" w:rsidRDefault="00513E84">
            <w:pPr>
              <w:pStyle w:val="P68B1DB1-Normal8"/>
              <w:spacing w:after="0"/>
              <w:jc w:val="center"/>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50DF2A31" w14:textId="77777777" w:rsidR="00F208CE" w:rsidRDefault="00513E84">
            <w:pPr>
              <w:pStyle w:val="P68B1DB1-Normal8"/>
              <w:spacing w:after="0"/>
              <w:rPr>
                <w:rFonts w:eastAsia="Times New Roman" w:cs="Times New Roman"/>
                <w:noProof/>
              </w:rPr>
            </w:pPr>
            <w:r>
              <w:rPr>
                <w:noProof/>
              </w:rPr>
              <w:t>Herramientas y servicios digitales para los ciudadanos, los empleadores y los socios del Servicio Público de Empleo de Flandes (VDAB) plenamente</w:t>
            </w:r>
            <w:r>
              <w:rPr>
                <w:noProof/>
              </w:rPr>
              <w:t xml:space="preserve"> desplegados en Flandes</w:t>
            </w:r>
          </w:p>
        </w:tc>
        <w:tc>
          <w:tcPr>
            <w:tcW w:w="1418" w:type="dxa"/>
            <w:tcBorders>
              <w:top w:val="nil"/>
              <w:left w:val="nil"/>
              <w:bottom w:val="single" w:sz="4" w:space="0" w:color="auto"/>
              <w:right w:val="single" w:sz="4" w:space="0" w:color="auto"/>
            </w:tcBorders>
            <w:shd w:val="clear" w:color="auto" w:fill="C6EFCE"/>
            <w:noWrap/>
            <w:vAlign w:val="center"/>
          </w:tcPr>
          <w:p w14:paraId="1C628CE5" w14:textId="77777777" w:rsidR="00F208CE" w:rsidRDefault="00513E84">
            <w:pPr>
              <w:pStyle w:val="P68B1DB1-Normal8"/>
              <w:rPr>
                <w:rFonts w:eastAsia="Times New Roman" w:cs="Times New Roman"/>
                <w:noProof/>
              </w:rPr>
            </w:pPr>
            <w:r>
              <w:rPr>
                <w:noProof/>
              </w:rPr>
              <w:t>Informe de gestión y seguimiento de las políticas del VDAB y del Departamento WSE</w:t>
            </w:r>
          </w:p>
        </w:tc>
        <w:tc>
          <w:tcPr>
            <w:tcW w:w="1311" w:type="dxa"/>
            <w:tcBorders>
              <w:top w:val="nil"/>
              <w:left w:val="nil"/>
              <w:bottom w:val="single" w:sz="4" w:space="0" w:color="auto"/>
              <w:right w:val="single" w:sz="4" w:space="0" w:color="auto"/>
            </w:tcBorders>
            <w:shd w:val="clear" w:color="auto" w:fill="C6EFCE"/>
            <w:noWrap/>
            <w:vAlign w:val="center"/>
          </w:tcPr>
          <w:p w14:paraId="0BC3E0AC" w14:textId="3AFF507D" w:rsidR="00F208CE" w:rsidRDefault="00F208CE">
            <w:pPr>
              <w:spacing w:after="0"/>
              <w:rPr>
                <w:rFonts w:ascii="Times New Roman" w:eastAsia="Times New Roman" w:hAnsi="Times New Roman" w:cs="Times New Roman"/>
                <w:noProof/>
                <w:color w:val="006100"/>
              </w:rPr>
            </w:pPr>
          </w:p>
        </w:tc>
        <w:tc>
          <w:tcPr>
            <w:tcW w:w="957" w:type="dxa"/>
            <w:tcBorders>
              <w:top w:val="nil"/>
              <w:left w:val="nil"/>
              <w:bottom w:val="single" w:sz="4" w:space="0" w:color="auto"/>
              <w:right w:val="single" w:sz="4" w:space="0" w:color="auto"/>
            </w:tcBorders>
            <w:shd w:val="clear" w:color="auto" w:fill="C6EFCE"/>
            <w:noWrap/>
            <w:vAlign w:val="center"/>
          </w:tcPr>
          <w:p w14:paraId="748ED1CA" w14:textId="7CF90C4B"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26133223" w14:textId="292EE9B8"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49773704"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7D86672C" w14:textId="48D5DEA6" w:rsidR="00F208CE" w:rsidRDefault="00513E84">
            <w:pPr>
              <w:pStyle w:val="P68B1DB1-Normal8"/>
              <w:spacing w:after="0"/>
              <w:jc w:val="center"/>
              <w:rPr>
                <w:rFonts w:eastAsia="Times New Roman" w:cs="Times New Roman"/>
                <w:noProof/>
              </w:rPr>
            </w:pPr>
            <w:r>
              <w:rPr>
                <w:noProof/>
              </w:rPr>
              <w:t>2024</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830F135" w14:textId="77777777" w:rsidR="00F208CE" w:rsidRDefault="00513E84">
            <w:pPr>
              <w:pStyle w:val="P68B1DB1-Normal8"/>
              <w:spacing w:after="0"/>
              <w:rPr>
                <w:rFonts w:cs="Times New Roman"/>
                <w:noProof/>
              </w:rPr>
            </w:pPr>
            <w:r>
              <w:rPr>
                <w:noProof/>
              </w:rPr>
              <w:t>El informe certifica el pleno despliegue de las siguientes herramientas y servicios digitales para los ciudadanos, los empl</w:t>
            </w:r>
            <w:r>
              <w:rPr>
                <w:noProof/>
              </w:rPr>
              <w:t>eadores y los socios del VDAB plenamente desplegados en Flandes:</w:t>
            </w:r>
          </w:p>
          <w:p w14:paraId="78A23938" w14:textId="77777777" w:rsidR="00F208CE" w:rsidRDefault="00513E84">
            <w:pPr>
              <w:pStyle w:val="P68B1DB1-Normal8"/>
              <w:spacing w:after="0"/>
              <w:rPr>
                <w:rFonts w:cs="Times New Roman"/>
                <w:noProof/>
              </w:rPr>
            </w:pPr>
            <w:r>
              <w:rPr>
                <w:noProof/>
              </w:rPr>
              <w:t>1. 1 Una plataforma profesional digital personalizada, junto con una oferta personalizada de oportunidades de formación e incentivos para los ciudadanos, es accesible y operativa.</w:t>
            </w:r>
          </w:p>
          <w:p w14:paraId="027A17AD" w14:textId="77777777" w:rsidR="00F208CE" w:rsidRDefault="00513E84">
            <w:pPr>
              <w:pStyle w:val="P68B1DB1-Normal8"/>
              <w:spacing w:after="0"/>
              <w:rPr>
                <w:rFonts w:cs="Times New Roman"/>
                <w:noProof/>
              </w:rPr>
            </w:pPr>
            <w:r>
              <w:rPr>
                <w:noProof/>
              </w:rPr>
              <w:t>2. El conta</w:t>
            </w:r>
            <w:r>
              <w:rPr>
                <w:noProof/>
              </w:rPr>
              <w:t>dor digital del empleador del VDAB y la plataforma digital asociada están operativos, lo que permite a los mediadores del VDAB ponerse activamente en contacto con todos los empleadores con vacantes en el marco de la gestión compartida y ayudarles digitalme</w:t>
            </w:r>
            <w:r>
              <w:rPr>
                <w:noProof/>
              </w:rPr>
              <w:t>nte a cubrir las vacantes. El seguimiento de todos los socios del VDAB también se lleva a cabo a través de la plataforma de socios digitales.</w:t>
            </w:r>
          </w:p>
          <w:p w14:paraId="20EB04EB" w14:textId="77777777" w:rsidR="00F208CE" w:rsidRDefault="00513E84">
            <w:pPr>
              <w:pStyle w:val="NumPar1"/>
              <w:numPr>
                <w:ilvl w:val="0"/>
                <w:numId w:val="0"/>
              </w:numPr>
              <w:spacing w:before="0" w:after="0"/>
              <w:jc w:val="left"/>
              <w:rPr>
                <w:noProof/>
                <w:color w:val="006100"/>
                <w:sz w:val="22"/>
              </w:rPr>
            </w:pPr>
            <w:r>
              <w:rPr>
                <w:noProof/>
                <w:color w:val="006100"/>
                <w:sz w:val="22"/>
              </w:rPr>
              <w:t>3.</w:t>
            </w:r>
            <w:r>
              <w:rPr>
                <w:noProof/>
              </w:rPr>
              <w:t xml:space="preserve"> </w:t>
            </w:r>
            <w:r>
              <w:rPr>
                <w:noProof/>
                <w:color w:val="006100"/>
                <w:sz w:val="22"/>
              </w:rPr>
              <w:t>3 Los servicios digitales a los empleadores se han ampliado a través de un mostrador digital del Ministerio WSE</w:t>
            </w:r>
            <w:r>
              <w:rPr>
                <w:noProof/>
                <w:color w:val="006100"/>
                <w:sz w:val="22"/>
              </w:rPr>
              <w:t xml:space="preserve"> accesible a todos los empleadores.</w:t>
            </w:r>
          </w:p>
          <w:p w14:paraId="73286045" w14:textId="1482B7C5" w:rsidR="00F208CE" w:rsidRDefault="00513E84">
            <w:pPr>
              <w:pStyle w:val="P68B1DB1-Normal8"/>
              <w:spacing w:after="0"/>
              <w:rPr>
                <w:rFonts w:eastAsia="Times New Roman" w:cs="Times New Roman"/>
                <w:noProof/>
              </w:rPr>
            </w:pPr>
            <w:r>
              <w:rPr>
                <w:noProof/>
              </w:rPr>
              <w:t>4. Puesta en funcionamiento del ecosistema de datos del Departamento WSE para los socios: 15 conjuntos de datos pertinentes están disponibles en la plataforma de datos abiertos para fines de investigación y otros fines</w:t>
            </w:r>
          </w:p>
        </w:tc>
      </w:tr>
      <w:tr w:rsidR="00F208CE" w14:paraId="1158F2A1" w14:textId="77777777">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208E79" w14:textId="77777777" w:rsidR="00F208CE" w:rsidRDefault="00513E84">
            <w:pPr>
              <w:pStyle w:val="P68B1DB1-Normal8"/>
              <w:spacing w:after="0"/>
              <w:jc w:val="center"/>
              <w:rPr>
                <w:rFonts w:eastAsia="Times New Roman" w:cs="Times New Roman"/>
                <w:noProof/>
              </w:rPr>
            </w:pPr>
            <w:r>
              <w:rPr>
                <w:noProof/>
              </w:rPr>
              <w:t>171</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76068E32" w14:textId="46908FFF" w:rsidR="00F208CE" w:rsidRDefault="00513E84">
            <w:pPr>
              <w:pStyle w:val="P68B1DB1-Normal8"/>
              <w:spacing w:after="0"/>
              <w:rPr>
                <w:rFonts w:eastAsia="Times New Roman" w:cs="Times New Roman"/>
                <w:noProof/>
              </w:rPr>
            </w:pPr>
            <w:r>
              <w:rPr>
                <w:noProof/>
              </w:rPr>
              <w:t>Aprendizaje permanente digital (I-5.07)</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48A16FC" w14:textId="6E087916" w:rsidR="00F208CE" w:rsidRDefault="00513E84">
            <w:pPr>
              <w:pStyle w:val="P68B1DB1-Normal8"/>
              <w:spacing w:after="0"/>
              <w:jc w:val="center"/>
              <w:rPr>
                <w:rFonts w:eastAsia="Times New Roman"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70A0C771" w14:textId="77777777" w:rsidR="00F208CE" w:rsidRDefault="00513E84">
            <w:pPr>
              <w:pStyle w:val="P68B1DB1-Normal8"/>
              <w:spacing w:after="0"/>
              <w:rPr>
                <w:rFonts w:eastAsia="Times New Roman" w:cs="Times New Roman"/>
                <w:noProof/>
              </w:rPr>
            </w:pPr>
            <w:r>
              <w:rPr>
                <w:noProof/>
              </w:rPr>
              <w:t xml:space="preserve">Modernización de la prestación de asesoramiento y formación en competencias digitales, incluidas las competencias digitales básicas en Valonia, a través de herramientas digitales, infraestructuras de </w:t>
            </w:r>
            <w:r>
              <w:rPr>
                <w:noProof/>
              </w:rPr>
              <w:t>vanguardia, tutorías competentes y proyectos innovadores.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63102AAB" w14:textId="32F0F6E4" w:rsidR="00F208CE" w:rsidRDefault="00513E84">
            <w:pPr>
              <w:pStyle w:val="P68B1DB1-Normal8"/>
              <w:spacing w:after="0"/>
              <w:rPr>
                <w:rFonts w:eastAsia="Times New Roman" w:cs="Times New Roman"/>
                <w:noProof/>
              </w:rPr>
            </w:pPr>
            <w:r>
              <w:rPr>
                <w:noProof/>
              </w:rPr>
              <w:t>Informe que confirme la finalización de los distintos proyectos</w:t>
            </w:r>
          </w:p>
        </w:tc>
        <w:tc>
          <w:tcPr>
            <w:tcW w:w="1311" w:type="dxa"/>
            <w:tcBorders>
              <w:top w:val="single" w:sz="4" w:space="0" w:color="auto"/>
              <w:left w:val="nil"/>
              <w:bottom w:val="single" w:sz="4" w:space="0" w:color="auto"/>
              <w:right w:val="single" w:sz="4" w:space="0" w:color="auto"/>
            </w:tcBorders>
            <w:shd w:val="clear" w:color="auto" w:fill="C6EFCE"/>
            <w:noWrap/>
            <w:vAlign w:val="center"/>
          </w:tcPr>
          <w:p w14:paraId="7E41BC42" w14:textId="45BBFF22" w:rsidR="00F208CE" w:rsidRDefault="00F208CE">
            <w:pPr>
              <w:spacing w:after="0"/>
              <w:rPr>
                <w:rFonts w:ascii="Times New Roman" w:eastAsia="Times New Roman" w:hAnsi="Times New Roman" w:cs="Times New Roman"/>
                <w:noProof/>
                <w:color w:val="006100"/>
              </w:rPr>
            </w:pPr>
          </w:p>
        </w:tc>
        <w:tc>
          <w:tcPr>
            <w:tcW w:w="957" w:type="dxa"/>
            <w:tcBorders>
              <w:top w:val="single" w:sz="4" w:space="0" w:color="auto"/>
              <w:left w:val="nil"/>
              <w:bottom w:val="single" w:sz="4" w:space="0" w:color="auto"/>
              <w:right w:val="single" w:sz="4" w:space="0" w:color="auto"/>
            </w:tcBorders>
            <w:shd w:val="clear" w:color="auto" w:fill="C6EFCE"/>
            <w:noWrap/>
            <w:vAlign w:val="center"/>
          </w:tcPr>
          <w:p w14:paraId="3AE01D86" w14:textId="0C7F8D2D"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2D966BC" w14:textId="751681EA" w:rsidR="00F208CE" w:rsidRDefault="00F208CE">
            <w:pPr>
              <w:spacing w:after="0"/>
              <w:rPr>
                <w:rFonts w:ascii="Times New Roman" w:eastAsia="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94717F5" w14:textId="77777777" w:rsidR="00F208CE" w:rsidRDefault="00513E84">
            <w:pPr>
              <w:pStyle w:val="P68B1DB1-Normal8"/>
              <w:spacing w:after="0"/>
              <w:jc w:val="center"/>
              <w:rPr>
                <w:rFonts w:eastAsia="Times New Roman" w:cs="Times New Roman"/>
                <w:noProof/>
              </w:rPr>
            </w:pPr>
            <w:r>
              <w:rPr>
                <w:noProof/>
              </w:rPr>
              <w:t>TERCER TRIMESTRE 2</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276EEDCB" w14:textId="77777777" w:rsidR="00F208CE" w:rsidRDefault="00513E84">
            <w:pPr>
              <w:pStyle w:val="P68B1DB1-Normal8"/>
              <w:spacing w:after="0"/>
              <w:jc w:val="center"/>
              <w:rPr>
                <w:rFonts w:eastAsia="Times New Roman" w:cs="Times New Roman"/>
                <w:noProof/>
              </w:rPr>
            </w:pPr>
            <w:r>
              <w:rPr>
                <w:noProof/>
              </w:rPr>
              <w:t>2026</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65A54BC7" w14:textId="52D9BAA3" w:rsidR="00F208CE" w:rsidRDefault="00513E84">
            <w:pPr>
              <w:pStyle w:val="P68B1DB1-Normal8"/>
              <w:rPr>
                <w:rFonts w:eastAsia="Calibri" w:cs="Times New Roman"/>
                <w:noProof/>
              </w:rPr>
            </w:pPr>
            <w:r>
              <w:rPr>
                <w:noProof/>
              </w:rPr>
              <w:t>Se pondrán a disposición y estarán operativos equipos de TIC para 39 espacios de formación inmersivos del I</w:t>
            </w:r>
            <w:r>
              <w:rPr>
                <w:noProof/>
              </w:rPr>
              <w:t>nstituto valón de formación alternativa para los trabajadores autónomos y las pequeñas y medianas empresas (IFAPME) (22 centros de formación, 17 centros de servicios locales). 9 emplazamientos de los servicios públicos de empleo valones (FOREM) se transfor</w:t>
            </w:r>
            <w:r>
              <w:rPr>
                <w:noProof/>
              </w:rPr>
              <w:t>marán y equipararán en fábricas digitales (4 renovadas y 5 construidas) y 1 se equipararán como plataforma de remodelación de CTIM. Las necesidades básicas de formación digital se integrarán en los programas de formación actuales, así como en los programas</w:t>
            </w:r>
            <w:r>
              <w:rPr>
                <w:noProof/>
              </w:rPr>
              <w:t xml:space="preserve"> de formación recientemente desarrollados en el sector de las tecnologías de la información, sobre la base de las necesidades del mercado laboral, y, sobre esta base, se ofrecerán al personal docente y a los trabajadores en prácticas 10 000 horas de formac</w:t>
            </w:r>
            <w:r>
              <w:rPr>
                <w:noProof/>
              </w:rPr>
              <w:t>ión pedagógica para la transición digital. Se construirán o adaptarán 6 000 m² de infraestructuras de formación que incluyan formación en competencias digitales.</w:t>
            </w:r>
          </w:p>
        </w:tc>
      </w:tr>
      <w:tr w:rsidR="00F208CE" w14:paraId="78D21664"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1C60BC18" w14:textId="77777777" w:rsidR="00F208CE" w:rsidRDefault="00513E84">
            <w:pPr>
              <w:pStyle w:val="P68B1DB1-Normal8"/>
              <w:spacing w:after="0"/>
              <w:jc w:val="center"/>
              <w:rPr>
                <w:rFonts w:eastAsia="Times New Roman" w:cs="Times New Roman"/>
                <w:noProof/>
              </w:rPr>
            </w:pPr>
            <w:r>
              <w:rPr>
                <w:noProof/>
              </w:rPr>
              <w:t>172</w:t>
            </w:r>
          </w:p>
        </w:tc>
        <w:tc>
          <w:tcPr>
            <w:tcW w:w="1560" w:type="dxa"/>
            <w:tcBorders>
              <w:top w:val="nil"/>
              <w:left w:val="nil"/>
              <w:bottom w:val="single" w:sz="4" w:space="0" w:color="auto"/>
              <w:right w:val="single" w:sz="4" w:space="0" w:color="auto"/>
            </w:tcBorders>
            <w:shd w:val="clear" w:color="auto" w:fill="C6EFCE"/>
            <w:noWrap/>
            <w:vAlign w:val="center"/>
          </w:tcPr>
          <w:p w14:paraId="461CA1A3" w14:textId="77777777" w:rsidR="00F208CE" w:rsidRDefault="00513E84">
            <w:pPr>
              <w:pStyle w:val="P68B1DB1-Normal8"/>
              <w:spacing w:after="0"/>
              <w:rPr>
                <w:rFonts w:eastAsia="Times New Roman" w:cs="Times New Roman"/>
                <w:noProof/>
              </w:rPr>
            </w:pPr>
            <w:r>
              <w:rPr>
                <w:noProof/>
              </w:rPr>
              <w:t>Cuenta de aprendizaje (R-5.03)</w:t>
            </w:r>
          </w:p>
        </w:tc>
        <w:tc>
          <w:tcPr>
            <w:tcW w:w="1134" w:type="dxa"/>
            <w:tcBorders>
              <w:top w:val="nil"/>
              <w:left w:val="nil"/>
              <w:bottom w:val="single" w:sz="4" w:space="0" w:color="auto"/>
              <w:right w:val="single" w:sz="4" w:space="0" w:color="auto"/>
            </w:tcBorders>
            <w:shd w:val="clear" w:color="auto" w:fill="C6EFCE"/>
            <w:noWrap/>
            <w:vAlign w:val="center"/>
          </w:tcPr>
          <w:p w14:paraId="5371B78A" w14:textId="0B41AA54" w:rsidR="00F208CE" w:rsidRDefault="00513E84">
            <w:pPr>
              <w:pStyle w:val="P68B1DB1-Normal8"/>
              <w:spacing w:after="0"/>
              <w:jc w:val="center"/>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4C9B145B" w14:textId="77777777" w:rsidR="00F208CE" w:rsidRDefault="00513E84">
            <w:pPr>
              <w:pStyle w:val="P68B1DB1-Normal8"/>
              <w:spacing w:after="0"/>
              <w:rPr>
                <w:rFonts w:eastAsia="Times New Roman" w:cs="Times New Roman"/>
                <w:noProof/>
              </w:rPr>
            </w:pPr>
            <w:r>
              <w:rPr>
                <w:noProof/>
              </w:rPr>
              <w:t xml:space="preserve">Reforma federal que desarrolla el derecho individual a </w:t>
            </w:r>
            <w:r>
              <w:rPr>
                <w:noProof/>
              </w:rPr>
              <w:t>la formación de los trabajadores.</w:t>
            </w:r>
          </w:p>
        </w:tc>
        <w:tc>
          <w:tcPr>
            <w:tcW w:w="1418" w:type="dxa"/>
            <w:tcBorders>
              <w:top w:val="nil"/>
              <w:left w:val="nil"/>
              <w:bottom w:val="single" w:sz="4" w:space="0" w:color="auto"/>
              <w:right w:val="single" w:sz="4" w:space="0" w:color="auto"/>
            </w:tcBorders>
            <w:shd w:val="clear" w:color="auto" w:fill="C6EFCE"/>
            <w:noWrap/>
            <w:vAlign w:val="center"/>
          </w:tcPr>
          <w:p w14:paraId="7468BE1F" w14:textId="77777777" w:rsidR="00F208CE" w:rsidRDefault="00513E84">
            <w:pPr>
              <w:pStyle w:val="P68B1DB1-Normal8"/>
              <w:spacing w:after="0"/>
              <w:rPr>
                <w:rFonts w:eastAsia="Times New Roman" w:cs="Times New Roman"/>
                <w:noProof/>
              </w:rPr>
            </w:pPr>
            <w:r>
              <w:rPr>
                <w:noProof/>
              </w:rPr>
              <w:t>Publicación en el Diario Oficial</w:t>
            </w:r>
          </w:p>
        </w:tc>
        <w:tc>
          <w:tcPr>
            <w:tcW w:w="1311" w:type="dxa"/>
            <w:tcBorders>
              <w:top w:val="nil"/>
              <w:left w:val="nil"/>
              <w:bottom w:val="single" w:sz="4" w:space="0" w:color="auto"/>
              <w:right w:val="single" w:sz="4" w:space="0" w:color="auto"/>
            </w:tcBorders>
            <w:shd w:val="clear" w:color="auto" w:fill="C6EFCE"/>
            <w:noWrap/>
            <w:vAlign w:val="center"/>
          </w:tcPr>
          <w:p w14:paraId="7152AE02" w14:textId="6E3B03FD" w:rsidR="00F208CE" w:rsidRDefault="00F208CE">
            <w:pPr>
              <w:spacing w:after="0"/>
              <w:rPr>
                <w:rFonts w:ascii="Times New Roman" w:eastAsia="Times New Roman" w:hAnsi="Times New Roman" w:cs="Times New Roman"/>
                <w:noProof/>
                <w:color w:val="006100"/>
              </w:rPr>
            </w:pPr>
          </w:p>
        </w:tc>
        <w:tc>
          <w:tcPr>
            <w:tcW w:w="957" w:type="dxa"/>
            <w:tcBorders>
              <w:top w:val="nil"/>
              <w:left w:val="nil"/>
              <w:bottom w:val="single" w:sz="4" w:space="0" w:color="auto"/>
              <w:right w:val="single" w:sz="4" w:space="0" w:color="auto"/>
            </w:tcBorders>
            <w:shd w:val="clear" w:color="auto" w:fill="C6EFCE"/>
            <w:noWrap/>
            <w:vAlign w:val="center"/>
          </w:tcPr>
          <w:p w14:paraId="0BEA8195" w14:textId="43B22D13"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3E79F889" w14:textId="2B7063C8"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68407D94"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0D1E807E" w14:textId="77777777" w:rsidR="00F208CE" w:rsidRDefault="00513E84">
            <w:pPr>
              <w:pStyle w:val="P68B1DB1-Normal8"/>
              <w:spacing w:after="0"/>
              <w:jc w:val="center"/>
              <w:rPr>
                <w:rFonts w:eastAsia="Times New Roman" w:cs="Times New Roman"/>
                <w:noProof/>
              </w:rPr>
            </w:pPr>
            <w:r>
              <w:rPr>
                <w:noProof/>
              </w:rPr>
              <w:t>2021</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66342090" w14:textId="77777777" w:rsidR="00F208CE" w:rsidRDefault="00513E84">
            <w:pPr>
              <w:pStyle w:val="P68B1DB1-Normal8"/>
              <w:spacing w:after="0"/>
              <w:rPr>
                <w:rFonts w:cs="Times New Roman"/>
                <w:noProof/>
              </w:rPr>
            </w:pPr>
            <w:r>
              <w:rPr>
                <w:noProof/>
              </w:rPr>
              <w:t>Sobre la base del diálogo entre los interlocutores sociales y el Gobierno federal, la adopción de la revisión de la Ley de 5 de marzo de 2017 sobre un trabajo via</w:t>
            </w:r>
            <w:r>
              <w:rPr>
                <w:noProof/>
              </w:rPr>
              <w:t>ble y gestionable, introduciendo un itinerario que garantice que, a partir de 2024, todos los trabajadores tengan derecho a una media de 5 días de formación al año.</w:t>
            </w:r>
          </w:p>
        </w:tc>
      </w:tr>
      <w:tr w:rsidR="00F208CE" w14:paraId="3D6EDFD9"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2EB1F19E" w14:textId="77777777" w:rsidR="00F208CE" w:rsidRDefault="00513E84">
            <w:pPr>
              <w:pStyle w:val="P68B1DB1-Normal8"/>
              <w:spacing w:after="0"/>
              <w:jc w:val="center"/>
              <w:rPr>
                <w:rFonts w:eastAsia="Times New Roman" w:cs="Times New Roman"/>
                <w:noProof/>
              </w:rPr>
            </w:pPr>
            <w:r>
              <w:rPr>
                <w:noProof/>
              </w:rPr>
              <w:t>173</w:t>
            </w:r>
          </w:p>
        </w:tc>
        <w:tc>
          <w:tcPr>
            <w:tcW w:w="1560" w:type="dxa"/>
            <w:tcBorders>
              <w:top w:val="nil"/>
              <w:left w:val="nil"/>
              <w:bottom w:val="single" w:sz="4" w:space="0" w:color="auto"/>
              <w:right w:val="single" w:sz="4" w:space="0" w:color="auto"/>
            </w:tcBorders>
            <w:shd w:val="clear" w:color="auto" w:fill="C6EFCE"/>
            <w:noWrap/>
            <w:vAlign w:val="center"/>
          </w:tcPr>
          <w:p w14:paraId="7B8EF477" w14:textId="77777777" w:rsidR="00F208CE" w:rsidRDefault="00513E84">
            <w:pPr>
              <w:pStyle w:val="P68B1DB1-Normal8"/>
              <w:spacing w:after="0"/>
              <w:rPr>
                <w:rFonts w:cs="Times New Roman"/>
                <w:noProof/>
              </w:rPr>
            </w:pPr>
            <w:r>
              <w:rPr>
                <w:noProof/>
              </w:rPr>
              <w:t>Cuenta de aprendizaje (R-5.03)</w:t>
            </w:r>
          </w:p>
        </w:tc>
        <w:tc>
          <w:tcPr>
            <w:tcW w:w="1134" w:type="dxa"/>
            <w:tcBorders>
              <w:top w:val="nil"/>
              <w:left w:val="nil"/>
              <w:bottom w:val="single" w:sz="4" w:space="0" w:color="auto"/>
              <w:right w:val="single" w:sz="4" w:space="0" w:color="auto"/>
            </w:tcBorders>
            <w:shd w:val="clear" w:color="auto" w:fill="C6EFCE"/>
            <w:noWrap/>
            <w:vAlign w:val="center"/>
          </w:tcPr>
          <w:p w14:paraId="364570AB" w14:textId="74E0E64B" w:rsidR="00F208CE" w:rsidRDefault="00513E84">
            <w:pPr>
              <w:pStyle w:val="P68B1DB1-Normal8"/>
              <w:spacing w:after="0"/>
              <w:jc w:val="center"/>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21001847" w14:textId="77777777" w:rsidR="00F208CE" w:rsidRDefault="00513E84">
            <w:pPr>
              <w:pStyle w:val="P68B1DB1-Normal8"/>
              <w:spacing w:after="0"/>
              <w:rPr>
                <w:rFonts w:eastAsia="Times New Roman" w:cs="Times New Roman"/>
                <w:noProof/>
              </w:rPr>
            </w:pPr>
            <w:r>
              <w:rPr>
                <w:noProof/>
              </w:rPr>
              <w:t xml:space="preserve">Reforma federal que crea incentivos para que las </w:t>
            </w:r>
            <w:r>
              <w:rPr>
                <w:noProof/>
              </w:rPr>
              <w:t>empresas proporcionen formación</w:t>
            </w:r>
          </w:p>
        </w:tc>
        <w:tc>
          <w:tcPr>
            <w:tcW w:w="1418" w:type="dxa"/>
            <w:tcBorders>
              <w:top w:val="nil"/>
              <w:left w:val="nil"/>
              <w:bottom w:val="single" w:sz="4" w:space="0" w:color="auto"/>
              <w:right w:val="single" w:sz="4" w:space="0" w:color="auto"/>
            </w:tcBorders>
            <w:shd w:val="clear" w:color="auto" w:fill="C6EFCE"/>
            <w:noWrap/>
            <w:vAlign w:val="center"/>
          </w:tcPr>
          <w:p w14:paraId="1BB03290" w14:textId="77777777" w:rsidR="00F208CE" w:rsidRDefault="00513E84">
            <w:pPr>
              <w:pStyle w:val="P68B1DB1-Normal8"/>
              <w:spacing w:after="0"/>
              <w:rPr>
                <w:rFonts w:eastAsia="Times New Roman" w:cs="Times New Roman"/>
                <w:noProof/>
              </w:rPr>
            </w:pPr>
            <w:r>
              <w:rPr>
                <w:noProof/>
              </w:rPr>
              <w:t>Publicación en el Diario Oficial</w:t>
            </w:r>
          </w:p>
        </w:tc>
        <w:tc>
          <w:tcPr>
            <w:tcW w:w="1311" w:type="dxa"/>
            <w:tcBorders>
              <w:top w:val="nil"/>
              <w:left w:val="nil"/>
              <w:bottom w:val="single" w:sz="4" w:space="0" w:color="auto"/>
              <w:right w:val="single" w:sz="4" w:space="0" w:color="auto"/>
            </w:tcBorders>
            <w:shd w:val="clear" w:color="auto" w:fill="C6EFCE"/>
            <w:noWrap/>
            <w:vAlign w:val="center"/>
          </w:tcPr>
          <w:p w14:paraId="51907ED3" w14:textId="55546C4F" w:rsidR="00F208CE" w:rsidRDefault="00F208CE">
            <w:pPr>
              <w:spacing w:after="0"/>
              <w:rPr>
                <w:rFonts w:ascii="Times New Roman" w:eastAsia="Times New Roman" w:hAnsi="Times New Roman" w:cs="Times New Roman"/>
                <w:noProof/>
                <w:color w:val="006100"/>
              </w:rPr>
            </w:pPr>
          </w:p>
        </w:tc>
        <w:tc>
          <w:tcPr>
            <w:tcW w:w="957" w:type="dxa"/>
            <w:tcBorders>
              <w:top w:val="nil"/>
              <w:left w:val="nil"/>
              <w:bottom w:val="single" w:sz="4" w:space="0" w:color="auto"/>
              <w:right w:val="single" w:sz="4" w:space="0" w:color="auto"/>
            </w:tcBorders>
            <w:shd w:val="clear" w:color="auto" w:fill="C6EFCE"/>
            <w:noWrap/>
            <w:vAlign w:val="center"/>
          </w:tcPr>
          <w:p w14:paraId="2F5E4D8E" w14:textId="2C92CC9B"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4FD1FF73" w14:textId="0F002155"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4641C7D4" w14:textId="77777777" w:rsidR="00F208CE" w:rsidRDefault="00513E84">
            <w:pPr>
              <w:pStyle w:val="P68B1DB1-Normal8"/>
              <w:spacing w:after="0"/>
              <w:jc w:val="center"/>
              <w:rPr>
                <w:rFonts w:eastAsia="Times New Roman" w:cs="Times New Roman"/>
                <w:noProof/>
              </w:rPr>
            </w:pPr>
            <w:r>
              <w:rPr>
                <w:noProof/>
              </w:rPr>
              <w:t>TERCER TRIMESTRE 1</w:t>
            </w:r>
          </w:p>
        </w:tc>
        <w:tc>
          <w:tcPr>
            <w:tcW w:w="709" w:type="dxa"/>
            <w:tcBorders>
              <w:top w:val="nil"/>
              <w:left w:val="nil"/>
              <w:bottom w:val="single" w:sz="4" w:space="0" w:color="auto"/>
              <w:right w:val="single" w:sz="4" w:space="0" w:color="auto"/>
            </w:tcBorders>
            <w:shd w:val="clear" w:color="auto" w:fill="C6EFCE"/>
            <w:noWrap/>
            <w:vAlign w:val="center"/>
          </w:tcPr>
          <w:p w14:paraId="649BDCD1" w14:textId="77777777" w:rsidR="00F208CE" w:rsidRDefault="00513E84">
            <w:pPr>
              <w:pStyle w:val="P68B1DB1-Normal8"/>
              <w:spacing w:after="0"/>
              <w:jc w:val="center"/>
              <w:rPr>
                <w:rFonts w:eastAsia="Times New Roman" w:cs="Times New Roman"/>
                <w:noProof/>
              </w:rPr>
            </w:pPr>
            <w:r>
              <w:rPr>
                <w:noProof/>
              </w:rPr>
              <w:t>2021</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4A731EBC" w14:textId="77777777" w:rsidR="00F208CE" w:rsidRDefault="00513E84">
            <w:pPr>
              <w:pStyle w:val="P68B1DB1-Normal8"/>
              <w:spacing w:after="0"/>
              <w:rPr>
                <w:rFonts w:cs="Times New Roman"/>
                <w:noProof/>
              </w:rPr>
            </w:pPr>
            <w:r>
              <w:rPr>
                <w:noProof/>
              </w:rPr>
              <w:t>Aprobación por el Parlamento de la Ley marco de 20 de diciembre de 2020, por la que se establece una exención parcial (11,75 %) del pago de la retención a cuenta pa</w:t>
            </w:r>
            <w:r>
              <w:rPr>
                <w:noProof/>
              </w:rPr>
              <w:t>ra los trabajadores que sigan una formación de al menos 10 días.</w:t>
            </w:r>
          </w:p>
        </w:tc>
      </w:tr>
      <w:tr w:rsidR="00F208CE" w14:paraId="319D7432" w14:textId="77777777">
        <w:trPr>
          <w:trHeight w:val="313"/>
        </w:trPr>
        <w:tc>
          <w:tcPr>
            <w:tcW w:w="709" w:type="dxa"/>
            <w:tcBorders>
              <w:top w:val="nil"/>
              <w:left w:val="single" w:sz="4" w:space="0" w:color="auto"/>
              <w:bottom w:val="single" w:sz="4" w:space="0" w:color="auto"/>
              <w:right w:val="single" w:sz="4" w:space="0" w:color="auto"/>
            </w:tcBorders>
            <w:shd w:val="clear" w:color="auto" w:fill="C6EFCE"/>
            <w:noWrap/>
            <w:vAlign w:val="center"/>
          </w:tcPr>
          <w:p w14:paraId="618E6198" w14:textId="77777777" w:rsidR="00F208CE" w:rsidRDefault="00513E84">
            <w:pPr>
              <w:pStyle w:val="P68B1DB1-Normal8"/>
              <w:spacing w:after="0"/>
              <w:jc w:val="center"/>
              <w:rPr>
                <w:rFonts w:eastAsia="Times New Roman" w:cs="Times New Roman"/>
                <w:noProof/>
              </w:rPr>
            </w:pPr>
            <w:r>
              <w:rPr>
                <w:noProof/>
              </w:rPr>
              <w:t>174</w:t>
            </w:r>
          </w:p>
        </w:tc>
        <w:tc>
          <w:tcPr>
            <w:tcW w:w="1560" w:type="dxa"/>
            <w:tcBorders>
              <w:top w:val="nil"/>
              <w:left w:val="nil"/>
              <w:bottom w:val="single" w:sz="4" w:space="0" w:color="auto"/>
              <w:right w:val="single" w:sz="4" w:space="0" w:color="auto"/>
            </w:tcBorders>
            <w:shd w:val="clear" w:color="auto" w:fill="C6EFCE"/>
            <w:noWrap/>
            <w:vAlign w:val="center"/>
          </w:tcPr>
          <w:p w14:paraId="2E42F549" w14:textId="77777777" w:rsidR="00F208CE" w:rsidRDefault="00513E84">
            <w:pPr>
              <w:pStyle w:val="P68B1DB1-Normal8"/>
              <w:spacing w:after="0"/>
              <w:rPr>
                <w:rFonts w:cs="Times New Roman"/>
                <w:noProof/>
              </w:rPr>
            </w:pPr>
            <w:r>
              <w:rPr>
                <w:noProof/>
              </w:rPr>
              <w:t>Cuenta de aprendizaje (R-5.03)</w:t>
            </w:r>
          </w:p>
        </w:tc>
        <w:tc>
          <w:tcPr>
            <w:tcW w:w="1134" w:type="dxa"/>
            <w:tcBorders>
              <w:top w:val="nil"/>
              <w:left w:val="nil"/>
              <w:bottom w:val="single" w:sz="4" w:space="0" w:color="auto"/>
              <w:right w:val="single" w:sz="4" w:space="0" w:color="auto"/>
            </w:tcBorders>
            <w:shd w:val="clear" w:color="auto" w:fill="C6EFCE"/>
            <w:noWrap/>
            <w:vAlign w:val="center"/>
          </w:tcPr>
          <w:p w14:paraId="59C8CF07" w14:textId="11F5E7DC" w:rsidR="00F208CE" w:rsidRDefault="00513E84">
            <w:pPr>
              <w:pStyle w:val="P68B1DB1-Normal8"/>
              <w:spacing w:after="0"/>
              <w:jc w:val="center"/>
              <w:rPr>
                <w:rFonts w:eastAsia="Times New Roman" w:cs="Times New Roman"/>
                <w:noProof/>
              </w:rPr>
            </w:pPr>
            <w:r>
              <w:rPr>
                <w:noProof/>
              </w:rPr>
              <w:t>M</w:t>
            </w:r>
          </w:p>
        </w:tc>
        <w:tc>
          <w:tcPr>
            <w:tcW w:w="1559" w:type="dxa"/>
            <w:tcBorders>
              <w:top w:val="nil"/>
              <w:left w:val="nil"/>
              <w:bottom w:val="single" w:sz="4" w:space="0" w:color="auto"/>
              <w:right w:val="single" w:sz="4" w:space="0" w:color="auto"/>
            </w:tcBorders>
            <w:shd w:val="clear" w:color="auto" w:fill="C6EFCE"/>
            <w:noWrap/>
            <w:vAlign w:val="center"/>
          </w:tcPr>
          <w:p w14:paraId="04686E56" w14:textId="057ECFDF" w:rsidR="00F208CE" w:rsidRDefault="00513E84">
            <w:pPr>
              <w:pStyle w:val="P68B1DB1-Normal8"/>
              <w:spacing w:after="0"/>
              <w:rPr>
                <w:rFonts w:eastAsia="Times New Roman" w:cs="Times New Roman"/>
                <w:noProof/>
              </w:rPr>
            </w:pPr>
            <w:r>
              <w:rPr>
                <w:noProof/>
              </w:rPr>
              <w:t>Reforma por la que se establece la inscripción obligatoria en el servicio público de empleo</w:t>
            </w:r>
          </w:p>
        </w:tc>
        <w:tc>
          <w:tcPr>
            <w:tcW w:w="1418" w:type="dxa"/>
            <w:tcBorders>
              <w:top w:val="nil"/>
              <w:left w:val="nil"/>
              <w:bottom w:val="single" w:sz="4" w:space="0" w:color="auto"/>
              <w:right w:val="single" w:sz="4" w:space="0" w:color="auto"/>
            </w:tcBorders>
            <w:shd w:val="clear" w:color="auto" w:fill="C6EFCE"/>
            <w:noWrap/>
            <w:vAlign w:val="center"/>
          </w:tcPr>
          <w:p w14:paraId="355D91E4" w14:textId="0E344DC6" w:rsidR="00F208CE" w:rsidRDefault="00513E84">
            <w:pPr>
              <w:pStyle w:val="P68B1DB1-Normal8"/>
              <w:spacing w:after="0"/>
              <w:rPr>
                <w:rFonts w:eastAsia="Times New Roman" w:cs="Times New Roman"/>
                <w:noProof/>
              </w:rPr>
            </w:pPr>
            <w:r>
              <w:rPr>
                <w:noProof/>
              </w:rPr>
              <w:t>Disposiciones del decreto que indican la entrada en vigor</w:t>
            </w:r>
          </w:p>
        </w:tc>
        <w:tc>
          <w:tcPr>
            <w:tcW w:w="1311" w:type="dxa"/>
            <w:tcBorders>
              <w:top w:val="nil"/>
              <w:left w:val="nil"/>
              <w:bottom w:val="single" w:sz="4" w:space="0" w:color="auto"/>
              <w:right w:val="single" w:sz="4" w:space="0" w:color="auto"/>
            </w:tcBorders>
            <w:shd w:val="clear" w:color="auto" w:fill="C6EFCE"/>
            <w:noWrap/>
            <w:vAlign w:val="center"/>
          </w:tcPr>
          <w:p w14:paraId="61B29797" w14:textId="5F2A88A8" w:rsidR="00F208CE" w:rsidRDefault="00F208CE">
            <w:pPr>
              <w:spacing w:after="0"/>
              <w:rPr>
                <w:rFonts w:ascii="Times New Roman" w:eastAsia="Times New Roman" w:hAnsi="Times New Roman" w:cs="Times New Roman"/>
                <w:noProof/>
                <w:color w:val="006100"/>
              </w:rPr>
            </w:pPr>
          </w:p>
        </w:tc>
        <w:tc>
          <w:tcPr>
            <w:tcW w:w="957" w:type="dxa"/>
            <w:tcBorders>
              <w:top w:val="nil"/>
              <w:left w:val="nil"/>
              <w:bottom w:val="single" w:sz="4" w:space="0" w:color="auto"/>
              <w:right w:val="single" w:sz="4" w:space="0" w:color="auto"/>
            </w:tcBorders>
            <w:shd w:val="clear" w:color="auto" w:fill="C6EFCE"/>
            <w:noWrap/>
            <w:vAlign w:val="center"/>
          </w:tcPr>
          <w:p w14:paraId="1B6E6BCD" w14:textId="7DC98A24"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762A592F" w14:textId="37C5839C" w:rsidR="00F208CE" w:rsidRDefault="00F208CE">
            <w:pPr>
              <w:spacing w:after="0"/>
              <w:rPr>
                <w:rFonts w:ascii="Times New Roman" w:eastAsia="Times New Roman" w:hAnsi="Times New Roman" w:cs="Times New Roman"/>
                <w:noProof/>
                <w:color w:val="006100"/>
              </w:rPr>
            </w:pPr>
          </w:p>
        </w:tc>
        <w:tc>
          <w:tcPr>
            <w:tcW w:w="992" w:type="dxa"/>
            <w:tcBorders>
              <w:top w:val="nil"/>
              <w:left w:val="nil"/>
              <w:bottom w:val="single" w:sz="4" w:space="0" w:color="auto"/>
              <w:right w:val="single" w:sz="4" w:space="0" w:color="auto"/>
            </w:tcBorders>
            <w:shd w:val="clear" w:color="auto" w:fill="C6EFCE"/>
            <w:noWrap/>
            <w:vAlign w:val="center"/>
          </w:tcPr>
          <w:p w14:paraId="51AC4560" w14:textId="77777777" w:rsidR="00F208CE" w:rsidRDefault="00513E84">
            <w:pPr>
              <w:pStyle w:val="P68B1DB1-Normal8"/>
              <w:spacing w:after="0"/>
              <w:jc w:val="center"/>
              <w:rPr>
                <w:rFonts w:eastAsia="Times New Roman" w:cs="Times New Roman"/>
                <w:noProof/>
              </w:rPr>
            </w:pPr>
            <w:r>
              <w:rPr>
                <w:noProof/>
              </w:rPr>
              <w:t>TERCER TRIMESTRE 4</w:t>
            </w:r>
          </w:p>
        </w:tc>
        <w:tc>
          <w:tcPr>
            <w:tcW w:w="709" w:type="dxa"/>
            <w:tcBorders>
              <w:top w:val="nil"/>
              <w:left w:val="nil"/>
              <w:bottom w:val="single" w:sz="4" w:space="0" w:color="auto"/>
              <w:right w:val="single" w:sz="4" w:space="0" w:color="auto"/>
            </w:tcBorders>
            <w:shd w:val="clear" w:color="auto" w:fill="C6EFCE"/>
            <w:noWrap/>
            <w:vAlign w:val="center"/>
          </w:tcPr>
          <w:p w14:paraId="58EE63E4" w14:textId="77777777" w:rsidR="00F208CE" w:rsidRDefault="00513E84">
            <w:pPr>
              <w:pStyle w:val="P68B1DB1-Normal8"/>
              <w:spacing w:after="0"/>
              <w:jc w:val="center"/>
              <w:rPr>
                <w:rFonts w:eastAsia="Times New Roman" w:cs="Times New Roman"/>
                <w:noProof/>
              </w:rPr>
            </w:pPr>
            <w:r>
              <w:rPr>
                <w:noProof/>
              </w:rPr>
              <w:t>2023</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8431C32" w14:textId="46437C85" w:rsidR="00F208CE" w:rsidRDefault="00513E84">
            <w:pPr>
              <w:pStyle w:val="P68B1DB1-Normal8"/>
              <w:spacing w:after="0"/>
              <w:rPr>
                <w:rFonts w:eastAsia="Times New Roman" w:cs="Times New Roman"/>
                <w:noProof/>
              </w:rPr>
            </w:pPr>
            <w:r>
              <w:rPr>
                <w:noProof/>
              </w:rPr>
              <w:t>Entrada en vigor del Decreto por el que se establece la obligación de que los trabajadores en situación de desempleo temporal de larga duración o estructural estén inscritos en el servicio regional competente.</w:t>
            </w:r>
          </w:p>
        </w:tc>
      </w:tr>
      <w:tr w:rsidR="00F208CE" w14:paraId="1168B76F" w14:textId="77777777">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7F6754" w14:textId="77777777" w:rsidR="00F208CE" w:rsidRDefault="00513E84">
            <w:pPr>
              <w:pStyle w:val="P68B1DB1-Normal8"/>
              <w:spacing w:after="0"/>
              <w:jc w:val="center"/>
              <w:rPr>
                <w:rFonts w:cs="Times New Roman"/>
                <w:noProof/>
              </w:rPr>
            </w:pPr>
            <w:r>
              <w:rPr>
                <w:noProof/>
              </w:rPr>
              <w:t>175</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32ABA7BB" w14:textId="77777777" w:rsidR="00F208CE" w:rsidRDefault="00513E84">
            <w:pPr>
              <w:pStyle w:val="P68B1DB1-Normal8"/>
              <w:spacing w:after="0"/>
              <w:rPr>
                <w:rFonts w:cs="Times New Roman"/>
                <w:noProof/>
              </w:rPr>
            </w:pPr>
            <w:r>
              <w:rPr>
                <w:noProof/>
              </w:rPr>
              <w:t xml:space="preserve">Régimen de </w:t>
            </w:r>
            <w:r>
              <w:rPr>
                <w:noProof/>
              </w:rPr>
              <w:t>acumulación y movilidad a sectores con escasez (R-5.01)</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E4E7CD5" w14:textId="62AB6EF8" w:rsidR="00F208CE" w:rsidRDefault="00513E84">
            <w:pPr>
              <w:pStyle w:val="P68B1DB1-Normal8"/>
              <w:spacing w:after="0"/>
              <w:jc w:val="center"/>
              <w:rPr>
                <w:rFonts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4180329" w14:textId="77777777" w:rsidR="00F208CE" w:rsidRDefault="00513E84">
            <w:pPr>
              <w:pStyle w:val="P68B1DB1-Normal8"/>
              <w:spacing w:after="0"/>
              <w:rPr>
                <w:rFonts w:cs="Times New Roman"/>
                <w:noProof/>
              </w:rPr>
            </w:pPr>
            <w:r>
              <w:rPr>
                <w:noProof/>
              </w:rPr>
              <w:t>Reforma federal del régimen de acumulación</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483DFCDB" w14:textId="77777777" w:rsidR="00F208CE" w:rsidRDefault="00513E84">
            <w:pPr>
              <w:pStyle w:val="P68B1DB1-Normal8"/>
              <w:spacing w:after="0"/>
              <w:rPr>
                <w:rFonts w:cs="Times New Roman"/>
                <w:noProof/>
              </w:rPr>
            </w:pPr>
            <w:r>
              <w:rPr>
                <w:noProof/>
              </w:rPr>
              <w:t>Decisión del Gobierno federal por la que se establece el modo de entrada en vigor de la reforma</w:t>
            </w:r>
          </w:p>
        </w:tc>
        <w:tc>
          <w:tcPr>
            <w:tcW w:w="1311" w:type="dxa"/>
            <w:tcBorders>
              <w:top w:val="single" w:sz="4" w:space="0" w:color="auto"/>
              <w:left w:val="nil"/>
              <w:bottom w:val="single" w:sz="4" w:space="0" w:color="auto"/>
              <w:right w:val="single" w:sz="4" w:space="0" w:color="auto"/>
            </w:tcBorders>
            <w:shd w:val="clear" w:color="auto" w:fill="C6EFCE"/>
            <w:noWrap/>
            <w:vAlign w:val="center"/>
          </w:tcPr>
          <w:p w14:paraId="0D1A49E9" w14:textId="77777777" w:rsidR="00F208CE" w:rsidRDefault="00F208CE">
            <w:pPr>
              <w:spacing w:after="0"/>
              <w:rPr>
                <w:rFonts w:ascii="Times New Roman" w:hAnsi="Times New Roman" w:cs="Times New Roman"/>
                <w:noProof/>
                <w:color w:val="006100"/>
              </w:rPr>
            </w:pPr>
          </w:p>
        </w:tc>
        <w:tc>
          <w:tcPr>
            <w:tcW w:w="957" w:type="dxa"/>
            <w:tcBorders>
              <w:top w:val="single" w:sz="4" w:space="0" w:color="auto"/>
              <w:left w:val="nil"/>
              <w:bottom w:val="single" w:sz="4" w:space="0" w:color="auto"/>
              <w:right w:val="single" w:sz="4" w:space="0" w:color="auto"/>
            </w:tcBorders>
            <w:shd w:val="clear" w:color="auto" w:fill="C6EFCE"/>
            <w:noWrap/>
            <w:vAlign w:val="center"/>
          </w:tcPr>
          <w:p w14:paraId="449215C8" w14:textId="77777777" w:rsidR="00F208CE" w:rsidRDefault="00F208CE">
            <w:pPr>
              <w:spacing w:after="0"/>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35A84F4" w14:textId="77777777" w:rsidR="00F208CE" w:rsidRDefault="00F208CE">
            <w:pPr>
              <w:spacing w:after="0"/>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2AB62AD" w14:textId="77777777" w:rsidR="00F208CE" w:rsidRDefault="00513E84">
            <w:pPr>
              <w:pStyle w:val="P68B1DB1-Normal8"/>
              <w:spacing w:after="0"/>
              <w:jc w:val="center"/>
              <w:rPr>
                <w:rFonts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73F55F1C" w14:textId="77777777" w:rsidR="00F208CE" w:rsidRDefault="00513E84">
            <w:pPr>
              <w:pStyle w:val="P68B1DB1-Normal8"/>
              <w:spacing w:after="0"/>
              <w:jc w:val="center"/>
              <w:rPr>
                <w:rFonts w:cs="Times New Roman"/>
                <w:noProof/>
              </w:rPr>
            </w:pPr>
            <w:r>
              <w:rPr>
                <w:noProof/>
              </w:rPr>
              <w:t>2023</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274EB454" w14:textId="18F7435F" w:rsidR="00F208CE" w:rsidRDefault="00513E84">
            <w:pPr>
              <w:pStyle w:val="P68B1DB1-Normal8"/>
              <w:spacing w:after="0"/>
              <w:rPr>
                <w:rFonts w:cs="Times New Roman"/>
                <w:noProof/>
              </w:rPr>
            </w:pPr>
            <w:r>
              <w:rPr>
                <w:noProof/>
              </w:rPr>
              <w:t>Previa consulta a los interlocut</w:t>
            </w:r>
            <w:r>
              <w:rPr>
                <w:noProof/>
              </w:rPr>
              <w:t>ores sociales, la decisión del Gobierno federal de ampliar las posibilidades de combinar de forma temporal o limitada los salarios y las prestaciones sociales y de garantizar, en consonancia con la reforma fiscal del impuesto sobre el trabajo, que las pers</w:t>
            </w:r>
            <w:r>
              <w:rPr>
                <w:noProof/>
              </w:rPr>
              <w:t>onas implicadas no sean sancionadas fiscalmente.</w:t>
            </w:r>
          </w:p>
        </w:tc>
      </w:tr>
      <w:tr w:rsidR="00F208CE" w14:paraId="24BF0AEA" w14:textId="77777777">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51EAA6" w14:textId="77777777" w:rsidR="00F208CE" w:rsidRDefault="00513E84">
            <w:pPr>
              <w:pStyle w:val="P68B1DB1-Normal8"/>
              <w:spacing w:after="0"/>
              <w:jc w:val="center"/>
              <w:rPr>
                <w:rFonts w:cs="Times New Roman"/>
                <w:noProof/>
              </w:rPr>
            </w:pPr>
            <w:r>
              <w:rPr>
                <w:noProof/>
              </w:rPr>
              <w:t>176</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56A3CD87" w14:textId="77777777" w:rsidR="00F208CE" w:rsidRDefault="00513E84">
            <w:pPr>
              <w:pStyle w:val="P68B1DB1-Normal8"/>
              <w:spacing w:after="0"/>
              <w:rPr>
                <w:rFonts w:cs="Times New Roman"/>
                <w:noProof/>
              </w:rPr>
            </w:pPr>
            <w:r>
              <w:rPr>
                <w:noProof/>
              </w:rPr>
              <w:t>Régimen de acumulación y movilidad a sectores con escasez (R-5.01)</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5108B2F" w14:textId="50234DFF" w:rsidR="00F208CE" w:rsidRDefault="00513E84">
            <w:pPr>
              <w:pStyle w:val="P68B1DB1-Normal8"/>
              <w:spacing w:after="0"/>
              <w:jc w:val="center"/>
              <w:rPr>
                <w:rFonts w:cs="Times New Roman"/>
                <w:noProof/>
                <w:highlight w:val="cyan"/>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6B86D6E" w14:textId="77777777" w:rsidR="00F208CE" w:rsidRDefault="00513E84">
            <w:pPr>
              <w:pStyle w:val="P68B1DB1-Normal8"/>
              <w:spacing w:after="0"/>
              <w:rPr>
                <w:rFonts w:cs="Times New Roman"/>
                <w:noProof/>
              </w:rPr>
            </w:pPr>
            <w:r>
              <w:rPr>
                <w:noProof/>
              </w:rPr>
              <w:t>Reforma federal de la movilidad hacia sectores deficitarios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C4AE942" w14:textId="77777777" w:rsidR="00F208CE" w:rsidRDefault="00513E84">
            <w:pPr>
              <w:pStyle w:val="P68B1DB1-Normal8"/>
              <w:spacing w:after="0"/>
              <w:rPr>
                <w:rFonts w:cs="Times New Roman"/>
                <w:noProof/>
              </w:rPr>
            </w:pPr>
            <w:r>
              <w:rPr>
                <w:noProof/>
              </w:rPr>
              <w:t xml:space="preserve">Decisión del Gobierno federal por la que se establece el modo de entrada </w:t>
            </w:r>
            <w:r>
              <w:rPr>
                <w:noProof/>
              </w:rPr>
              <w:t>en vigor de la reforma</w:t>
            </w:r>
          </w:p>
        </w:tc>
        <w:tc>
          <w:tcPr>
            <w:tcW w:w="1311" w:type="dxa"/>
            <w:tcBorders>
              <w:top w:val="single" w:sz="4" w:space="0" w:color="auto"/>
              <w:left w:val="nil"/>
              <w:bottom w:val="single" w:sz="4" w:space="0" w:color="auto"/>
              <w:right w:val="single" w:sz="4" w:space="0" w:color="auto"/>
            </w:tcBorders>
            <w:shd w:val="clear" w:color="auto" w:fill="C6EFCE"/>
            <w:noWrap/>
            <w:vAlign w:val="center"/>
          </w:tcPr>
          <w:p w14:paraId="50E349B7" w14:textId="77777777" w:rsidR="00F208CE" w:rsidRDefault="00F208CE">
            <w:pPr>
              <w:spacing w:after="0"/>
              <w:rPr>
                <w:rFonts w:ascii="Times New Roman" w:hAnsi="Times New Roman" w:cs="Times New Roman"/>
                <w:noProof/>
                <w:color w:val="006100"/>
              </w:rPr>
            </w:pPr>
          </w:p>
        </w:tc>
        <w:tc>
          <w:tcPr>
            <w:tcW w:w="957" w:type="dxa"/>
            <w:tcBorders>
              <w:top w:val="single" w:sz="4" w:space="0" w:color="auto"/>
              <w:left w:val="nil"/>
              <w:bottom w:val="single" w:sz="4" w:space="0" w:color="auto"/>
              <w:right w:val="single" w:sz="4" w:space="0" w:color="auto"/>
            </w:tcBorders>
            <w:shd w:val="clear" w:color="auto" w:fill="C6EFCE"/>
            <w:noWrap/>
            <w:vAlign w:val="center"/>
          </w:tcPr>
          <w:p w14:paraId="3A8FC8EC" w14:textId="77777777" w:rsidR="00F208CE" w:rsidRDefault="00F208CE">
            <w:pPr>
              <w:spacing w:after="0"/>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91BDE9A" w14:textId="77777777" w:rsidR="00F208CE" w:rsidRDefault="00F208CE">
            <w:pPr>
              <w:spacing w:after="0"/>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D377DC1" w14:textId="77777777" w:rsidR="00F208CE" w:rsidRDefault="00513E84">
            <w:pPr>
              <w:pStyle w:val="P68B1DB1-Normal8"/>
              <w:spacing w:after="0"/>
              <w:jc w:val="center"/>
              <w:rPr>
                <w:rFonts w:cs="Times New Roman"/>
                <w:noProof/>
              </w:rPr>
            </w:pPr>
            <w:r>
              <w:rPr>
                <w:noProof/>
              </w:rPr>
              <w:t>TERCER TRIMESTRE 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54E03DB6" w14:textId="77777777" w:rsidR="00F208CE" w:rsidRDefault="00513E84">
            <w:pPr>
              <w:pStyle w:val="P68B1DB1-Normal8"/>
              <w:spacing w:after="0"/>
              <w:jc w:val="center"/>
              <w:rPr>
                <w:rFonts w:cs="Times New Roman"/>
                <w:noProof/>
              </w:rPr>
            </w:pPr>
            <w:r>
              <w:rPr>
                <w:noProof/>
              </w:rPr>
              <w:t>2023</w:t>
            </w:r>
          </w:p>
        </w:tc>
        <w:tc>
          <w:tcPr>
            <w:tcW w:w="4927" w:type="dxa"/>
            <w:tcBorders>
              <w:top w:val="nil"/>
              <w:left w:val="single" w:sz="4" w:space="0" w:color="auto"/>
              <w:bottom w:val="single" w:sz="4" w:space="0" w:color="auto"/>
              <w:right w:val="single" w:sz="4" w:space="0" w:color="auto"/>
            </w:tcBorders>
            <w:shd w:val="clear" w:color="auto" w:fill="C6EFCE"/>
            <w:noWrap/>
            <w:vAlign w:val="center"/>
          </w:tcPr>
          <w:p w14:paraId="39AC5ED6" w14:textId="7CEFDDD1" w:rsidR="00F208CE" w:rsidRDefault="00513E84">
            <w:pPr>
              <w:pStyle w:val="P68B1DB1-Normal8"/>
              <w:spacing w:after="0"/>
              <w:rPr>
                <w:rFonts w:cs="Times New Roman"/>
                <w:noProof/>
              </w:rPr>
            </w:pPr>
            <w:r>
              <w:rPr>
                <w:noProof/>
              </w:rPr>
              <w:t>Previa consulta a los interlocutores sociales, la decisión del Gobierno federal de introducir una asignación adicional para los desempleados de larga duración que vuelven a trabajar en otra región o en un s</w:t>
            </w:r>
            <w:r>
              <w:rPr>
                <w:noProof/>
              </w:rPr>
              <w:t>ector en el que hay escasez para garantizar una mayor movilidad de los trabajadores de un sector a otro.</w:t>
            </w:r>
          </w:p>
        </w:tc>
      </w:tr>
      <w:tr w:rsidR="00F208CE" w14:paraId="49F1239A" w14:textId="77777777">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127E4F" w14:textId="77777777" w:rsidR="00F208CE" w:rsidRDefault="00513E84">
            <w:pPr>
              <w:pStyle w:val="P68B1DB1-Normal8"/>
              <w:spacing w:after="0"/>
              <w:jc w:val="center"/>
              <w:rPr>
                <w:rFonts w:cs="Times New Roman"/>
                <w:noProof/>
              </w:rPr>
            </w:pPr>
            <w:r>
              <w:rPr>
                <w:noProof/>
              </w:rPr>
              <w:t>177</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70848B97" w14:textId="77777777" w:rsidR="00F208CE" w:rsidRDefault="00513E84">
            <w:pPr>
              <w:pStyle w:val="P68B1DB1-Normal8"/>
              <w:spacing w:after="0"/>
              <w:rPr>
                <w:rFonts w:cs="Times New Roman"/>
                <w:noProof/>
              </w:rPr>
            </w:pPr>
            <w:r>
              <w:rPr>
                <w:noProof/>
              </w:rPr>
              <w:t>Reforma del apoyo a los demandantes de empleo en Valonia (R-5.05)</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7EC1977" w14:textId="65A25041" w:rsidR="00F208CE" w:rsidRDefault="00513E84">
            <w:pPr>
              <w:pStyle w:val="P68B1DB1-Normal8"/>
              <w:spacing w:after="0"/>
              <w:jc w:val="center"/>
              <w:rPr>
                <w:rFonts w:cs="Times New Roman"/>
                <w:noProof/>
              </w:rPr>
            </w:pPr>
            <w:r>
              <w:rPr>
                <w:noProof/>
              </w:rPr>
              <w:t>M</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799BC94" w14:textId="77777777" w:rsidR="00F208CE" w:rsidRDefault="00513E84">
            <w:pPr>
              <w:pStyle w:val="P68B1DB1-Normal8"/>
              <w:spacing w:after="0"/>
              <w:rPr>
                <w:rFonts w:cs="Times New Roman"/>
                <w:noProof/>
              </w:rPr>
            </w:pPr>
            <w:r>
              <w:rPr>
                <w:noProof/>
              </w:rPr>
              <w:t>Reforma del apoyo a los demandantes de empleo en Valonia</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4FE44525" w14:textId="77777777" w:rsidR="00F208CE" w:rsidRDefault="00513E84">
            <w:pPr>
              <w:pStyle w:val="P68B1DB1-Normal8"/>
              <w:spacing w:after="0"/>
              <w:rPr>
                <w:rFonts w:cs="Times New Roman"/>
                <w:noProof/>
              </w:rPr>
            </w:pPr>
            <w:r>
              <w:rPr>
                <w:noProof/>
              </w:rPr>
              <w:t xml:space="preserve">Publicación en el </w:t>
            </w:r>
            <w:r>
              <w:rPr>
                <w:noProof/>
              </w:rPr>
              <w:t>Diario Oficial</w:t>
            </w:r>
          </w:p>
        </w:tc>
        <w:tc>
          <w:tcPr>
            <w:tcW w:w="1311" w:type="dxa"/>
            <w:tcBorders>
              <w:top w:val="single" w:sz="4" w:space="0" w:color="auto"/>
              <w:left w:val="nil"/>
              <w:bottom w:val="single" w:sz="4" w:space="0" w:color="auto"/>
              <w:right w:val="single" w:sz="4" w:space="0" w:color="auto"/>
            </w:tcBorders>
            <w:shd w:val="clear" w:color="auto" w:fill="C6EFCE"/>
            <w:noWrap/>
            <w:vAlign w:val="center"/>
          </w:tcPr>
          <w:p w14:paraId="033D6BF2" w14:textId="77777777" w:rsidR="00F208CE" w:rsidRDefault="00F208CE">
            <w:pPr>
              <w:spacing w:after="0"/>
              <w:rPr>
                <w:rFonts w:ascii="Times New Roman" w:hAnsi="Times New Roman" w:cs="Times New Roman"/>
                <w:noProof/>
                <w:color w:val="006100"/>
              </w:rPr>
            </w:pPr>
          </w:p>
        </w:tc>
        <w:tc>
          <w:tcPr>
            <w:tcW w:w="957" w:type="dxa"/>
            <w:tcBorders>
              <w:top w:val="single" w:sz="4" w:space="0" w:color="auto"/>
              <w:left w:val="nil"/>
              <w:bottom w:val="single" w:sz="4" w:space="0" w:color="auto"/>
              <w:right w:val="single" w:sz="4" w:space="0" w:color="auto"/>
            </w:tcBorders>
            <w:shd w:val="clear" w:color="auto" w:fill="C6EFCE"/>
            <w:noWrap/>
            <w:vAlign w:val="center"/>
          </w:tcPr>
          <w:p w14:paraId="6662CBAC" w14:textId="77777777" w:rsidR="00F208CE" w:rsidRDefault="00F208CE">
            <w:pPr>
              <w:spacing w:after="0"/>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72C7E7E" w14:textId="77777777" w:rsidR="00F208CE" w:rsidRDefault="00F208CE">
            <w:pPr>
              <w:spacing w:after="0"/>
              <w:rPr>
                <w:rFonts w:ascii="Times New Roman" w:hAnsi="Times New Roman" w:cs="Times New Roman"/>
                <w:noProof/>
                <w:color w:val="006100"/>
              </w:rPr>
            </w:pP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0FDA608" w14:textId="77777777" w:rsidR="00F208CE" w:rsidRDefault="00513E84">
            <w:pPr>
              <w:pStyle w:val="P68B1DB1-Normal8"/>
              <w:spacing w:after="0"/>
              <w:jc w:val="center"/>
              <w:rPr>
                <w:rFonts w:cs="Times New Roman"/>
                <w:noProof/>
              </w:rPr>
            </w:pPr>
            <w:r>
              <w:rPr>
                <w:noProof/>
              </w:rPr>
              <w:t>TERCER TRIMESTRE 3</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1DD736EF" w14:textId="77777777" w:rsidR="00F208CE" w:rsidRDefault="00513E84">
            <w:pPr>
              <w:pStyle w:val="P68B1DB1-Normal8"/>
              <w:spacing w:after="0"/>
              <w:jc w:val="center"/>
              <w:rPr>
                <w:rFonts w:cs="Times New Roman"/>
                <w:noProof/>
              </w:rPr>
            </w:pPr>
            <w:r>
              <w:rPr>
                <w:noProof/>
              </w:rPr>
              <w:t>2021</w:t>
            </w:r>
          </w:p>
        </w:tc>
        <w:tc>
          <w:tcPr>
            <w:tcW w:w="492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6320E0" w14:textId="77777777" w:rsidR="00F208CE" w:rsidRDefault="00513E84">
            <w:pPr>
              <w:pStyle w:val="P68B1DB1-Normal8"/>
              <w:spacing w:after="0"/>
              <w:rPr>
                <w:rFonts w:cs="Times New Roman"/>
                <w:noProof/>
              </w:rPr>
            </w:pPr>
            <w:r>
              <w:rPr>
                <w:noProof/>
              </w:rPr>
              <w:t>Aprobación por el Parlamento de Valonia del decreto relativo a la orientación y el apoyo orientado a las soluciones a los solicitantes de empleo.</w:t>
            </w:r>
          </w:p>
        </w:tc>
      </w:tr>
    </w:tbl>
    <w:p w14:paraId="42EFB498" w14:textId="77777777" w:rsidR="00F208CE" w:rsidRDefault="00F208CE">
      <w:pPr>
        <w:ind w:left="709"/>
        <w:rPr>
          <w:rFonts w:ascii="Times New Roman" w:hAnsi="Times New Roman" w:cs="Times New Roman"/>
          <w:noProof/>
        </w:rPr>
        <w:sectPr w:rsidR="00F208CE" w:rsidSect="007F56C3">
          <w:headerReference w:type="default" r:id="rId148"/>
          <w:footerReference w:type="default" r:id="rId149"/>
          <w:pgSz w:w="16839" w:h="11907" w:orient="landscape"/>
          <w:pgMar w:top="1134" w:right="1134" w:bottom="1134" w:left="1134" w:header="567" w:footer="567" w:gutter="0"/>
          <w:cols w:space="720"/>
          <w:docGrid w:linePitch="360"/>
        </w:sectPr>
      </w:pPr>
    </w:p>
    <w:p w14:paraId="00F00968" w14:textId="77777777" w:rsidR="00F208CE" w:rsidRDefault="00513E84">
      <w:pPr>
        <w:pStyle w:val="ManualHeading1"/>
        <w:spacing w:before="120"/>
        <w:ind w:left="0" w:hanging="130"/>
        <w:rPr>
          <w:noProof/>
        </w:rPr>
      </w:pPr>
      <w:r>
        <w:rPr>
          <w:noProof/>
        </w:rPr>
        <w:t xml:space="preserve">O. </w:t>
      </w:r>
      <w:r>
        <w:rPr>
          <w:noProof/>
        </w:rPr>
        <w:t>COMPONENTE 5.2: Apoyar la actividad económica</w:t>
      </w:r>
    </w:p>
    <w:p w14:paraId="13A59AA0" w14:textId="77777777" w:rsidR="00F208CE" w:rsidRDefault="00513E84">
      <w:pPr>
        <w:pStyle w:val="P68B1DB1-Normal1"/>
        <w:spacing w:before="120" w:after="120" w:line="240" w:lineRule="auto"/>
        <w:jc w:val="both"/>
        <w:rPr>
          <w:rFonts w:cs="Times New Roman"/>
          <w:noProof/>
        </w:rPr>
      </w:pPr>
      <w:r>
        <w:rPr>
          <w:noProof/>
        </w:rPr>
        <w:t>Este componente del plan de recuperación y resiliencia belga tiene por objeto contribuir a la recuperación económica y facilitar la transición hacia una economía más ecológica y digitalizada, centrando los recu</w:t>
      </w:r>
      <w:r>
        <w:rPr>
          <w:noProof/>
        </w:rPr>
        <w:t>rsos en la innovación y el apoyo a sectores prometedores. Las medidas reunidas en el marco de este componente tienen tres objetivos más específicos:</w:t>
      </w:r>
    </w:p>
    <w:p w14:paraId="5329964F" w14:textId="77777777" w:rsidR="00F208CE" w:rsidRDefault="00513E84">
      <w:pPr>
        <w:pStyle w:val="P68B1DB1-ListParagraph16"/>
        <w:numPr>
          <w:ilvl w:val="0"/>
          <w:numId w:val="58"/>
        </w:numPr>
        <w:tabs>
          <w:tab w:val="left" w:pos="426"/>
        </w:tabs>
        <w:spacing w:before="120" w:after="120" w:line="240" w:lineRule="auto"/>
        <w:jc w:val="both"/>
        <w:rPr>
          <w:rFonts w:cs="Times New Roman"/>
          <w:noProof/>
        </w:rPr>
      </w:pPr>
      <w:r>
        <w:rPr>
          <w:noProof/>
        </w:rPr>
        <w:t xml:space="preserve">apoyar el desarrollo de actividades que ofrezcan oportunidades prometedoras en términos de valor añadido y </w:t>
      </w:r>
      <w:r>
        <w:rPr>
          <w:noProof/>
        </w:rPr>
        <w:t>aumento del valor del territorio;</w:t>
      </w:r>
    </w:p>
    <w:p w14:paraId="7D784427" w14:textId="77777777" w:rsidR="00F208CE" w:rsidRDefault="00513E84">
      <w:pPr>
        <w:pStyle w:val="P68B1DB1-ListParagraph16"/>
        <w:numPr>
          <w:ilvl w:val="0"/>
          <w:numId w:val="58"/>
        </w:numPr>
        <w:tabs>
          <w:tab w:val="left" w:pos="426"/>
        </w:tabs>
        <w:spacing w:before="120" w:after="120" w:line="240" w:lineRule="auto"/>
        <w:jc w:val="both"/>
        <w:rPr>
          <w:rFonts w:cs="Times New Roman"/>
          <w:noProof/>
        </w:rPr>
      </w:pPr>
      <w:r>
        <w:rPr>
          <w:noProof/>
        </w:rPr>
        <w:t>impulsar y apoyar la investigación y la innovación con el fin de desarrollar el potencial económico futuro del país y garantizar su excelencia y competitividad;</w:t>
      </w:r>
    </w:p>
    <w:p w14:paraId="09DB8076" w14:textId="77777777" w:rsidR="00F208CE" w:rsidRDefault="00513E84">
      <w:pPr>
        <w:pStyle w:val="P68B1DB1-ListParagraph16"/>
        <w:numPr>
          <w:ilvl w:val="0"/>
          <w:numId w:val="58"/>
        </w:numPr>
        <w:tabs>
          <w:tab w:val="left" w:pos="426"/>
        </w:tabs>
        <w:spacing w:before="120" w:after="120" w:line="240" w:lineRule="auto"/>
        <w:jc w:val="both"/>
        <w:rPr>
          <w:rFonts w:cs="Times New Roman"/>
          <w:noProof/>
        </w:rPr>
      </w:pPr>
      <w:r>
        <w:rPr>
          <w:noProof/>
        </w:rPr>
        <w:t>fomentar la aplicación de procesos de producción más eficient</w:t>
      </w:r>
      <w:r>
        <w:rPr>
          <w:noProof/>
        </w:rPr>
        <w:t>es basados, en particular, en las tecnologías emergentes.</w:t>
      </w:r>
    </w:p>
    <w:p w14:paraId="44DBDEBF" w14:textId="77777777" w:rsidR="00F208CE" w:rsidRDefault="00513E84">
      <w:pPr>
        <w:pStyle w:val="P68B1DB1-Normal1"/>
        <w:spacing w:before="120" w:after="120" w:line="240" w:lineRule="auto"/>
        <w:jc w:val="both"/>
        <w:rPr>
          <w:rFonts w:cs="Times New Roman"/>
          <w:noProof/>
        </w:rPr>
      </w:pPr>
      <w:r>
        <w:rPr>
          <w:noProof/>
        </w:rPr>
        <w:t>En este componente, se presta especial atención a las PYME, que constituyen la mayor parte del tejido económico belga y se han visto especialmente afectadas por la crisis económica.</w:t>
      </w:r>
    </w:p>
    <w:p w14:paraId="41FD21D9" w14:textId="77777777" w:rsidR="00F208CE" w:rsidRDefault="00513E84">
      <w:pPr>
        <w:pStyle w:val="P68B1DB1-Normal1"/>
        <w:spacing w:before="120" w:after="120" w:line="240" w:lineRule="auto"/>
        <w:jc w:val="both"/>
        <w:rPr>
          <w:rFonts w:cs="Times New Roman"/>
          <w:noProof/>
        </w:rPr>
      </w:pPr>
      <w:r>
        <w:rPr>
          <w:noProof/>
        </w:rPr>
        <w:t>El componente co</w:t>
      </w:r>
      <w:r>
        <w:rPr>
          <w:noProof/>
        </w:rPr>
        <w:t xml:space="preserve">ntribuye a abordar la recomendación específica por país n.º 2019.3, en la medida en que pide centrarse en la investigación y la innovación y en la transición energética y con bajas emisiones de carbono, así como en la recomendación específica por país n.º </w:t>
      </w:r>
      <w:r>
        <w:rPr>
          <w:noProof/>
        </w:rPr>
        <w:t>2020.3, en la que se pide mejorar el entorno empresarial, concentrar los proyectos de inversión pública en una fase temprana y promover la inversión privada para fomentar la recuperación económica.</w:t>
      </w:r>
    </w:p>
    <w:p w14:paraId="27086138" w14:textId="77777777" w:rsidR="00F208CE" w:rsidRDefault="00513E84">
      <w:pPr>
        <w:pStyle w:val="P68B1DB1-Normal1"/>
        <w:spacing w:before="120" w:after="120" w:line="240" w:lineRule="auto"/>
        <w:jc w:val="both"/>
        <w:rPr>
          <w:rFonts w:cs="Times New Roman"/>
          <w:noProof/>
        </w:rPr>
      </w:pPr>
      <w:r>
        <w:rPr>
          <w:noProof/>
        </w:rPr>
        <w:t>Se espera que ninguna medida de este componente perjudique</w:t>
      </w:r>
      <w:r>
        <w:rPr>
          <w:noProof/>
        </w:rPr>
        <w:t xml:space="preserve"> significativamente a los objetivos medioambientales en el sentido del artículo 17 del Reglamento (UE) 2020/852, teniendo en cuenta la descripción de las medidas y las medidas atenuantes establecidas en el plan de recuperación y resiliencia de conformidad </w:t>
      </w:r>
      <w:r>
        <w:rPr>
          <w:noProof/>
        </w:rPr>
        <w:t>con las orientaciones técnicas de DNSH (2021/C58/01).</w:t>
      </w:r>
    </w:p>
    <w:p w14:paraId="07865D97" w14:textId="77777777"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O.1. </w:t>
      </w:r>
      <w:r>
        <w:rPr>
          <w:noProof/>
        </w:rPr>
        <w:t xml:space="preserve"> </w:t>
      </w:r>
      <w:r>
        <w:rPr>
          <w:rFonts w:ascii="Times New Roman" w:hAnsi="Times New Roman"/>
          <w:b/>
          <w:noProof/>
          <w:sz w:val="24"/>
          <w:u w:val="single"/>
        </w:rPr>
        <w:t>Descripción de las reformas e inversiones para la ayuda financiera no reembolsable</w:t>
      </w:r>
    </w:p>
    <w:p w14:paraId="48C11ED4" w14:textId="298D099A" w:rsidR="00F208CE" w:rsidRDefault="00513E84">
      <w:pPr>
        <w:pStyle w:val="P68B1DB1-Text19"/>
        <w:ind w:left="0"/>
        <w:rPr>
          <w:noProof/>
        </w:rPr>
      </w:pPr>
      <w:r>
        <w:rPr>
          <w:noProof/>
        </w:rPr>
        <w:t>Inversión I-5.08: «Medicina nuclear» del Estado Federal</w:t>
      </w:r>
    </w:p>
    <w:p w14:paraId="0BE27A52" w14:textId="1A695712" w:rsidR="00F208CE" w:rsidRDefault="00513E84">
      <w:pPr>
        <w:pStyle w:val="P68B1DB1-Normal1"/>
        <w:spacing w:before="120" w:after="120" w:line="240" w:lineRule="auto"/>
        <w:jc w:val="both"/>
        <w:rPr>
          <w:rFonts w:cs="Times New Roman"/>
          <w:noProof/>
        </w:rPr>
      </w:pPr>
      <w:r>
        <w:rPr>
          <w:noProof/>
        </w:rPr>
        <w:t>Esta inversión aborda dos retos relacionados con garantiz</w:t>
      </w:r>
      <w:r>
        <w:rPr>
          <w:noProof/>
        </w:rPr>
        <w:t>ar en el futuro la disponibilidad suficiente de dos de los radioisótopos más prometedores en la medicina nuclear para el tratamiento del cáncer: 177Lu y 225Ac. La primera acción aborda la necesidad de nuevas infraestructuras en el SCK CEN (</w:t>
      </w:r>
      <w:r>
        <w:rPr>
          <w:noProof/>
          <w:color w:val="202122"/>
          <w:shd w:val="clear" w:color="auto" w:fill="FFFFFF"/>
        </w:rPr>
        <w:t>elcentro de rece</w:t>
      </w:r>
      <w:r>
        <w:rPr>
          <w:noProof/>
          <w:color w:val="202122"/>
          <w:shd w:val="clear" w:color="auto" w:fill="FFFFFF"/>
        </w:rPr>
        <w:t>pción nuclear belga</w:t>
      </w:r>
      <w:r>
        <w:rPr>
          <w:noProof/>
          <w:shd w:val="clear" w:color="auto" w:fill="FFFFFF"/>
        </w:rPr>
        <w:t>)</w:t>
      </w:r>
      <w:r>
        <w:rPr>
          <w:noProof/>
        </w:rPr>
        <w:t>, que es necesaria para garantizar un aumento del suministro de 177Lu, teniendo en cuenta las necesidades futuras previstas, que se espera que pasen de 16 000 pacientes en 2020 a 138 000 en 2026 en la UE. El principal objetivo de la seg</w:t>
      </w:r>
      <w:r>
        <w:rPr>
          <w:noProof/>
        </w:rPr>
        <w:t xml:space="preserve">unda acción es llevar a cabo un estudio con el fin de colmar la brecha entre las tecnologías existentes y las necesidades identificadas para permitir una producción a gran escala de radioisótopos 225Ac.La ejecución de la inversión concluirá el 30 de junio </w:t>
      </w:r>
      <w:r>
        <w:rPr>
          <w:noProof/>
        </w:rPr>
        <w:t>de 2026.</w:t>
      </w:r>
    </w:p>
    <w:p w14:paraId="050CE2D8" w14:textId="7F41BB4F" w:rsidR="00F208CE" w:rsidRDefault="00513E84">
      <w:pPr>
        <w:pStyle w:val="P68B1DB1-Text19"/>
        <w:ind w:left="0"/>
        <w:rPr>
          <w:noProof/>
        </w:rPr>
      </w:pPr>
      <w:r>
        <w:rPr>
          <w:noProof/>
        </w:rPr>
        <w:t>Inversión I-5.08 bis: «La medicina nuclear — el enfoque teranóstico» del Estado Federal</w:t>
      </w:r>
    </w:p>
    <w:p w14:paraId="755FA336" w14:textId="68C9B63D" w:rsidR="00F208CE" w:rsidRDefault="00513E84">
      <w:pPr>
        <w:pStyle w:val="paragraph"/>
        <w:spacing w:before="0" w:beforeAutospacing="0" w:after="0" w:afterAutospacing="0"/>
        <w:jc w:val="both"/>
        <w:textAlignment w:val="baseline"/>
        <w:rPr>
          <w:noProof/>
        </w:rPr>
      </w:pPr>
      <w:r>
        <w:rPr>
          <w:rStyle w:val="normaltextrun"/>
          <w:noProof/>
        </w:rPr>
        <w:t>El objetivo de esta inversión es apoyar la seguridad del suministro de isótopos médicos mediante el desarrollo de una tecnología innovadora para los ciclotrone</w:t>
      </w:r>
      <w:r>
        <w:rPr>
          <w:rStyle w:val="normaltextrun"/>
          <w:noProof/>
        </w:rPr>
        <w:t>s (subproyecto 1) y la optimización del proceso de producción de los objetivos de uranio poco enriquecido (LEU) (subproyecto 2). Esta inversión comprende dos subproyectos de I + D, que se centrarán en: 1) desarrollar una tecnología innovadora para la produ</w:t>
      </w:r>
      <w:r>
        <w:rPr>
          <w:rStyle w:val="normaltextrun"/>
          <w:noProof/>
        </w:rPr>
        <w:t>cción de isótopos de ciclotrón. Como resultado de las actividades de I + D, un nuevo diseño está listo y permite hacer prototipos de objetivos y hacerlos irradiados para la validación del proceso en un nuevo proyecto; y 2) optimizar el proceso de producció</w:t>
      </w:r>
      <w:r>
        <w:rPr>
          <w:rStyle w:val="normaltextrun"/>
          <w:noProof/>
        </w:rPr>
        <w:t>n basado en la UE. Como resultado de las actividades de I + D, se han evaluado o probado las oportunidades de mejora y las más pertinentes se enumerarán en un informe. Para cada subproyecto se elaborará un informe a mediados de 2026. La ejecución de la inv</w:t>
      </w:r>
      <w:r>
        <w:rPr>
          <w:rStyle w:val="normaltextrun"/>
          <w:noProof/>
        </w:rPr>
        <w:t>ersión deberá estar terminada a más tardar el 30 de junio de 2026.</w:t>
      </w:r>
    </w:p>
    <w:p w14:paraId="5B2F08BD" w14:textId="77777777" w:rsidR="00F208CE" w:rsidRDefault="00513E84">
      <w:pPr>
        <w:pStyle w:val="P68B1DB1-Normal19"/>
        <w:rPr>
          <w:rFonts w:ascii="Times New Roman" w:hAnsi="Times New Roman" w:cs="Times New Roman"/>
          <w:noProof/>
          <w:sz w:val="24"/>
        </w:rPr>
      </w:pPr>
      <w:r>
        <w:rPr>
          <w:noProof/>
        </w:rPr>
        <w:br w:type="page"/>
      </w:r>
    </w:p>
    <w:p w14:paraId="74F8313C" w14:textId="3B44D869" w:rsidR="00F208CE" w:rsidRDefault="00513E84">
      <w:pPr>
        <w:pStyle w:val="P68B1DB1-Text19"/>
        <w:ind w:left="0"/>
        <w:rPr>
          <w:noProof/>
        </w:rPr>
      </w:pPr>
      <w:r>
        <w:rPr>
          <w:noProof/>
        </w:rPr>
        <w:t>Inversión I-5.10: «R — D: Minimización de residuos durante el desmantelamiento» del Estado Federal</w:t>
      </w:r>
    </w:p>
    <w:p w14:paraId="57C990BF" w14:textId="652A7196" w:rsidR="00F208CE" w:rsidRDefault="00513E84">
      <w:pPr>
        <w:pStyle w:val="P68B1DB1-Normal1"/>
        <w:spacing w:before="120" w:after="120" w:line="240" w:lineRule="auto"/>
        <w:jc w:val="both"/>
        <w:rPr>
          <w:rFonts w:cs="Times New Roman"/>
          <w:noProof/>
        </w:rPr>
      </w:pPr>
      <w:r>
        <w:rPr>
          <w:noProof/>
        </w:rPr>
        <w:t xml:space="preserve">Esta inversión tiene por objeto financiar las inversiones necesarias para permitir la </w:t>
      </w:r>
      <w:r>
        <w:rPr>
          <w:noProof/>
        </w:rPr>
        <w:t>industrialización de los conocimientos especializados belgas en técnicas y metodologías de caracterización radiológica y descontaminación para su aplicación durante el desmantelamiento de las centrales nucleares belgas, que se llevarán a cabo en el marco d</w:t>
      </w:r>
      <w:r>
        <w:rPr>
          <w:noProof/>
        </w:rPr>
        <w:t>e la eliminación progresiva prevista de la generación de energía nuclear en Bélgica y la posible valorización en otros proyectos de desmantelamiento y rehabilitación de emplazamientos. El objetivo del proyecto es minimizar la cantidad de residuos que se pr</w:t>
      </w:r>
      <w:r>
        <w:rPr>
          <w:noProof/>
        </w:rPr>
        <w:t xml:space="preserve">oducirán durante el desmantelamiento final de las centrales nucleares belgas. Por ejemplo, maximizará la reutilización y el reciclado de metales y hormigón. Todas las actividades se llevarán a cabo en instalaciones SCK CEN de alta seguridad y cumplirán el </w:t>
      </w:r>
      <w:r>
        <w:rPr>
          <w:noProof/>
        </w:rPr>
        <w:t>permiso medioambiental obtenido. Por último, se ofrecerán soluciones de tipo «cuna a grave», que no darán lugar a residuos secundarios que no puedan gestionarse. El proyecto se centrará únicamente en la reutilización, el reciclado y el almacenamiento defin</w:t>
      </w:r>
      <w:r>
        <w:rPr>
          <w:noProof/>
        </w:rPr>
        <w:t>itivo de residuos no nucleares, mientras que la eliminación de los residuos radiactivos generados por las operaciones de clausura queda fuera del ámbito de aplicación del proyecto. La ejecución de la inversión deberá estar terminada a más tardar el 30 de j</w:t>
      </w:r>
      <w:r>
        <w:rPr>
          <w:noProof/>
        </w:rPr>
        <w:t>unio de 2026.</w:t>
      </w:r>
    </w:p>
    <w:p w14:paraId="6AC2CFD1" w14:textId="48DF5647" w:rsidR="00F208CE" w:rsidRDefault="00513E84">
      <w:pPr>
        <w:pStyle w:val="P68B1DB1-Text19"/>
        <w:ind w:left="0"/>
        <w:rPr>
          <w:noProof/>
        </w:rPr>
      </w:pPr>
      <w:r>
        <w:rPr>
          <w:noProof/>
        </w:rPr>
        <w:t>Inversión I-5.11: «Reforzar la I + D» de la Región Flamenca</w:t>
      </w:r>
    </w:p>
    <w:p w14:paraId="4EAB7C5C" w14:textId="6C2504CF" w:rsidR="00F208CE" w:rsidRDefault="00513E84">
      <w:pPr>
        <w:pStyle w:val="P68B1DB1-Normal1"/>
        <w:spacing w:before="120" w:after="120" w:line="240" w:lineRule="auto"/>
        <w:jc w:val="both"/>
        <w:rPr>
          <w:rFonts w:cs="Times New Roman"/>
          <w:noProof/>
        </w:rPr>
      </w:pPr>
      <w:r>
        <w:rPr>
          <w:noProof/>
        </w:rPr>
        <w:t>Esta inversión tiene por objeto impulsar la innovación de los operadores económicos de Flandes a través de la investigación y el desarrollo tecnológico I, prestando especial atención</w:t>
      </w:r>
      <w:r>
        <w:rPr>
          <w:noProof/>
        </w:rPr>
        <w:t xml:space="preserve"> a tres ámbitos: digitalización, sostenibilidad y salud. Están previstos dos ejes diferentes. Un primer eje se centrará en proyectos de I + D — I centrados en actividades sostenibles, digitales y sanitarias en las que participen empresas o instituciones no</w:t>
      </w:r>
      <w:r>
        <w:rPr>
          <w:noProof/>
        </w:rPr>
        <w:t xml:space="preserve"> centradas en actividades empresariales (por ejemplo, hospitales, universidades, centros de investigación). El segundo eje se centrará en orientar el apoyo a las empresas en materia de I + D — I. En el marco de este eje I, los proyectos pueden referirse, p</w:t>
      </w:r>
      <w:r>
        <w:rPr>
          <w:noProof/>
        </w:rPr>
        <w:t>or ejemplo, al sector farmacéutico y a la tecnología de impresión 3D. También está previsto apoyar la participación en los PIICE previstos sobre microelectrónica. En el marco de la medida, se adjudicarán al menos 200 proyectos que abarquen todos los ámbito</w:t>
      </w:r>
      <w:r>
        <w:rPr>
          <w:noProof/>
        </w:rPr>
        <w:t>s de intervención de la medida. El MRR apoyará parte de los costes de esta inversión. Esta inversión también puede recibir apoyo de otros programas o instrumentos de la Unión para costes que no estén respaldados por el MRR.</w:t>
      </w:r>
    </w:p>
    <w:p w14:paraId="4E3A0B93" w14:textId="75F048B0" w:rsidR="00F208CE" w:rsidRDefault="00513E84">
      <w:pPr>
        <w:pStyle w:val="Text1"/>
        <w:ind w:left="0"/>
        <w:rPr>
          <w:noProof/>
        </w:rPr>
      </w:pPr>
      <w:r>
        <w:rPr>
          <w:noProof/>
        </w:rPr>
        <w:t>A fin de garantizar que la medida se ajusta a las orientaciones técnicas «no ocasionar daños significativos» (2021/C58/01), los criterios de admisibilidad contenidos en el pliego de condiciones para las próximas convocatorias de proyectos excluirán la sigu</w:t>
      </w:r>
      <w:r>
        <w:rPr>
          <w:noProof/>
        </w:rPr>
        <w:t>iente lista de actividades: I) las actividades relacionadas con los combustibles fósiles, incluido el uso posterior; II) actividades en el marco del régimen de comercio de derechos de emisión de la UE que logren unas emisiones de gases de efecto invernader</w:t>
      </w:r>
      <w:r>
        <w:rPr>
          <w:noProof/>
        </w:rPr>
        <w:t>o previstas que no sean inferiores a los parámetros de referencia pertinentes</w:t>
      </w:r>
      <w:r>
        <w:rPr>
          <w:rStyle w:val="FootnoteReference"/>
          <w:noProof/>
        </w:rPr>
        <w:footnoteReference w:id="12"/>
      </w:r>
      <w:r>
        <w:rPr>
          <w:noProof/>
        </w:rPr>
        <w:t>; III) actividades relacionadas con vertederos de residuos, incineradores</w:t>
      </w:r>
      <w:r>
        <w:rPr>
          <w:rStyle w:val="FootnoteReference"/>
          <w:noProof/>
        </w:rPr>
        <w:footnoteReference w:id="13"/>
      </w:r>
      <w:r>
        <w:rPr>
          <w:noProof/>
        </w:rPr>
        <w:t xml:space="preserve"> e instalaciones de tratamiento mecánico-biológico</w:t>
      </w:r>
      <w:r>
        <w:rPr>
          <w:rStyle w:val="FootnoteReference"/>
          <w:noProof/>
        </w:rPr>
        <w:footnoteReference w:id="14"/>
      </w:r>
      <w:r>
        <w:rPr>
          <w:noProof/>
        </w:rPr>
        <w:t>; y iv) actividades en las que la eliminación a largo</w:t>
      </w:r>
      <w:r>
        <w:rPr>
          <w:noProof/>
        </w:rPr>
        <w:t xml:space="preserve"> plazo de residuos pueda causar daños al medio ambiente. El mandato exigirá además que solo puedan seleccionarse las actividades que cumplan la legislación medioambiental nacional y de la UE pertinente. La ejecución de la inversión deberá estar terminada a</w:t>
      </w:r>
      <w:r>
        <w:rPr>
          <w:noProof/>
        </w:rPr>
        <w:t xml:space="preserve"> más tardar el 31 de agosto de 2026.</w:t>
      </w:r>
    </w:p>
    <w:p w14:paraId="5EDC9F63" w14:textId="77777777" w:rsidR="00F208CE" w:rsidRDefault="00513E84">
      <w:pPr>
        <w:pStyle w:val="P68B1DB1-Normal19"/>
        <w:rPr>
          <w:rFonts w:ascii="Times New Roman" w:hAnsi="Times New Roman" w:cs="Times New Roman"/>
          <w:noProof/>
          <w:sz w:val="24"/>
        </w:rPr>
      </w:pPr>
      <w:r>
        <w:rPr>
          <w:noProof/>
        </w:rPr>
        <w:br w:type="page"/>
      </w:r>
    </w:p>
    <w:p w14:paraId="23DAF586" w14:textId="366F1746" w:rsidR="00F208CE" w:rsidRDefault="00513E84">
      <w:pPr>
        <w:pStyle w:val="P68B1DB1-Text19"/>
        <w:ind w:left="0"/>
        <w:rPr>
          <w:noProof/>
        </w:rPr>
      </w:pPr>
      <w:r>
        <w:rPr>
          <w:noProof/>
        </w:rPr>
        <w:t>Inversión I-5.12: «Reubicación de alimentos y desarrollo de plataformas logísticas» de la Región Valona</w:t>
      </w:r>
    </w:p>
    <w:p w14:paraId="2209D778" w14:textId="77777777" w:rsidR="00F208CE" w:rsidRDefault="00513E84">
      <w:pPr>
        <w:pStyle w:val="P68B1DB1-Normal1"/>
        <w:spacing w:before="120" w:after="120" w:line="240" w:lineRule="auto"/>
        <w:jc w:val="both"/>
        <w:rPr>
          <w:rFonts w:cs="Times New Roman"/>
          <w:noProof/>
        </w:rPr>
      </w:pPr>
      <w:r>
        <w:rPr>
          <w:noProof/>
        </w:rPr>
        <w:t>El objetivo de esta inversión es apoyar el desarrollo de nuevos sectores agrícolas basados en el principio de cad</w:t>
      </w:r>
      <w:r>
        <w:rPr>
          <w:noProof/>
        </w:rPr>
        <w:t>enas de suministro cortas y el desarrollo de los instrumentos que faltan («eslabones») dentro de la cadena de suministro existente. Se divide en dos submedidas:</w:t>
      </w:r>
    </w:p>
    <w:p w14:paraId="6E9BDC80" w14:textId="18CC9293" w:rsidR="00F208CE" w:rsidRDefault="00513E84">
      <w:pPr>
        <w:pStyle w:val="P68B1DB1-ListParagraph16"/>
        <w:numPr>
          <w:ilvl w:val="0"/>
          <w:numId w:val="59"/>
        </w:numPr>
        <w:tabs>
          <w:tab w:val="left" w:pos="426"/>
        </w:tabs>
        <w:spacing w:before="120" w:after="120" w:line="240" w:lineRule="auto"/>
        <w:jc w:val="both"/>
        <w:rPr>
          <w:rFonts w:cs="Times New Roman"/>
          <w:noProof/>
        </w:rPr>
      </w:pPr>
      <w:r>
        <w:rPr>
          <w:noProof/>
        </w:rPr>
        <w:t>la creación de 30 pequeñas infraestructuras para apoyar la producción, el almacenamiento, el tr</w:t>
      </w:r>
      <w:r>
        <w:rPr>
          <w:noProof/>
        </w:rPr>
        <w:t xml:space="preserve">ansporte y la transformación a pequeña escala de productos procedentes de cuatro cadenas alimentarias (frutas, hortalizas, cereales y proteínas vegetales). También incluirá cuatro proyectos, uno para cada cadena alimentaria, para apoyar el desarrollo y la </w:t>
      </w:r>
      <w:r>
        <w:rPr>
          <w:noProof/>
        </w:rPr>
        <w:t>producción de semillas, plántulas y técnicas adaptadas al cambio climático y al cultivo sin insumos fitosanitarios;</w:t>
      </w:r>
    </w:p>
    <w:p w14:paraId="6C670665" w14:textId="563E08F5" w:rsidR="00F208CE" w:rsidRDefault="00513E84">
      <w:pPr>
        <w:pStyle w:val="P68B1DB1-ListParagraph16"/>
        <w:numPr>
          <w:ilvl w:val="0"/>
          <w:numId w:val="59"/>
        </w:numPr>
        <w:tabs>
          <w:tab w:val="left" w:pos="426"/>
        </w:tabs>
        <w:spacing w:before="120" w:after="120" w:line="240" w:lineRule="auto"/>
        <w:jc w:val="both"/>
        <w:rPr>
          <w:rFonts w:cs="Times New Roman"/>
          <w:noProof/>
        </w:rPr>
      </w:pPr>
      <w:r>
        <w:rPr>
          <w:noProof/>
        </w:rPr>
        <w:t>la construcción de dos centros logísticos dedicados a las actividades de los mayoristas, la transformación de alimentos de productos primari</w:t>
      </w:r>
      <w:r>
        <w:rPr>
          <w:noProof/>
        </w:rPr>
        <w:t xml:space="preserve">os y la incubadora de cooperativas, incluida la instalación de 1 700 paneles solares, 15 puntos de recarga para vehículos eléctricos y un sistema de almacenamiento de energía de 200 kW. Se complementará con la construcción de infraestructuras críticas (al </w:t>
      </w:r>
      <w:r>
        <w:rPr>
          <w:noProof/>
        </w:rPr>
        <w:t>menos cinco unidades de infraestructura, de las cuales una sala de almacenamiento, una almazara, una unidad de transformación de frutas y hortalizas y una sala de almacenamiento BtoB y un mercado) que contribuirán al despliegue de la cadena agroalimentaria</w:t>
      </w:r>
      <w:r>
        <w:rPr>
          <w:noProof/>
        </w:rPr>
        <w:t xml:space="preserve"> sostenible en toda la Región Valona.</w:t>
      </w:r>
    </w:p>
    <w:p w14:paraId="45414FE8" w14:textId="309CA4AC" w:rsidR="00F208CE" w:rsidRDefault="00513E84">
      <w:pPr>
        <w:pStyle w:val="P68B1DB1-Normal1"/>
        <w:spacing w:before="120" w:after="120" w:line="240" w:lineRule="auto"/>
        <w:jc w:val="both"/>
        <w:rPr>
          <w:rFonts w:cs="Times New Roman"/>
          <w:noProof/>
        </w:rPr>
      </w:pPr>
      <w:r>
        <w:rPr>
          <w:noProof/>
        </w:rPr>
        <w:t>A fin de garantizar que la medida se ajusta a las orientaciones técnicas «no ocasionar daños significativos» (2021/C58/01), los criterios de admisibilidad contenidos en el pliego de condiciones para las próximas convoc</w:t>
      </w:r>
      <w:r>
        <w:rPr>
          <w:noProof/>
        </w:rPr>
        <w:t>atorias de proyectos excluirán la siguiente lista de actividades: I) las actividades relacionadas con los combustibles fósiles, incluido el uso posterior; II) actividades relacionadas con vertederos de residuos, incineradores e instalaciones de tratamiento</w:t>
      </w:r>
      <w:r>
        <w:rPr>
          <w:noProof/>
        </w:rPr>
        <w:t xml:space="preserve"> mecánico-biológico</w:t>
      </w:r>
      <w:r>
        <w:rPr>
          <w:noProof/>
        </w:rPr>
        <w:footnoteReference w:id="15"/>
      </w:r>
      <w:r>
        <w:rPr>
          <w:noProof/>
        </w:rPr>
        <w:t xml:space="preserve">; y iii) actividades en las que la eliminación a largo plazo de residuos pueda causar daños al medio ambiente. El mandato exigirá además que solo puedan seleccionarse las actividades que cumplan la legislación medioambiental nacional y </w:t>
      </w:r>
      <w:r>
        <w:rPr>
          <w:noProof/>
        </w:rPr>
        <w:t>de la UE pertinente. La ejecución de la inversión deberá estar terminada a más tardar el 30 de junio de 2026.</w:t>
      </w:r>
    </w:p>
    <w:p w14:paraId="75A35A09" w14:textId="77777777" w:rsidR="00F208CE" w:rsidRDefault="00513E84">
      <w:pPr>
        <w:pStyle w:val="P68B1DB1-Text19"/>
        <w:ind w:left="0"/>
        <w:rPr>
          <w:noProof/>
        </w:rPr>
      </w:pPr>
      <w:r>
        <w:rPr>
          <w:noProof/>
        </w:rPr>
        <w:t>Inversión I-5.13: «Digitalización del sector turístico valón» de la Región Valona</w:t>
      </w:r>
    </w:p>
    <w:p w14:paraId="29CF5A47" w14:textId="3BFC3C84" w:rsidR="00F208CE" w:rsidRDefault="00513E84">
      <w:pPr>
        <w:pStyle w:val="P68B1DB1-Normal1"/>
        <w:spacing w:before="120" w:after="120" w:line="240" w:lineRule="auto"/>
        <w:jc w:val="both"/>
        <w:rPr>
          <w:rFonts w:cs="Times New Roman"/>
          <w:noProof/>
        </w:rPr>
      </w:pPr>
      <w:r>
        <w:rPr>
          <w:noProof/>
        </w:rPr>
        <w:t>El objetivo de esta inversión es aumentar la resiliencia de la i</w:t>
      </w:r>
      <w:r>
        <w:rPr>
          <w:noProof/>
        </w:rPr>
        <w:t>ndustria turística de la Región Valona. El proyecto se centrará en la digitalización del sector, mediante la aplicación de medidas para aumentar la presencia en línea de los operadores turísticos (pymes, trabajadores por cuenta propia y asociaciones sin án</w:t>
      </w:r>
      <w:r>
        <w:rPr>
          <w:noProof/>
        </w:rPr>
        <w:t>imo de lucro) y su independencia de las plataformas de terceros. La ejecución de la inversión deberá estar terminada a más tardar el 31 de diciembre de 2025.</w:t>
      </w:r>
    </w:p>
    <w:p w14:paraId="12C73135" w14:textId="77777777" w:rsidR="00F208CE" w:rsidRDefault="00513E84">
      <w:pPr>
        <w:pStyle w:val="P68B1DB1-Normal11"/>
        <w:spacing w:before="120" w:after="120" w:line="240" w:lineRule="auto"/>
        <w:jc w:val="both"/>
        <w:rPr>
          <w:rFonts w:cs="Times New Roman"/>
          <w:noProof/>
        </w:rPr>
      </w:pPr>
      <w:r>
        <w:rPr>
          <w:noProof/>
        </w:rPr>
        <w:t xml:space="preserve">Reforma R-5.06: «Optimización de los procedimientos: Procedimientos de autorización y recurso más </w:t>
      </w:r>
      <w:r>
        <w:rPr>
          <w:noProof/>
        </w:rPr>
        <w:t>rápidos» de la Región Flamenca</w:t>
      </w:r>
    </w:p>
    <w:p w14:paraId="62083CC5" w14:textId="72E9C058" w:rsidR="00F208CE" w:rsidRDefault="00513E84">
      <w:pPr>
        <w:pStyle w:val="P68B1DB1-Normal1"/>
        <w:spacing w:before="120" w:after="120" w:line="240" w:lineRule="auto"/>
        <w:jc w:val="both"/>
        <w:rPr>
          <w:rFonts w:cs="Times New Roman"/>
          <w:noProof/>
        </w:rPr>
      </w:pPr>
      <w:r>
        <w:rPr>
          <w:noProof/>
        </w:rPr>
        <w:t xml:space="preserve">Esta reforma tiene por objeto simplificar los procedimientos de concesión de permisos medioambientales, en particular mediante la introducción de condiciones sobre la posibilidad de recurrir las decisiones. Consistirá en una </w:t>
      </w:r>
      <w:r>
        <w:rPr>
          <w:noProof/>
        </w:rPr>
        <w:t>revisión del Reglamento vigente, con el objetivo de reducir el tiempo necesario para tramitar un asunto y ofrecer una mayor seguridad jurídica. Al final de la revisión, se publicará un informe que ofrezca una visión general de las medidas nuevas y revisada</w:t>
      </w:r>
      <w:r>
        <w:rPr>
          <w:noProof/>
        </w:rPr>
        <w:t>s. La aplicación de la reforma se completará a más tardar el 31 de diciembre de 2022.</w:t>
      </w:r>
    </w:p>
    <w:p w14:paraId="0DE4399B" w14:textId="77777777" w:rsidR="00F208CE" w:rsidRDefault="00513E84">
      <w:pPr>
        <w:pStyle w:val="P68B1DB1-Normal11"/>
        <w:rPr>
          <w:noProof/>
        </w:rPr>
      </w:pPr>
      <w:r>
        <w:rPr>
          <w:noProof/>
        </w:rPr>
        <w:br w:type="page"/>
      </w:r>
    </w:p>
    <w:p w14:paraId="71104E2B" w14:textId="50DB7354" w:rsidR="00F208CE" w:rsidRDefault="00513E84">
      <w:pPr>
        <w:pStyle w:val="P68B1DB1-Normal11"/>
        <w:spacing w:before="120" w:after="120" w:line="240" w:lineRule="auto"/>
        <w:jc w:val="both"/>
        <w:rPr>
          <w:rFonts w:cs="Times New Roman"/>
          <w:noProof/>
        </w:rPr>
      </w:pPr>
      <w:r>
        <w:rPr>
          <w:noProof/>
        </w:rPr>
        <w:t>Reforma R-5.07: «Ampliación de la base de innovación» de la Región Flamenca</w:t>
      </w:r>
    </w:p>
    <w:p w14:paraId="55CA56F2" w14:textId="72C9BE9E" w:rsidR="00F208CE" w:rsidRDefault="00513E84">
      <w:pPr>
        <w:pStyle w:val="P68B1DB1-Normal1"/>
        <w:spacing w:before="120" w:after="120" w:line="240" w:lineRule="auto"/>
        <w:jc w:val="both"/>
        <w:rPr>
          <w:rFonts w:cs="Times New Roman"/>
          <w:noProof/>
        </w:rPr>
      </w:pPr>
      <w:r>
        <w:rPr>
          <w:noProof/>
        </w:rPr>
        <w:t>Esta reforma tiene por objeto garantizar que los instrumentos existentes no impongan restric</w:t>
      </w:r>
      <w:r>
        <w:rPr>
          <w:noProof/>
        </w:rPr>
        <w:t>ciones al acceso de las PYME a las subvenciones a la innovación. Consistirá en una revisión de los instrumentos existentes destinados a estimular la innovación más fácilmente accesible y adaptada a las necesidades de las PYME. Al final de la revisión, se p</w:t>
      </w:r>
      <w:r>
        <w:rPr>
          <w:noProof/>
        </w:rPr>
        <w:t>ublicará un informe que ofrezca una visión general de las medidas nuevas y revisadas. La aplicación de la reforma se completará a más tardar el 31 de diciembre de 2022.</w:t>
      </w:r>
    </w:p>
    <w:p w14:paraId="4E767275" w14:textId="4D1D2C9B" w:rsidR="00F208CE" w:rsidRDefault="00513E84">
      <w:pPr>
        <w:pStyle w:val="P68B1DB1-Text19"/>
        <w:ind w:left="0"/>
        <w:rPr>
          <w:noProof/>
        </w:rPr>
      </w:pPr>
      <w:r>
        <w:rPr>
          <w:noProof/>
        </w:rPr>
        <w:t>Inversión I-5.18: «SMELD: MEtal MElting Limitting waste during D, D», del Estado Federa</w:t>
      </w:r>
      <w:r>
        <w:rPr>
          <w:noProof/>
        </w:rPr>
        <w:t>l</w:t>
      </w:r>
    </w:p>
    <w:p w14:paraId="79BBC2C8" w14:textId="495C4965" w:rsidR="00F208CE" w:rsidRDefault="00513E84">
      <w:pPr>
        <w:spacing w:before="120" w:after="120" w:line="240" w:lineRule="auto"/>
        <w:jc w:val="both"/>
        <w:rPr>
          <w:rStyle w:val="normaltextrun"/>
          <w:rFonts w:ascii="Times New Roman" w:hAnsi="Times New Roman" w:cs="Times New Roman"/>
          <w:noProof/>
          <w:sz w:val="24"/>
        </w:rPr>
        <w:sectPr w:rsidR="00F208CE" w:rsidSect="0071084B">
          <w:headerReference w:type="even" r:id="rId150"/>
          <w:headerReference w:type="default" r:id="rId151"/>
          <w:footerReference w:type="even" r:id="rId152"/>
          <w:footerReference w:type="default" r:id="rId153"/>
          <w:headerReference w:type="first" r:id="rId154"/>
          <w:footerReference w:type="first" r:id="rId155"/>
          <w:pgSz w:w="11907" w:h="16839"/>
          <w:pgMar w:top="1134" w:right="1134" w:bottom="1134" w:left="1134" w:header="567" w:footer="567" w:gutter="0"/>
          <w:cols w:space="720"/>
          <w:docGrid w:linePitch="360"/>
        </w:sectPr>
      </w:pPr>
      <w:r>
        <w:rPr>
          <w:rStyle w:val="normaltextrun"/>
          <w:rFonts w:ascii="Times New Roman" w:hAnsi="Times New Roman"/>
          <w:noProof/>
          <w:sz w:val="24"/>
        </w:rPr>
        <w:t>Esta inversión</w:t>
      </w:r>
      <w:r>
        <w:rPr>
          <w:rStyle w:val="normaltextrun"/>
          <w:rFonts w:ascii="Times New Roman" w:hAnsi="Times New Roman"/>
          <w:noProof/>
          <w:sz w:val="24"/>
        </w:rPr>
        <w:t xml:space="preserve"> tiene por objeto contribuir a maximizar el reciclado de metales resultante de futuras operaciones de clausura nuclear. Consiste en una I + D fundamental para mejorar el conocimiento del proceso de fundición de metales y debe ir seguida de la R &amp; D industr</w:t>
      </w:r>
      <w:r>
        <w:rPr>
          <w:rStyle w:val="normaltextrun"/>
          <w:rFonts w:ascii="Times New Roman" w:hAnsi="Times New Roman"/>
          <w:noProof/>
          <w:sz w:val="24"/>
        </w:rPr>
        <w:t>ial para explorar plenamente las aplicaciones prácticas. La inversión también tiene por objeto ampliar la capacidad de procesamiento de metales reciclados procedentes de operaciones de clausura nuclear. En este contexto, la inversión consistirá en la insta</w:t>
      </w:r>
      <w:r>
        <w:rPr>
          <w:rStyle w:val="normaltextrun"/>
          <w:rFonts w:ascii="Times New Roman" w:hAnsi="Times New Roman"/>
          <w:noProof/>
          <w:sz w:val="24"/>
        </w:rPr>
        <w:t>lación de un horno de fusión, utilizable con modo no radiactivo. Está previsto que esta inversión vaya seguida de etapas posteriores que conduzcan al funcionamiento del horno de fusión con material radiactivo, que no está previsto que se produzca hasta 202</w:t>
      </w:r>
      <w:r>
        <w:rPr>
          <w:rStyle w:val="normaltextrun"/>
          <w:rFonts w:ascii="Times New Roman" w:hAnsi="Times New Roman"/>
          <w:noProof/>
          <w:sz w:val="24"/>
        </w:rPr>
        <w:t>7. La ejecución de esta inversión estará terminada a más tardar el 30 de junio de 2026.</w:t>
      </w:r>
    </w:p>
    <w:p w14:paraId="16DEC713" w14:textId="332C6646" w:rsidR="00F208CE" w:rsidRDefault="00513E84">
      <w:pPr>
        <w:pStyle w:val="Text1"/>
        <w:ind w:left="0"/>
        <w:rPr>
          <w:b/>
          <w:noProof/>
          <w:u w:val="single"/>
        </w:rPr>
      </w:pPr>
      <w:r>
        <w:rPr>
          <w:b/>
          <w:noProof/>
          <w:u w:val="single"/>
        </w:rPr>
        <w:t xml:space="preserve">O.2. </w:t>
      </w:r>
      <w:r>
        <w:rPr>
          <w:noProof/>
        </w:rPr>
        <w:t xml:space="preserve"> </w:t>
      </w:r>
      <w:r>
        <w:rPr>
          <w:b/>
          <w:noProof/>
          <w:u w:val="single"/>
        </w:rPr>
        <w:t>Hitos, metas, indicadores y calendario para el seguimiento y la ejecución de la ayuda financiera no reembolsable</w:t>
      </w:r>
    </w:p>
    <w:tbl>
      <w:tblPr>
        <w:tblW w:w="15898" w:type="dxa"/>
        <w:tblInd w:w="-572" w:type="dxa"/>
        <w:tblLayout w:type="fixed"/>
        <w:tblLook w:val="04A0" w:firstRow="1" w:lastRow="0" w:firstColumn="1" w:lastColumn="0" w:noHBand="0" w:noVBand="1"/>
      </w:tblPr>
      <w:tblGrid>
        <w:gridCol w:w="681"/>
        <w:gridCol w:w="1446"/>
        <w:gridCol w:w="1200"/>
        <w:gridCol w:w="1800"/>
        <w:gridCol w:w="2280"/>
        <w:gridCol w:w="1200"/>
        <w:gridCol w:w="1080"/>
        <w:gridCol w:w="720"/>
        <w:gridCol w:w="1080"/>
        <w:gridCol w:w="720"/>
        <w:gridCol w:w="3691"/>
      </w:tblGrid>
      <w:tr w:rsidR="00F208CE" w14:paraId="6FFA1D56" w14:textId="77777777">
        <w:trPr>
          <w:trHeight w:val="927"/>
          <w:tblHeader/>
        </w:trPr>
        <w:tc>
          <w:tcPr>
            <w:tcW w:w="6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03EEEF" w14:textId="3CB0E3CE" w:rsidR="00F208CE" w:rsidRDefault="00513E84">
            <w:pPr>
              <w:pStyle w:val="P68B1DB1-Normal15"/>
              <w:spacing w:after="0"/>
              <w:jc w:val="center"/>
              <w:rPr>
                <w:rFonts w:eastAsia="Times New Roman" w:cs="Times New Roman"/>
                <w:noProof/>
              </w:rPr>
            </w:pPr>
            <w:r>
              <w:rPr>
                <w:noProof/>
              </w:rPr>
              <w:t>Código N.B.:</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F24D8C" w14:textId="77777777" w:rsidR="00F208CE" w:rsidRDefault="00513E84">
            <w:pPr>
              <w:pStyle w:val="P68B1DB1-Normal15"/>
              <w:spacing w:after="0"/>
              <w:jc w:val="center"/>
              <w:rPr>
                <w:rFonts w:eastAsia="Times New Roman" w:cs="Times New Roman"/>
                <w:noProof/>
              </w:rPr>
            </w:pPr>
            <w:r>
              <w:rPr>
                <w:noProof/>
              </w:rPr>
              <w:t>Medida relacionada (reforma o invers</w:t>
            </w:r>
            <w:r>
              <w:rPr>
                <w:noProof/>
              </w:rPr>
              <w:t>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95BE1C" w14:textId="77777777" w:rsidR="00F208CE" w:rsidRDefault="00513E84">
            <w:pPr>
              <w:pStyle w:val="P68B1DB1-Normal15"/>
              <w:spacing w:after="0"/>
              <w:jc w:val="center"/>
              <w:rPr>
                <w:rFonts w:eastAsia="Times New Roman" w:cs="Times New Roman"/>
                <w:noProof/>
              </w:rPr>
            </w:pPr>
            <w:r>
              <w:rPr>
                <w:noProof/>
              </w:rPr>
              <w:t>Hito/Objetivo</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AB3899" w14:textId="77777777" w:rsidR="00F208CE" w:rsidRDefault="00513E84">
            <w:pPr>
              <w:pStyle w:val="P68B1DB1-Normal15"/>
              <w:spacing w:after="0"/>
              <w:jc w:val="center"/>
              <w:rPr>
                <w:rFonts w:eastAsia="Times New Roman" w:cs="Times New Roman"/>
                <w:noProof/>
              </w:rPr>
            </w:pPr>
            <w:r>
              <w:rPr>
                <w:noProof/>
              </w:rPr>
              <w:t>Nombre</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A72C4F"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(para hitos)</w:t>
            </w:r>
          </w:p>
        </w:tc>
        <w:tc>
          <w:tcPr>
            <w:tcW w:w="300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25BADA9"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222219DE"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6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471B97"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20470D8F" w14:textId="77777777">
        <w:trPr>
          <w:trHeight w:val="1013"/>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9444FE5" w14:textId="77777777" w:rsidR="00F208CE" w:rsidRDefault="00F208CE">
            <w:pPr>
              <w:spacing w:after="0"/>
              <w:rPr>
                <w:rFonts w:ascii="Times New Roman" w:eastAsia="Times New Roman" w:hAnsi="Times New Roman" w:cs="Times New Roman"/>
                <w:b/>
                <w:noProof/>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7CB9F481" w14:textId="77777777" w:rsidR="00F208CE" w:rsidRDefault="00F208CE">
            <w:pPr>
              <w:spacing w:after="0"/>
              <w:rPr>
                <w:rFonts w:ascii="Times New Roman" w:eastAsia="Times New Roman" w:hAnsi="Times New Roman" w:cs="Times New Roman"/>
                <w:b/>
                <w:noProof/>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4E603C9" w14:textId="77777777" w:rsidR="00F208CE" w:rsidRDefault="00F208CE">
            <w:pPr>
              <w:spacing w:after="0"/>
              <w:rPr>
                <w:rFonts w:ascii="Times New Roman" w:eastAsia="Times New Roman" w:hAnsi="Times New Roman" w:cs="Times New Roman"/>
                <w:b/>
                <w:noProof/>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72BE082" w14:textId="77777777" w:rsidR="00F208CE" w:rsidRDefault="00F208CE">
            <w:pPr>
              <w:spacing w:after="0"/>
              <w:rPr>
                <w:rFonts w:ascii="Times New Roman" w:eastAsia="Times New Roman" w:hAnsi="Times New Roman" w:cs="Times New Roman"/>
                <w:b/>
                <w:noProof/>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9508E54" w14:textId="77777777" w:rsidR="00F208CE" w:rsidRDefault="00F208CE">
            <w:pPr>
              <w:spacing w:after="0"/>
              <w:rPr>
                <w:rFonts w:ascii="Times New Roman" w:eastAsia="Times New Roman" w:hAnsi="Times New Roman" w:cs="Times New Roman"/>
                <w:b/>
                <w:noProof/>
              </w:rPr>
            </w:pPr>
          </w:p>
        </w:tc>
        <w:tc>
          <w:tcPr>
            <w:tcW w:w="1200" w:type="dxa"/>
            <w:tcBorders>
              <w:top w:val="nil"/>
              <w:left w:val="single" w:sz="4" w:space="0" w:color="auto"/>
              <w:bottom w:val="single" w:sz="4" w:space="0" w:color="auto"/>
              <w:right w:val="single" w:sz="4" w:space="0" w:color="auto"/>
            </w:tcBorders>
            <w:shd w:val="clear" w:color="auto" w:fill="BDD7EE"/>
            <w:vAlign w:val="center"/>
            <w:hideMark/>
          </w:tcPr>
          <w:p w14:paraId="627101B5" w14:textId="77777777" w:rsidR="00F208CE" w:rsidRDefault="00513E84">
            <w:pPr>
              <w:pStyle w:val="P68B1DB1-Normal15"/>
              <w:spacing w:after="0"/>
              <w:jc w:val="center"/>
              <w:rPr>
                <w:rFonts w:eastAsia="Times New Roman" w:cs="Times New Roman"/>
                <w:noProof/>
              </w:rPr>
            </w:pPr>
            <w:r>
              <w:rPr>
                <w:noProof/>
              </w:rPr>
              <w:t>Unidad de medida</w:t>
            </w:r>
          </w:p>
        </w:tc>
        <w:tc>
          <w:tcPr>
            <w:tcW w:w="1080" w:type="dxa"/>
            <w:tcBorders>
              <w:top w:val="nil"/>
              <w:left w:val="nil"/>
              <w:bottom w:val="single" w:sz="4" w:space="0" w:color="auto"/>
              <w:right w:val="single" w:sz="4" w:space="0" w:color="auto"/>
            </w:tcBorders>
            <w:shd w:val="clear" w:color="auto" w:fill="BDD7EE"/>
            <w:vAlign w:val="center"/>
            <w:hideMark/>
          </w:tcPr>
          <w:p w14:paraId="245B6AC0" w14:textId="77777777" w:rsidR="00F208CE" w:rsidRDefault="00513E84">
            <w:pPr>
              <w:pStyle w:val="P68B1DB1-Normal15"/>
              <w:spacing w:after="0"/>
              <w:jc w:val="center"/>
              <w:rPr>
                <w:rFonts w:eastAsia="Times New Roman" w:cs="Times New Roman"/>
                <w:noProof/>
              </w:rPr>
            </w:pPr>
            <w:r>
              <w:rPr>
                <w:noProof/>
              </w:rPr>
              <w:t xml:space="preserve">Basal </w:t>
            </w:r>
          </w:p>
        </w:tc>
        <w:tc>
          <w:tcPr>
            <w:tcW w:w="720" w:type="dxa"/>
            <w:tcBorders>
              <w:top w:val="nil"/>
              <w:left w:val="nil"/>
              <w:bottom w:val="single" w:sz="4" w:space="0" w:color="auto"/>
              <w:right w:val="single" w:sz="4" w:space="0" w:color="auto"/>
            </w:tcBorders>
            <w:shd w:val="clear" w:color="auto" w:fill="BDD7EE"/>
            <w:vAlign w:val="center"/>
            <w:hideMark/>
          </w:tcPr>
          <w:p w14:paraId="621B141A" w14:textId="77777777" w:rsidR="00F208CE" w:rsidRDefault="00513E84">
            <w:pPr>
              <w:pStyle w:val="P68B1DB1-Normal15"/>
              <w:spacing w:after="0"/>
              <w:jc w:val="center"/>
              <w:rPr>
                <w:rFonts w:eastAsia="Times New Roman" w:cs="Times New Roman"/>
                <w:noProof/>
              </w:rPr>
            </w:pPr>
            <w:r>
              <w:rPr>
                <w:noProof/>
              </w:rPr>
              <w:t xml:space="preserve">Meta </w:t>
            </w:r>
          </w:p>
        </w:tc>
        <w:tc>
          <w:tcPr>
            <w:tcW w:w="1080" w:type="dxa"/>
            <w:tcBorders>
              <w:top w:val="nil"/>
              <w:left w:val="nil"/>
              <w:bottom w:val="single" w:sz="4" w:space="0" w:color="auto"/>
              <w:right w:val="single" w:sz="4" w:space="0" w:color="auto"/>
            </w:tcBorders>
            <w:shd w:val="clear" w:color="auto" w:fill="BDD7EE"/>
            <w:vAlign w:val="center"/>
            <w:hideMark/>
          </w:tcPr>
          <w:p w14:paraId="43DF06CE" w14:textId="77777777" w:rsidR="00F208CE" w:rsidRDefault="00513E84">
            <w:pPr>
              <w:pStyle w:val="P68B1DB1-Normal15"/>
              <w:spacing w:after="0"/>
              <w:jc w:val="center"/>
              <w:rPr>
                <w:rFonts w:eastAsia="Times New Roman" w:cs="Times New Roman"/>
                <w:noProof/>
              </w:rPr>
            </w:pPr>
            <w:r>
              <w:rPr>
                <w:noProof/>
              </w:rPr>
              <w:t>Trimestre</w:t>
            </w:r>
          </w:p>
        </w:tc>
        <w:tc>
          <w:tcPr>
            <w:tcW w:w="720" w:type="dxa"/>
            <w:tcBorders>
              <w:top w:val="nil"/>
              <w:left w:val="nil"/>
              <w:bottom w:val="single" w:sz="4" w:space="0" w:color="auto"/>
              <w:right w:val="single" w:sz="4" w:space="0" w:color="auto"/>
            </w:tcBorders>
            <w:shd w:val="clear" w:color="auto" w:fill="BDD7EE"/>
            <w:vAlign w:val="center"/>
            <w:hideMark/>
          </w:tcPr>
          <w:p w14:paraId="5E14F31D" w14:textId="77777777" w:rsidR="00F208CE" w:rsidRDefault="00513E84">
            <w:pPr>
              <w:pStyle w:val="P68B1DB1-Normal15"/>
              <w:spacing w:after="0"/>
              <w:jc w:val="center"/>
              <w:rPr>
                <w:rFonts w:eastAsia="Times New Roman" w:cs="Times New Roman"/>
                <w:noProof/>
              </w:rPr>
            </w:pPr>
            <w:r>
              <w:rPr>
                <w:noProof/>
              </w:rPr>
              <w:t>Año</w:t>
            </w:r>
          </w:p>
        </w:tc>
        <w:tc>
          <w:tcPr>
            <w:tcW w:w="3691" w:type="dxa"/>
            <w:vMerge/>
            <w:tcBorders>
              <w:top w:val="single" w:sz="4" w:space="0" w:color="auto"/>
              <w:bottom w:val="single" w:sz="4" w:space="0" w:color="auto"/>
              <w:right w:val="single" w:sz="4" w:space="0" w:color="auto"/>
            </w:tcBorders>
            <w:vAlign w:val="center"/>
            <w:hideMark/>
          </w:tcPr>
          <w:p w14:paraId="64BF770D" w14:textId="77777777" w:rsidR="00F208CE" w:rsidRDefault="00F208CE">
            <w:pPr>
              <w:spacing w:after="0"/>
              <w:rPr>
                <w:rFonts w:ascii="Times New Roman" w:eastAsia="Times New Roman" w:hAnsi="Times New Roman" w:cs="Times New Roman"/>
                <w:b/>
                <w:noProof/>
              </w:rPr>
            </w:pPr>
          </w:p>
        </w:tc>
      </w:tr>
      <w:tr w:rsidR="00F208CE" w14:paraId="19636527"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043822" w14:textId="77777777" w:rsidR="00F208CE" w:rsidRDefault="00513E84">
            <w:pPr>
              <w:pStyle w:val="P68B1DB1-Normal8"/>
              <w:spacing w:after="0"/>
              <w:jc w:val="center"/>
              <w:rPr>
                <w:rFonts w:eastAsia="Times New Roman" w:cs="Times New Roman"/>
                <w:noProof/>
              </w:rPr>
            </w:pPr>
            <w:r>
              <w:rPr>
                <w:noProof/>
              </w:rPr>
              <w:t>179</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7DEA36B5" w14:textId="77777777" w:rsidR="00F208CE" w:rsidRDefault="00513E84">
            <w:pPr>
              <w:pStyle w:val="P68B1DB1-Normal8"/>
              <w:spacing w:after="0"/>
              <w:rPr>
                <w:rFonts w:eastAsia="Times New Roman" w:cs="Times New Roman"/>
                <w:noProof/>
              </w:rPr>
            </w:pPr>
            <w:r>
              <w:rPr>
                <w:noProof/>
              </w:rPr>
              <w:t xml:space="preserve">Medicina </w:t>
            </w:r>
            <w:r>
              <w:rPr>
                <w:noProof/>
              </w:rPr>
              <w:t>nuclear (I-5.08)</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1D41AD1A" w14:textId="3A889CE2"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7B9A6EEC" w14:textId="77777777" w:rsidR="00F208CE" w:rsidRDefault="00513E84">
            <w:pPr>
              <w:pStyle w:val="P68B1DB1-Normal8"/>
              <w:spacing w:after="0"/>
              <w:rPr>
                <w:rFonts w:eastAsia="Times New Roman" w:cs="Times New Roman"/>
                <w:noProof/>
              </w:rPr>
            </w:pPr>
            <w:r>
              <w:rPr>
                <w:noProof/>
              </w:rPr>
              <w:t>Instalación de radioisótopos construida y puesta en servicio (FANC y FAGG)</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6E9E4194" w14:textId="77777777" w:rsidR="00F208CE" w:rsidRDefault="00513E84">
            <w:pPr>
              <w:pStyle w:val="P68B1DB1-Normal8"/>
              <w:spacing w:after="0"/>
              <w:rPr>
                <w:rFonts w:eastAsia="Times New Roman" w:cs="Times New Roman"/>
                <w:noProof/>
              </w:rPr>
            </w:pPr>
            <w:r>
              <w:rPr>
                <w:noProof/>
              </w:rPr>
              <w:t>Instalación construida y operativa.</w:t>
            </w:r>
          </w:p>
        </w:tc>
        <w:tc>
          <w:tcPr>
            <w:tcW w:w="1200" w:type="dxa"/>
            <w:tcBorders>
              <w:top w:val="nil"/>
              <w:left w:val="nil"/>
              <w:bottom w:val="single" w:sz="4" w:space="0" w:color="auto"/>
              <w:right w:val="single" w:sz="4" w:space="0" w:color="auto"/>
            </w:tcBorders>
            <w:shd w:val="clear" w:color="auto" w:fill="C6EFCE"/>
            <w:noWrap/>
            <w:vAlign w:val="center"/>
          </w:tcPr>
          <w:p w14:paraId="4846AFB2"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5ACF0CEA"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542F5143"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364D5287"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4F63E10E" w14:textId="639B74FB" w:rsidR="00F208CE" w:rsidRDefault="00513E84">
            <w:pPr>
              <w:pStyle w:val="P68B1DB1-Normal8"/>
              <w:spacing w:after="0"/>
              <w:jc w:val="center"/>
              <w:rPr>
                <w:rFonts w:eastAsia="Times New Roman" w:cs="Times New Roman"/>
                <w:noProof/>
              </w:rPr>
            </w:pPr>
            <w:r>
              <w:rPr>
                <w:noProof/>
              </w:rPr>
              <w:t>2026</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45BDB206" w14:textId="41C64740" w:rsidR="00F208CE" w:rsidRDefault="00513E84">
            <w:pPr>
              <w:pStyle w:val="P68B1DB1-Normal8"/>
              <w:spacing w:after="0"/>
              <w:rPr>
                <w:rFonts w:eastAsia="Times New Roman" w:cs="Times New Roman"/>
                <w:noProof/>
              </w:rPr>
            </w:pPr>
            <w:r>
              <w:rPr>
                <w:noProof/>
              </w:rPr>
              <w:t xml:space="preserve">La instalación de radioisótopos 177Lu ha sido construida y está operativa, habiendo obtenido todas </w:t>
            </w:r>
            <w:r>
              <w:rPr>
                <w:noProof/>
              </w:rPr>
              <w:t>las licencias necesarias de la Agence fédérale de Contrôle nucléaire (FANC) y de la Agencia Federal de Medicamentos y Productos Sanitarios (FAGG) y de conformidad con toda la legislación aplicable a nivel federal y flamenco relacionada con la Directiva 201</w:t>
            </w:r>
            <w:r>
              <w:rPr>
                <w:noProof/>
              </w:rPr>
              <w:t>1/92.</w:t>
            </w:r>
          </w:p>
        </w:tc>
      </w:tr>
      <w:tr w:rsidR="00F208CE" w14:paraId="6F2ED2D5"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2C3BE6" w14:textId="77777777" w:rsidR="00F208CE" w:rsidRDefault="00513E84">
            <w:pPr>
              <w:pStyle w:val="P68B1DB1-Normal8"/>
              <w:spacing w:after="0"/>
              <w:jc w:val="center"/>
              <w:rPr>
                <w:rFonts w:eastAsia="Times New Roman" w:cs="Times New Roman"/>
                <w:noProof/>
              </w:rPr>
            </w:pPr>
            <w:r>
              <w:rPr>
                <w:noProof/>
              </w:rPr>
              <w:t>180</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5D0298E8" w14:textId="77777777" w:rsidR="00F208CE" w:rsidRDefault="00513E84">
            <w:pPr>
              <w:pStyle w:val="P68B1DB1-Normal8"/>
              <w:spacing w:after="0"/>
              <w:rPr>
                <w:rFonts w:eastAsia="Times New Roman" w:cs="Times New Roman"/>
                <w:noProof/>
              </w:rPr>
            </w:pPr>
            <w:r>
              <w:rPr>
                <w:noProof/>
              </w:rPr>
              <w:t>Medicina nuclear (I-5.08)</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47B0D885" w14:textId="58627095"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666F30CB" w14:textId="77777777" w:rsidR="00F208CE" w:rsidRDefault="00513E84">
            <w:pPr>
              <w:pStyle w:val="P68B1DB1-Normal8"/>
              <w:spacing w:after="0"/>
              <w:rPr>
                <w:rFonts w:eastAsia="Times New Roman" w:cs="Times New Roman"/>
                <w:noProof/>
              </w:rPr>
            </w:pPr>
            <w:r>
              <w:rPr>
                <w:noProof/>
              </w:rPr>
              <w:t>Conjunto de medidas tecnológicas finalizado</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52AFCAB7" w14:textId="77777777" w:rsidR="00F208CE" w:rsidRDefault="00513E84">
            <w:pPr>
              <w:pStyle w:val="P68B1DB1-Normal8"/>
              <w:spacing w:after="0"/>
              <w:rPr>
                <w:rFonts w:eastAsia="Times New Roman" w:cs="Times New Roman"/>
                <w:noProof/>
              </w:rPr>
            </w:pPr>
            <w:r>
              <w:rPr>
                <w:noProof/>
              </w:rPr>
              <w:t>Informe de viabilidad en el que se describe el paquete tecnológico necesario para que los inversores procedan a la producción a gran escala de 225Ac a partir de 226Ra</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D00A8B2"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D5482D0"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E2B50B7"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EC42638"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35FAEC7D" w14:textId="77777777" w:rsidR="00F208CE" w:rsidRDefault="00513E84">
            <w:pPr>
              <w:pStyle w:val="P68B1DB1-Normal8"/>
              <w:spacing w:after="0"/>
              <w:jc w:val="center"/>
              <w:rPr>
                <w:rFonts w:eastAsia="Times New Roman" w:cs="Times New Roman"/>
                <w:noProof/>
              </w:rPr>
            </w:pPr>
            <w:r>
              <w:rPr>
                <w:noProof/>
              </w:rPr>
              <w:t>2024</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764F4F73" w14:textId="77777777" w:rsidR="00F208CE" w:rsidRDefault="00513E84">
            <w:pPr>
              <w:pStyle w:val="P68B1DB1-Normal8"/>
              <w:spacing w:after="0"/>
              <w:rPr>
                <w:rFonts w:eastAsia="Times New Roman" w:cs="Times New Roman"/>
                <w:noProof/>
              </w:rPr>
            </w:pPr>
            <w:r>
              <w:rPr>
                <w:noProof/>
              </w:rPr>
              <w:t xml:space="preserve">Se ha publicado un informe de viabilidad en el que se describe el paquete tecnológico necesario para que los inversores procedan a la producción a gran escala de 225Ac a partir de 226Ra. </w:t>
            </w:r>
          </w:p>
          <w:p w14:paraId="5BA7D906" w14:textId="77777777" w:rsidR="00F208CE" w:rsidRDefault="00513E84">
            <w:pPr>
              <w:pStyle w:val="P68B1DB1-Normal8"/>
              <w:spacing w:after="0"/>
              <w:rPr>
                <w:rFonts w:eastAsia="Times New Roman" w:cs="Times New Roman"/>
                <w:noProof/>
              </w:rPr>
            </w:pPr>
            <w:r>
              <w:rPr>
                <w:noProof/>
              </w:rPr>
              <w:t>El informe incluirá los elementos siguientes</w:t>
            </w:r>
            <w:r>
              <w:rPr>
                <w:noProof/>
              </w:rPr>
              <w:t>:</w:t>
            </w:r>
          </w:p>
          <w:p w14:paraId="513DAAE6" w14:textId="77777777" w:rsidR="00F208CE" w:rsidRDefault="00513E84">
            <w:pPr>
              <w:pStyle w:val="P68B1DB1-Normal8"/>
              <w:spacing w:after="0"/>
              <w:rPr>
                <w:rFonts w:eastAsia="Times New Roman" w:cs="Times New Roman"/>
                <w:noProof/>
              </w:rPr>
            </w:pPr>
            <w:r>
              <w:rPr>
                <w:noProof/>
              </w:rPr>
              <w:t>1) instalación operativa de celda caliente en SCK CEN para manejar fuentes de 226Ra</w:t>
            </w:r>
          </w:p>
          <w:p w14:paraId="45D20CBA" w14:textId="18098619" w:rsidR="00F208CE" w:rsidRDefault="00513E84">
            <w:pPr>
              <w:pStyle w:val="P68B1DB1-Normal8"/>
              <w:spacing w:after="0"/>
              <w:rPr>
                <w:rFonts w:eastAsia="Times New Roman" w:cs="Times New Roman"/>
                <w:noProof/>
              </w:rPr>
            </w:pPr>
            <w:r>
              <w:rPr>
                <w:noProof/>
              </w:rPr>
              <w:t>2) diseño del convertidor de electrón-gamma para la producción a gran escala</w:t>
            </w:r>
          </w:p>
          <w:p w14:paraId="263F06E0" w14:textId="77777777" w:rsidR="00F208CE" w:rsidRDefault="00513E84">
            <w:pPr>
              <w:pStyle w:val="P68B1DB1-Normal8"/>
              <w:spacing w:after="0"/>
              <w:rPr>
                <w:rFonts w:eastAsia="Times New Roman" w:cs="Times New Roman"/>
                <w:noProof/>
              </w:rPr>
            </w:pPr>
            <w:r>
              <w:rPr>
                <w:noProof/>
              </w:rPr>
              <w:t>3) diseño de módulos de irradiación y objetivo que deben construirse para la producción a gra</w:t>
            </w:r>
            <w:r>
              <w:rPr>
                <w:noProof/>
              </w:rPr>
              <w:t>n escala</w:t>
            </w:r>
          </w:p>
          <w:p w14:paraId="5AF787E7" w14:textId="77777777" w:rsidR="00F208CE" w:rsidRDefault="00513E84">
            <w:pPr>
              <w:pStyle w:val="P68B1DB1-Normal8"/>
              <w:spacing w:after="0"/>
              <w:rPr>
                <w:rFonts w:eastAsia="Times New Roman" w:cs="Times New Roman"/>
                <w:noProof/>
              </w:rPr>
            </w:pPr>
            <w:r>
              <w:rPr>
                <w:noProof/>
              </w:rPr>
              <w:t>4) un método de separación radioquímica totalmente ampliado y un proceso de reciclado de 226Ra, listo para su aplicación a gran escala</w:t>
            </w:r>
          </w:p>
          <w:p w14:paraId="6525A286" w14:textId="77777777" w:rsidR="00F208CE" w:rsidRDefault="00513E84">
            <w:pPr>
              <w:pStyle w:val="P68B1DB1-Normal8"/>
              <w:spacing w:after="0"/>
              <w:rPr>
                <w:rFonts w:eastAsia="Times New Roman" w:cs="Times New Roman"/>
                <w:noProof/>
              </w:rPr>
            </w:pPr>
            <w:r>
              <w:rPr>
                <w:noProof/>
              </w:rPr>
              <w:t xml:space="preserve">5) un diseño conceptual de la instalación de producción 225Ac </w:t>
            </w:r>
          </w:p>
          <w:p w14:paraId="6FD8E750" w14:textId="406A1C23" w:rsidR="00F208CE" w:rsidRDefault="00513E84">
            <w:pPr>
              <w:pStyle w:val="P68B1DB1-Normal8"/>
              <w:spacing w:after="0"/>
              <w:rPr>
                <w:rFonts w:eastAsia="Times New Roman" w:cs="Times New Roman"/>
                <w:noProof/>
              </w:rPr>
            </w:pPr>
            <w:r>
              <w:rPr>
                <w:noProof/>
              </w:rPr>
              <w:t>6) hoja de ruta para la concesión de licencias al</w:t>
            </w:r>
            <w:r>
              <w:rPr>
                <w:noProof/>
              </w:rPr>
              <w:t xml:space="preserve"> edificio para el manejo de radiactividad (FANC) y licencias de GMP (FAGG).</w:t>
            </w:r>
          </w:p>
        </w:tc>
      </w:tr>
      <w:tr w:rsidR="00F208CE" w14:paraId="1032D78A"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90181C" w14:textId="77777777" w:rsidR="00F208CE" w:rsidRDefault="00513E84">
            <w:pPr>
              <w:pStyle w:val="P68B1DB1-Normal8"/>
              <w:spacing w:after="0"/>
              <w:jc w:val="center"/>
              <w:rPr>
                <w:rFonts w:eastAsia="Times New Roman" w:cs="Times New Roman"/>
                <w:noProof/>
              </w:rPr>
            </w:pPr>
            <w:r>
              <w:rPr>
                <w:noProof/>
              </w:rPr>
              <w:t>184</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09F9B2B5" w14:textId="77777777" w:rsidR="00F208CE" w:rsidRDefault="00513E84">
            <w:pPr>
              <w:pStyle w:val="P68B1DB1-Normal8"/>
              <w:spacing w:after="0"/>
              <w:rPr>
                <w:rFonts w:eastAsia="Times New Roman" w:cs="Times New Roman"/>
                <w:noProof/>
              </w:rPr>
            </w:pPr>
            <w:r>
              <w:rPr>
                <w:noProof/>
              </w:rPr>
              <w:t>R — D: Minimización de residuos durante el desmantelamiento (I-5.10)</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4B4976A3" w14:textId="44E1F640"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5C591D7C" w14:textId="77777777" w:rsidR="00F208CE" w:rsidRDefault="00513E84">
            <w:pPr>
              <w:pStyle w:val="P68B1DB1-Normal8"/>
              <w:spacing w:after="0"/>
              <w:rPr>
                <w:rFonts w:eastAsia="Times New Roman" w:cs="Times New Roman"/>
                <w:noProof/>
              </w:rPr>
            </w:pPr>
            <w:r>
              <w:rPr>
                <w:noProof/>
              </w:rPr>
              <w:t xml:space="preserve">Adjudicación de un contrato público para la construcción de una instalación de tratamiento de materiales </w:t>
            </w:r>
          </w:p>
          <w:p w14:paraId="61CD08D1" w14:textId="77777777" w:rsidR="00F208CE" w:rsidRDefault="00513E84">
            <w:pPr>
              <w:pStyle w:val="P68B1DB1-Normal8"/>
              <w:spacing w:after="0"/>
              <w:rPr>
                <w:rFonts w:eastAsia="Times New Roman" w:cs="Times New Roman"/>
                <w:noProof/>
              </w:rPr>
            </w:pPr>
            <w:r>
              <w:rPr>
                <w:noProof/>
              </w:rPr>
              <w:t>(Mat)</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11D833EA" w14:textId="77777777" w:rsidR="00F208CE" w:rsidRDefault="00513E84">
            <w:pPr>
              <w:pStyle w:val="P68B1DB1-Normal8"/>
              <w:spacing w:after="0"/>
              <w:rPr>
                <w:rFonts w:eastAsia="Times New Roman" w:cs="Times New Roman"/>
                <w:noProof/>
              </w:rPr>
            </w:pPr>
            <w:r>
              <w:rPr>
                <w:noProof/>
              </w:rPr>
              <w:t>Notificación escrita de la adjudicación del contrato público para la construcción de una instalación de tratamiento de materiales (esterillas)</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2E4C4065"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3E4F38DC"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045256B"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7B93702"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17805053" w14:textId="77777777" w:rsidR="00F208CE" w:rsidRDefault="00513E84">
            <w:pPr>
              <w:pStyle w:val="P68B1DB1-Normal8"/>
              <w:spacing w:after="0"/>
              <w:jc w:val="center"/>
              <w:rPr>
                <w:rFonts w:eastAsia="Times New Roman" w:cs="Times New Roman"/>
                <w:noProof/>
              </w:rPr>
            </w:pPr>
            <w:r>
              <w:rPr>
                <w:noProof/>
              </w:rPr>
              <w:t>2023</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3096471C" w14:textId="77777777" w:rsidR="00F208CE" w:rsidRDefault="00513E84">
            <w:pPr>
              <w:pStyle w:val="P68B1DB1-Normal13"/>
              <w:spacing w:after="0"/>
              <w:rPr>
                <w:rFonts w:eastAsia="Times New Roman" w:cs="Times New Roman"/>
                <w:noProof/>
                <w:color w:val="006100"/>
              </w:rPr>
            </w:pPr>
            <w:r>
              <w:rPr>
                <w:noProof/>
                <w:color w:val="006100"/>
              </w:rPr>
              <w:t>Notificación de la adjudicación del contrato por el Ministerio Federal de Economía y Trabajo para la construcción de una instalación de tratamiento de materiales (mat), necesaria para realizar pruebas en frío y demostraciones de l</w:t>
            </w:r>
            <w:r>
              <w:rPr>
                <w:noProof/>
                <w:color w:val="006100"/>
              </w:rPr>
              <w:t>as tecnologías que se van a desarrollar para la reutilización, el reciclado y la eliminación final de los residuos no nucleares procedentes de las operaciones de clausura de centrales nucleares; se obtendrán los permisos de construcción necesarios y la lic</w:t>
            </w:r>
            <w:r>
              <w:rPr>
                <w:noProof/>
                <w:color w:val="006100"/>
              </w:rPr>
              <w:t>encia de la Agence fédérale de Contrôle nucléaire (FANC). El edificio cumplirá toda la legislación aplicable a nivel federal y flamenco relacionada con la Directiva 2011/92.</w:t>
            </w:r>
          </w:p>
        </w:tc>
      </w:tr>
      <w:tr w:rsidR="00F208CE" w14:paraId="1860B16B"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837EDC" w14:textId="77777777" w:rsidR="00F208CE" w:rsidRDefault="00513E84">
            <w:pPr>
              <w:pStyle w:val="P68B1DB1-Normal8"/>
              <w:spacing w:after="0"/>
              <w:jc w:val="center"/>
              <w:rPr>
                <w:rFonts w:eastAsia="Times New Roman" w:cs="Times New Roman"/>
                <w:noProof/>
              </w:rPr>
            </w:pPr>
            <w:r>
              <w:rPr>
                <w:noProof/>
              </w:rPr>
              <w:t>185</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14A67A78" w14:textId="77777777" w:rsidR="00F208CE" w:rsidRDefault="00513E84">
            <w:pPr>
              <w:pStyle w:val="P68B1DB1-Normal8"/>
              <w:spacing w:after="0"/>
              <w:rPr>
                <w:rFonts w:eastAsia="Times New Roman" w:cs="Times New Roman"/>
                <w:noProof/>
              </w:rPr>
            </w:pPr>
            <w:r>
              <w:rPr>
                <w:noProof/>
              </w:rPr>
              <w:t>R — D: Minimización de residuos durante el desmantelamiento (I-5.10)</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51B4F814" w14:textId="68942519"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269DF0BB" w14:textId="77777777" w:rsidR="00F208CE" w:rsidRDefault="00513E84">
            <w:pPr>
              <w:pStyle w:val="P68B1DB1-Normal8"/>
              <w:spacing w:after="0"/>
              <w:rPr>
                <w:rFonts w:eastAsia="Times New Roman" w:cs="Times New Roman"/>
                <w:noProof/>
              </w:rPr>
            </w:pPr>
            <w:r>
              <w:rPr>
                <w:noProof/>
              </w:rPr>
              <w:t>Construcción y puesta en servicio de una instalación de tratamiento de materiales (mat); finalización del estudio teórico</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14290B21" w14:textId="77777777" w:rsidR="00F208CE" w:rsidRDefault="00513E84">
            <w:pPr>
              <w:pStyle w:val="P68B1DB1-Normal8"/>
              <w:spacing w:after="0"/>
              <w:rPr>
                <w:rFonts w:eastAsia="Times New Roman" w:cs="Times New Roman"/>
                <w:noProof/>
              </w:rPr>
            </w:pPr>
            <w:r>
              <w:rPr>
                <w:noProof/>
              </w:rPr>
              <w:t>Instalación de tratamiento de materiales (mat) operativa</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059CB8A0"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863781D"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4B03CDE5"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BFEB077"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24C4C31D" w14:textId="77777777" w:rsidR="00F208CE" w:rsidRDefault="00513E84">
            <w:pPr>
              <w:pStyle w:val="P68B1DB1-Normal8"/>
              <w:spacing w:after="0"/>
              <w:jc w:val="center"/>
              <w:rPr>
                <w:rFonts w:eastAsia="Times New Roman" w:cs="Times New Roman"/>
                <w:noProof/>
              </w:rPr>
            </w:pPr>
            <w:r>
              <w:rPr>
                <w:noProof/>
              </w:rPr>
              <w:t>2026</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2B7DE902" w14:textId="77777777" w:rsidR="00F208CE" w:rsidRDefault="00513E84">
            <w:pPr>
              <w:pStyle w:val="P68B1DB1-Normal13"/>
              <w:spacing w:after="0"/>
              <w:rPr>
                <w:rFonts w:eastAsia="Times New Roman" w:cs="Times New Roman"/>
                <w:noProof/>
                <w:color w:val="006100"/>
              </w:rPr>
            </w:pPr>
            <w:r>
              <w:rPr>
                <w:noProof/>
              </w:rPr>
              <w:t>La</w:t>
            </w:r>
            <w:r>
              <w:rPr>
                <w:noProof/>
                <w:color w:val="006100"/>
              </w:rPr>
              <w:t xml:space="preserve">instalación de tratamiento de materiales (mat), </w:t>
            </w:r>
            <w:r>
              <w:rPr>
                <w:noProof/>
                <w:color w:val="006100"/>
              </w:rPr>
              <w:t>necesaria para realizar ensayos en frío y demostraciones de las tecnologías que se van a desarrollar, tecnologías</w:t>
            </w:r>
            <w:r>
              <w:rPr>
                <w:noProof/>
              </w:rPr>
              <w:t xml:space="preserve"> de </w:t>
            </w:r>
            <w:r>
              <w:rPr>
                <w:noProof/>
                <w:color w:val="006100"/>
              </w:rPr>
              <w:t>reutilización, reciclado y eliminación final de residuos no nucleares procedentes de las operaciones de clausura de centrales nucleares, se</w:t>
            </w:r>
            <w:r>
              <w:rPr>
                <w:noProof/>
                <w:color w:val="006100"/>
              </w:rPr>
              <w:t xml:space="preserve"> construye, equipa y es operativa, tras la finalización del proceso de selección de las infraestructuras y equipos necesarios. Se concluirá un estudio de caso (de mesa) dentro del proyecto para el desmantelamiento completo (de la cuna a la tumba) de un com</w:t>
            </w:r>
            <w:r>
              <w:rPr>
                <w:noProof/>
                <w:color w:val="006100"/>
              </w:rPr>
              <w:t>ponente concreto (por ejemplo, un generador de vapor) de las centrales nucleares belgas.</w:t>
            </w:r>
          </w:p>
        </w:tc>
      </w:tr>
      <w:tr w:rsidR="00F208CE" w14:paraId="683DE24D"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83187B" w14:textId="77777777" w:rsidR="00F208CE" w:rsidRDefault="00513E84">
            <w:pPr>
              <w:pStyle w:val="P68B1DB1-Normal8"/>
              <w:spacing w:after="0"/>
              <w:jc w:val="center"/>
              <w:rPr>
                <w:rFonts w:eastAsia="Times New Roman" w:cs="Times New Roman"/>
                <w:noProof/>
              </w:rPr>
            </w:pPr>
            <w:r>
              <w:rPr>
                <w:noProof/>
              </w:rPr>
              <w:t>186</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504F12E1" w14:textId="77777777" w:rsidR="00F208CE" w:rsidRDefault="00513E84">
            <w:pPr>
              <w:pStyle w:val="P68B1DB1-Normal8"/>
              <w:spacing w:after="0"/>
              <w:rPr>
                <w:rFonts w:eastAsia="Times New Roman" w:cs="Times New Roman"/>
                <w:noProof/>
              </w:rPr>
            </w:pPr>
            <w:r>
              <w:rPr>
                <w:noProof/>
              </w:rPr>
              <w:t>Reforzar la I + D (I-5.11)</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049426AC" w14:textId="5E9818B0"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429C3B4C" w14:textId="77777777" w:rsidR="00F208CE" w:rsidRDefault="00513E84">
            <w:pPr>
              <w:pStyle w:val="P68B1DB1-Normal8"/>
              <w:spacing w:after="0"/>
              <w:rPr>
                <w:rFonts w:eastAsia="Times New Roman" w:cs="Times New Roman"/>
                <w:noProof/>
              </w:rPr>
            </w:pPr>
            <w:r>
              <w:rPr>
                <w:noProof/>
              </w:rPr>
              <w:t>Adjudicación de contratos públicos para proyectos de I + D y de infraestructuras</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7E9BAFE4" w14:textId="77777777" w:rsidR="00F208CE" w:rsidRDefault="00513E84">
            <w:pPr>
              <w:pStyle w:val="P68B1DB1-Normal8"/>
              <w:spacing w:after="0"/>
              <w:rPr>
                <w:rFonts w:eastAsia="Times New Roman" w:cs="Times New Roman"/>
                <w:noProof/>
              </w:rPr>
            </w:pPr>
            <w:r>
              <w:rPr>
                <w:noProof/>
              </w:rPr>
              <w:t xml:space="preserve">Notificación de los proyectos de adjudicación </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5B7C380"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5D3E123"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C70DB2D"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095108F"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51A9152A" w14:textId="77777777" w:rsidR="00F208CE" w:rsidRDefault="00513E84">
            <w:pPr>
              <w:pStyle w:val="P68B1DB1-Normal8"/>
              <w:spacing w:after="0"/>
              <w:jc w:val="center"/>
              <w:rPr>
                <w:rFonts w:eastAsia="Times New Roman" w:cs="Times New Roman"/>
                <w:noProof/>
              </w:rPr>
            </w:pPr>
            <w:r>
              <w:rPr>
                <w:noProof/>
              </w:rPr>
              <w:t>2022</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5E9DD694" w14:textId="3C74EC14" w:rsidR="00F208CE" w:rsidRDefault="00513E84">
            <w:pPr>
              <w:pStyle w:val="P68B1DB1-Normal8"/>
              <w:spacing w:after="0"/>
              <w:rPr>
                <w:rFonts w:eastAsia="Times New Roman" w:cs="Times New Roman"/>
                <w:noProof/>
              </w:rPr>
            </w:pPr>
            <w:r>
              <w:rPr>
                <w:noProof/>
              </w:rPr>
              <w:t>Notificación, por parte de VLAIO y el Departement Economie, Wetenschap en Innovatie (EWI), de la adjudicación de 200 proyectos a los candidatos seleccionados tras la convocatoria de propuestas, con un pliego de condiciones que inclu</w:t>
            </w:r>
            <w:r>
              <w:rPr>
                <w:noProof/>
              </w:rPr>
              <w:t xml:space="preserve">ya criterios de admisibilidad que garanticen que los proyectos seleccionados cumplen las orientaciones técnicas «No causar un perjuicio significativo» (2021/C58/01) mediante el uso de una lista de exclusión y el requisito de cumplimiento de la legislación </w:t>
            </w:r>
            <w:r>
              <w:rPr>
                <w:noProof/>
              </w:rPr>
              <w:t>medioambiental nacional y de la UE pertinente. Se concederán 20 000 000 EUR al proyecto «PREVAIL». En el caso de los proyectos adjudicados a través de regímenes de subvenciones que no trabajen con convocatorias de proyectos, el cumplimiento de las directri</w:t>
            </w:r>
            <w:r>
              <w:rPr>
                <w:noProof/>
              </w:rPr>
              <w:t>ces técnicas «no causar un perjuicio significativo» (2021/C58/01) también se hará cumplir mediante un criterio de admisibilidad basado en la misma lista de exclusión y el requisito de cumplimiento de la legislación medioambiental nacional y de la UE pertin</w:t>
            </w:r>
            <w:r>
              <w:rPr>
                <w:noProof/>
              </w:rPr>
              <w:t>ente.</w:t>
            </w:r>
          </w:p>
        </w:tc>
      </w:tr>
      <w:tr w:rsidR="00F208CE" w14:paraId="2B735020"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1F8B73" w14:textId="77777777" w:rsidR="00F208CE" w:rsidRDefault="00513E84">
            <w:pPr>
              <w:pStyle w:val="P68B1DB1-Normal8"/>
              <w:spacing w:after="0"/>
              <w:jc w:val="center"/>
              <w:rPr>
                <w:rFonts w:eastAsia="Times New Roman" w:cs="Times New Roman"/>
                <w:noProof/>
              </w:rPr>
            </w:pPr>
            <w:r>
              <w:rPr>
                <w:noProof/>
              </w:rPr>
              <w:t>187</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3A358EB3" w14:textId="77777777" w:rsidR="00F208CE" w:rsidRDefault="00513E84">
            <w:pPr>
              <w:pStyle w:val="P68B1DB1-Normal8"/>
              <w:spacing w:after="0"/>
              <w:rPr>
                <w:rFonts w:eastAsia="Times New Roman" w:cs="Times New Roman"/>
                <w:noProof/>
              </w:rPr>
            </w:pPr>
            <w:r>
              <w:rPr>
                <w:noProof/>
              </w:rPr>
              <w:t>Reforzar la I + D (I-5.11)</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3B02D4A" w14:textId="63366EE9"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08C63592" w14:textId="3B94E0EC" w:rsidR="00F208CE" w:rsidRDefault="00513E84">
            <w:pPr>
              <w:pStyle w:val="P68B1DB1-Normal8"/>
              <w:spacing w:after="0"/>
              <w:rPr>
                <w:rFonts w:eastAsia="Times New Roman" w:cs="Times New Roman"/>
                <w:noProof/>
              </w:rPr>
            </w:pPr>
            <w:r>
              <w:rPr>
                <w:noProof/>
              </w:rPr>
              <w:t>Proyectos de I + D I adjudicados y proyectos de infraestructura financiados</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3701D2AB" w14:textId="2A222473" w:rsidR="00F208CE" w:rsidRDefault="00513E84">
            <w:pPr>
              <w:pStyle w:val="P68B1DB1-Normal8"/>
              <w:spacing w:after="0"/>
              <w:rPr>
                <w:rFonts w:eastAsia="Times New Roman" w:cs="Times New Roman"/>
                <w:noProof/>
              </w:rPr>
            </w:pPr>
            <w:r>
              <w:rPr>
                <w:noProof/>
              </w:rPr>
              <w:t>Pagos a proyectos adjudicados</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5BFBBF8A" w14:textId="5985A01D"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3EFEDAB" w14:textId="765C6554"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1C5BC372" w14:textId="51A83DD4"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0765A1C4"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60FB9C44" w14:textId="77777777" w:rsidR="00F208CE" w:rsidRDefault="00513E84">
            <w:pPr>
              <w:pStyle w:val="P68B1DB1-Normal8"/>
              <w:spacing w:after="0"/>
              <w:jc w:val="center"/>
              <w:rPr>
                <w:rFonts w:eastAsia="Times New Roman" w:cs="Times New Roman"/>
                <w:noProof/>
              </w:rPr>
            </w:pPr>
            <w:r>
              <w:rPr>
                <w:noProof/>
              </w:rPr>
              <w:t>2026</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72B89B5D" w14:textId="31A45A10" w:rsidR="00F208CE" w:rsidRDefault="00513E84">
            <w:pPr>
              <w:pStyle w:val="P68B1DB1-Normal8"/>
              <w:spacing w:after="0"/>
              <w:rPr>
                <w:rFonts w:eastAsia="Times New Roman" w:cs="Times New Roman"/>
                <w:noProof/>
              </w:rPr>
            </w:pPr>
            <w:r>
              <w:rPr>
                <w:noProof/>
              </w:rPr>
              <w:t>Se pagarán al menos 20 000 000 EUR al proyecto «PREVAIL».</w:t>
            </w:r>
          </w:p>
          <w:p w14:paraId="567D55A0" w14:textId="77777777" w:rsidR="00F208CE" w:rsidRDefault="00F208CE">
            <w:pPr>
              <w:spacing w:after="0"/>
              <w:rPr>
                <w:rFonts w:ascii="Times New Roman" w:eastAsia="Times New Roman" w:hAnsi="Times New Roman" w:cs="Times New Roman"/>
                <w:noProof/>
                <w:color w:val="006100"/>
              </w:rPr>
            </w:pPr>
          </w:p>
          <w:p w14:paraId="2AF17250" w14:textId="2922DEBE" w:rsidR="00F208CE" w:rsidRDefault="00513E84">
            <w:pPr>
              <w:pStyle w:val="P68B1DB1-Normal8"/>
              <w:spacing w:after="0"/>
              <w:rPr>
                <w:rFonts w:eastAsia="Times New Roman" w:cs="Times New Roman"/>
                <w:noProof/>
              </w:rPr>
            </w:pPr>
            <w:r>
              <w:rPr>
                <w:noProof/>
              </w:rPr>
              <w:t xml:space="preserve">Los importes </w:t>
            </w:r>
            <w:r>
              <w:rPr>
                <w:noProof/>
              </w:rPr>
              <w:t>proporcionados por otros programas o instrumentos de la Unión no se contabilizarán en este importe.</w:t>
            </w:r>
          </w:p>
          <w:p w14:paraId="3A459ABF" w14:textId="77777777" w:rsidR="00F208CE" w:rsidRDefault="00F208CE">
            <w:pPr>
              <w:spacing w:after="0"/>
              <w:rPr>
                <w:rFonts w:ascii="Times New Roman" w:eastAsia="Times New Roman" w:hAnsi="Times New Roman" w:cs="Times New Roman"/>
                <w:noProof/>
                <w:color w:val="006100"/>
              </w:rPr>
            </w:pPr>
          </w:p>
          <w:p w14:paraId="12D382D9" w14:textId="57CC4A97" w:rsidR="00F208CE" w:rsidRDefault="00513E84">
            <w:pPr>
              <w:pStyle w:val="P68B1DB1-Normal8"/>
              <w:spacing w:after="0"/>
              <w:rPr>
                <w:rFonts w:eastAsia="Times New Roman" w:cs="Times New Roman"/>
                <w:noProof/>
              </w:rPr>
            </w:pPr>
            <w:r>
              <w:rPr>
                <w:noProof/>
              </w:rPr>
              <w:t>Se pagarán al menos 200 500 000 EUR a proyectos para apoyar la convocatoria de propuestas y la selección a través de regímenes de subvenciones.</w:t>
            </w:r>
          </w:p>
          <w:p w14:paraId="2FA6C228" w14:textId="53565A72" w:rsidR="00F208CE" w:rsidRDefault="00F208CE">
            <w:pPr>
              <w:spacing w:after="0"/>
              <w:rPr>
                <w:rFonts w:ascii="Times New Roman" w:eastAsia="Times New Roman" w:hAnsi="Times New Roman" w:cs="Times New Roman"/>
                <w:noProof/>
                <w:color w:val="006100"/>
              </w:rPr>
            </w:pPr>
          </w:p>
        </w:tc>
      </w:tr>
      <w:tr w:rsidR="00F208CE" w14:paraId="679411A3"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D59C11" w14:textId="77777777" w:rsidR="00F208CE" w:rsidRDefault="00513E84">
            <w:pPr>
              <w:pStyle w:val="P68B1DB1-Normal8"/>
              <w:spacing w:after="0"/>
              <w:jc w:val="center"/>
              <w:rPr>
                <w:rFonts w:eastAsia="Times New Roman" w:cs="Times New Roman"/>
                <w:noProof/>
              </w:rPr>
            </w:pPr>
            <w:r>
              <w:rPr>
                <w:noProof/>
              </w:rPr>
              <w:t>188</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7AD0F3BE" w14:textId="77777777" w:rsidR="00F208CE" w:rsidRDefault="00513E84">
            <w:pPr>
              <w:pStyle w:val="P68B1DB1-Normal8"/>
              <w:spacing w:after="0"/>
              <w:rPr>
                <w:rFonts w:eastAsia="Times New Roman" w:cs="Times New Roman"/>
                <w:noProof/>
              </w:rPr>
            </w:pPr>
            <w:r>
              <w:rPr>
                <w:noProof/>
              </w:rPr>
              <w:t>Reubicación de alimentos y desarrollo de plataformas logísticas (I-5.12)</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D23A960" w14:textId="0D433906"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1C25A144" w14:textId="3E6FE5C8" w:rsidR="00F208CE" w:rsidRDefault="00513E84">
            <w:pPr>
              <w:pStyle w:val="P68B1DB1-Normal8"/>
              <w:spacing w:after="0"/>
              <w:rPr>
                <w:rFonts w:eastAsia="Times New Roman" w:cs="Times New Roman"/>
                <w:noProof/>
              </w:rPr>
            </w:pPr>
            <w:r>
              <w:rPr>
                <w:noProof/>
              </w:rPr>
              <w:t>Adjudicación de contratos públicos de obras por las 2 empresas intermunicipales (SPI, IGRETEC) para la construcción de infraestructuras para el sector alimentario</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6AA87BED" w14:textId="5C5C5806" w:rsidR="00F208CE" w:rsidRDefault="00513E84">
            <w:pPr>
              <w:pStyle w:val="P68B1DB1-Normal8"/>
              <w:spacing w:after="0"/>
              <w:rPr>
                <w:rFonts w:eastAsia="Times New Roman" w:cs="Times New Roman"/>
                <w:noProof/>
              </w:rPr>
            </w:pPr>
            <w:r>
              <w:rPr>
                <w:noProof/>
              </w:rPr>
              <w:t xml:space="preserve">Notificación </w:t>
            </w:r>
            <w:r>
              <w:rPr>
                <w:noProof/>
              </w:rPr>
              <w:t>escrita de la adjudicación de contratos públicos de obras para la construcción de infraestructuras para el sector alimentario</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5CA72536"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134B7AF6"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51B8E9E3"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47B0230" w14:textId="54D434AA"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2E0FDCE1" w14:textId="6BF55232" w:rsidR="00F208CE" w:rsidRDefault="00513E84">
            <w:pPr>
              <w:pStyle w:val="P68B1DB1-Normal8"/>
              <w:spacing w:after="0"/>
              <w:jc w:val="center"/>
              <w:rPr>
                <w:rFonts w:eastAsia="Times New Roman" w:cs="Times New Roman"/>
                <w:noProof/>
              </w:rPr>
            </w:pPr>
            <w:r>
              <w:rPr>
                <w:noProof/>
              </w:rPr>
              <w:t>2024</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687EE7EB" w14:textId="76F1BD2C" w:rsidR="00F208CE" w:rsidRDefault="00513E84">
            <w:pPr>
              <w:pStyle w:val="P68B1DB1-Normal8"/>
              <w:spacing w:after="0"/>
              <w:rPr>
                <w:rFonts w:eastAsia="Times New Roman" w:cs="Times New Roman"/>
                <w:noProof/>
              </w:rPr>
            </w:pPr>
            <w:r>
              <w:rPr>
                <w:noProof/>
              </w:rPr>
              <w:t>Adjudicación de contratos públicos de obras para la construcción de 2 centros logísticos por parte de l</w:t>
            </w:r>
            <w:r>
              <w:rPr>
                <w:noProof/>
              </w:rPr>
              <w:t>os 2 organismos intermunicipales (SPI, IGRETEC), con especificaciones que incluyan criterios de admisibilidad que garanticen que los proyectos seleccionados cumplen las orientaciones técnicas «No causar un perjuicio significativo» (2021/C58/01) mediante el</w:t>
            </w:r>
            <w:r>
              <w:rPr>
                <w:noProof/>
              </w:rPr>
              <w:t xml:space="preserve"> uso de una lista de exclusión y el requisito de cumplimiento de la legislación medioambiental nacional y de la UE pertinente.</w:t>
            </w:r>
          </w:p>
        </w:tc>
      </w:tr>
      <w:tr w:rsidR="00F208CE" w14:paraId="0F3E06F8"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75904E" w14:textId="77777777" w:rsidR="00F208CE" w:rsidRDefault="00513E84">
            <w:pPr>
              <w:pStyle w:val="P68B1DB1-Normal8"/>
              <w:spacing w:after="0"/>
              <w:jc w:val="center"/>
              <w:rPr>
                <w:rFonts w:eastAsia="Times New Roman" w:cs="Times New Roman"/>
                <w:noProof/>
              </w:rPr>
            </w:pPr>
            <w:r>
              <w:rPr>
                <w:noProof/>
              </w:rPr>
              <w:t>189</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572DBE00" w14:textId="77777777" w:rsidR="00F208CE" w:rsidRDefault="00513E84">
            <w:pPr>
              <w:pStyle w:val="P68B1DB1-Normal8"/>
              <w:spacing w:after="0"/>
              <w:rPr>
                <w:rFonts w:eastAsia="Times New Roman" w:cs="Times New Roman"/>
                <w:noProof/>
              </w:rPr>
            </w:pPr>
            <w:r>
              <w:rPr>
                <w:noProof/>
              </w:rPr>
              <w:t>Reubicación de alimentos y desarrollo de plataformas logísticas (I-5.12)</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10DEF2A6" w14:textId="2A87C734" w:rsidR="00F208CE" w:rsidRDefault="00513E84">
            <w:pPr>
              <w:pStyle w:val="P68B1DB1-Normal8"/>
              <w:spacing w:after="0"/>
              <w:rPr>
                <w:rFonts w:eastAsia="Times New Roman" w:cs="Times New Roman"/>
                <w:noProof/>
              </w:rPr>
            </w:pPr>
            <w:r>
              <w:rPr>
                <w:noProof/>
              </w:rPr>
              <w:t>T</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540F8C51" w14:textId="59471DFA" w:rsidR="00F208CE" w:rsidRDefault="00513E84">
            <w:pPr>
              <w:pStyle w:val="P68B1DB1-Normal8"/>
              <w:spacing w:after="0"/>
              <w:rPr>
                <w:rFonts w:eastAsia="Times New Roman" w:cs="Times New Roman"/>
                <w:noProof/>
              </w:rPr>
            </w:pPr>
            <w:r>
              <w:rPr>
                <w:noProof/>
              </w:rPr>
              <w:t>Apoyo a 30 proyectos de reubicación de alimentos,</w:t>
            </w:r>
            <w:r>
              <w:rPr>
                <w:noProof/>
              </w:rPr>
              <w:t xml:space="preserve"> 4 sectores emergentes y 5 infraestructuras</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7386DA3C" w14:textId="77777777" w:rsidR="00F208CE" w:rsidRDefault="00513E84">
            <w:pPr>
              <w:pStyle w:val="P68B1DB1-Normal8"/>
              <w:spacing w:after="0"/>
              <w:rPr>
                <w:rFonts w:eastAsia="Times New Roman" w:cs="Times New Roman"/>
                <w:noProof/>
              </w:rPr>
            </w:pPr>
            <w:r>
              <w:rPr>
                <w:noProof/>
              </w:rPr>
              <w:t xml:space="preserve"> </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176F35B2" w14:textId="77777777" w:rsidR="00F208CE" w:rsidRDefault="00513E84">
            <w:pPr>
              <w:pStyle w:val="P68B1DB1-Normal8"/>
              <w:spacing w:after="0"/>
              <w:jc w:val="center"/>
              <w:rPr>
                <w:rFonts w:eastAsia="Times New Roman" w:cs="Times New Roman"/>
                <w:noProof/>
              </w:rPr>
            </w:pPr>
            <w:r>
              <w:rPr>
                <w:noProof/>
              </w:rPr>
              <w:t>Proyectos</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06BB7EC"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5F7B8C6F" w14:textId="1855D5D7" w:rsidR="00F208CE" w:rsidRDefault="00513E84">
            <w:pPr>
              <w:pStyle w:val="P68B1DB1-Normal8"/>
              <w:spacing w:after="0"/>
              <w:jc w:val="center"/>
              <w:rPr>
                <w:rFonts w:eastAsia="Times New Roman" w:cs="Times New Roman"/>
                <w:noProof/>
              </w:rPr>
            </w:pPr>
            <w:r>
              <w:rPr>
                <w:noProof/>
              </w:rPr>
              <w:t>39</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1C764E7"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7976BEF1" w14:textId="2FF960AA" w:rsidR="00F208CE" w:rsidRDefault="00513E84">
            <w:pPr>
              <w:pStyle w:val="P68B1DB1-Normal8"/>
              <w:spacing w:after="0"/>
              <w:jc w:val="center"/>
              <w:rPr>
                <w:rFonts w:eastAsia="Times New Roman" w:cs="Times New Roman"/>
                <w:noProof/>
              </w:rPr>
            </w:pPr>
            <w:r>
              <w:rPr>
                <w:noProof/>
              </w:rPr>
              <w:t>2022</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5B881943" w14:textId="07E9BAD3" w:rsidR="00F208CE" w:rsidRDefault="00513E84">
            <w:pPr>
              <w:pStyle w:val="P68B1DB1-Normal8"/>
              <w:spacing w:after="0"/>
              <w:rPr>
                <w:rFonts w:eastAsia="Times New Roman" w:cs="Times New Roman"/>
                <w:noProof/>
              </w:rPr>
            </w:pPr>
            <w:r>
              <w:rPr>
                <w:noProof/>
              </w:rPr>
              <w:t>Concesión de subvenciones a 30 infraestructuras a pequeña escala, 4 proyectos de estructuración de mayor envergadura (uno por cada sector: frutas, hortalizas, cereales y p</w:t>
            </w:r>
            <w:r>
              <w:rPr>
                <w:noProof/>
              </w:rPr>
              <w:t>roteínas vegetales) y al menos 5 unidades de infraestructura.</w:t>
            </w:r>
          </w:p>
        </w:tc>
      </w:tr>
      <w:tr w:rsidR="00F208CE" w14:paraId="7E275199"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9E1396" w14:textId="77777777" w:rsidR="00F208CE" w:rsidRDefault="00513E84">
            <w:pPr>
              <w:pStyle w:val="P68B1DB1-Normal8"/>
              <w:spacing w:after="0"/>
              <w:jc w:val="center"/>
              <w:rPr>
                <w:rFonts w:eastAsia="Times New Roman" w:cs="Times New Roman"/>
                <w:noProof/>
              </w:rPr>
            </w:pPr>
            <w:r>
              <w:rPr>
                <w:noProof/>
              </w:rPr>
              <w:t>190</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206243E0" w14:textId="77777777" w:rsidR="00F208CE" w:rsidRDefault="00513E84">
            <w:pPr>
              <w:pStyle w:val="P68B1DB1-Normal8"/>
              <w:spacing w:after="0"/>
              <w:rPr>
                <w:rFonts w:eastAsia="Times New Roman" w:cs="Times New Roman"/>
                <w:noProof/>
              </w:rPr>
            </w:pPr>
            <w:r>
              <w:rPr>
                <w:noProof/>
              </w:rPr>
              <w:t>Reubicación de alimentos y desarrollo de plataformas logísticas (I-5.12)</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74D2AECE" w14:textId="49B3ACEF" w:rsidR="00F208CE" w:rsidRDefault="00513E84">
            <w:pPr>
              <w:pStyle w:val="P68B1DB1-Normal8"/>
              <w:spacing w:after="0"/>
              <w:rPr>
                <w:rFonts w:eastAsia="Times New Roman" w:cs="Times New Roman"/>
                <w:noProof/>
              </w:rPr>
            </w:pPr>
            <w:r>
              <w:rPr>
                <w:noProof/>
              </w:rPr>
              <w:t>T</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117D8374" w14:textId="32F3429D" w:rsidR="00F208CE" w:rsidRDefault="00513E84">
            <w:pPr>
              <w:pStyle w:val="P68B1DB1-Normal8"/>
              <w:spacing w:after="0"/>
              <w:rPr>
                <w:rFonts w:eastAsia="Times New Roman" w:cs="Times New Roman"/>
                <w:noProof/>
              </w:rPr>
            </w:pPr>
            <w:r>
              <w:rPr>
                <w:noProof/>
              </w:rPr>
              <w:t>Finalización de la construcción de dos centros logísticos</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1728BA08"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107583ED" w14:textId="77777777" w:rsidR="00F208CE" w:rsidRDefault="00513E84">
            <w:pPr>
              <w:pStyle w:val="P68B1DB1-Normal8"/>
              <w:spacing w:after="0"/>
              <w:jc w:val="center"/>
              <w:rPr>
                <w:rFonts w:eastAsia="Times New Roman" w:cs="Times New Roman"/>
                <w:noProof/>
              </w:rPr>
            </w:pPr>
            <w:r>
              <w:rPr>
                <w:noProof/>
              </w:rPr>
              <w:t>Cubos</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0752C55C"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D6A1EFC" w14:textId="394F3DCE" w:rsidR="00F208CE" w:rsidRDefault="00513E84">
            <w:pPr>
              <w:pStyle w:val="P68B1DB1-Normal8"/>
              <w:spacing w:after="0"/>
              <w:jc w:val="center"/>
              <w:rPr>
                <w:rFonts w:eastAsia="Times New Roman" w:cs="Times New Roman"/>
                <w:noProof/>
              </w:rPr>
            </w:pPr>
            <w:r>
              <w:rPr>
                <w:noProof/>
              </w:rPr>
              <w:t>2</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3DAC9388" w14:textId="2C396C0E"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20A49F53" w14:textId="31F3190C" w:rsidR="00F208CE" w:rsidRDefault="00513E84">
            <w:pPr>
              <w:pStyle w:val="P68B1DB1-Normal8"/>
              <w:spacing w:after="0"/>
              <w:jc w:val="center"/>
              <w:rPr>
                <w:rFonts w:eastAsia="Times New Roman" w:cs="Times New Roman"/>
                <w:noProof/>
              </w:rPr>
            </w:pPr>
            <w:r>
              <w:rPr>
                <w:noProof/>
              </w:rPr>
              <w:t>2025</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6681019A" w14:textId="14D5CA24" w:rsidR="00F208CE" w:rsidRDefault="00513E84">
            <w:pPr>
              <w:pStyle w:val="P68B1DB1-Normal8"/>
              <w:spacing w:after="0"/>
              <w:rPr>
                <w:rFonts w:eastAsia="Times New Roman" w:cs="Times New Roman"/>
                <w:noProof/>
              </w:rPr>
            </w:pPr>
            <w:r>
              <w:rPr>
                <w:noProof/>
              </w:rPr>
              <w:t xml:space="preserve">Construcción y </w:t>
            </w:r>
            <w:r>
              <w:rPr>
                <w:noProof/>
              </w:rPr>
              <w:t>equipamiento de dos centros logísticos, dedicados a las actividades de mayoristas, transformación de alimentos de productos primarios e incubadora de cooperativas, por una superficie total de 5 500 m² finalizados. El equipo de los dos centros logísticos in</w:t>
            </w:r>
            <w:r>
              <w:rPr>
                <w:noProof/>
              </w:rPr>
              <w:t>cluye la instalación de 1 700 paneles solares, 15 puntos de recarga para vehículos eléctricos y un sistema de almacenamiento de energía de 200 kW.</w:t>
            </w:r>
          </w:p>
        </w:tc>
      </w:tr>
      <w:tr w:rsidR="00F208CE" w14:paraId="338F0B93"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7266EC" w14:textId="77777777" w:rsidR="00F208CE" w:rsidRDefault="00513E84">
            <w:pPr>
              <w:pStyle w:val="P68B1DB1-Normal8"/>
              <w:spacing w:after="0"/>
              <w:jc w:val="center"/>
              <w:rPr>
                <w:rFonts w:eastAsia="Times New Roman" w:cs="Times New Roman"/>
                <w:noProof/>
              </w:rPr>
            </w:pPr>
            <w:r>
              <w:rPr>
                <w:noProof/>
              </w:rPr>
              <w:t>191</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50E34DD1" w14:textId="77777777" w:rsidR="00F208CE" w:rsidRDefault="00513E84">
            <w:pPr>
              <w:pStyle w:val="P68B1DB1-Normal8"/>
              <w:spacing w:after="0"/>
              <w:rPr>
                <w:rFonts w:eastAsia="Times New Roman" w:cs="Times New Roman"/>
                <w:noProof/>
              </w:rPr>
            </w:pPr>
            <w:r>
              <w:rPr>
                <w:noProof/>
              </w:rPr>
              <w:t>Reubicación de alimentos y desarrollo de plataformas logísticas (I-5.12)</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B2D1BD9" w14:textId="18C1AA85" w:rsidR="00F208CE" w:rsidRDefault="00513E84">
            <w:pPr>
              <w:pStyle w:val="P68B1DB1-Normal8"/>
              <w:spacing w:after="0"/>
              <w:rPr>
                <w:rFonts w:eastAsia="Times New Roman" w:cs="Times New Roman"/>
                <w:noProof/>
              </w:rPr>
            </w:pPr>
            <w:r>
              <w:rPr>
                <w:noProof/>
              </w:rPr>
              <w:t>T</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4C923444" w14:textId="3C695171" w:rsidR="00F208CE" w:rsidRDefault="00513E84">
            <w:pPr>
              <w:pStyle w:val="P68B1DB1-Normal8"/>
              <w:spacing w:after="0"/>
              <w:rPr>
                <w:rFonts w:eastAsia="Times New Roman" w:cs="Times New Roman"/>
                <w:noProof/>
              </w:rPr>
            </w:pPr>
            <w:r>
              <w:rPr>
                <w:noProof/>
              </w:rPr>
              <w:t xml:space="preserve">Se ha completado la construcción de al menos 5 unidades de infraestructura, 30 infraestructuras a pequeña escala y 4 proyectos de estructuración de mayor envergadura. </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1FEBE5C7"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7DACB4D" w14:textId="77777777" w:rsidR="00F208CE" w:rsidRDefault="00513E84">
            <w:pPr>
              <w:pStyle w:val="P68B1DB1-Normal8"/>
              <w:spacing w:after="0"/>
              <w:jc w:val="center"/>
              <w:rPr>
                <w:rFonts w:eastAsia="Times New Roman" w:cs="Times New Roman"/>
                <w:noProof/>
              </w:rPr>
            </w:pPr>
            <w:r>
              <w:rPr>
                <w:noProof/>
              </w:rPr>
              <w:t>Infraestructura</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FB611CD" w14:textId="77777777" w:rsidR="00F208CE" w:rsidRDefault="00513E84">
            <w:pPr>
              <w:pStyle w:val="P68B1DB1-Normal8"/>
              <w:spacing w:after="0"/>
              <w:jc w:val="center"/>
              <w:rPr>
                <w:rFonts w:eastAsia="Times New Roman" w:cs="Times New Roman"/>
                <w:noProof/>
              </w:rPr>
            </w:pPr>
            <w:r>
              <w:rPr>
                <w:noProof/>
              </w:rPr>
              <w:t>0</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66D5D497" w14:textId="2F6621BC" w:rsidR="00F208CE" w:rsidRDefault="00513E84">
            <w:pPr>
              <w:pStyle w:val="P68B1DB1-Normal8"/>
              <w:spacing w:after="0"/>
              <w:jc w:val="center"/>
              <w:rPr>
                <w:rFonts w:eastAsia="Times New Roman" w:cs="Times New Roman"/>
                <w:noProof/>
              </w:rPr>
            </w:pPr>
            <w:r>
              <w:rPr>
                <w:noProof/>
              </w:rPr>
              <w:t>39</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04B34BA3" w14:textId="7C290049"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6D6971BF" w14:textId="4BFCEC4D" w:rsidR="00F208CE" w:rsidRDefault="00513E84">
            <w:pPr>
              <w:pStyle w:val="P68B1DB1-Normal8"/>
              <w:spacing w:after="0"/>
              <w:jc w:val="center"/>
              <w:rPr>
                <w:rFonts w:eastAsia="Times New Roman" w:cs="Times New Roman"/>
                <w:noProof/>
              </w:rPr>
            </w:pPr>
            <w:r>
              <w:rPr>
                <w:noProof/>
              </w:rPr>
              <w:t>2026</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013D9BCF" w14:textId="41885CF3" w:rsidR="00F208CE" w:rsidRDefault="00513E84">
            <w:pPr>
              <w:pStyle w:val="P68B1DB1-Normal8"/>
              <w:spacing w:after="0"/>
              <w:rPr>
                <w:rFonts w:eastAsia="Times New Roman" w:cs="Times New Roman"/>
                <w:noProof/>
              </w:rPr>
            </w:pPr>
            <w:r>
              <w:rPr>
                <w:noProof/>
              </w:rPr>
              <w:t>Se ha completado la construcción de al men</w:t>
            </w:r>
            <w:r>
              <w:rPr>
                <w:noProof/>
              </w:rPr>
              <w:t>os 5 unidades de infraestructura (de las cuales, una sala de almacenamiento, una almazara, una unidad de transformación de frutas y hortalizas y una sala de almacenamiento BtoB y un mercado), 30 infraestructuras a pequeña escala y 4 proyectos de estructura</w:t>
            </w:r>
            <w:r>
              <w:rPr>
                <w:noProof/>
              </w:rPr>
              <w:t>ción de mayor envergadura, y se ejecuta un presupuesto de 40 500 000 EUR.</w:t>
            </w:r>
          </w:p>
        </w:tc>
      </w:tr>
      <w:tr w:rsidR="00F208CE" w14:paraId="59FB93BA"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BBC2CD" w14:textId="77777777" w:rsidR="00F208CE" w:rsidRDefault="00513E84">
            <w:pPr>
              <w:pStyle w:val="P68B1DB1-Normal8"/>
              <w:spacing w:after="0"/>
              <w:jc w:val="center"/>
              <w:rPr>
                <w:rFonts w:eastAsia="Times New Roman" w:cs="Times New Roman"/>
                <w:noProof/>
              </w:rPr>
            </w:pPr>
            <w:r>
              <w:rPr>
                <w:noProof/>
              </w:rPr>
              <w:t>192</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6B2CDA85" w14:textId="77777777" w:rsidR="00F208CE" w:rsidRDefault="00513E84">
            <w:pPr>
              <w:pStyle w:val="P68B1DB1-Normal8"/>
              <w:spacing w:after="0"/>
              <w:rPr>
                <w:rFonts w:eastAsia="Times New Roman" w:cs="Times New Roman"/>
                <w:noProof/>
              </w:rPr>
            </w:pPr>
            <w:r>
              <w:rPr>
                <w:noProof/>
              </w:rPr>
              <w:t>Digitalización del sector turístico valón (I-5.13)</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2C810AC" w14:textId="31A0C1AA" w:rsidR="00F208CE" w:rsidRDefault="00513E84">
            <w:pPr>
              <w:pStyle w:val="P68B1DB1-Normal8"/>
              <w:spacing w:after="0"/>
              <w:rPr>
                <w:rFonts w:eastAsia="Times New Roman" w:cs="Times New Roman"/>
                <w:noProof/>
              </w:rPr>
            </w:pPr>
            <w:r>
              <w:rPr>
                <w:noProof/>
              </w:rPr>
              <w:t>T</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40346B61" w14:textId="77777777" w:rsidR="00F208CE" w:rsidRDefault="00513E84">
            <w:pPr>
              <w:pStyle w:val="P68B1DB1-Normal8"/>
              <w:spacing w:after="0"/>
              <w:rPr>
                <w:rFonts w:eastAsia="Times New Roman" w:cs="Times New Roman"/>
                <w:noProof/>
              </w:rPr>
            </w:pPr>
            <w:r>
              <w:rPr>
                <w:noProof/>
              </w:rPr>
              <w:t>Número de usuarios activos de la «outil regional de comercialización»</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36083A5C" w14:textId="77777777" w:rsidR="00F208CE" w:rsidRDefault="00F208CE">
            <w:pPr>
              <w:spacing w:after="0"/>
              <w:rPr>
                <w:rFonts w:ascii="Times New Roman" w:eastAsia="Times New Roman" w:hAnsi="Times New Roman" w:cs="Times New Roman"/>
                <w:noProof/>
                <w:color w:val="006100"/>
              </w:rPr>
            </w:pP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74B3B841" w14:textId="77777777" w:rsidR="00F208CE" w:rsidRDefault="00513E84">
            <w:pPr>
              <w:pStyle w:val="P68B1DB1-Normal8"/>
              <w:spacing w:after="0"/>
              <w:jc w:val="center"/>
              <w:rPr>
                <w:rFonts w:eastAsia="Times New Roman" w:cs="Times New Roman"/>
                <w:noProof/>
              </w:rPr>
            </w:pPr>
            <w:r>
              <w:rPr>
                <w:noProof/>
              </w:rPr>
              <w:t>Usuarios activos</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ABDE141" w14:textId="61B26D76" w:rsidR="00F208CE" w:rsidRDefault="00513E84">
            <w:pPr>
              <w:pStyle w:val="P68B1DB1-Normal8"/>
              <w:spacing w:after="0"/>
              <w:jc w:val="center"/>
              <w:rPr>
                <w:rFonts w:eastAsia="Times New Roman" w:cs="Times New Roman"/>
                <w:noProof/>
              </w:rPr>
            </w:pPr>
            <w:r>
              <w:rPr>
                <w:noProof/>
              </w:rPr>
              <w:t>0</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2C87B9F1" w14:textId="4005AE2B" w:rsidR="00F208CE" w:rsidRDefault="00513E84">
            <w:pPr>
              <w:pStyle w:val="P68B1DB1-Normal8"/>
              <w:spacing w:after="0"/>
              <w:jc w:val="center"/>
              <w:rPr>
                <w:rFonts w:eastAsia="Times New Roman" w:cs="Times New Roman"/>
                <w:noProof/>
              </w:rPr>
            </w:pPr>
            <w:r>
              <w:rPr>
                <w:noProof/>
              </w:rPr>
              <w:t>685</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DF50CB1"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6CF4E0B4" w14:textId="77777777" w:rsidR="00F208CE" w:rsidRDefault="00513E84">
            <w:pPr>
              <w:pStyle w:val="P68B1DB1-Normal8"/>
              <w:spacing w:after="0"/>
              <w:jc w:val="center"/>
              <w:rPr>
                <w:rFonts w:eastAsia="Times New Roman" w:cs="Times New Roman"/>
                <w:noProof/>
              </w:rPr>
            </w:pPr>
            <w:r>
              <w:rPr>
                <w:noProof/>
              </w:rPr>
              <w:t>2025</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095D43B8" w14:textId="34F778C5" w:rsidR="00F208CE" w:rsidRDefault="00513E84">
            <w:pPr>
              <w:pStyle w:val="P68B1DB1-Normal8"/>
              <w:spacing w:after="0"/>
              <w:rPr>
                <w:rFonts w:eastAsia="Times New Roman" w:cs="Times New Roman"/>
                <w:noProof/>
              </w:rPr>
            </w:pPr>
            <w:r>
              <w:rPr>
                <w:noProof/>
              </w:rPr>
              <w:t xml:space="preserve">685 </w:t>
            </w:r>
            <w:r>
              <w:rPr>
                <w:noProof/>
              </w:rPr>
              <w:t>operadores turísticos son usuarios activos de la «outil régional de commercialisation». Un usuario activo se define como un usuario o un operador turístico que utiliza la «Outil regional de comercialización» (ORC) directamente como una herramienta de reser</w:t>
            </w:r>
            <w:r>
              <w:rPr>
                <w:noProof/>
              </w:rPr>
              <w:t>va en línea o una herramienta de registro de efectivo o cuya herramienta de reserva en línea está directamente vinculada a la ORC.</w:t>
            </w:r>
          </w:p>
        </w:tc>
      </w:tr>
      <w:tr w:rsidR="00F208CE" w14:paraId="29A7F234"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5F3504" w14:textId="77777777" w:rsidR="00F208CE" w:rsidRDefault="00513E84">
            <w:pPr>
              <w:pStyle w:val="P68B1DB1-Normal8"/>
              <w:spacing w:after="0"/>
              <w:jc w:val="center"/>
              <w:rPr>
                <w:rFonts w:eastAsia="Times New Roman" w:cs="Times New Roman"/>
                <w:noProof/>
              </w:rPr>
            </w:pPr>
            <w:r>
              <w:rPr>
                <w:noProof/>
              </w:rPr>
              <w:t>193</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1681AA41" w14:textId="77777777" w:rsidR="00F208CE" w:rsidRDefault="00513E84">
            <w:pPr>
              <w:pStyle w:val="P68B1DB1-Normal8"/>
              <w:spacing w:after="0"/>
              <w:rPr>
                <w:rFonts w:eastAsia="Times New Roman" w:cs="Times New Roman"/>
                <w:noProof/>
              </w:rPr>
            </w:pPr>
            <w:r>
              <w:rPr>
                <w:noProof/>
              </w:rPr>
              <w:t>Reforma — Permisos más rápidos y procedimientos de recurso (R-5.06)</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076D4440" w14:textId="12486BDB"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05E00D6A" w14:textId="77777777" w:rsidR="00F208CE" w:rsidRDefault="00513E84">
            <w:pPr>
              <w:pStyle w:val="P68B1DB1-Normal8"/>
              <w:spacing w:after="0"/>
              <w:rPr>
                <w:rFonts w:eastAsia="Times New Roman" w:cs="Times New Roman"/>
                <w:noProof/>
              </w:rPr>
            </w:pPr>
            <w:r>
              <w:rPr>
                <w:noProof/>
              </w:rPr>
              <w:t xml:space="preserve">Reforma del permiso medioambiental y </w:t>
            </w:r>
            <w:r>
              <w:rPr>
                <w:noProof/>
              </w:rPr>
              <w:t>procedimientos de recurso</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7F6F5DE4" w14:textId="77777777" w:rsidR="00F208CE" w:rsidRDefault="00513E84">
            <w:pPr>
              <w:pStyle w:val="P68B1DB1-Normal8"/>
              <w:spacing w:after="0"/>
              <w:rPr>
                <w:rFonts w:eastAsia="Times New Roman" w:cs="Times New Roman"/>
                <w:noProof/>
              </w:rPr>
            </w:pPr>
            <w:r>
              <w:rPr>
                <w:noProof/>
              </w:rPr>
              <w:t>Publicación de un informe y decisiones gubernamentales.</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6E71F17B"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449ED0D"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4317DED1"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05CBE2A1"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79C1E0C6" w14:textId="77777777" w:rsidR="00F208CE" w:rsidRDefault="00513E84">
            <w:pPr>
              <w:pStyle w:val="P68B1DB1-Normal8"/>
              <w:spacing w:after="0"/>
              <w:jc w:val="center"/>
              <w:rPr>
                <w:rFonts w:eastAsia="Times New Roman" w:cs="Times New Roman"/>
                <w:noProof/>
              </w:rPr>
            </w:pPr>
            <w:r>
              <w:rPr>
                <w:noProof/>
              </w:rPr>
              <w:t>2022</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1DD9052B" w14:textId="77777777" w:rsidR="00F208CE" w:rsidRDefault="00513E84">
            <w:pPr>
              <w:pStyle w:val="P68B1DB1-Normal8"/>
              <w:spacing w:after="0"/>
              <w:rPr>
                <w:rFonts w:eastAsia="Times New Roman" w:cs="Times New Roman"/>
                <w:noProof/>
              </w:rPr>
            </w:pPr>
            <w:r>
              <w:rPr>
                <w:noProof/>
              </w:rPr>
              <w:t>Publicación de un informe aprobado por el ministro flamenco de Justicia y Ejecución, Medio Ambiente, Energía y Turismo que ofrece una visión genera</w:t>
            </w:r>
            <w:r>
              <w:rPr>
                <w:noProof/>
              </w:rPr>
              <w:t>l de las medidas nuevas y revisadas para simplificar los procedimientos administrativos relacionados con los procedimientos de autorización medioambiental y las decisiones gubernamentales.</w:t>
            </w:r>
          </w:p>
        </w:tc>
      </w:tr>
      <w:tr w:rsidR="00F208CE" w14:paraId="1E912D3E"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03757B" w14:textId="77777777" w:rsidR="00F208CE" w:rsidRDefault="00513E84">
            <w:pPr>
              <w:pStyle w:val="P68B1DB1-Normal8"/>
              <w:spacing w:after="0"/>
              <w:jc w:val="center"/>
              <w:rPr>
                <w:rFonts w:eastAsia="Times New Roman" w:cs="Times New Roman"/>
                <w:noProof/>
              </w:rPr>
            </w:pPr>
            <w:r>
              <w:rPr>
                <w:noProof/>
              </w:rPr>
              <w:t>194</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3EBEB930" w14:textId="77777777" w:rsidR="00F208CE" w:rsidRDefault="00513E84">
            <w:pPr>
              <w:pStyle w:val="P68B1DB1-Normal8"/>
              <w:spacing w:after="0"/>
              <w:rPr>
                <w:rFonts w:eastAsia="Times New Roman" w:cs="Times New Roman"/>
                <w:noProof/>
              </w:rPr>
            </w:pPr>
            <w:r>
              <w:rPr>
                <w:noProof/>
              </w:rPr>
              <w:t>Reforma — Ampliar la base de innovación (R-5.07)</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5D3478C" w14:textId="35467745" w:rsidR="00F208CE" w:rsidRDefault="00513E84">
            <w:pPr>
              <w:pStyle w:val="P68B1DB1-Normal8"/>
              <w:spacing w:after="0"/>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056C88ED" w14:textId="77777777" w:rsidR="00F208CE" w:rsidRDefault="00513E84">
            <w:pPr>
              <w:pStyle w:val="P68B1DB1-Normal8"/>
              <w:spacing w:after="0"/>
              <w:rPr>
                <w:rFonts w:eastAsia="Times New Roman" w:cs="Times New Roman"/>
                <w:noProof/>
              </w:rPr>
            </w:pPr>
            <w:r>
              <w:rPr>
                <w:noProof/>
              </w:rPr>
              <w:t>Reforma del</w:t>
            </w:r>
            <w:r>
              <w:rPr>
                <w:noProof/>
              </w:rPr>
              <w:t xml:space="preserve"> Reglamento relativo al apoyo a la innovación</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2FCD8F04" w14:textId="77777777" w:rsidR="00F208CE" w:rsidRDefault="00513E84">
            <w:pPr>
              <w:pStyle w:val="P68B1DB1-Normal8"/>
              <w:spacing w:after="0"/>
              <w:rPr>
                <w:rFonts w:eastAsia="Times New Roman" w:cs="Times New Roman"/>
                <w:noProof/>
              </w:rPr>
            </w:pPr>
            <w:r>
              <w:rPr>
                <w:noProof/>
              </w:rPr>
              <w:t>Publicación de un informe y decisiones gubernamentales conexas</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7BF458A7"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7F9F474" w14:textId="77777777"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7B23F4A8" w14:textId="77777777" w:rsidR="00F208CE" w:rsidRDefault="00F208CE">
            <w:pPr>
              <w:spacing w:after="0"/>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D6DCE2A"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688AE1EB" w14:textId="77777777" w:rsidR="00F208CE" w:rsidRDefault="00513E84">
            <w:pPr>
              <w:pStyle w:val="P68B1DB1-Normal8"/>
              <w:spacing w:after="0"/>
              <w:jc w:val="center"/>
              <w:rPr>
                <w:rFonts w:eastAsia="Times New Roman" w:cs="Times New Roman"/>
                <w:noProof/>
              </w:rPr>
            </w:pPr>
            <w:r>
              <w:rPr>
                <w:noProof/>
              </w:rPr>
              <w:t>2022</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3309EB35" w14:textId="77777777" w:rsidR="00F208CE" w:rsidRDefault="00513E84">
            <w:pPr>
              <w:pStyle w:val="P68B1DB1-Normal8"/>
              <w:spacing w:after="0"/>
              <w:rPr>
                <w:rFonts w:eastAsia="Times New Roman" w:cs="Times New Roman"/>
                <w:noProof/>
              </w:rPr>
            </w:pPr>
            <w:r>
              <w:rPr>
                <w:noProof/>
              </w:rPr>
              <w:t>Publicación de un informe aprobado por el ministro flamenco de Economía, Innovación, Trabajo, Economía Social y Agricult</w:t>
            </w:r>
            <w:r>
              <w:rPr>
                <w:noProof/>
              </w:rPr>
              <w:t>ura en el que se ofrece una visión general de las medidas nuevas y revisadas para mejorar el acceso de las PYME a las medidas de apoyo a la innovación y las decisiones gubernamentales conexas.</w:t>
            </w:r>
          </w:p>
        </w:tc>
      </w:tr>
      <w:tr w:rsidR="00F208CE" w14:paraId="69BA7E36"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8166F6" w14:textId="14E0EC8B" w:rsidR="00F208CE" w:rsidRDefault="00513E84">
            <w:pPr>
              <w:pStyle w:val="P68B1DB1-Normal8"/>
              <w:jc w:val="center"/>
              <w:rPr>
                <w:rFonts w:eastAsia="Times New Roman" w:cs="Times New Roman"/>
                <w:noProof/>
              </w:rPr>
            </w:pPr>
            <w:r>
              <w:rPr>
                <w:noProof/>
              </w:rPr>
              <w:t>247</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7957B11F" w14:textId="77777777" w:rsidR="00F208CE" w:rsidRDefault="00513E84">
            <w:pPr>
              <w:pStyle w:val="P68B1DB1-Normal8"/>
              <w:rPr>
                <w:rFonts w:eastAsia="Times New Roman" w:cs="Times New Roman"/>
                <w:noProof/>
              </w:rPr>
            </w:pPr>
            <w:r>
              <w:rPr>
                <w:noProof/>
              </w:rPr>
              <w:t>Medicina nuclear: el enfoque teranóstico (I-5.08 bis)</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432F696" w14:textId="77046BFB" w:rsidR="00F208CE" w:rsidRDefault="00513E84">
            <w:pPr>
              <w:pStyle w:val="P68B1DB1-Normal8"/>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222AA9F1" w14:textId="77777777" w:rsidR="00F208CE" w:rsidRDefault="00513E84">
            <w:pPr>
              <w:pStyle w:val="P68B1DB1-Normal8"/>
              <w:rPr>
                <w:rFonts w:eastAsia="Times New Roman" w:cs="Times New Roman"/>
                <w:noProof/>
              </w:rPr>
            </w:pPr>
            <w:r>
              <w:rPr>
                <w:noProof/>
              </w:rPr>
              <w:t>Finalización del desarrollo de la investigación y el desarrollo</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59C64709" w14:textId="77777777" w:rsidR="00F208CE" w:rsidRDefault="00513E84">
            <w:pPr>
              <w:pStyle w:val="P68B1DB1-Normal8"/>
              <w:rPr>
                <w:rFonts w:eastAsia="Times New Roman" w:cs="Times New Roman"/>
                <w:noProof/>
              </w:rPr>
            </w:pPr>
            <w:r>
              <w:rPr>
                <w:noProof/>
              </w:rPr>
              <w:t xml:space="preserve">Se han completado dos proyectos de I + D </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269FFEDC" w14:textId="77777777" w:rsidR="00F208CE" w:rsidRDefault="00F208CE">
            <w:pPr>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301088C" w14:textId="77777777" w:rsidR="00F208CE" w:rsidRDefault="00F208CE">
            <w:pPr>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39B1DFC4" w14:textId="77777777" w:rsidR="00F208CE" w:rsidRDefault="00F208CE">
            <w:pPr>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7E2342C" w14:textId="77777777" w:rsidR="00F208CE" w:rsidRDefault="00513E84">
            <w:pPr>
              <w:pStyle w:val="P68B1DB1-Normal8"/>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3BF8713F" w14:textId="77777777" w:rsidR="00F208CE" w:rsidRDefault="00513E84">
            <w:pPr>
              <w:pStyle w:val="P68B1DB1-Normal8"/>
              <w:jc w:val="center"/>
              <w:rPr>
                <w:rFonts w:eastAsia="Times New Roman" w:cs="Times New Roman"/>
                <w:noProof/>
              </w:rPr>
            </w:pPr>
            <w:r>
              <w:rPr>
                <w:noProof/>
              </w:rPr>
              <w:t>2026</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451D6211" w14:textId="13DF5535" w:rsidR="00F208CE" w:rsidRDefault="00513E84">
            <w:pPr>
              <w:pStyle w:val="P68B1DB1-Normal8"/>
              <w:rPr>
                <w:rFonts w:eastAsia="Times New Roman" w:cs="Times New Roman"/>
                <w:noProof/>
              </w:rPr>
            </w:pPr>
            <w:r>
              <w:rPr>
                <w:noProof/>
              </w:rPr>
              <w:t>Para el subproyecto «Tecnología de objetivo innovador para la producción de isótopos ciclotrón», se concluye la actividad d</w:t>
            </w:r>
            <w:r>
              <w:rPr>
                <w:noProof/>
              </w:rPr>
              <w:t>e investigación y desarrollo. Un nuevo diseño está listo y permite hacer objetivos prototipos y hacerlos irradiados para la validación del proceso en un nuevo proyecto.</w:t>
            </w:r>
          </w:p>
          <w:p w14:paraId="1347FA66" w14:textId="4372816C" w:rsidR="00F208CE" w:rsidRDefault="00513E84">
            <w:pPr>
              <w:pStyle w:val="P68B1DB1-Normal8"/>
              <w:rPr>
                <w:rFonts w:eastAsia="Times New Roman" w:cs="Times New Roman"/>
                <w:noProof/>
              </w:rPr>
            </w:pPr>
            <w:r>
              <w:rPr>
                <w:noProof/>
              </w:rPr>
              <w:t>Por lo que respecta al subproyecto «Optimización del proceso de producción basado en la</w:t>
            </w:r>
            <w:r>
              <w:rPr>
                <w:noProof/>
              </w:rPr>
              <w:t xml:space="preserve"> UE», la actividad de I + D concluye. Se han evaluado o probado las oportunidades de mejora y se enumerarán las más pertinentes.</w:t>
            </w:r>
          </w:p>
          <w:p w14:paraId="4B5DD4D3" w14:textId="528D71AA" w:rsidR="00F208CE" w:rsidRDefault="00513E84">
            <w:pPr>
              <w:pStyle w:val="P68B1DB1-Normal8"/>
              <w:rPr>
                <w:rFonts w:eastAsia="Times New Roman" w:cs="Times New Roman"/>
                <w:noProof/>
              </w:rPr>
            </w:pPr>
            <w:r>
              <w:rPr>
                <w:noProof/>
              </w:rPr>
              <w:t>Se concluyen las actividades de I + D para los dos subproyectos y se ejecutan 5 967 000 EUR.</w:t>
            </w:r>
          </w:p>
        </w:tc>
      </w:tr>
      <w:tr w:rsidR="00F208CE" w14:paraId="36928AE2"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88DC79" w14:textId="4F6F262D" w:rsidR="00F208CE" w:rsidRDefault="00513E84">
            <w:pPr>
              <w:pStyle w:val="P68B1DB1-Normal8"/>
              <w:jc w:val="center"/>
              <w:rPr>
                <w:rFonts w:eastAsia="Times New Roman" w:cs="Times New Roman"/>
                <w:noProof/>
              </w:rPr>
            </w:pPr>
            <w:r>
              <w:rPr>
                <w:noProof/>
              </w:rPr>
              <w:t>248</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477ED54A" w14:textId="77AFF986" w:rsidR="00F208CE" w:rsidRDefault="00513E84">
            <w:pPr>
              <w:pStyle w:val="P68B1DB1-Normal8"/>
              <w:rPr>
                <w:rFonts w:eastAsia="Times New Roman" w:cs="Times New Roman"/>
                <w:noProof/>
              </w:rPr>
            </w:pPr>
            <w:r>
              <w:rPr>
                <w:noProof/>
              </w:rPr>
              <w:t>SMELD — Fed (I-5.18)</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67C94EB9" w14:textId="51FD8ABD" w:rsidR="00F208CE" w:rsidRDefault="00513E84">
            <w:pPr>
              <w:pStyle w:val="P68B1DB1-Normal8"/>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30DDFD0E" w14:textId="6B709C49" w:rsidR="00F208CE" w:rsidRDefault="00513E84">
            <w:pPr>
              <w:pStyle w:val="P68B1DB1-Normal8"/>
              <w:rPr>
                <w:rFonts w:eastAsia="Times New Roman" w:cs="Times New Roman"/>
                <w:noProof/>
              </w:rPr>
            </w:pPr>
            <w:r>
              <w:rPr>
                <w:noProof/>
              </w:rPr>
              <w:t>Estudio preparatorio sobre los requisitos para la instalación del horno de fusión</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4F41C080" w14:textId="77777777" w:rsidR="00F208CE" w:rsidRDefault="00513E84">
            <w:pPr>
              <w:pStyle w:val="P68B1DB1-Normal8"/>
              <w:rPr>
                <w:rFonts w:eastAsia="Times New Roman" w:cs="Times New Roman"/>
                <w:noProof/>
              </w:rPr>
            </w:pPr>
            <w:r>
              <w:rPr>
                <w:noProof/>
              </w:rPr>
              <w:t>Estudio preparatorio publicado</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2882D41B" w14:textId="77777777" w:rsidR="00F208CE" w:rsidRDefault="00F208CE">
            <w:pPr>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3E0FCEF9" w14:textId="77777777" w:rsidR="00F208CE" w:rsidRDefault="00F208CE">
            <w:pPr>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7F840503" w14:textId="77777777" w:rsidR="00F208CE" w:rsidRDefault="00F208CE">
            <w:pPr>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06C14D23" w14:textId="77777777" w:rsidR="00F208CE" w:rsidRDefault="00513E84">
            <w:pPr>
              <w:pStyle w:val="P68B1DB1-Normal8"/>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40B8F3BC" w14:textId="77777777" w:rsidR="00F208CE" w:rsidRDefault="00513E84">
            <w:pPr>
              <w:pStyle w:val="P68B1DB1-Normal8"/>
              <w:jc w:val="center"/>
              <w:rPr>
                <w:rFonts w:eastAsia="Times New Roman" w:cs="Times New Roman"/>
                <w:noProof/>
              </w:rPr>
            </w:pPr>
            <w:r>
              <w:rPr>
                <w:noProof/>
              </w:rPr>
              <w:t>2024</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126B39BC" w14:textId="7EB7DC97" w:rsidR="00F208CE" w:rsidRDefault="00513E84">
            <w:pPr>
              <w:pStyle w:val="P68B1DB1-Normal8"/>
              <w:rPr>
                <w:rFonts w:eastAsia="Times New Roman" w:cs="Times New Roman"/>
                <w:noProof/>
              </w:rPr>
            </w:pPr>
            <w:r>
              <w:rPr>
                <w:noProof/>
              </w:rPr>
              <w:t>Se concluye el estudio preparatorio sobre los requisitos para la instalación del horno de fusión y se publica un inf</w:t>
            </w:r>
            <w:r>
              <w:rPr>
                <w:noProof/>
              </w:rPr>
              <w:t>orme.</w:t>
            </w:r>
          </w:p>
        </w:tc>
      </w:tr>
      <w:tr w:rsidR="00F208CE" w14:paraId="2A0A26EF" w14:textId="77777777">
        <w:trPr>
          <w:trHeight w:val="309"/>
        </w:trPr>
        <w:tc>
          <w:tcPr>
            <w:tcW w:w="68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E6D2AD" w14:textId="1F6024C5" w:rsidR="00F208CE" w:rsidRDefault="00513E84">
            <w:pPr>
              <w:pStyle w:val="P68B1DB1-Normal8"/>
              <w:jc w:val="center"/>
              <w:rPr>
                <w:rFonts w:eastAsia="Times New Roman" w:cs="Times New Roman"/>
                <w:noProof/>
              </w:rPr>
            </w:pPr>
            <w:r>
              <w:rPr>
                <w:noProof/>
              </w:rPr>
              <w:t>249</w:t>
            </w:r>
          </w:p>
        </w:tc>
        <w:tc>
          <w:tcPr>
            <w:tcW w:w="1446" w:type="dxa"/>
            <w:tcBorders>
              <w:top w:val="single" w:sz="4" w:space="0" w:color="auto"/>
              <w:left w:val="nil"/>
              <w:bottom w:val="single" w:sz="4" w:space="0" w:color="auto"/>
              <w:right w:val="single" w:sz="4" w:space="0" w:color="auto"/>
            </w:tcBorders>
            <w:shd w:val="clear" w:color="auto" w:fill="C6EFCE"/>
            <w:noWrap/>
            <w:vAlign w:val="center"/>
          </w:tcPr>
          <w:p w14:paraId="682CF0C4" w14:textId="4A98F418" w:rsidR="00F208CE" w:rsidRDefault="00513E84">
            <w:pPr>
              <w:pStyle w:val="P68B1DB1-Normal8"/>
              <w:rPr>
                <w:rFonts w:eastAsia="Times New Roman" w:cs="Times New Roman"/>
                <w:noProof/>
              </w:rPr>
            </w:pPr>
            <w:r>
              <w:rPr>
                <w:noProof/>
              </w:rPr>
              <w:t>SMELD-Fed (I-5.18)</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1F1D78B4" w14:textId="55A101AA" w:rsidR="00F208CE" w:rsidRDefault="00513E84">
            <w:pPr>
              <w:pStyle w:val="P68B1DB1-Normal8"/>
              <w:rPr>
                <w:rFonts w:eastAsia="Times New Roman" w:cs="Times New Roman"/>
                <w:noProof/>
              </w:rPr>
            </w:pPr>
            <w:r>
              <w:rPr>
                <w:noProof/>
              </w:rPr>
              <w:t>M</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48AC61A3" w14:textId="77777777" w:rsidR="00F208CE" w:rsidRDefault="00513E84">
            <w:pPr>
              <w:pStyle w:val="P68B1DB1-Normal8"/>
              <w:rPr>
                <w:rFonts w:eastAsia="Times New Roman" w:cs="Times New Roman"/>
                <w:noProof/>
              </w:rPr>
            </w:pPr>
            <w:r>
              <w:rPr>
                <w:noProof/>
              </w:rPr>
              <w:t xml:space="preserve">Se crea un horno de fusión a escala industrial </w:t>
            </w:r>
          </w:p>
        </w:tc>
        <w:tc>
          <w:tcPr>
            <w:tcW w:w="2280" w:type="dxa"/>
            <w:tcBorders>
              <w:top w:val="single" w:sz="4" w:space="0" w:color="auto"/>
              <w:left w:val="nil"/>
              <w:bottom w:val="single" w:sz="4" w:space="0" w:color="auto"/>
              <w:right w:val="single" w:sz="4" w:space="0" w:color="auto"/>
            </w:tcBorders>
            <w:shd w:val="clear" w:color="auto" w:fill="C6EFCE"/>
            <w:noWrap/>
            <w:vAlign w:val="center"/>
          </w:tcPr>
          <w:p w14:paraId="182A98A9" w14:textId="77777777" w:rsidR="00F208CE" w:rsidRDefault="00513E84">
            <w:pPr>
              <w:pStyle w:val="P68B1DB1-Normal8"/>
              <w:rPr>
                <w:rFonts w:eastAsia="Times New Roman" w:cs="Times New Roman"/>
                <w:noProof/>
              </w:rPr>
            </w:pPr>
            <w:r>
              <w:rPr>
                <w:noProof/>
              </w:rPr>
              <w:t xml:space="preserve">Horno de fundición a escala industrial operativo en modo no radiactivo </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352F5B32" w14:textId="77777777" w:rsidR="00F208CE" w:rsidRDefault="00F208CE">
            <w:pPr>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4CA51CC" w14:textId="77777777" w:rsidR="00F208CE" w:rsidRDefault="00F208CE">
            <w:pPr>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10B0E7A3" w14:textId="77777777" w:rsidR="00F208CE" w:rsidRDefault="00F208CE">
            <w:pPr>
              <w:jc w:val="center"/>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6DB31AAC" w14:textId="77777777" w:rsidR="00F208CE" w:rsidRDefault="00513E84">
            <w:pPr>
              <w:pStyle w:val="P68B1DB1-Normal8"/>
              <w:jc w:val="center"/>
              <w:rPr>
                <w:rFonts w:eastAsia="Times New Roman" w:cs="Times New Roman"/>
                <w:noProof/>
              </w:rPr>
            </w:pPr>
            <w:r>
              <w:rPr>
                <w:noProof/>
              </w:rPr>
              <w:t>TERCER TRIMESTRE 2</w:t>
            </w: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0B133D1C" w14:textId="77777777" w:rsidR="00F208CE" w:rsidRDefault="00513E84">
            <w:pPr>
              <w:pStyle w:val="P68B1DB1-Normal8"/>
              <w:jc w:val="center"/>
              <w:rPr>
                <w:rFonts w:eastAsia="Times New Roman" w:cs="Times New Roman"/>
                <w:noProof/>
              </w:rPr>
            </w:pPr>
            <w:r>
              <w:rPr>
                <w:noProof/>
              </w:rPr>
              <w:t>2026</w:t>
            </w:r>
          </w:p>
        </w:tc>
        <w:tc>
          <w:tcPr>
            <w:tcW w:w="3691" w:type="dxa"/>
            <w:tcBorders>
              <w:top w:val="single" w:sz="4" w:space="0" w:color="auto"/>
              <w:left w:val="nil"/>
              <w:bottom w:val="single" w:sz="4" w:space="0" w:color="auto"/>
              <w:right w:val="single" w:sz="4" w:space="0" w:color="auto"/>
            </w:tcBorders>
            <w:shd w:val="clear" w:color="auto" w:fill="C6EFCE"/>
            <w:noWrap/>
            <w:vAlign w:val="center"/>
          </w:tcPr>
          <w:p w14:paraId="5E56265A" w14:textId="11EB102C" w:rsidR="00F208CE" w:rsidRDefault="00513E84">
            <w:pPr>
              <w:pStyle w:val="P68B1DB1-Normal8"/>
              <w:rPr>
                <w:rFonts w:eastAsia="Times New Roman" w:cs="Times New Roman"/>
                <w:noProof/>
              </w:rPr>
            </w:pPr>
            <w:r>
              <w:rPr>
                <w:noProof/>
              </w:rPr>
              <w:t xml:space="preserve">El horno de fusión a escala industrial está instalado y plenamente operativo </w:t>
            </w:r>
            <w:r>
              <w:rPr>
                <w:noProof/>
              </w:rPr>
              <w:t>en modo no radiactivo.</w:t>
            </w:r>
          </w:p>
        </w:tc>
      </w:tr>
    </w:tbl>
    <w:p w14:paraId="6284694D" w14:textId="77777777" w:rsidR="00F208CE" w:rsidRDefault="00F208CE">
      <w:pPr>
        <w:pStyle w:val="Text1"/>
        <w:ind w:left="709"/>
        <w:rPr>
          <w:noProof/>
        </w:rPr>
      </w:pPr>
    </w:p>
    <w:p w14:paraId="0CC89DF2" w14:textId="77777777" w:rsidR="00F208CE" w:rsidRDefault="00F208CE">
      <w:pPr>
        <w:pStyle w:val="ManualHeading1"/>
        <w:spacing w:before="120"/>
        <w:ind w:left="0" w:hanging="130"/>
        <w:rPr>
          <w:noProof/>
        </w:rPr>
        <w:sectPr w:rsidR="00F208CE" w:rsidSect="007F56C3">
          <w:headerReference w:type="default" r:id="rId156"/>
          <w:footerReference w:type="default" r:id="rId157"/>
          <w:pgSz w:w="16839" w:h="11907" w:orient="landscape"/>
          <w:pgMar w:top="1134" w:right="1134" w:bottom="1134" w:left="1134" w:header="567" w:footer="567" w:gutter="0"/>
          <w:cols w:space="720"/>
          <w:docGrid w:linePitch="360"/>
        </w:sectPr>
      </w:pPr>
    </w:p>
    <w:p w14:paraId="076000C5" w14:textId="77777777" w:rsidR="00F208CE" w:rsidRDefault="00513E84">
      <w:pPr>
        <w:pStyle w:val="ManualHeading1"/>
        <w:spacing w:before="120"/>
        <w:ind w:left="0" w:hanging="130"/>
        <w:rPr>
          <w:noProof/>
        </w:rPr>
      </w:pPr>
      <w:r>
        <w:rPr>
          <w:noProof/>
        </w:rPr>
        <w:t>P. COMPONENTE 5.3: La economía circular</w:t>
      </w:r>
    </w:p>
    <w:p w14:paraId="090A2D5B" w14:textId="77777777" w:rsidR="00F208CE" w:rsidRDefault="00513E84">
      <w:pPr>
        <w:pStyle w:val="P68B1DB1-Normal1"/>
        <w:spacing w:before="120" w:after="120" w:line="240" w:lineRule="auto"/>
        <w:jc w:val="both"/>
        <w:rPr>
          <w:rFonts w:cs="Times New Roman"/>
          <w:noProof/>
        </w:rPr>
      </w:pPr>
      <w:r>
        <w:rPr>
          <w:noProof/>
        </w:rPr>
        <w:t>Las medidas en el marco de este componente del plan belga de recuperación y resiliencia tienen por objeto, en general, contribuir al</w:t>
      </w:r>
      <w:r>
        <w:rPr>
          <w:noProof/>
        </w:rPr>
        <w:t xml:space="preserve"> desarrollo de una economía circular e hipocarbónica. En particular, tratan de desarrollar el reciclado, la reutilización y la simbiosis industrial. Además de promover determinadas prácticas, el objetivo es apoyar la innovación en el tratamiento de residuo</w:t>
      </w:r>
      <w:r>
        <w:rPr>
          <w:noProof/>
        </w:rPr>
        <w:t>s y recursos y desarrollar la formación en determinados ámbitos de la economía circular.</w:t>
      </w:r>
    </w:p>
    <w:p w14:paraId="667AC0D7" w14:textId="77777777" w:rsidR="00F208CE" w:rsidRDefault="00513E84">
      <w:pPr>
        <w:pStyle w:val="P68B1DB1-Normal1"/>
        <w:spacing w:before="120" w:after="120" w:line="240" w:lineRule="auto"/>
        <w:jc w:val="both"/>
        <w:rPr>
          <w:rFonts w:cs="Times New Roman"/>
          <w:noProof/>
        </w:rPr>
      </w:pPr>
      <w:r>
        <w:rPr>
          <w:noProof/>
        </w:rPr>
        <w:t>El componente contribuye a abordar la recomendación específica por país n.º 2019.3, en la que se pide a Bélgica que centre la política económica relacionada con la inv</w:t>
      </w:r>
      <w:r>
        <w:rPr>
          <w:noProof/>
        </w:rPr>
        <w:t xml:space="preserve">ersión, </w:t>
      </w:r>
      <w:r>
        <w:rPr>
          <w:i/>
          <w:noProof/>
        </w:rPr>
        <w:t>entre otras cosas</w:t>
      </w:r>
      <w:r>
        <w:rPr>
          <w:noProof/>
        </w:rPr>
        <w:t>, en la transición energética y con bajas emisiones de carbono, y en la investigación y la innovación, así como en la recomendación específica por país n.º 2020.3, en la que se invita a Bélgica a centrar la inversión en la transici</w:t>
      </w:r>
      <w:r>
        <w:rPr>
          <w:noProof/>
        </w:rPr>
        <w:t>ón ecológica y digital, en particular en la producción limpia y eficiente, la economía circular y la investigación y la innovación.</w:t>
      </w:r>
    </w:p>
    <w:p w14:paraId="0E44EE92" w14:textId="77777777" w:rsidR="00F208CE" w:rsidRDefault="00513E84">
      <w:pPr>
        <w:pStyle w:val="P68B1DB1-Normal1"/>
        <w:spacing w:before="120" w:after="120" w:line="240" w:lineRule="auto"/>
        <w:jc w:val="both"/>
        <w:rPr>
          <w:rFonts w:cs="Times New Roman"/>
          <w:noProof/>
        </w:rPr>
      </w:pPr>
      <w:r>
        <w:rPr>
          <w:noProof/>
        </w:rPr>
        <w:t>Se espera que ninguna medida de este componente perjudique significativamente a los objetivos medioambientales en el sentido</w:t>
      </w:r>
      <w:r>
        <w:rPr>
          <w:noProof/>
        </w:rPr>
        <w:t xml:space="preserve"> del artículo 17 del Reglamento (UE) 2020/852, teniendo en cuenta la descripción de las medidas y las medidas atenuantes establecidas en el plan de recuperación y resiliencia de conformidad con las orientaciones técnicas de DNSH (2021/C58/01).</w:t>
      </w:r>
    </w:p>
    <w:p w14:paraId="05811130" w14:textId="77777777"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P.1. </w:t>
      </w:r>
      <w:r>
        <w:rPr>
          <w:noProof/>
        </w:rPr>
        <w:t xml:space="preserve"> </w:t>
      </w:r>
      <w:r>
        <w:rPr>
          <w:rFonts w:ascii="Times New Roman" w:hAnsi="Times New Roman"/>
          <w:b/>
          <w:noProof/>
          <w:sz w:val="24"/>
          <w:u w:val="single"/>
        </w:rPr>
        <w:t>Descri</w:t>
      </w:r>
      <w:r>
        <w:rPr>
          <w:rFonts w:ascii="Times New Roman" w:hAnsi="Times New Roman"/>
          <w:b/>
          <w:noProof/>
          <w:sz w:val="24"/>
          <w:u w:val="single"/>
        </w:rPr>
        <w:t>pción de las reformas e inversiones para la ayuda financiera no reembolsable</w:t>
      </w:r>
    </w:p>
    <w:p w14:paraId="437D101D" w14:textId="12AFA121" w:rsidR="00F208CE" w:rsidRDefault="00513E84">
      <w:pPr>
        <w:pStyle w:val="P68B1DB1-Normal11"/>
        <w:spacing w:before="120" w:after="120" w:line="240" w:lineRule="auto"/>
        <w:jc w:val="both"/>
        <w:rPr>
          <w:rFonts w:cs="Times New Roman"/>
          <w:noProof/>
        </w:rPr>
      </w:pPr>
      <w:r>
        <w:rPr>
          <w:noProof/>
        </w:rPr>
        <w:t>Reforma R-5.08: «Estrategia regional de Bruselas para la transición económica» de la Región de Bruselas-Capital</w:t>
      </w:r>
    </w:p>
    <w:p w14:paraId="2FE012C9" w14:textId="77777777" w:rsidR="00F208CE" w:rsidRDefault="00513E84">
      <w:pPr>
        <w:pStyle w:val="P68B1DB1-Normal1"/>
        <w:spacing w:before="120" w:after="120" w:line="240" w:lineRule="auto"/>
        <w:jc w:val="both"/>
        <w:rPr>
          <w:rFonts w:cs="Times New Roman"/>
          <w:noProof/>
        </w:rPr>
      </w:pPr>
      <w:r>
        <w:rPr>
          <w:noProof/>
        </w:rPr>
        <w:t>El objetivo de esta reforma es diseñar una estrategia regional para</w:t>
      </w:r>
      <w:r>
        <w:rPr>
          <w:noProof/>
        </w:rPr>
        <w:t xml:space="preserve"> la transición económica mediante la movilización de todos los instrumentos de política económica regional, la mejora de la coordinación y la cooperación entre los agentes públicos, así como la participación activa del sector privado. Sus objetivos operati</w:t>
      </w:r>
      <w:r>
        <w:rPr>
          <w:noProof/>
        </w:rPr>
        <w:t>vos se basarán en los resultados de 10 grupos de trabajo.</w:t>
      </w:r>
    </w:p>
    <w:p w14:paraId="423D723A" w14:textId="77777777" w:rsidR="00F208CE" w:rsidRDefault="00513E84">
      <w:pPr>
        <w:pStyle w:val="P68B1DB1-Normal1"/>
        <w:spacing w:before="120" w:after="120" w:line="240" w:lineRule="auto"/>
        <w:jc w:val="both"/>
        <w:rPr>
          <w:rFonts w:cs="Times New Roman"/>
          <w:noProof/>
        </w:rPr>
      </w:pPr>
      <w:r>
        <w:rPr>
          <w:noProof/>
        </w:rPr>
        <w:t>La estrategia regional para la transición económica establecerá objetivos para 2030 y un plan de acción para cinco años. Se adoptará mediante Decisión del Gobierno de la Región de Bruselas-Capital a</w:t>
      </w:r>
      <w:r>
        <w:rPr>
          <w:noProof/>
        </w:rPr>
        <w:t xml:space="preserve"> más tardar el 31 de marzo de 2022.</w:t>
      </w:r>
    </w:p>
    <w:p w14:paraId="4A53E04E" w14:textId="76C5320C" w:rsidR="00F208CE" w:rsidRDefault="00513E84">
      <w:pPr>
        <w:pStyle w:val="P68B1DB1-Normal11"/>
        <w:spacing w:before="120" w:after="120" w:line="240" w:lineRule="auto"/>
        <w:jc w:val="both"/>
        <w:rPr>
          <w:rFonts w:cs="Times New Roman"/>
          <w:noProof/>
        </w:rPr>
      </w:pPr>
      <w:r>
        <w:rPr>
          <w:noProof/>
        </w:rPr>
        <w:t>Reforma R-5.09: «Governance Circular Flanders» de la Región Flamenca</w:t>
      </w:r>
    </w:p>
    <w:p w14:paraId="7EC31CE1" w14:textId="5E8C8144" w:rsidR="00F208CE" w:rsidRDefault="00513E84">
      <w:pPr>
        <w:pStyle w:val="P68B1DB1-Normal1"/>
        <w:spacing w:before="120" w:after="120" w:line="240" w:lineRule="auto"/>
        <w:jc w:val="both"/>
        <w:rPr>
          <w:rFonts w:cs="Times New Roman"/>
          <w:noProof/>
        </w:rPr>
      </w:pPr>
      <w:r>
        <w:rPr>
          <w:noProof/>
        </w:rPr>
        <w:t>La plataforma circular Flandes es la plataforma central de Flandes destinada a facilitar la transición a una economía circular en cooperación con los s</w:t>
      </w:r>
      <w:r>
        <w:rPr>
          <w:noProof/>
        </w:rPr>
        <w:t xml:space="preserve">ocios industriales, las instituciones del conocimiento, las administraciones públicas, los bancos y la sociedad civil. Esta reforma mejorará y ampliará significativamente la gobernanza de esta plataforma. En ese marco, las asociaciones público-privadas se </w:t>
      </w:r>
      <w:r>
        <w:rPr>
          <w:noProof/>
        </w:rPr>
        <w:t xml:space="preserve">centrarán en una combinación de programas de trabajo temáticos, como la construcción circular, la química/los plásticos, otras cadenas de productos en la industria manufacturera, la bioeconomía y la cadena alimentaria, y una serie de palancas estratégicas </w:t>
      </w:r>
      <w:r>
        <w:rPr>
          <w:noProof/>
        </w:rPr>
        <w:t>(financiación, innovación, suministro circular, investigación y sensibilización). Los textos de la hoja de ruta y de los programas de trabajo se esperan para el 31 de diciembre de 2021.</w:t>
      </w:r>
    </w:p>
    <w:p w14:paraId="1E37E464" w14:textId="061DE602" w:rsidR="00F208CE" w:rsidRDefault="00513E84">
      <w:pPr>
        <w:pStyle w:val="P68B1DB1-Normal11"/>
        <w:spacing w:before="120" w:after="120" w:line="240" w:lineRule="auto"/>
        <w:jc w:val="both"/>
        <w:rPr>
          <w:rFonts w:cs="Times New Roman"/>
          <w:noProof/>
        </w:rPr>
      </w:pPr>
      <w:r>
        <w:rPr>
          <w:noProof/>
        </w:rPr>
        <w:t>Inversión I-5.14: «Centro de reciclado» de la Región Flamenca</w:t>
      </w:r>
    </w:p>
    <w:p w14:paraId="6141A585" w14:textId="77777777" w:rsidR="00F208CE" w:rsidRDefault="00513E84">
      <w:pPr>
        <w:pStyle w:val="P68B1DB1-Normal1"/>
        <w:spacing w:before="120" w:after="120" w:line="240" w:lineRule="auto"/>
        <w:jc w:val="both"/>
        <w:rPr>
          <w:rFonts w:cs="Times New Roman"/>
          <w:noProof/>
        </w:rPr>
      </w:pPr>
      <w:r>
        <w:rPr>
          <w:noProof/>
        </w:rPr>
        <w:t>La medid</w:t>
      </w:r>
      <w:r>
        <w:rPr>
          <w:noProof/>
        </w:rPr>
        <w:t>a del centro de reciclado de Flandes tiene por objeto realizar al menos seis inversiones importantes en nuevas instalaciones de reciclado. La atención se centra en los eslabones que faltan en una serie de cadenas de valor para permitir la producción circul</w:t>
      </w:r>
      <w:r>
        <w:rPr>
          <w:noProof/>
        </w:rPr>
        <w:t>ar local, como el reciclaje de pañales, colchones y textiles. También se buscan inversiones en los sectores del plástico y de la industria química.</w:t>
      </w:r>
    </w:p>
    <w:p w14:paraId="0E9E30FF" w14:textId="77777777" w:rsidR="00F208CE" w:rsidRDefault="00513E84">
      <w:pPr>
        <w:pStyle w:val="P68B1DB1-Normal1"/>
        <w:rPr>
          <w:noProof/>
        </w:rPr>
      </w:pPr>
      <w:r>
        <w:rPr>
          <w:noProof/>
        </w:rPr>
        <w:br w:type="page"/>
      </w:r>
    </w:p>
    <w:p w14:paraId="2E77CD50" w14:textId="2762A69A" w:rsidR="00F208CE" w:rsidRDefault="00513E84">
      <w:pPr>
        <w:pStyle w:val="P68B1DB1-Normal1"/>
        <w:spacing w:before="120" w:after="120" w:line="240" w:lineRule="auto"/>
        <w:jc w:val="both"/>
        <w:rPr>
          <w:rFonts w:cs="Times New Roman"/>
          <w:noProof/>
        </w:rPr>
      </w:pPr>
      <w:r>
        <w:rPr>
          <w:noProof/>
        </w:rPr>
        <w:t>A fin de garantizar que la medida se ajusta a las orientaciones técnicas «no ocasionar daños significativo</w:t>
      </w:r>
      <w:r>
        <w:rPr>
          <w:noProof/>
        </w:rPr>
        <w:t xml:space="preserve">s» (2021/C58/01), los criterios de admisibilidad contenidos en el pliego de condiciones para las próximas convocatorias de proyectos excluirán la siguiente lista de actividades: I) las actividades relacionadas con los combustibles fósiles, incluido el uso </w:t>
      </w:r>
      <w:r>
        <w:rPr>
          <w:noProof/>
        </w:rPr>
        <w:t>posterior; II) actividades relacionadas con vertederos de residuos, incineradores</w:t>
      </w:r>
      <w:r>
        <w:rPr>
          <w:noProof/>
        </w:rPr>
        <w:footnoteReference w:id="16"/>
      </w:r>
      <w:r>
        <w:rPr>
          <w:noProof/>
        </w:rPr>
        <w:t xml:space="preserve"> e instalaciones de tratamiento mecánico-biológico</w:t>
      </w:r>
      <w:r>
        <w:rPr>
          <w:noProof/>
        </w:rPr>
        <w:footnoteReference w:id="17"/>
      </w:r>
      <w:r>
        <w:rPr>
          <w:noProof/>
        </w:rPr>
        <w:t>; y iii) actividades en las que la eliminación a largo plazo de residuos pueda causar daños al medio ambiente.  Las decisio</w:t>
      </w:r>
      <w:r>
        <w:rPr>
          <w:noProof/>
        </w:rPr>
        <w:t>nes de concesión de subvenciones estipularán que la ayuda se concederá a condición de que la actividad cumpla la legislación medioambiental nacional y de la UE pertinente.</w:t>
      </w:r>
    </w:p>
    <w:p w14:paraId="450C426A" w14:textId="77777777" w:rsidR="00F208CE" w:rsidRDefault="00513E84">
      <w:pPr>
        <w:pStyle w:val="P68B1DB1-Normal1"/>
        <w:spacing w:before="120" w:after="120" w:line="240" w:lineRule="auto"/>
        <w:jc w:val="both"/>
        <w:rPr>
          <w:rFonts w:cs="Times New Roman"/>
          <w:noProof/>
        </w:rPr>
      </w:pPr>
      <w:r>
        <w:rPr>
          <w:noProof/>
        </w:rPr>
        <w:t>La medida se puso en marcha en el cuarto trimestre de 2020. La adjudicación de los c</w:t>
      </w:r>
      <w:r>
        <w:rPr>
          <w:noProof/>
        </w:rPr>
        <w:t>ontratos concluirá a más tardar el 31 de diciembre de 2022. Los proyectos deberán estar finalizados a más tardar el 30 de junio de 2026.</w:t>
      </w:r>
    </w:p>
    <w:p w14:paraId="025CB9DF" w14:textId="440D80B7" w:rsidR="00F208CE" w:rsidRDefault="00513E84">
      <w:pPr>
        <w:pStyle w:val="P68B1DB1-Normal11"/>
        <w:spacing w:before="120" w:after="120" w:line="240" w:lineRule="auto"/>
        <w:jc w:val="both"/>
        <w:rPr>
          <w:rFonts w:cs="Times New Roman"/>
          <w:noProof/>
        </w:rPr>
      </w:pPr>
      <w:r>
        <w:rPr>
          <w:noProof/>
        </w:rPr>
        <w:t>Inversión I-5.15: «Belgium Builds Back Circular» del Estado Federal</w:t>
      </w:r>
    </w:p>
    <w:p w14:paraId="3A535FED" w14:textId="77777777" w:rsidR="00F208CE" w:rsidRDefault="00513E84">
      <w:pPr>
        <w:pStyle w:val="P68B1DB1-Normal1"/>
        <w:spacing w:before="120" w:after="120" w:line="240" w:lineRule="auto"/>
        <w:jc w:val="both"/>
        <w:rPr>
          <w:rFonts w:cs="Times New Roman"/>
          <w:noProof/>
        </w:rPr>
      </w:pPr>
      <w:r>
        <w:rPr>
          <w:noProof/>
        </w:rPr>
        <w:t>Esta inversión tiene por objeto acelerar la transic</w:t>
      </w:r>
      <w:r>
        <w:rPr>
          <w:noProof/>
        </w:rPr>
        <w:t>ión a una economía circular en Bélgica. El objetivo es triple:</w:t>
      </w:r>
    </w:p>
    <w:p w14:paraId="2B93DE9E" w14:textId="77777777" w:rsidR="00F208CE" w:rsidRDefault="00513E84">
      <w:pPr>
        <w:pStyle w:val="P68B1DB1-ListParagraph16"/>
        <w:numPr>
          <w:ilvl w:val="0"/>
          <w:numId w:val="60"/>
        </w:numPr>
        <w:tabs>
          <w:tab w:val="left" w:pos="567"/>
        </w:tabs>
        <w:spacing w:before="120" w:after="120" w:line="240" w:lineRule="auto"/>
        <w:jc w:val="both"/>
        <w:rPr>
          <w:rFonts w:cs="Times New Roman"/>
          <w:noProof/>
        </w:rPr>
      </w:pPr>
      <w:r>
        <w:rPr>
          <w:noProof/>
        </w:rPr>
        <w:t>Evitar la fragmentación del mercado o de las políticas y promover un enfoque integrado mediante la creación de una coalición circular centrada específicamente en las competencias federales para</w:t>
      </w:r>
      <w:r>
        <w:rPr>
          <w:noProof/>
        </w:rPr>
        <w:t xml:space="preserve"> la economía circular y la interconexión de las competencias federales con las competencias locales y regionales, como el diseño para la escasez, la reutilización, la reparación y el reciclado, la seguridad química, la verificación y la certificación del c</w:t>
      </w:r>
      <w:r>
        <w:rPr>
          <w:noProof/>
        </w:rPr>
        <w:t>ontenido reciclado;</w:t>
      </w:r>
    </w:p>
    <w:p w14:paraId="62D023DF" w14:textId="77777777" w:rsidR="00F208CE" w:rsidRDefault="00513E84">
      <w:pPr>
        <w:pStyle w:val="P68B1DB1-ListParagraph16"/>
        <w:numPr>
          <w:ilvl w:val="0"/>
          <w:numId w:val="60"/>
        </w:numPr>
        <w:tabs>
          <w:tab w:val="left" w:pos="567"/>
        </w:tabs>
        <w:spacing w:before="120" w:after="120" w:line="240" w:lineRule="auto"/>
        <w:jc w:val="both"/>
        <w:rPr>
          <w:rFonts w:cs="Times New Roman"/>
          <w:noProof/>
        </w:rPr>
      </w:pPr>
      <w:r>
        <w:rPr>
          <w:noProof/>
        </w:rPr>
        <w:t>Financiar un total de 10 proyectos circulares en la industria y los centros de investigación para acelerar la transición y expandirse en la práctica, centrándose, en particular, en proyectos de sustitución de sustancias químicas peligro</w:t>
      </w:r>
      <w:r>
        <w:rPr>
          <w:noProof/>
        </w:rPr>
        <w:t>sas y proyectos sobre diseño ecológico;</w:t>
      </w:r>
    </w:p>
    <w:p w14:paraId="65FCFEFF" w14:textId="77777777" w:rsidR="00F208CE" w:rsidRDefault="00513E84">
      <w:pPr>
        <w:pStyle w:val="P68B1DB1-ListParagraph16"/>
        <w:numPr>
          <w:ilvl w:val="0"/>
          <w:numId w:val="60"/>
        </w:numPr>
        <w:tabs>
          <w:tab w:val="left" w:pos="567"/>
        </w:tabs>
        <w:spacing w:before="120" w:after="120" w:line="240" w:lineRule="auto"/>
        <w:jc w:val="both"/>
        <w:rPr>
          <w:rFonts w:cs="Times New Roman"/>
          <w:noProof/>
        </w:rPr>
      </w:pPr>
      <w:r>
        <w:rPr>
          <w:noProof/>
        </w:rPr>
        <w:t>Sensibilizar e informar a las pymes a través de campañas específicas, un sitio web y la creación de una herramienta de autoevaluación para las pymes.</w:t>
      </w:r>
    </w:p>
    <w:p w14:paraId="22905270" w14:textId="77777777" w:rsidR="00F208CE" w:rsidRDefault="00513E84">
      <w:pPr>
        <w:pStyle w:val="Text1"/>
        <w:ind w:left="0"/>
        <w:rPr>
          <w:noProof/>
        </w:rPr>
      </w:pPr>
      <w:r>
        <w:rPr>
          <w:noProof/>
        </w:rPr>
        <w:t xml:space="preserve">A fin de garantizar que la medida se ajusta a la Guía Técnica «No </w:t>
      </w:r>
      <w:r>
        <w:rPr>
          <w:noProof/>
        </w:rPr>
        <w:t>ocasionar daños significativos» (2021/C58/01), los criterios de admisibilidad contenidos en el pliego de condiciones para la próxima convocatoria de proyectos circulares excluirán la siguiente lista de actividades: I) las actividades relacionadas con los c</w:t>
      </w:r>
      <w:r>
        <w:rPr>
          <w:noProof/>
        </w:rPr>
        <w:t>ombustibles fósiles, incluido el uso posterior; II) actividades en el marco del régimen de comercio de derechos de emisión de la UE que logren unas emisiones de gases de efecto invernadero previstas que no sean inferiores a los parámetros de referencia per</w:t>
      </w:r>
      <w:r>
        <w:rPr>
          <w:noProof/>
        </w:rPr>
        <w:t>tinentes</w:t>
      </w:r>
      <w:r>
        <w:rPr>
          <w:rStyle w:val="FootnoteReference"/>
          <w:noProof/>
        </w:rPr>
        <w:footnoteReference w:id="18"/>
      </w:r>
      <w:r>
        <w:rPr>
          <w:noProof/>
        </w:rPr>
        <w:t>; III) actividades relacionadas con vertederos de residuos, incineradores</w:t>
      </w:r>
      <w:r>
        <w:rPr>
          <w:rStyle w:val="FootnoteReference"/>
          <w:noProof/>
        </w:rPr>
        <w:footnoteReference w:id="19"/>
      </w:r>
      <w:r>
        <w:rPr>
          <w:noProof/>
        </w:rPr>
        <w:t xml:space="preserve"> e instalaciones de tratamiento mecánico-biológico</w:t>
      </w:r>
      <w:r>
        <w:rPr>
          <w:rStyle w:val="FootnoteReference"/>
          <w:noProof/>
        </w:rPr>
        <w:footnoteReference w:id="20"/>
      </w:r>
      <w:r>
        <w:rPr>
          <w:noProof/>
        </w:rPr>
        <w:t xml:space="preserve">; y iv) actividades en las que la eliminación a largo plazo de residuos pueda causar daños al medio ambiente. </w:t>
      </w:r>
    </w:p>
    <w:p w14:paraId="70999C71" w14:textId="15B75155" w:rsidR="00F208CE" w:rsidRDefault="00513E84">
      <w:pPr>
        <w:pStyle w:val="Text1"/>
        <w:ind w:left="0"/>
        <w:rPr>
          <w:noProof/>
        </w:rPr>
      </w:pPr>
      <w:r>
        <w:rPr>
          <w:noProof/>
        </w:rPr>
        <w:t xml:space="preserve">El mandato </w:t>
      </w:r>
      <w:r>
        <w:rPr>
          <w:noProof/>
        </w:rPr>
        <w:t xml:space="preserve">exigirá además que solo puedan seleccionarse las actividades que cumplan la legislación medioambiental nacional y de la UE pertinente. La coalición circular se creará a más tardar el 31 de diciembre de 2021 y los proyectos concluirán a más tardar el 30 de </w:t>
      </w:r>
      <w:r>
        <w:rPr>
          <w:noProof/>
        </w:rPr>
        <w:t>junio de 2026.</w:t>
      </w:r>
    </w:p>
    <w:p w14:paraId="50139F60" w14:textId="550FC9D7" w:rsidR="00F208CE" w:rsidRDefault="00513E84">
      <w:pPr>
        <w:pStyle w:val="P68B1DB1-Normal11"/>
        <w:spacing w:before="120" w:after="120" w:line="240" w:lineRule="auto"/>
        <w:jc w:val="both"/>
        <w:rPr>
          <w:rFonts w:cs="Times New Roman"/>
          <w:noProof/>
        </w:rPr>
      </w:pPr>
      <w:r>
        <w:rPr>
          <w:noProof/>
        </w:rPr>
        <w:t>Inversión I-5.16: «Despliegue de la economía circular» en la Región Valona</w:t>
      </w:r>
    </w:p>
    <w:p w14:paraId="7A7DEFA2" w14:textId="1F4C97A7" w:rsidR="00F208CE" w:rsidRDefault="00513E84">
      <w:pPr>
        <w:pStyle w:val="P68B1DB1-Normal1"/>
        <w:spacing w:before="120" w:after="120" w:line="240" w:lineRule="auto"/>
        <w:jc w:val="both"/>
        <w:rPr>
          <w:rFonts w:cs="Times New Roman"/>
          <w:noProof/>
        </w:rPr>
      </w:pPr>
      <w:r>
        <w:rPr>
          <w:noProof/>
        </w:rPr>
        <w:t>Con el fin de desplegar la economía circular valona, las inversiones se ejecutarán a través de una convocatoria de propuestas de investigación y desarrollo mediante l</w:t>
      </w:r>
      <w:r>
        <w:rPr>
          <w:noProof/>
        </w:rPr>
        <w:t>a creación de asociaciones para la innovación en dos cadenas de valor prioritarias, a saber, metales y materiales de construcción. Los proyectos se centrarán en la circularidad (reutilización, ampliación y reciclado) de metales, baterías y minerales.</w:t>
      </w:r>
    </w:p>
    <w:p w14:paraId="3DB7BB84" w14:textId="07C354D7" w:rsidR="00F208CE" w:rsidRDefault="00513E84">
      <w:pPr>
        <w:pStyle w:val="P68B1DB1-Normal1"/>
        <w:spacing w:before="120" w:after="120" w:line="240" w:lineRule="auto"/>
        <w:jc w:val="both"/>
        <w:rPr>
          <w:rFonts w:cs="Times New Roman"/>
          <w:noProof/>
        </w:rPr>
        <w:sectPr w:rsidR="00F208CE" w:rsidSect="0071084B">
          <w:headerReference w:type="even" r:id="rId158"/>
          <w:headerReference w:type="default" r:id="rId159"/>
          <w:footerReference w:type="even" r:id="rId160"/>
          <w:footerReference w:type="default" r:id="rId161"/>
          <w:headerReference w:type="first" r:id="rId162"/>
          <w:footerReference w:type="first" r:id="rId163"/>
          <w:pgSz w:w="11907" w:h="16839"/>
          <w:pgMar w:top="1134" w:right="1134" w:bottom="1134" w:left="1134" w:header="567" w:footer="567" w:gutter="0"/>
          <w:cols w:space="720"/>
          <w:docGrid w:linePitch="360"/>
        </w:sectPr>
      </w:pPr>
      <w:r>
        <w:rPr>
          <w:noProof/>
        </w:rPr>
        <w:t>A fin de garantizar que la medida se ajusta a las orientaciones técnicas «no ocasionar daños significativos» (2021/C58/01), los criterios de admisibilidad contenidos en el pliego de condiciones para la</w:t>
      </w:r>
      <w:r>
        <w:rPr>
          <w:noProof/>
        </w:rPr>
        <w:t xml:space="preserve">s próximas convocatorias de proyectos excluirán la siguiente lista de actividades: I) las actividades relacionadas con los combustibles fósiles, incluido el uso posterior; II) actividades en el marco del régimen de comercio de derechos de emisión de la UE </w:t>
      </w:r>
      <w:r>
        <w:rPr>
          <w:noProof/>
        </w:rPr>
        <w:t>que logren unas emisiones de gases de efecto invernadero previstas que no sean inferiores a los parámetros de referencia pertinentes</w:t>
      </w:r>
      <w:r>
        <w:rPr>
          <w:noProof/>
        </w:rPr>
        <w:footnoteReference w:id="21"/>
      </w:r>
      <w:r>
        <w:rPr>
          <w:noProof/>
        </w:rPr>
        <w:t>; y iii) actividades en las que la eliminación a largo plazo de residuos pueda causar daños al medio ambiente. El mandato e</w:t>
      </w:r>
      <w:r>
        <w:rPr>
          <w:noProof/>
        </w:rPr>
        <w:t>xigirá además que solo puedan seleccionarse las actividades que cumplan la legislación medioambiental nacional y de la UE pertinente. La medida se puso en marcha en el primer trimestre de 1 2021 y se completará a más tardar el 30 de junio de 2026.</w:t>
      </w:r>
    </w:p>
    <w:p w14:paraId="5C90A900" w14:textId="69E6D3D3" w:rsidR="00F208CE" w:rsidRDefault="00513E84">
      <w:pPr>
        <w:pStyle w:val="Text1"/>
        <w:ind w:left="0"/>
        <w:rPr>
          <w:b/>
          <w:noProof/>
          <w:u w:val="single"/>
        </w:rPr>
      </w:pPr>
      <w:r>
        <w:rPr>
          <w:b/>
          <w:noProof/>
          <w:u w:val="single"/>
        </w:rPr>
        <w:t xml:space="preserve">P.2. </w:t>
      </w:r>
      <w:r>
        <w:rPr>
          <w:noProof/>
        </w:rPr>
        <w:t xml:space="preserve"> </w:t>
      </w:r>
      <w:r>
        <w:rPr>
          <w:b/>
          <w:noProof/>
          <w:u w:val="single"/>
        </w:rPr>
        <w:t>Hi</w:t>
      </w:r>
      <w:r>
        <w:rPr>
          <w:b/>
          <w:noProof/>
          <w:u w:val="single"/>
        </w:rPr>
        <w:t>tos, metas, indicadores y calendario para el seguimiento y la ejecución de la ayuda financiera no reembolsable</w:t>
      </w:r>
    </w:p>
    <w:tbl>
      <w:tblPr>
        <w:tblW w:w="16053" w:type="dxa"/>
        <w:tblInd w:w="-714" w:type="dxa"/>
        <w:tblLayout w:type="fixed"/>
        <w:tblLook w:val="04A0" w:firstRow="1" w:lastRow="0" w:firstColumn="1" w:lastColumn="0" w:noHBand="0" w:noVBand="1"/>
      </w:tblPr>
      <w:tblGrid>
        <w:gridCol w:w="787"/>
        <w:gridCol w:w="1332"/>
        <w:gridCol w:w="1111"/>
        <w:gridCol w:w="1402"/>
        <w:gridCol w:w="1962"/>
        <w:gridCol w:w="1555"/>
        <w:gridCol w:w="1080"/>
        <w:gridCol w:w="720"/>
        <w:gridCol w:w="960"/>
        <w:gridCol w:w="720"/>
        <w:gridCol w:w="4389"/>
        <w:gridCol w:w="35"/>
      </w:tblGrid>
      <w:tr w:rsidR="00F208CE" w14:paraId="1A5134A5" w14:textId="77777777">
        <w:trPr>
          <w:trHeight w:val="927"/>
          <w:tblHeader/>
        </w:trPr>
        <w:tc>
          <w:tcPr>
            <w:tcW w:w="7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DA5B44" w14:textId="3AF7C420" w:rsidR="00F208CE" w:rsidRDefault="00513E84">
            <w:pPr>
              <w:pStyle w:val="P68B1DB1-Normal7"/>
              <w:spacing w:after="0"/>
              <w:jc w:val="center"/>
              <w:rPr>
                <w:rFonts w:eastAsia="Times New Roman" w:cs="Times New Roman"/>
                <w:noProof/>
              </w:rPr>
            </w:pPr>
            <w:r>
              <w:rPr>
                <w:noProof/>
              </w:rPr>
              <w:t>Código N.B.:</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EC20E2"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B66E7E" w14:textId="77777777" w:rsidR="00F208CE" w:rsidRDefault="00513E84">
            <w:pPr>
              <w:pStyle w:val="P68B1DB1-Normal7"/>
              <w:spacing w:after="0"/>
              <w:jc w:val="center"/>
              <w:rPr>
                <w:rFonts w:eastAsia="Times New Roman" w:cs="Times New Roman"/>
                <w:noProof/>
              </w:rPr>
            </w:pPr>
            <w:r>
              <w:rPr>
                <w:noProof/>
              </w:rPr>
              <w:t>Hito/Objetivo</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8B9C34C" w14:textId="77777777" w:rsidR="00F208CE" w:rsidRDefault="00513E84">
            <w:pPr>
              <w:pStyle w:val="P68B1DB1-Normal7"/>
              <w:spacing w:after="0"/>
              <w:jc w:val="center"/>
              <w:rPr>
                <w:rFonts w:eastAsia="Times New Roman" w:cs="Times New Roman"/>
                <w:noProof/>
              </w:rPr>
            </w:pPr>
            <w:r>
              <w:rPr>
                <w:noProof/>
              </w:rPr>
              <w:t>Nombre</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860743"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335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5D16836"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w:t>
            </w:r>
            <w:r>
              <w:rPr>
                <w:rFonts w:ascii="Times New Roman" w:hAnsi="Times New Roman"/>
                <w:b/>
                <w:noProof/>
                <w:sz w:val="20"/>
              </w:rPr>
              <w:t>ara los objetivos)</w:t>
            </w:r>
          </w:p>
        </w:tc>
        <w:tc>
          <w:tcPr>
            <w:tcW w:w="1680" w:type="dxa"/>
            <w:gridSpan w:val="2"/>
            <w:tcBorders>
              <w:top w:val="single" w:sz="4" w:space="0" w:color="auto"/>
              <w:left w:val="nil"/>
              <w:bottom w:val="single" w:sz="4" w:space="0" w:color="auto"/>
              <w:right w:val="single" w:sz="4" w:space="0" w:color="auto"/>
            </w:tcBorders>
            <w:shd w:val="clear" w:color="auto" w:fill="BDD7EE"/>
            <w:vAlign w:val="center"/>
            <w:hideMark/>
          </w:tcPr>
          <w:p w14:paraId="3D97B569" w14:textId="77777777" w:rsidR="00F208CE" w:rsidRDefault="00513E84">
            <w:pPr>
              <w:pStyle w:val="P68B1DB1-Normal7"/>
              <w:spacing w:after="0"/>
              <w:jc w:val="center"/>
              <w:rPr>
                <w:rFonts w:eastAsia="Times New Roman" w:cs="Times New Roman"/>
                <w:noProof/>
              </w:rPr>
            </w:pPr>
            <w:r>
              <w:rPr>
                <w:noProof/>
              </w:rPr>
              <w:t xml:space="preserve">Calendario indicativo de finalización </w:t>
            </w:r>
          </w:p>
        </w:tc>
        <w:tc>
          <w:tcPr>
            <w:tcW w:w="4424"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17562A"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6126B44C" w14:textId="77777777">
        <w:trPr>
          <w:trHeight w:val="101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85D57F0" w14:textId="77777777" w:rsidR="00F208CE" w:rsidRDefault="00F208CE">
            <w:pPr>
              <w:spacing w:after="0"/>
              <w:rPr>
                <w:rFonts w:ascii="Times New Roman" w:eastAsia="Times New Roman" w:hAnsi="Times New Roman" w:cs="Times New Roman"/>
                <w:b/>
                <w:noProof/>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700369F2" w14:textId="77777777" w:rsidR="00F208CE" w:rsidRDefault="00F208CE">
            <w:pPr>
              <w:spacing w:after="0"/>
              <w:rPr>
                <w:rFonts w:ascii="Times New Roman" w:eastAsia="Times New Roman" w:hAnsi="Times New Roman" w:cs="Times New Roman"/>
                <w:b/>
                <w:noProof/>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4E0455C9" w14:textId="77777777" w:rsidR="00F208CE" w:rsidRDefault="00F208CE">
            <w:pPr>
              <w:spacing w:after="0"/>
              <w:rPr>
                <w:rFonts w:ascii="Times New Roman" w:eastAsia="Times New Roman" w:hAnsi="Times New Roman" w:cs="Times New Roman"/>
                <w:b/>
                <w:noProof/>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75BD704" w14:textId="77777777" w:rsidR="00F208CE" w:rsidRDefault="00F208CE">
            <w:pPr>
              <w:spacing w:after="0"/>
              <w:rPr>
                <w:rFonts w:ascii="Times New Roman" w:eastAsia="Times New Roman" w:hAnsi="Times New Roman" w:cs="Times New Roman"/>
                <w:b/>
                <w:noProof/>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14:paraId="39546382" w14:textId="77777777" w:rsidR="00F208CE" w:rsidRDefault="00F208CE">
            <w:pPr>
              <w:spacing w:after="0"/>
              <w:rPr>
                <w:rFonts w:ascii="Times New Roman" w:eastAsia="Times New Roman" w:hAnsi="Times New Roman" w:cs="Times New Roman"/>
                <w:b/>
                <w:noProof/>
              </w:rPr>
            </w:pPr>
          </w:p>
        </w:tc>
        <w:tc>
          <w:tcPr>
            <w:tcW w:w="155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57A4EC3" w14:textId="77777777" w:rsidR="00F208CE" w:rsidRDefault="00513E84">
            <w:pPr>
              <w:pStyle w:val="P68B1DB1-Normal7"/>
              <w:spacing w:after="0"/>
              <w:jc w:val="center"/>
              <w:rPr>
                <w:rFonts w:eastAsia="Times New Roman" w:cs="Times New Roman"/>
                <w:noProof/>
              </w:rPr>
            </w:pPr>
            <w:r>
              <w:rPr>
                <w:noProof/>
              </w:rPr>
              <w:t>Unidad de medida</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702C7530" w14:textId="77777777" w:rsidR="00F208CE" w:rsidRDefault="00513E84">
            <w:pPr>
              <w:pStyle w:val="P68B1DB1-Normal7"/>
              <w:spacing w:after="0"/>
              <w:jc w:val="center"/>
              <w:rPr>
                <w:rFonts w:eastAsia="Times New Roman" w:cs="Times New Roman"/>
                <w:noProof/>
              </w:rPr>
            </w:pPr>
            <w:r>
              <w:rPr>
                <w:noProof/>
              </w:rPr>
              <w:t xml:space="preserve">Basal </w:t>
            </w:r>
          </w:p>
        </w:tc>
        <w:tc>
          <w:tcPr>
            <w:tcW w:w="720" w:type="dxa"/>
            <w:tcBorders>
              <w:top w:val="single" w:sz="4" w:space="0" w:color="auto"/>
              <w:left w:val="nil"/>
              <w:bottom w:val="single" w:sz="4" w:space="0" w:color="auto"/>
              <w:right w:val="single" w:sz="4" w:space="0" w:color="auto"/>
            </w:tcBorders>
            <w:shd w:val="clear" w:color="auto" w:fill="BDD7EE"/>
            <w:vAlign w:val="center"/>
            <w:hideMark/>
          </w:tcPr>
          <w:p w14:paraId="7498B76F" w14:textId="77777777" w:rsidR="00F208CE" w:rsidRDefault="00513E84">
            <w:pPr>
              <w:pStyle w:val="P68B1DB1-Normal7"/>
              <w:spacing w:after="0"/>
              <w:jc w:val="center"/>
              <w:rPr>
                <w:rFonts w:eastAsia="Times New Roman" w:cs="Times New Roman"/>
                <w:noProof/>
              </w:rPr>
            </w:pPr>
            <w:r>
              <w:rPr>
                <w:noProof/>
              </w:rPr>
              <w:t xml:space="preserve">Meta </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21C2070D" w14:textId="77777777" w:rsidR="00F208CE" w:rsidRDefault="00513E84">
            <w:pPr>
              <w:pStyle w:val="P68B1DB1-Normal7"/>
              <w:spacing w:after="0"/>
              <w:jc w:val="center"/>
              <w:rPr>
                <w:rFonts w:eastAsia="Times New Roman" w:cs="Times New Roman"/>
                <w:noProof/>
              </w:rPr>
            </w:pPr>
            <w:r>
              <w:rPr>
                <w:noProof/>
              </w:rPr>
              <w:t>Trimestre</w:t>
            </w:r>
          </w:p>
        </w:tc>
        <w:tc>
          <w:tcPr>
            <w:tcW w:w="720" w:type="dxa"/>
            <w:tcBorders>
              <w:top w:val="single" w:sz="4" w:space="0" w:color="auto"/>
              <w:left w:val="nil"/>
              <w:bottom w:val="single" w:sz="4" w:space="0" w:color="auto"/>
              <w:right w:val="single" w:sz="4" w:space="0" w:color="auto"/>
            </w:tcBorders>
            <w:shd w:val="clear" w:color="auto" w:fill="BDD7EE"/>
            <w:vAlign w:val="center"/>
            <w:hideMark/>
          </w:tcPr>
          <w:p w14:paraId="2B953C97" w14:textId="77777777" w:rsidR="00F208CE" w:rsidRDefault="00513E84">
            <w:pPr>
              <w:pStyle w:val="P68B1DB1-Normal7"/>
              <w:spacing w:after="0"/>
              <w:jc w:val="center"/>
              <w:rPr>
                <w:rFonts w:eastAsia="Times New Roman" w:cs="Times New Roman"/>
                <w:noProof/>
              </w:rPr>
            </w:pPr>
            <w:r>
              <w:rPr>
                <w:noProof/>
              </w:rPr>
              <w:t>Año</w:t>
            </w:r>
          </w:p>
        </w:tc>
        <w:tc>
          <w:tcPr>
            <w:tcW w:w="4424" w:type="dxa"/>
            <w:gridSpan w:val="2"/>
            <w:vMerge/>
            <w:tcBorders>
              <w:top w:val="single" w:sz="4" w:space="0" w:color="auto"/>
              <w:bottom w:val="single" w:sz="4" w:space="0" w:color="auto"/>
              <w:right w:val="single" w:sz="4" w:space="0" w:color="auto"/>
            </w:tcBorders>
            <w:vAlign w:val="center"/>
            <w:hideMark/>
          </w:tcPr>
          <w:p w14:paraId="17422F8B" w14:textId="77777777" w:rsidR="00F208CE" w:rsidRDefault="00F208CE">
            <w:pPr>
              <w:spacing w:after="0"/>
              <w:rPr>
                <w:rFonts w:ascii="Times New Roman" w:eastAsia="Times New Roman" w:hAnsi="Times New Roman" w:cs="Times New Roman"/>
                <w:b/>
                <w:noProof/>
              </w:rPr>
            </w:pPr>
          </w:p>
        </w:tc>
      </w:tr>
      <w:tr w:rsidR="00F208CE" w14:paraId="5066FB37" w14:textId="77777777">
        <w:trPr>
          <w:trHeight w:val="2596"/>
        </w:trPr>
        <w:tc>
          <w:tcPr>
            <w:tcW w:w="78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4DFA86B" w14:textId="77777777" w:rsidR="00F208CE" w:rsidRDefault="00513E84">
            <w:pPr>
              <w:pStyle w:val="P68B1DB1-Normal8"/>
              <w:spacing w:after="0"/>
              <w:jc w:val="center"/>
              <w:rPr>
                <w:rFonts w:eastAsia="Times New Roman" w:cs="Times New Roman"/>
                <w:noProof/>
              </w:rPr>
            </w:pPr>
            <w:r>
              <w:rPr>
                <w:noProof/>
              </w:rPr>
              <w:t>195</w:t>
            </w:r>
          </w:p>
        </w:tc>
        <w:tc>
          <w:tcPr>
            <w:tcW w:w="1332" w:type="dxa"/>
            <w:tcBorders>
              <w:top w:val="single" w:sz="4" w:space="0" w:color="auto"/>
              <w:left w:val="nil"/>
              <w:bottom w:val="single" w:sz="4" w:space="0" w:color="auto"/>
              <w:right w:val="single" w:sz="4" w:space="0" w:color="auto"/>
            </w:tcBorders>
            <w:shd w:val="clear" w:color="auto" w:fill="C6EFCE"/>
            <w:noWrap/>
            <w:vAlign w:val="center"/>
            <w:hideMark/>
          </w:tcPr>
          <w:p w14:paraId="334CDE6C" w14:textId="77777777" w:rsidR="00F208CE" w:rsidRDefault="00513E84">
            <w:pPr>
              <w:pStyle w:val="P68B1DB1-Normal8"/>
              <w:spacing w:after="0"/>
              <w:rPr>
                <w:rFonts w:eastAsia="Times New Roman" w:cs="Times New Roman"/>
                <w:noProof/>
              </w:rPr>
            </w:pPr>
            <w:r>
              <w:rPr>
                <w:noProof/>
              </w:rPr>
              <w:t>Estrategia regional de Bruselas para la transición económica (R-5.08)</w:t>
            </w:r>
          </w:p>
        </w:tc>
        <w:tc>
          <w:tcPr>
            <w:tcW w:w="1111" w:type="dxa"/>
            <w:tcBorders>
              <w:top w:val="single" w:sz="4" w:space="0" w:color="auto"/>
              <w:left w:val="nil"/>
              <w:bottom w:val="single" w:sz="4" w:space="0" w:color="auto"/>
              <w:right w:val="single" w:sz="4" w:space="0" w:color="auto"/>
            </w:tcBorders>
            <w:shd w:val="clear" w:color="auto" w:fill="C6EFCE"/>
            <w:noWrap/>
            <w:vAlign w:val="center"/>
            <w:hideMark/>
          </w:tcPr>
          <w:p w14:paraId="26FDAF00" w14:textId="64F8237B" w:rsidR="00F208CE" w:rsidRDefault="00513E84">
            <w:pPr>
              <w:pStyle w:val="P68B1DB1-Normal8"/>
              <w:spacing w:after="0"/>
              <w:rPr>
                <w:rFonts w:eastAsia="Times New Roman" w:cs="Times New Roman"/>
                <w:noProof/>
              </w:rPr>
            </w:pPr>
            <w:r>
              <w:rPr>
                <w:noProof/>
              </w:rPr>
              <w:t>M</w:t>
            </w:r>
          </w:p>
        </w:tc>
        <w:tc>
          <w:tcPr>
            <w:tcW w:w="1402" w:type="dxa"/>
            <w:tcBorders>
              <w:top w:val="single" w:sz="4" w:space="0" w:color="auto"/>
              <w:left w:val="nil"/>
              <w:bottom w:val="single" w:sz="4" w:space="0" w:color="auto"/>
              <w:right w:val="single" w:sz="4" w:space="0" w:color="auto"/>
            </w:tcBorders>
            <w:shd w:val="clear" w:color="auto" w:fill="C6EFCE"/>
            <w:noWrap/>
            <w:vAlign w:val="center"/>
            <w:hideMark/>
          </w:tcPr>
          <w:p w14:paraId="6D2F5DB3" w14:textId="77777777" w:rsidR="00F208CE" w:rsidRDefault="00513E84">
            <w:pPr>
              <w:pStyle w:val="P68B1DB1-Normal8"/>
              <w:spacing w:after="0"/>
              <w:rPr>
                <w:rFonts w:eastAsia="Times New Roman" w:cs="Times New Roman"/>
                <w:noProof/>
              </w:rPr>
            </w:pPr>
            <w:r>
              <w:rPr>
                <w:noProof/>
              </w:rPr>
              <w:t>Adopción de la Estrategia Regional</w:t>
            </w:r>
            <w:r>
              <w:rPr>
                <w:noProof/>
              </w:rPr>
              <w:t xml:space="preserve"> para la Transición Económica</w:t>
            </w:r>
          </w:p>
        </w:tc>
        <w:tc>
          <w:tcPr>
            <w:tcW w:w="1962" w:type="dxa"/>
            <w:tcBorders>
              <w:top w:val="single" w:sz="4" w:space="0" w:color="auto"/>
              <w:left w:val="nil"/>
              <w:bottom w:val="single" w:sz="4" w:space="0" w:color="auto"/>
              <w:right w:val="single" w:sz="4" w:space="0" w:color="auto"/>
            </w:tcBorders>
            <w:shd w:val="clear" w:color="auto" w:fill="C6EFCE"/>
            <w:noWrap/>
            <w:vAlign w:val="center"/>
            <w:hideMark/>
          </w:tcPr>
          <w:p w14:paraId="4D2A9FE7" w14:textId="77777777" w:rsidR="00F208CE" w:rsidRDefault="00513E84">
            <w:pPr>
              <w:pStyle w:val="P68B1DB1-Normal8"/>
              <w:spacing w:after="0"/>
              <w:rPr>
                <w:rFonts w:cs="Times New Roman"/>
                <w:noProof/>
              </w:rPr>
            </w:pPr>
            <w:r>
              <w:rPr>
                <w:noProof/>
              </w:rPr>
              <w:t>Decisión del Gobierno de la Región de Bruselas-Capital por la que se indica la adopción de la estrategia</w:t>
            </w:r>
          </w:p>
        </w:tc>
        <w:tc>
          <w:tcPr>
            <w:tcW w:w="1555" w:type="dxa"/>
            <w:tcBorders>
              <w:top w:val="single" w:sz="4" w:space="0" w:color="auto"/>
              <w:left w:val="nil"/>
              <w:bottom w:val="single" w:sz="4" w:space="0" w:color="auto"/>
              <w:right w:val="single" w:sz="4" w:space="0" w:color="auto"/>
            </w:tcBorders>
            <w:shd w:val="clear" w:color="auto" w:fill="C6EFCE"/>
            <w:noWrap/>
            <w:vAlign w:val="center"/>
            <w:hideMark/>
          </w:tcPr>
          <w:p w14:paraId="77452EC4"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hideMark/>
          </w:tcPr>
          <w:p w14:paraId="34200AD7" w14:textId="77777777" w:rsidR="00F208CE" w:rsidRDefault="00F208CE">
            <w:pPr>
              <w:spacing w:after="0"/>
              <w:jc w:val="right"/>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4C4CBAD6" w14:textId="77777777" w:rsidR="00F208CE" w:rsidRDefault="00F208CE">
            <w:pPr>
              <w:spacing w:after="0"/>
              <w:jc w:val="right"/>
              <w:rPr>
                <w:rFonts w:ascii="Times New Roman" w:eastAsia="Times New Roman" w:hAnsi="Times New Roman" w:cs="Times New Roman"/>
                <w:noProof/>
                <w:color w:val="006100"/>
              </w:rPr>
            </w:pPr>
          </w:p>
        </w:tc>
        <w:tc>
          <w:tcPr>
            <w:tcW w:w="960" w:type="dxa"/>
            <w:tcBorders>
              <w:top w:val="single" w:sz="4" w:space="0" w:color="auto"/>
              <w:left w:val="nil"/>
              <w:bottom w:val="single" w:sz="4" w:space="0" w:color="auto"/>
              <w:right w:val="single" w:sz="4" w:space="0" w:color="auto"/>
            </w:tcBorders>
            <w:shd w:val="clear" w:color="auto" w:fill="C6EFCE"/>
            <w:noWrap/>
            <w:vAlign w:val="center"/>
            <w:hideMark/>
          </w:tcPr>
          <w:p w14:paraId="36A890B0"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single" w:sz="4" w:space="0" w:color="auto"/>
              <w:left w:val="nil"/>
              <w:bottom w:val="single" w:sz="4" w:space="0" w:color="auto"/>
              <w:right w:val="single" w:sz="4" w:space="0" w:color="auto"/>
            </w:tcBorders>
            <w:shd w:val="clear" w:color="auto" w:fill="C6EFCE"/>
            <w:noWrap/>
            <w:vAlign w:val="center"/>
            <w:hideMark/>
          </w:tcPr>
          <w:p w14:paraId="7BC38DD2" w14:textId="77777777" w:rsidR="00F208CE" w:rsidRDefault="00513E84">
            <w:pPr>
              <w:pStyle w:val="P68B1DB1-Normal8"/>
              <w:spacing w:after="0"/>
              <w:jc w:val="center"/>
              <w:rPr>
                <w:rFonts w:eastAsia="Times New Roman" w:cs="Times New Roman"/>
                <w:noProof/>
              </w:rPr>
            </w:pPr>
            <w:r>
              <w:rPr>
                <w:noProof/>
              </w:rPr>
              <w:t>2022</w:t>
            </w:r>
          </w:p>
        </w:tc>
        <w:tc>
          <w:tcPr>
            <w:tcW w:w="4424" w:type="dxa"/>
            <w:gridSpan w:val="2"/>
            <w:tcBorders>
              <w:top w:val="single" w:sz="4" w:space="0" w:color="auto"/>
              <w:left w:val="nil"/>
              <w:bottom w:val="single" w:sz="4" w:space="0" w:color="auto"/>
              <w:right w:val="single" w:sz="4" w:space="0" w:color="auto"/>
            </w:tcBorders>
            <w:shd w:val="clear" w:color="auto" w:fill="C6EFCE"/>
            <w:noWrap/>
            <w:vAlign w:val="center"/>
            <w:hideMark/>
          </w:tcPr>
          <w:p w14:paraId="1824A1FC" w14:textId="77777777" w:rsidR="00F208CE" w:rsidRDefault="00513E84">
            <w:pPr>
              <w:pStyle w:val="P68B1DB1-Normal8"/>
              <w:spacing w:after="0"/>
              <w:rPr>
                <w:rFonts w:eastAsia="Times New Roman" w:cs="Times New Roman"/>
                <w:noProof/>
              </w:rPr>
            </w:pPr>
            <w:r>
              <w:rPr>
                <w:noProof/>
              </w:rPr>
              <w:t>Estrategia de transición económica de la Región de Bruselas, adoptada por el Gobierno de la Re</w:t>
            </w:r>
            <w:r>
              <w:rPr>
                <w:noProof/>
              </w:rPr>
              <w:t>gión de Bruselas-Capital (</w:t>
            </w:r>
            <w:r>
              <w:rPr>
                <w:i/>
                <w:noProof/>
              </w:rPr>
              <w:t>Décision du Gouvernement de la Région de Bruxelles-Capitale</w:t>
            </w:r>
            <w:r>
              <w:rPr>
                <w:noProof/>
              </w:rPr>
              <w:t>), en la que se definen objetivos para 2030, basados en la coordinación entre los agentes públicos y la participación activa del sector privado, incluido un plan de acción</w:t>
            </w:r>
            <w:r>
              <w:rPr>
                <w:noProof/>
              </w:rPr>
              <w:t xml:space="preserve"> quinquenal que abarca ámbitos de acción prioritarios, estableciendo un paquete coherente de incentivos públicos para la innovación y favorable al espíritu empresarial para la transición ecológica.</w:t>
            </w:r>
          </w:p>
        </w:tc>
      </w:tr>
      <w:tr w:rsidR="00F208CE" w14:paraId="1E722C95" w14:textId="77777777">
        <w:trPr>
          <w:trHeight w:val="1941"/>
        </w:trPr>
        <w:tc>
          <w:tcPr>
            <w:tcW w:w="787" w:type="dxa"/>
            <w:tcBorders>
              <w:top w:val="nil"/>
              <w:left w:val="single" w:sz="4" w:space="0" w:color="auto"/>
              <w:bottom w:val="single" w:sz="4" w:space="0" w:color="auto"/>
              <w:right w:val="single" w:sz="4" w:space="0" w:color="auto"/>
            </w:tcBorders>
            <w:shd w:val="clear" w:color="auto" w:fill="C6EFCE"/>
            <w:noWrap/>
            <w:vAlign w:val="center"/>
            <w:hideMark/>
          </w:tcPr>
          <w:p w14:paraId="19C04F70" w14:textId="77777777" w:rsidR="00F208CE" w:rsidRDefault="00513E84">
            <w:pPr>
              <w:pStyle w:val="P68B1DB1-Normal8"/>
              <w:spacing w:after="0"/>
              <w:jc w:val="center"/>
              <w:rPr>
                <w:rFonts w:eastAsia="Times New Roman" w:cs="Times New Roman"/>
                <w:noProof/>
              </w:rPr>
            </w:pPr>
            <w:r>
              <w:rPr>
                <w:noProof/>
              </w:rPr>
              <w:t>196</w:t>
            </w:r>
          </w:p>
        </w:tc>
        <w:tc>
          <w:tcPr>
            <w:tcW w:w="1332" w:type="dxa"/>
            <w:tcBorders>
              <w:top w:val="nil"/>
              <w:left w:val="nil"/>
              <w:bottom w:val="single" w:sz="4" w:space="0" w:color="auto"/>
              <w:right w:val="single" w:sz="4" w:space="0" w:color="auto"/>
            </w:tcBorders>
            <w:shd w:val="clear" w:color="auto" w:fill="C6EFCE"/>
            <w:noWrap/>
            <w:vAlign w:val="center"/>
            <w:hideMark/>
          </w:tcPr>
          <w:p w14:paraId="01B44918" w14:textId="77777777" w:rsidR="00F208CE" w:rsidRDefault="00513E84">
            <w:pPr>
              <w:pStyle w:val="P68B1DB1-Normal8"/>
              <w:spacing w:after="0"/>
              <w:rPr>
                <w:rFonts w:eastAsia="Times New Roman" w:cs="Times New Roman"/>
                <w:noProof/>
              </w:rPr>
            </w:pPr>
            <w:r>
              <w:rPr>
                <w:noProof/>
              </w:rPr>
              <w:t>Gobernanza circular de Flandes (R-5.09)</w:t>
            </w:r>
          </w:p>
        </w:tc>
        <w:tc>
          <w:tcPr>
            <w:tcW w:w="1111" w:type="dxa"/>
            <w:tcBorders>
              <w:top w:val="nil"/>
              <w:left w:val="nil"/>
              <w:bottom w:val="single" w:sz="4" w:space="0" w:color="auto"/>
              <w:right w:val="single" w:sz="4" w:space="0" w:color="auto"/>
            </w:tcBorders>
            <w:shd w:val="clear" w:color="auto" w:fill="C6EFCE"/>
            <w:noWrap/>
            <w:vAlign w:val="center"/>
            <w:hideMark/>
          </w:tcPr>
          <w:p w14:paraId="7C64C32E" w14:textId="1E7619AD" w:rsidR="00F208CE" w:rsidRDefault="00513E84">
            <w:pPr>
              <w:pStyle w:val="P68B1DB1-Normal8"/>
              <w:spacing w:after="0"/>
              <w:rPr>
                <w:rFonts w:eastAsia="Times New Roman" w:cs="Times New Roman"/>
                <w:noProof/>
              </w:rPr>
            </w:pPr>
            <w:r>
              <w:rPr>
                <w:noProof/>
              </w:rPr>
              <w:t>M</w:t>
            </w:r>
          </w:p>
        </w:tc>
        <w:tc>
          <w:tcPr>
            <w:tcW w:w="1402" w:type="dxa"/>
            <w:tcBorders>
              <w:top w:val="nil"/>
              <w:left w:val="nil"/>
              <w:bottom w:val="single" w:sz="4" w:space="0" w:color="auto"/>
              <w:right w:val="single" w:sz="4" w:space="0" w:color="auto"/>
            </w:tcBorders>
            <w:shd w:val="clear" w:color="auto" w:fill="C6EFCE"/>
            <w:noWrap/>
            <w:vAlign w:val="center"/>
            <w:hideMark/>
          </w:tcPr>
          <w:p w14:paraId="40A0B506" w14:textId="77777777" w:rsidR="00F208CE" w:rsidRDefault="00513E84">
            <w:pPr>
              <w:pStyle w:val="P68B1DB1-Normal8"/>
              <w:spacing w:after="0"/>
              <w:rPr>
                <w:rFonts w:eastAsia="Times New Roman" w:cs="Times New Roman"/>
                <w:noProof/>
              </w:rPr>
            </w:pPr>
            <w:r>
              <w:rPr>
                <w:noProof/>
              </w:rPr>
              <w:t xml:space="preserve">Puesta en </w:t>
            </w:r>
            <w:r>
              <w:rPr>
                <w:noProof/>
              </w:rPr>
              <w:t>marcha del Grupo Director de Flandes Circular</w:t>
            </w:r>
          </w:p>
        </w:tc>
        <w:tc>
          <w:tcPr>
            <w:tcW w:w="1962" w:type="dxa"/>
            <w:tcBorders>
              <w:top w:val="nil"/>
              <w:left w:val="nil"/>
              <w:bottom w:val="single" w:sz="4" w:space="0" w:color="auto"/>
              <w:right w:val="single" w:sz="4" w:space="0" w:color="auto"/>
            </w:tcBorders>
            <w:shd w:val="clear" w:color="auto" w:fill="C6EFCE"/>
            <w:noWrap/>
            <w:vAlign w:val="center"/>
            <w:hideMark/>
          </w:tcPr>
          <w:p w14:paraId="704D7494" w14:textId="77777777" w:rsidR="00F208CE" w:rsidRDefault="00513E84">
            <w:pPr>
              <w:pStyle w:val="P68B1DB1-Normal8"/>
              <w:spacing w:after="0"/>
              <w:rPr>
                <w:rFonts w:eastAsia="Times New Roman" w:cs="Times New Roman"/>
                <w:noProof/>
              </w:rPr>
            </w:pPr>
            <w:r>
              <w:rPr>
                <w:noProof/>
              </w:rPr>
              <w:t xml:space="preserve">Nombramiento del grupo director para la gobernanza de Flandes circulares y adopción de la hoja de ruta y los programas de trabajo </w:t>
            </w:r>
          </w:p>
        </w:tc>
        <w:tc>
          <w:tcPr>
            <w:tcW w:w="1555" w:type="dxa"/>
            <w:tcBorders>
              <w:top w:val="nil"/>
              <w:left w:val="nil"/>
              <w:bottom w:val="single" w:sz="4" w:space="0" w:color="auto"/>
              <w:right w:val="single" w:sz="4" w:space="0" w:color="auto"/>
            </w:tcBorders>
            <w:shd w:val="clear" w:color="auto" w:fill="C6EFCE"/>
            <w:noWrap/>
            <w:vAlign w:val="center"/>
            <w:hideMark/>
          </w:tcPr>
          <w:p w14:paraId="667E43F4"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hideMark/>
          </w:tcPr>
          <w:p w14:paraId="1501E0F4" w14:textId="77777777"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041FA70B" w14:textId="77777777" w:rsidR="00F208CE" w:rsidRDefault="00F208CE">
            <w:pPr>
              <w:spacing w:after="0"/>
              <w:jc w:val="right"/>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hideMark/>
          </w:tcPr>
          <w:p w14:paraId="4D57FF87" w14:textId="77777777"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43F2B02A" w14:textId="77777777" w:rsidR="00F208CE" w:rsidRDefault="00513E84">
            <w:pPr>
              <w:pStyle w:val="P68B1DB1-Normal8"/>
              <w:spacing w:after="0"/>
              <w:jc w:val="center"/>
              <w:rPr>
                <w:rFonts w:eastAsia="Times New Roman" w:cs="Times New Roman"/>
                <w:strike/>
                <w:noProof/>
              </w:rPr>
            </w:pPr>
            <w:r>
              <w:rPr>
                <w:noProof/>
              </w:rPr>
              <w:t>2021</w:t>
            </w:r>
          </w:p>
        </w:tc>
        <w:tc>
          <w:tcPr>
            <w:tcW w:w="4424" w:type="dxa"/>
            <w:gridSpan w:val="2"/>
            <w:tcBorders>
              <w:top w:val="nil"/>
              <w:left w:val="nil"/>
              <w:bottom w:val="single" w:sz="4" w:space="0" w:color="auto"/>
              <w:right w:val="single" w:sz="4" w:space="0" w:color="auto"/>
            </w:tcBorders>
            <w:shd w:val="clear" w:color="auto" w:fill="C6EFCE"/>
            <w:noWrap/>
            <w:vAlign w:val="center"/>
            <w:hideMark/>
          </w:tcPr>
          <w:p w14:paraId="505D1818" w14:textId="77777777" w:rsidR="00F208CE" w:rsidRDefault="00513E84">
            <w:pPr>
              <w:pStyle w:val="P68B1DB1-Normal8"/>
              <w:spacing w:after="0"/>
              <w:rPr>
                <w:rFonts w:eastAsia="Times New Roman" w:cs="Times New Roman"/>
                <w:noProof/>
              </w:rPr>
            </w:pPr>
            <w:r>
              <w:rPr>
                <w:noProof/>
              </w:rPr>
              <w:t>Nombramiento del grupo director para la gobernanza d</w:t>
            </w:r>
            <w:r>
              <w:rPr>
                <w:noProof/>
              </w:rPr>
              <w:t>e Flandes Circular y adopción de planes de trabajo y planes de trabajo para orientar los proyectos de economía circular y el desarrollo de palancas estratégicas</w:t>
            </w:r>
          </w:p>
        </w:tc>
      </w:tr>
      <w:tr w:rsidR="00F208CE" w14:paraId="418FD12D" w14:textId="77777777">
        <w:trPr>
          <w:trHeight w:val="309"/>
        </w:trPr>
        <w:tc>
          <w:tcPr>
            <w:tcW w:w="787" w:type="dxa"/>
            <w:tcBorders>
              <w:top w:val="nil"/>
              <w:left w:val="single" w:sz="4" w:space="0" w:color="auto"/>
              <w:bottom w:val="single" w:sz="4" w:space="0" w:color="auto"/>
              <w:right w:val="single" w:sz="4" w:space="0" w:color="auto"/>
            </w:tcBorders>
            <w:shd w:val="clear" w:color="auto" w:fill="C6EFCE"/>
            <w:noWrap/>
            <w:vAlign w:val="center"/>
            <w:hideMark/>
          </w:tcPr>
          <w:p w14:paraId="1D251E22" w14:textId="77777777" w:rsidR="00F208CE" w:rsidRDefault="00513E84">
            <w:pPr>
              <w:pStyle w:val="P68B1DB1-Normal8"/>
              <w:spacing w:after="0"/>
              <w:jc w:val="center"/>
              <w:rPr>
                <w:rFonts w:eastAsia="Times New Roman" w:cs="Times New Roman"/>
                <w:noProof/>
              </w:rPr>
            </w:pPr>
            <w:r>
              <w:rPr>
                <w:noProof/>
              </w:rPr>
              <w:t>197</w:t>
            </w:r>
          </w:p>
        </w:tc>
        <w:tc>
          <w:tcPr>
            <w:tcW w:w="1332" w:type="dxa"/>
            <w:tcBorders>
              <w:top w:val="nil"/>
              <w:left w:val="nil"/>
              <w:bottom w:val="single" w:sz="4" w:space="0" w:color="auto"/>
              <w:right w:val="single" w:sz="4" w:space="0" w:color="auto"/>
            </w:tcBorders>
            <w:shd w:val="clear" w:color="auto" w:fill="C6EFCE"/>
            <w:noWrap/>
            <w:vAlign w:val="center"/>
            <w:hideMark/>
          </w:tcPr>
          <w:p w14:paraId="3401B533" w14:textId="77777777" w:rsidR="00F208CE" w:rsidRDefault="00513E84">
            <w:pPr>
              <w:pStyle w:val="P68B1DB1-Normal8"/>
              <w:spacing w:after="0"/>
              <w:rPr>
                <w:rFonts w:eastAsia="Times New Roman" w:cs="Times New Roman"/>
                <w:noProof/>
              </w:rPr>
            </w:pPr>
            <w:r>
              <w:rPr>
                <w:noProof/>
              </w:rPr>
              <w:t>Centro de reciclado (I-5.14)</w:t>
            </w:r>
          </w:p>
        </w:tc>
        <w:tc>
          <w:tcPr>
            <w:tcW w:w="1111" w:type="dxa"/>
            <w:tcBorders>
              <w:top w:val="nil"/>
              <w:left w:val="nil"/>
              <w:bottom w:val="single" w:sz="4" w:space="0" w:color="auto"/>
              <w:right w:val="single" w:sz="4" w:space="0" w:color="auto"/>
            </w:tcBorders>
            <w:shd w:val="clear" w:color="auto" w:fill="C6EFCE"/>
            <w:noWrap/>
            <w:vAlign w:val="center"/>
            <w:hideMark/>
          </w:tcPr>
          <w:p w14:paraId="40913DDE" w14:textId="47244797" w:rsidR="00F208CE" w:rsidRDefault="00513E84">
            <w:pPr>
              <w:pStyle w:val="P68B1DB1-Normal8"/>
              <w:spacing w:after="0"/>
              <w:rPr>
                <w:rFonts w:eastAsia="Times New Roman" w:cs="Times New Roman"/>
                <w:noProof/>
              </w:rPr>
            </w:pPr>
            <w:r>
              <w:rPr>
                <w:noProof/>
              </w:rPr>
              <w:t>T</w:t>
            </w:r>
          </w:p>
        </w:tc>
        <w:tc>
          <w:tcPr>
            <w:tcW w:w="1402" w:type="dxa"/>
            <w:tcBorders>
              <w:top w:val="nil"/>
              <w:left w:val="nil"/>
              <w:bottom w:val="single" w:sz="4" w:space="0" w:color="auto"/>
              <w:right w:val="single" w:sz="4" w:space="0" w:color="auto"/>
            </w:tcBorders>
            <w:shd w:val="clear" w:color="auto" w:fill="C6EFCE"/>
            <w:noWrap/>
            <w:vAlign w:val="center"/>
            <w:hideMark/>
          </w:tcPr>
          <w:p w14:paraId="1EFF4D69" w14:textId="77777777" w:rsidR="00F208CE" w:rsidRDefault="00513E84">
            <w:pPr>
              <w:pStyle w:val="P68B1DB1-Normal8"/>
              <w:spacing w:after="0"/>
              <w:rPr>
                <w:rFonts w:eastAsia="Times New Roman" w:cs="Times New Roman"/>
                <w:noProof/>
              </w:rPr>
            </w:pPr>
            <w:r>
              <w:rPr>
                <w:noProof/>
              </w:rPr>
              <w:t>Adjudicación de seis contratos públicos de instalaciones de</w:t>
            </w:r>
            <w:r>
              <w:rPr>
                <w:noProof/>
              </w:rPr>
              <w:t xml:space="preserve"> reciclado</w:t>
            </w:r>
          </w:p>
        </w:tc>
        <w:tc>
          <w:tcPr>
            <w:tcW w:w="1962" w:type="dxa"/>
            <w:tcBorders>
              <w:top w:val="nil"/>
              <w:left w:val="nil"/>
              <w:bottom w:val="single" w:sz="4" w:space="0" w:color="auto"/>
              <w:right w:val="single" w:sz="4" w:space="0" w:color="auto"/>
            </w:tcBorders>
            <w:shd w:val="clear" w:color="auto" w:fill="C6EFCE"/>
            <w:noWrap/>
            <w:vAlign w:val="center"/>
            <w:hideMark/>
          </w:tcPr>
          <w:p w14:paraId="43496DDE" w14:textId="77777777" w:rsidR="00F208CE" w:rsidRDefault="00F208CE">
            <w:pPr>
              <w:spacing w:after="0"/>
              <w:rPr>
                <w:rFonts w:ascii="Times New Roman" w:eastAsia="Times New Roman" w:hAnsi="Times New Roman" w:cs="Times New Roman"/>
                <w:noProof/>
                <w:color w:val="006100"/>
              </w:rPr>
            </w:pPr>
          </w:p>
        </w:tc>
        <w:tc>
          <w:tcPr>
            <w:tcW w:w="1555" w:type="dxa"/>
            <w:tcBorders>
              <w:top w:val="nil"/>
              <w:left w:val="nil"/>
              <w:bottom w:val="single" w:sz="4" w:space="0" w:color="auto"/>
              <w:right w:val="single" w:sz="4" w:space="0" w:color="auto"/>
            </w:tcBorders>
            <w:shd w:val="clear" w:color="auto" w:fill="C6EFCE"/>
            <w:noWrap/>
            <w:vAlign w:val="center"/>
            <w:hideMark/>
          </w:tcPr>
          <w:p w14:paraId="7308A461" w14:textId="77777777" w:rsidR="00F208CE" w:rsidRDefault="00513E84">
            <w:pPr>
              <w:pStyle w:val="P68B1DB1-Normal8"/>
              <w:spacing w:after="0"/>
              <w:rPr>
                <w:rFonts w:eastAsia="Times New Roman" w:cs="Times New Roman"/>
                <w:noProof/>
              </w:rPr>
            </w:pPr>
            <w:r>
              <w:rPr>
                <w:noProof/>
              </w:rPr>
              <w:t>Instalaciones</w:t>
            </w:r>
          </w:p>
        </w:tc>
        <w:tc>
          <w:tcPr>
            <w:tcW w:w="1080" w:type="dxa"/>
            <w:tcBorders>
              <w:top w:val="nil"/>
              <w:left w:val="nil"/>
              <w:bottom w:val="single" w:sz="4" w:space="0" w:color="auto"/>
              <w:right w:val="single" w:sz="4" w:space="0" w:color="auto"/>
            </w:tcBorders>
            <w:shd w:val="clear" w:color="auto" w:fill="C6EFCE"/>
            <w:noWrap/>
            <w:vAlign w:val="center"/>
            <w:hideMark/>
          </w:tcPr>
          <w:p w14:paraId="2D970910" w14:textId="3D9CC043" w:rsidR="00F208CE" w:rsidRDefault="00513E84">
            <w:pPr>
              <w:pStyle w:val="P68B1DB1-Normal8"/>
              <w:spacing w:after="0"/>
              <w:jc w:val="right"/>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hideMark/>
          </w:tcPr>
          <w:p w14:paraId="16436CFA" w14:textId="4188AE4B" w:rsidR="00F208CE" w:rsidRDefault="00513E84">
            <w:pPr>
              <w:pStyle w:val="P68B1DB1-Normal8"/>
              <w:spacing w:after="0"/>
              <w:jc w:val="right"/>
              <w:rPr>
                <w:rFonts w:eastAsia="Times New Roman" w:cs="Times New Roman"/>
                <w:noProof/>
              </w:rPr>
            </w:pPr>
            <w:r>
              <w:rPr>
                <w:noProof/>
              </w:rPr>
              <w:t>6</w:t>
            </w:r>
          </w:p>
        </w:tc>
        <w:tc>
          <w:tcPr>
            <w:tcW w:w="960" w:type="dxa"/>
            <w:tcBorders>
              <w:top w:val="nil"/>
              <w:left w:val="nil"/>
              <w:bottom w:val="single" w:sz="4" w:space="0" w:color="auto"/>
              <w:right w:val="single" w:sz="4" w:space="0" w:color="auto"/>
            </w:tcBorders>
            <w:shd w:val="clear" w:color="auto" w:fill="C6EFCE"/>
            <w:noWrap/>
            <w:vAlign w:val="center"/>
            <w:hideMark/>
          </w:tcPr>
          <w:p w14:paraId="33B87535" w14:textId="339358ED" w:rsidR="00F208CE" w:rsidRDefault="00513E84">
            <w:pPr>
              <w:pStyle w:val="P68B1DB1-Normal8"/>
              <w:spacing w:after="0"/>
              <w:jc w:val="center"/>
              <w:rPr>
                <w:rFonts w:eastAsia="Times New Roman" w:cs="Times New Roman"/>
                <w:noProof/>
              </w:rPr>
            </w:pPr>
            <w:r>
              <w:rPr>
                <w:noProof/>
              </w:rPr>
              <w:t>TERCER TRIMESTRE 4</w:t>
            </w:r>
          </w:p>
        </w:tc>
        <w:tc>
          <w:tcPr>
            <w:tcW w:w="720" w:type="dxa"/>
            <w:tcBorders>
              <w:top w:val="nil"/>
              <w:left w:val="nil"/>
              <w:bottom w:val="single" w:sz="4" w:space="0" w:color="auto"/>
              <w:right w:val="single" w:sz="4" w:space="0" w:color="auto"/>
            </w:tcBorders>
            <w:shd w:val="clear" w:color="auto" w:fill="C6EFCE"/>
            <w:noWrap/>
            <w:vAlign w:val="center"/>
            <w:hideMark/>
          </w:tcPr>
          <w:p w14:paraId="4675498C" w14:textId="77777777" w:rsidR="00F208CE" w:rsidRDefault="00513E84">
            <w:pPr>
              <w:pStyle w:val="P68B1DB1-Normal8"/>
              <w:spacing w:after="0"/>
              <w:jc w:val="center"/>
              <w:rPr>
                <w:rFonts w:eastAsia="Times New Roman" w:cs="Times New Roman"/>
                <w:noProof/>
              </w:rPr>
            </w:pPr>
            <w:r>
              <w:rPr>
                <w:noProof/>
              </w:rPr>
              <w:t>2022</w:t>
            </w:r>
          </w:p>
        </w:tc>
        <w:tc>
          <w:tcPr>
            <w:tcW w:w="4424" w:type="dxa"/>
            <w:gridSpan w:val="2"/>
            <w:tcBorders>
              <w:top w:val="nil"/>
              <w:left w:val="nil"/>
              <w:bottom w:val="single" w:sz="4" w:space="0" w:color="auto"/>
              <w:right w:val="single" w:sz="4" w:space="0" w:color="auto"/>
            </w:tcBorders>
            <w:shd w:val="clear" w:color="auto" w:fill="C6EFCE"/>
            <w:noWrap/>
            <w:vAlign w:val="center"/>
            <w:hideMark/>
          </w:tcPr>
          <w:p w14:paraId="1C934ACA" w14:textId="77777777" w:rsidR="00F208CE" w:rsidRDefault="00513E84">
            <w:pPr>
              <w:pStyle w:val="P68B1DB1-Normal8"/>
              <w:spacing w:after="0"/>
              <w:rPr>
                <w:rFonts w:eastAsia="Times New Roman" w:cs="Times New Roman"/>
                <w:noProof/>
              </w:rPr>
            </w:pPr>
            <w:r>
              <w:rPr>
                <w:noProof/>
              </w:rPr>
              <w:t>Se han seleccionado seis proyectos de inversión para instalaciones de reciclado. Un jurado realizará una evaluación de los proyectos; el ministro flamenco de Medio Ambiente confirmará la selección final</w:t>
            </w:r>
            <w:r>
              <w:rPr>
                <w:noProof/>
              </w:rPr>
              <w:t>.</w:t>
            </w:r>
          </w:p>
          <w:p w14:paraId="59A8F36F" w14:textId="1EA8E17A" w:rsidR="00F208CE" w:rsidRDefault="00513E84">
            <w:pPr>
              <w:pStyle w:val="P68B1DB1-Normal8"/>
              <w:spacing w:after="0"/>
              <w:rPr>
                <w:rFonts w:eastAsia="Times New Roman" w:cs="Times New Roman"/>
                <w:noProof/>
              </w:rPr>
            </w:pPr>
            <w:r>
              <w:rPr>
                <w:noProof/>
              </w:rPr>
              <w:t>Adjudicación de los contratos a los proyectos seleccionados en el marco de la convocatoria de propuestas competitiva con un pliego de condiciones que incluya criterios de admisibilidad que garanticen que los proyectos seleccionados cumplen las orientacio</w:t>
            </w:r>
            <w:r>
              <w:rPr>
                <w:noProof/>
              </w:rPr>
              <w:t>nes técnicas «No causar un perjuicio significativo» (2021/C58/01) mediante el uso de una lista de exclusión.  Las decisiones de concesión de subvenciones estipularán que la ayuda se concederá a condición de que la actividad cumpla la legislación medioambie</w:t>
            </w:r>
            <w:r>
              <w:rPr>
                <w:noProof/>
              </w:rPr>
              <w:t>ntal nacional y de la UE pertinente.</w:t>
            </w:r>
          </w:p>
        </w:tc>
      </w:tr>
      <w:tr w:rsidR="00F208CE" w14:paraId="2D85031D" w14:textId="77777777">
        <w:trPr>
          <w:trHeight w:val="1180"/>
        </w:trPr>
        <w:tc>
          <w:tcPr>
            <w:tcW w:w="787" w:type="dxa"/>
            <w:tcBorders>
              <w:top w:val="nil"/>
              <w:left w:val="single" w:sz="4" w:space="0" w:color="auto"/>
              <w:bottom w:val="single" w:sz="4" w:space="0" w:color="auto"/>
              <w:right w:val="single" w:sz="4" w:space="0" w:color="auto"/>
            </w:tcBorders>
            <w:shd w:val="clear" w:color="auto" w:fill="C6EFCE"/>
            <w:noWrap/>
            <w:vAlign w:val="center"/>
            <w:hideMark/>
          </w:tcPr>
          <w:p w14:paraId="45587BBF" w14:textId="77777777" w:rsidR="00F208CE" w:rsidRDefault="00513E84">
            <w:pPr>
              <w:pStyle w:val="P68B1DB1-Normal8"/>
              <w:spacing w:after="0"/>
              <w:jc w:val="center"/>
              <w:rPr>
                <w:rFonts w:eastAsia="Times New Roman" w:cs="Times New Roman"/>
                <w:noProof/>
              </w:rPr>
            </w:pPr>
            <w:r>
              <w:rPr>
                <w:noProof/>
              </w:rPr>
              <w:t>198</w:t>
            </w:r>
          </w:p>
        </w:tc>
        <w:tc>
          <w:tcPr>
            <w:tcW w:w="1332" w:type="dxa"/>
            <w:tcBorders>
              <w:top w:val="nil"/>
              <w:left w:val="nil"/>
              <w:bottom w:val="single" w:sz="4" w:space="0" w:color="auto"/>
              <w:right w:val="single" w:sz="4" w:space="0" w:color="auto"/>
            </w:tcBorders>
            <w:shd w:val="clear" w:color="auto" w:fill="C6EFCE"/>
            <w:noWrap/>
            <w:vAlign w:val="center"/>
            <w:hideMark/>
          </w:tcPr>
          <w:p w14:paraId="6E902467" w14:textId="77777777" w:rsidR="00F208CE" w:rsidRDefault="00513E84">
            <w:pPr>
              <w:pStyle w:val="P68B1DB1-Normal8"/>
              <w:spacing w:after="0"/>
              <w:rPr>
                <w:rFonts w:eastAsia="Times New Roman" w:cs="Times New Roman"/>
                <w:noProof/>
              </w:rPr>
            </w:pPr>
            <w:r>
              <w:rPr>
                <w:noProof/>
              </w:rPr>
              <w:t>Centro de reciclado (I-5.14)</w:t>
            </w:r>
          </w:p>
        </w:tc>
        <w:tc>
          <w:tcPr>
            <w:tcW w:w="1111" w:type="dxa"/>
            <w:tcBorders>
              <w:top w:val="nil"/>
              <w:left w:val="nil"/>
              <w:bottom w:val="single" w:sz="4" w:space="0" w:color="auto"/>
              <w:right w:val="single" w:sz="4" w:space="0" w:color="auto"/>
            </w:tcBorders>
            <w:shd w:val="clear" w:color="auto" w:fill="C6EFCE"/>
            <w:noWrap/>
            <w:vAlign w:val="center"/>
            <w:hideMark/>
          </w:tcPr>
          <w:p w14:paraId="2AD17157" w14:textId="01F0190F" w:rsidR="00F208CE" w:rsidRDefault="00513E84">
            <w:pPr>
              <w:pStyle w:val="P68B1DB1-Normal8"/>
              <w:spacing w:after="0"/>
              <w:rPr>
                <w:rFonts w:eastAsia="Times New Roman" w:cs="Times New Roman"/>
                <w:noProof/>
              </w:rPr>
            </w:pPr>
            <w:r>
              <w:rPr>
                <w:noProof/>
              </w:rPr>
              <w:t>T</w:t>
            </w:r>
          </w:p>
        </w:tc>
        <w:tc>
          <w:tcPr>
            <w:tcW w:w="1402" w:type="dxa"/>
            <w:tcBorders>
              <w:top w:val="nil"/>
              <w:left w:val="nil"/>
              <w:bottom w:val="single" w:sz="4" w:space="0" w:color="auto"/>
              <w:right w:val="single" w:sz="4" w:space="0" w:color="auto"/>
            </w:tcBorders>
            <w:shd w:val="clear" w:color="auto" w:fill="C6EFCE"/>
            <w:noWrap/>
            <w:vAlign w:val="center"/>
            <w:hideMark/>
          </w:tcPr>
          <w:p w14:paraId="3FF5DC10" w14:textId="77777777" w:rsidR="00F208CE" w:rsidRDefault="00513E84">
            <w:pPr>
              <w:pStyle w:val="P68B1DB1-Normal8"/>
              <w:spacing w:after="0"/>
              <w:rPr>
                <w:rFonts w:eastAsia="Times New Roman" w:cs="Times New Roman"/>
                <w:noProof/>
              </w:rPr>
            </w:pPr>
            <w:r>
              <w:rPr>
                <w:noProof/>
              </w:rPr>
              <w:t>Finalización de las obras en seis instalaciones de reciclado</w:t>
            </w:r>
          </w:p>
        </w:tc>
        <w:tc>
          <w:tcPr>
            <w:tcW w:w="1962" w:type="dxa"/>
            <w:tcBorders>
              <w:top w:val="nil"/>
              <w:left w:val="nil"/>
              <w:bottom w:val="single" w:sz="4" w:space="0" w:color="auto"/>
              <w:right w:val="single" w:sz="4" w:space="0" w:color="auto"/>
            </w:tcBorders>
            <w:shd w:val="clear" w:color="auto" w:fill="C6EFCE"/>
            <w:noWrap/>
            <w:vAlign w:val="center"/>
            <w:hideMark/>
          </w:tcPr>
          <w:p w14:paraId="56083A43" w14:textId="7A972EE6" w:rsidR="00F208CE" w:rsidRDefault="00F208CE">
            <w:pPr>
              <w:spacing w:after="0"/>
              <w:rPr>
                <w:rFonts w:ascii="Times New Roman" w:eastAsia="Times New Roman" w:hAnsi="Times New Roman" w:cs="Times New Roman"/>
                <w:noProof/>
                <w:color w:val="006100"/>
              </w:rPr>
            </w:pPr>
          </w:p>
        </w:tc>
        <w:tc>
          <w:tcPr>
            <w:tcW w:w="1555" w:type="dxa"/>
            <w:tcBorders>
              <w:top w:val="nil"/>
              <w:left w:val="nil"/>
              <w:bottom w:val="single" w:sz="4" w:space="0" w:color="auto"/>
              <w:right w:val="single" w:sz="4" w:space="0" w:color="auto"/>
            </w:tcBorders>
            <w:shd w:val="clear" w:color="auto" w:fill="C6EFCE"/>
            <w:noWrap/>
            <w:vAlign w:val="center"/>
            <w:hideMark/>
          </w:tcPr>
          <w:p w14:paraId="14AFFE20" w14:textId="77777777" w:rsidR="00F208CE" w:rsidRDefault="00513E84">
            <w:pPr>
              <w:pStyle w:val="P68B1DB1-Normal8"/>
              <w:spacing w:after="0"/>
              <w:rPr>
                <w:rFonts w:eastAsia="Times New Roman" w:cs="Times New Roman"/>
                <w:noProof/>
              </w:rPr>
            </w:pPr>
            <w:r>
              <w:rPr>
                <w:noProof/>
              </w:rPr>
              <w:t>Instalaciones</w:t>
            </w:r>
          </w:p>
        </w:tc>
        <w:tc>
          <w:tcPr>
            <w:tcW w:w="1080" w:type="dxa"/>
            <w:tcBorders>
              <w:top w:val="nil"/>
              <w:left w:val="nil"/>
              <w:bottom w:val="single" w:sz="4" w:space="0" w:color="auto"/>
              <w:right w:val="single" w:sz="4" w:space="0" w:color="auto"/>
            </w:tcBorders>
            <w:shd w:val="clear" w:color="auto" w:fill="C6EFCE"/>
            <w:noWrap/>
            <w:vAlign w:val="center"/>
            <w:hideMark/>
          </w:tcPr>
          <w:p w14:paraId="3EB4C6AD" w14:textId="3308FB23" w:rsidR="00F208CE" w:rsidRDefault="00513E84">
            <w:pPr>
              <w:pStyle w:val="P68B1DB1-Normal8"/>
              <w:spacing w:after="0"/>
              <w:jc w:val="right"/>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hideMark/>
          </w:tcPr>
          <w:p w14:paraId="3836A567" w14:textId="77777777" w:rsidR="00F208CE" w:rsidRDefault="00513E84">
            <w:pPr>
              <w:pStyle w:val="P68B1DB1-Normal8"/>
              <w:spacing w:after="0"/>
              <w:jc w:val="right"/>
              <w:rPr>
                <w:rFonts w:eastAsia="Times New Roman" w:cs="Times New Roman"/>
                <w:noProof/>
              </w:rPr>
            </w:pPr>
            <w:r>
              <w:rPr>
                <w:noProof/>
              </w:rPr>
              <w:t>6</w:t>
            </w:r>
          </w:p>
        </w:tc>
        <w:tc>
          <w:tcPr>
            <w:tcW w:w="960" w:type="dxa"/>
            <w:tcBorders>
              <w:top w:val="nil"/>
              <w:left w:val="nil"/>
              <w:bottom w:val="single" w:sz="4" w:space="0" w:color="auto"/>
              <w:right w:val="single" w:sz="4" w:space="0" w:color="auto"/>
            </w:tcBorders>
            <w:shd w:val="clear" w:color="auto" w:fill="C6EFCE"/>
            <w:noWrap/>
            <w:vAlign w:val="center"/>
            <w:hideMark/>
          </w:tcPr>
          <w:p w14:paraId="23742FFE"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hideMark/>
          </w:tcPr>
          <w:p w14:paraId="3B61F95E" w14:textId="77777777" w:rsidR="00F208CE" w:rsidRDefault="00513E84">
            <w:pPr>
              <w:pStyle w:val="P68B1DB1-Normal8"/>
              <w:spacing w:after="0"/>
              <w:jc w:val="center"/>
              <w:rPr>
                <w:rFonts w:eastAsia="Times New Roman" w:cs="Times New Roman"/>
                <w:noProof/>
              </w:rPr>
            </w:pPr>
            <w:r>
              <w:rPr>
                <w:noProof/>
              </w:rPr>
              <w:t>2026</w:t>
            </w:r>
          </w:p>
        </w:tc>
        <w:tc>
          <w:tcPr>
            <w:tcW w:w="4424" w:type="dxa"/>
            <w:gridSpan w:val="2"/>
            <w:tcBorders>
              <w:top w:val="nil"/>
              <w:left w:val="nil"/>
              <w:bottom w:val="single" w:sz="4" w:space="0" w:color="auto"/>
              <w:right w:val="single" w:sz="4" w:space="0" w:color="auto"/>
            </w:tcBorders>
            <w:shd w:val="clear" w:color="auto" w:fill="C6EFCE"/>
            <w:noWrap/>
            <w:vAlign w:val="center"/>
            <w:hideMark/>
          </w:tcPr>
          <w:p w14:paraId="38A859AD" w14:textId="77777777" w:rsidR="00F208CE" w:rsidRDefault="00513E84">
            <w:pPr>
              <w:pStyle w:val="P68B1DB1-Normal8"/>
              <w:spacing w:after="0"/>
              <w:rPr>
                <w:rFonts w:eastAsia="Times New Roman" w:cs="Times New Roman"/>
                <w:noProof/>
              </w:rPr>
            </w:pPr>
            <w:r>
              <w:rPr>
                <w:noProof/>
              </w:rPr>
              <w:t>Seis instalaciones de reciclado construidas, adaptadas o ampliadas para mejorar</w:t>
            </w:r>
            <w:r>
              <w:rPr>
                <w:noProof/>
              </w:rPr>
              <w:t xml:space="preserve"> los procesos de reciclado.</w:t>
            </w:r>
          </w:p>
        </w:tc>
      </w:tr>
      <w:tr w:rsidR="00F208CE" w14:paraId="4D9E14DC" w14:textId="77777777">
        <w:trPr>
          <w:trHeight w:val="309"/>
        </w:trPr>
        <w:tc>
          <w:tcPr>
            <w:tcW w:w="787" w:type="dxa"/>
            <w:tcBorders>
              <w:top w:val="nil"/>
              <w:left w:val="single" w:sz="4" w:space="0" w:color="auto"/>
              <w:bottom w:val="single" w:sz="4" w:space="0" w:color="auto"/>
              <w:right w:val="single" w:sz="4" w:space="0" w:color="auto"/>
            </w:tcBorders>
            <w:shd w:val="clear" w:color="auto" w:fill="C6EFCE"/>
            <w:noWrap/>
            <w:vAlign w:val="center"/>
          </w:tcPr>
          <w:p w14:paraId="62D52B07" w14:textId="77777777" w:rsidR="00F208CE" w:rsidRDefault="00513E84">
            <w:pPr>
              <w:pStyle w:val="P68B1DB1-Normal8"/>
              <w:spacing w:after="0"/>
              <w:jc w:val="center"/>
              <w:rPr>
                <w:rFonts w:eastAsia="Times New Roman" w:cs="Times New Roman"/>
                <w:noProof/>
              </w:rPr>
            </w:pPr>
            <w:r>
              <w:rPr>
                <w:noProof/>
              </w:rPr>
              <w:t>199</w:t>
            </w:r>
          </w:p>
        </w:tc>
        <w:tc>
          <w:tcPr>
            <w:tcW w:w="1332" w:type="dxa"/>
            <w:tcBorders>
              <w:top w:val="nil"/>
              <w:left w:val="nil"/>
              <w:bottom w:val="single" w:sz="4" w:space="0" w:color="auto"/>
              <w:right w:val="single" w:sz="4" w:space="0" w:color="auto"/>
            </w:tcBorders>
            <w:shd w:val="clear" w:color="auto" w:fill="C6EFCE"/>
            <w:noWrap/>
            <w:vAlign w:val="center"/>
          </w:tcPr>
          <w:p w14:paraId="26E08DED" w14:textId="77777777" w:rsidR="00F208CE" w:rsidRDefault="00513E84">
            <w:pPr>
              <w:pStyle w:val="P68B1DB1-Normal8"/>
              <w:spacing w:after="0"/>
              <w:rPr>
                <w:rFonts w:eastAsia="Times New Roman" w:cs="Times New Roman"/>
                <w:noProof/>
              </w:rPr>
            </w:pPr>
            <w:r>
              <w:rPr>
                <w:noProof/>
              </w:rPr>
              <w:t>Belgium Builds Back Circular (I-5.15)</w:t>
            </w:r>
          </w:p>
        </w:tc>
        <w:tc>
          <w:tcPr>
            <w:tcW w:w="1111" w:type="dxa"/>
            <w:tcBorders>
              <w:top w:val="nil"/>
              <w:left w:val="nil"/>
              <w:bottom w:val="single" w:sz="4" w:space="0" w:color="auto"/>
              <w:right w:val="single" w:sz="4" w:space="0" w:color="auto"/>
            </w:tcBorders>
            <w:shd w:val="clear" w:color="auto" w:fill="C6EFCE"/>
            <w:noWrap/>
            <w:vAlign w:val="center"/>
          </w:tcPr>
          <w:p w14:paraId="0FB18389" w14:textId="6C2F5CCC" w:rsidR="00F208CE" w:rsidRDefault="00513E84">
            <w:pPr>
              <w:pStyle w:val="P68B1DB1-Normal8"/>
              <w:spacing w:after="0"/>
              <w:rPr>
                <w:rFonts w:eastAsia="Times New Roman" w:cs="Times New Roman"/>
                <w:noProof/>
              </w:rPr>
            </w:pPr>
            <w:r>
              <w:rPr>
                <w:noProof/>
              </w:rPr>
              <w:t>M</w:t>
            </w:r>
          </w:p>
        </w:tc>
        <w:tc>
          <w:tcPr>
            <w:tcW w:w="1402" w:type="dxa"/>
            <w:tcBorders>
              <w:top w:val="nil"/>
              <w:left w:val="nil"/>
              <w:bottom w:val="single" w:sz="4" w:space="0" w:color="auto"/>
              <w:right w:val="single" w:sz="4" w:space="0" w:color="auto"/>
            </w:tcBorders>
            <w:shd w:val="clear" w:color="auto" w:fill="C6EFCE"/>
            <w:noWrap/>
            <w:vAlign w:val="center"/>
          </w:tcPr>
          <w:p w14:paraId="280FC85B" w14:textId="77777777" w:rsidR="00F208CE" w:rsidRDefault="00513E84">
            <w:pPr>
              <w:pStyle w:val="P68B1DB1-Normal8"/>
              <w:spacing w:after="0"/>
              <w:rPr>
                <w:rFonts w:eastAsia="Times New Roman" w:cs="Times New Roman"/>
                <w:noProof/>
              </w:rPr>
            </w:pPr>
            <w:r>
              <w:rPr>
                <w:noProof/>
              </w:rPr>
              <w:t>Adjudicación de contratos públicos para proyectos circulares</w:t>
            </w:r>
          </w:p>
        </w:tc>
        <w:tc>
          <w:tcPr>
            <w:tcW w:w="1962" w:type="dxa"/>
            <w:tcBorders>
              <w:top w:val="nil"/>
              <w:left w:val="nil"/>
              <w:bottom w:val="single" w:sz="4" w:space="0" w:color="auto"/>
              <w:right w:val="single" w:sz="4" w:space="0" w:color="auto"/>
            </w:tcBorders>
            <w:shd w:val="clear" w:color="auto" w:fill="C6EFCE"/>
            <w:noWrap/>
            <w:vAlign w:val="center"/>
          </w:tcPr>
          <w:p w14:paraId="00861DA2" w14:textId="77777777" w:rsidR="00F208CE" w:rsidRDefault="00513E84">
            <w:pPr>
              <w:pStyle w:val="P68B1DB1-Normal8"/>
              <w:spacing w:after="0"/>
              <w:rPr>
                <w:rFonts w:eastAsia="Times New Roman" w:cs="Times New Roman"/>
                <w:noProof/>
              </w:rPr>
            </w:pPr>
            <w:r>
              <w:rPr>
                <w:noProof/>
              </w:rPr>
              <w:t>Notificación de la adjudicación de contratos públicos a los candidatos seleccionados</w:t>
            </w:r>
          </w:p>
        </w:tc>
        <w:tc>
          <w:tcPr>
            <w:tcW w:w="1555" w:type="dxa"/>
            <w:tcBorders>
              <w:top w:val="nil"/>
              <w:left w:val="nil"/>
              <w:bottom w:val="single" w:sz="4" w:space="0" w:color="auto"/>
              <w:right w:val="single" w:sz="4" w:space="0" w:color="auto"/>
            </w:tcBorders>
            <w:shd w:val="clear" w:color="auto" w:fill="C6EFCE"/>
            <w:noWrap/>
            <w:vAlign w:val="center"/>
          </w:tcPr>
          <w:p w14:paraId="342B89C6"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05513412" w14:textId="77777777" w:rsidR="00F208CE" w:rsidRDefault="00F208CE">
            <w:pPr>
              <w:spacing w:after="0"/>
              <w:rPr>
                <w:rFonts w:ascii="Times New Roman" w:eastAsia="Times New Roman" w:hAnsi="Times New Roman" w:cs="Times New Roman"/>
                <w:strike/>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17474BEE" w14:textId="77777777" w:rsidR="00F208CE" w:rsidRDefault="00F208CE">
            <w:pPr>
              <w:spacing w:after="0"/>
              <w:rPr>
                <w:rFonts w:ascii="Times New Roman" w:eastAsia="Times New Roman" w:hAnsi="Times New Roman" w:cs="Times New Roman"/>
                <w:strike/>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253899D4" w14:textId="77777777" w:rsidR="00F208CE" w:rsidRDefault="00513E84">
            <w:pPr>
              <w:pStyle w:val="P68B1DB1-Normal8"/>
              <w:spacing w:after="0"/>
              <w:jc w:val="center"/>
              <w:rPr>
                <w:rFonts w:eastAsia="Times New Roman" w:cs="Times New Roman"/>
                <w:noProof/>
              </w:rPr>
            </w:pPr>
            <w:r>
              <w:rPr>
                <w:noProof/>
              </w:rPr>
              <w:t>TERCER TRIMESTRE 1</w:t>
            </w:r>
          </w:p>
        </w:tc>
        <w:tc>
          <w:tcPr>
            <w:tcW w:w="720" w:type="dxa"/>
            <w:tcBorders>
              <w:top w:val="nil"/>
              <w:left w:val="nil"/>
              <w:bottom w:val="single" w:sz="4" w:space="0" w:color="auto"/>
              <w:right w:val="single" w:sz="4" w:space="0" w:color="auto"/>
            </w:tcBorders>
            <w:shd w:val="clear" w:color="auto" w:fill="C6EFCE"/>
            <w:noWrap/>
            <w:vAlign w:val="center"/>
          </w:tcPr>
          <w:p w14:paraId="07722A3B" w14:textId="77777777" w:rsidR="00F208CE" w:rsidRDefault="00513E84">
            <w:pPr>
              <w:pStyle w:val="P68B1DB1-Normal8"/>
              <w:spacing w:after="0"/>
              <w:jc w:val="center"/>
              <w:rPr>
                <w:rFonts w:eastAsia="Times New Roman" w:cs="Times New Roman"/>
                <w:noProof/>
              </w:rPr>
            </w:pPr>
            <w:r>
              <w:rPr>
                <w:noProof/>
              </w:rPr>
              <w:t>2024</w:t>
            </w:r>
          </w:p>
        </w:tc>
        <w:tc>
          <w:tcPr>
            <w:tcW w:w="4424" w:type="dxa"/>
            <w:gridSpan w:val="2"/>
            <w:tcBorders>
              <w:top w:val="nil"/>
              <w:left w:val="nil"/>
              <w:bottom w:val="single" w:sz="4" w:space="0" w:color="auto"/>
              <w:right w:val="single" w:sz="4" w:space="0" w:color="auto"/>
            </w:tcBorders>
            <w:shd w:val="clear" w:color="auto" w:fill="C6EFCE"/>
            <w:noWrap/>
            <w:vAlign w:val="center"/>
          </w:tcPr>
          <w:p w14:paraId="41CACAD9" w14:textId="77777777" w:rsidR="00F208CE" w:rsidRDefault="00513E84">
            <w:pPr>
              <w:pStyle w:val="P68B1DB1-Normal8"/>
              <w:spacing w:after="0"/>
              <w:rPr>
                <w:rFonts w:eastAsia="Times New Roman" w:cs="Times New Roman"/>
                <w:noProof/>
              </w:rPr>
            </w:pPr>
            <w:r>
              <w:rPr>
                <w:noProof/>
              </w:rPr>
              <w:t xml:space="preserve">La secretaría operativa contrató y funciona para fomentar la colaboración en acciones de economía circular y la selección de candidatos seleccionados tras la convocatoria de propuestas para diez proyectos circulares. Los candidatos serán empresas privadas </w:t>
            </w:r>
            <w:r>
              <w:rPr>
                <w:noProof/>
              </w:rPr>
              <w:t>que necesiten financiación para la ejecución de un proyecto de investigación u operativo en materia de diseño ecológico o sustitución química. Se considerará que un candidato ha tenido éxito cuando su proyecto de inversión haya sido seleccionado oficialmen</w:t>
            </w:r>
            <w:r>
              <w:rPr>
                <w:noProof/>
              </w:rPr>
              <w:t>te para ser financiado por la coalición.</w:t>
            </w:r>
          </w:p>
          <w:p w14:paraId="1BD4CBE0" w14:textId="77777777" w:rsidR="00F208CE" w:rsidRDefault="00513E84">
            <w:pPr>
              <w:pStyle w:val="P68B1DB1-Normal8"/>
              <w:spacing w:after="0"/>
              <w:rPr>
                <w:rFonts w:eastAsia="Times New Roman" w:cs="Times New Roman"/>
                <w:noProof/>
              </w:rPr>
            </w:pPr>
            <w:r>
              <w:rPr>
                <w:noProof/>
              </w:rPr>
              <w:t>Notificación de la adjudicación de contratos públicos a los proyectos seleccionados en el marco de la convocatoria de propuestas competitiva con un pliego de condiciones que incluya criterios de admisibilidad que ga</w:t>
            </w:r>
            <w:r>
              <w:rPr>
                <w:noProof/>
              </w:rPr>
              <w:t>ranticen que los proyectos seleccionados cumplen la Guía Técnica «no ocasionar daños significativos» (2021/C58/01) mediante el uso de una lista de exclusión y el requisito de cumplimiento de la legislación medioambiental nacional y de la UE pertinente.</w:t>
            </w:r>
          </w:p>
        </w:tc>
      </w:tr>
      <w:tr w:rsidR="00F208CE" w14:paraId="1CDCC614" w14:textId="77777777">
        <w:trPr>
          <w:gridAfter w:val="1"/>
          <w:wAfter w:w="35" w:type="dxa"/>
          <w:trHeight w:val="309"/>
        </w:trPr>
        <w:tc>
          <w:tcPr>
            <w:tcW w:w="787" w:type="dxa"/>
            <w:tcBorders>
              <w:top w:val="nil"/>
              <w:left w:val="single" w:sz="4" w:space="0" w:color="auto"/>
              <w:bottom w:val="single" w:sz="4" w:space="0" w:color="auto"/>
              <w:right w:val="single" w:sz="4" w:space="0" w:color="auto"/>
            </w:tcBorders>
            <w:shd w:val="clear" w:color="auto" w:fill="C6EFCE"/>
            <w:noWrap/>
            <w:vAlign w:val="center"/>
          </w:tcPr>
          <w:p w14:paraId="44931683" w14:textId="77777777" w:rsidR="00F208CE" w:rsidRDefault="00513E84">
            <w:pPr>
              <w:pStyle w:val="P68B1DB1-Normal8"/>
              <w:spacing w:after="0"/>
              <w:jc w:val="center"/>
              <w:rPr>
                <w:rFonts w:eastAsia="Times New Roman" w:cs="Times New Roman"/>
                <w:noProof/>
              </w:rPr>
            </w:pPr>
            <w:r>
              <w:rPr>
                <w:noProof/>
              </w:rPr>
              <w:t>200</w:t>
            </w:r>
          </w:p>
        </w:tc>
        <w:tc>
          <w:tcPr>
            <w:tcW w:w="1332" w:type="dxa"/>
            <w:tcBorders>
              <w:top w:val="nil"/>
              <w:left w:val="nil"/>
              <w:bottom w:val="single" w:sz="4" w:space="0" w:color="auto"/>
              <w:right w:val="single" w:sz="4" w:space="0" w:color="auto"/>
            </w:tcBorders>
            <w:shd w:val="clear" w:color="auto" w:fill="C6EFCE"/>
            <w:noWrap/>
            <w:vAlign w:val="center"/>
          </w:tcPr>
          <w:p w14:paraId="59D36A38" w14:textId="77777777" w:rsidR="00F208CE" w:rsidRDefault="00513E84">
            <w:pPr>
              <w:pStyle w:val="P68B1DB1-Normal8"/>
              <w:spacing w:after="0"/>
              <w:rPr>
                <w:rFonts w:eastAsia="Times New Roman" w:cs="Times New Roman"/>
                <w:noProof/>
              </w:rPr>
            </w:pPr>
            <w:r>
              <w:rPr>
                <w:noProof/>
              </w:rPr>
              <w:t>Belgium Builds Back Circular (I-5.15)</w:t>
            </w:r>
          </w:p>
        </w:tc>
        <w:tc>
          <w:tcPr>
            <w:tcW w:w="1111" w:type="dxa"/>
            <w:tcBorders>
              <w:top w:val="nil"/>
              <w:left w:val="nil"/>
              <w:bottom w:val="single" w:sz="4" w:space="0" w:color="auto"/>
              <w:right w:val="single" w:sz="4" w:space="0" w:color="auto"/>
            </w:tcBorders>
            <w:shd w:val="clear" w:color="auto" w:fill="C6EFCE"/>
            <w:noWrap/>
            <w:vAlign w:val="center"/>
          </w:tcPr>
          <w:p w14:paraId="1E9EBCE3" w14:textId="0796EFF0" w:rsidR="00F208CE" w:rsidRDefault="00513E84">
            <w:pPr>
              <w:pStyle w:val="P68B1DB1-Normal8"/>
              <w:spacing w:after="0"/>
              <w:rPr>
                <w:rFonts w:eastAsia="Times New Roman" w:cs="Times New Roman"/>
                <w:noProof/>
              </w:rPr>
            </w:pPr>
            <w:r>
              <w:rPr>
                <w:noProof/>
              </w:rPr>
              <w:t>M</w:t>
            </w:r>
          </w:p>
        </w:tc>
        <w:tc>
          <w:tcPr>
            <w:tcW w:w="1402" w:type="dxa"/>
            <w:tcBorders>
              <w:top w:val="nil"/>
              <w:left w:val="nil"/>
              <w:bottom w:val="single" w:sz="4" w:space="0" w:color="auto"/>
              <w:right w:val="single" w:sz="4" w:space="0" w:color="auto"/>
            </w:tcBorders>
            <w:shd w:val="clear" w:color="auto" w:fill="C6EFCE"/>
            <w:noWrap/>
            <w:vAlign w:val="center"/>
          </w:tcPr>
          <w:p w14:paraId="4AC12270" w14:textId="77777777" w:rsidR="00F208CE" w:rsidRDefault="00513E84">
            <w:pPr>
              <w:pStyle w:val="P68B1DB1-Normal8"/>
              <w:spacing w:after="0"/>
              <w:rPr>
                <w:rFonts w:eastAsia="Times New Roman" w:cs="Times New Roman"/>
                <w:noProof/>
              </w:rPr>
            </w:pPr>
            <w:r>
              <w:rPr>
                <w:noProof/>
              </w:rPr>
              <w:t>Finalización de acciones de sensibilización e información para las PYME y proyectos circulares</w:t>
            </w:r>
          </w:p>
        </w:tc>
        <w:tc>
          <w:tcPr>
            <w:tcW w:w="1962" w:type="dxa"/>
            <w:tcBorders>
              <w:top w:val="nil"/>
              <w:left w:val="nil"/>
              <w:bottom w:val="single" w:sz="4" w:space="0" w:color="auto"/>
              <w:right w:val="single" w:sz="4" w:space="0" w:color="auto"/>
            </w:tcBorders>
            <w:shd w:val="clear" w:color="auto" w:fill="C6EFCE"/>
            <w:noWrap/>
            <w:vAlign w:val="center"/>
          </w:tcPr>
          <w:p w14:paraId="6E52F196" w14:textId="77777777" w:rsidR="00F208CE" w:rsidRDefault="00513E84">
            <w:pPr>
              <w:pStyle w:val="P68B1DB1-Normal8"/>
              <w:spacing w:after="0"/>
              <w:rPr>
                <w:rFonts w:eastAsia="Times New Roman" w:cs="Times New Roman"/>
                <w:noProof/>
              </w:rPr>
            </w:pPr>
            <w:r>
              <w:rPr>
                <w:noProof/>
              </w:rPr>
              <w:t>Informes sobre el impacto de las campañas, informes sobre la realización de proyectos circulares</w:t>
            </w:r>
          </w:p>
        </w:tc>
        <w:tc>
          <w:tcPr>
            <w:tcW w:w="1555" w:type="dxa"/>
            <w:tcBorders>
              <w:top w:val="nil"/>
              <w:left w:val="nil"/>
              <w:bottom w:val="single" w:sz="4" w:space="0" w:color="auto"/>
              <w:right w:val="single" w:sz="4" w:space="0" w:color="auto"/>
            </w:tcBorders>
            <w:shd w:val="clear" w:color="auto" w:fill="C6EFCE"/>
            <w:noWrap/>
            <w:vAlign w:val="center"/>
          </w:tcPr>
          <w:p w14:paraId="7F0AEB98"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vAlign w:val="center"/>
          </w:tcPr>
          <w:p w14:paraId="60FD19D5" w14:textId="77777777"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68D4E4B5" w14:textId="77777777" w:rsidR="00F208CE" w:rsidRDefault="00F208CE">
            <w:pPr>
              <w:spacing w:after="0"/>
              <w:rPr>
                <w:rFonts w:ascii="Times New Roman" w:eastAsia="Times New Roman" w:hAnsi="Times New Roman" w:cs="Times New Roman"/>
                <w:strike/>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4A56D5E9" w14:textId="77777777" w:rsidR="00F208CE" w:rsidRDefault="00513E84">
            <w:pPr>
              <w:pStyle w:val="P68B1DB1-Normal8"/>
              <w:spacing w:after="0"/>
              <w:rPr>
                <w:rFonts w:eastAsia="Times New Roman" w:cs="Times New Roman"/>
                <w:strike/>
                <w:noProof/>
              </w:rPr>
            </w:pPr>
            <w:r>
              <w:rPr>
                <w:noProof/>
              </w:rPr>
              <w:t xml:space="preserve">TERCER TRIMESTRE </w:t>
            </w:r>
            <w:r>
              <w:rPr>
                <w:noProof/>
              </w:rPr>
              <w:t>2</w:t>
            </w:r>
          </w:p>
        </w:tc>
        <w:tc>
          <w:tcPr>
            <w:tcW w:w="720" w:type="dxa"/>
            <w:tcBorders>
              <w:top w:val="nil"/>
              <w:left w:val="nil"/>
              <w:bottom w:val="single" w:sz="4" w:space="0" w:color="auto"/>
              <w:right w:val="single" w:sz="4" w:space="0" w:color="auto"/>
            </w:tcBorders>
            <w:shd w:val="clear" w:color="auto" w:fill="C6EFCE"/>
            <w:noWrap/>
            <w:vAlign w:val="center"/>
          </w:tcPr>
          <w:p w14:paraId="0059238A" w14:textId="77777777" w:rsidR="00F208CE" w:rsidRDefault="00513E84">
            <w:pPr>
              <w:pStyle w:val="P68B1DB1-Normal8"/>
              <w:spacing w:after="0"/>
              <w:jc w:val="center"/>
              <w:rPr>
                <w:rFonts w:eastAsia="Times New Roman" w:cs="Times New Roman"/>
                <w:noProof/>
              </w:rPr>
            </w:pPr>
            <w:r>
              <w:rPr>
                <w:noProof/>
              </w:rPr>
              <w:t>2026</w:t>
            </w:r>
          </w:p>
        </w:tc>
        <w:tc>
          <w:tcPr>
            <w:tcW w:w="4389" w:type="dxa"/>
            <w:tcBorders>
              <w:top w:val="nil"/>
              <w:left w:val="nil"/>
              <w:bottom w:val="single" w:sz="4" w:space="0" w:color="auto"/>
              <w:right w:val="single" w:sz="4" w:space="0" w:color="auto"/>
            </w:tcBorders>
            <w:shd w:val="clear" w:color="auto" w:fill="C6EFCE"/>
            <w:noWrap/>
            <w:vAlign w:val="center"/>
          </w:tcPr>
          <w:p w14:paraId="76B51B14" w14:textId="2196749E" w:rsidR="00F208CE" w:rsidRDefault="00513E84">
            <w:pPr>
              <w:pStyle w:val="P68B1DB1-Normal8"/>
              <w:spacing w:after="0"/>
              <w:rPr>
                <w:rFonts w:eastAsia="Times New Roman" w:cs="Times New Roman"/>
                <w:noProof/>
              </w:rPr>
            </w:pPr>
            <w:r>
              <w:rPr>
                <w:noProof/>
              </w:rPr>
              <w:t>Se completaron al menos tres acciones de sensibilización e información dirigidas a las pymes [campañas anuales de sensibilización (a lo largo de tres años), un sitio web y una herramienta de autoevaluación] sobre los aspectos de la economía circular</w:t>
            </w:r>
            <w:r>
              <w:rPr>
                <w:noProof/>
              </w:rPr>
              <w:t xml:space="preserve"> y se finalizaron al menos nueve proyectos circulares.</w:t>
            </w:r>
          </w:p>
        </w:tc>
      </w:tr>
      <w:tr w:rsidR="00F208CE" w14:paraId="2E3B71CF" w14:textId="77777777">
        <w:trPr>
          <w:trHeight w:val="309"/>
        </w:trPr>
        <w:tc>
          <w:tcPr>
            <w:tcW w:w="787" w:type="dxa"/>
            <w:tcBorders>
              <w:top w:val="nil"/>
              <w:left w:val="single" w:sz="4" w:space="0" w:color="auto"/>
              <w:bottom w:val="single" w:sz="4" w:space="0" w:color="auto"/>
              <w:right w:val="single" w:sz="4" w:space="0" w:color="auto"/>
            </w:tcBorders>
            <w:shd w:val="clear" w:color="auto" w:fill="C6EFCE"/>
            <w:noWrap/>
            <w:vAlign w:val="center"/>
          </w:tcPr>
          <w:p w14:paraId="5CA7C036" w14:textId="77777777" w:rsidR="00F208CE" w:rsidRDefault="00513E84">
            <w:pPr>
              <w:pStyle w:val="P68B1DB1-Normal8"/>
              <w:spacing w:after="0"/>
              <w:jc w:val="center"/>
              <w:rPr>
                <w:rFonts w:eastAsia="Times New Roman" w:cs="Times New Roman"/>
                <w:noProof/>
              </w:rPr>
            </w:pPr>
            <w:r>
              <w:rPr>
                <w:noProof/>
              </w:rPr>
              <w:t>201</w:t>
            </w:r>
          </w:p>
        </w:tc>
        <w:tc>
          <w:tcPr>
            <w:tcW w:w="1332" w:type="dxa"/>
            <w:tcBorders>
              <w:top w:val="nil"/>
              <w:left w:val="nil"/>
              <w:bottom w:val="single" w:sz="4" w:space="0" w:color="auto"/>
              <w:right w:val="single" w:sz="4" w:space="0" w:color="auto"/>
            </w:tcBorders>
            <w:shd w:val="clear" w:color="auto" w:fill="C6EFCE"/>
            <w:noWrap/>
            <w:vAlign w:val="center"/>
          </w:tcPr>
          <w:p w14:paraId="2A85B461" w14:textId="77777777" w:rsidR="00F208CE" w:rsidRDefault="00513E84">
            <w:pPr>
              <w:pStyle w:val="P68B1DB1-Normal8"/>
              <w:spacing w:after="0"/>
              <w:rPr>
                <w:rFonts w:eastAsia="Times New Roman" w:cs="Times New Roman"/>
                <w:noProof/>
              </w:rPr>
            </w:pPr>
            <w:r>
              <w:rPr>
                <w:noProof/>
              </w:rPr>
              <w:t>Despliegue de la economía circular en Valonia (I-5.16)</w:t>
            </w:r>
          </w:p>
        </w:tc>
        <w:tc>
          <w:tcPr>
            <w:tcW w:w="1111" w:type="dxa"/>
            <w:tcBorders>
              <w:top w:val="nil"/>
              <w:left w:val="nil"/>
              <w:bottom w:val="single" w:sz="4" w:space="0" w:color="auto"/>
              <w:right w:val="single" w:sz="4" w:space="0" w:color="auto"/>
            </w:tcBorders>
            <w:shd w:val="clear" w:color="auto" w:fill="C6EFCE"/>
            <w:noWrap/>
            <w:vAlign w:val="center"/>
          </w:tcPr>
          <w:p w14:paraId="6665C221" w14:textId="568FE56C" w:rsidR="00F208CE" w:rsidRDefault="00513E84">
            <w:pPr>
              <w:pStyle w:val="P68B1DB1-Normal8"/>
              <w:spacing w:after="0"/>
              <w:rPr>
                <w:rFonts w:eastAsia="Times New Roman" w:cs="Times New Roman"/>
                <w:noProof/>
              </w:rPr>
            </w:pPr>
            <w:r>
              <w:rPr>
                <w:noProof/>
              </w:rPr>
              <w:t>M</w:t>
            </w:r>
          </w:p>
        </w:tc>
        <w:tc>
          <w:tcPr>
            <w:tcW w:w="1402" w:type="dxa"/>
            <w:tcBorders>
              <w:top w:val="nil"/>
              <w:left w:val="nil"/>
              <w:bottom w:val="single" w:sz="4" w:space="0" w:color="auto"/>
              <w:right w:val="single" w:sz="4" w:space="0" w:color="auto"/>
            </w:tcBorders>
            <w:shd w:val="clear" w:color="auto" w:fill="C6EFCE"/>
            <w:noWrap/>
            <w:vAlign w:val="center"/>
          </w:tcPr>
          <w:p w14:paraId="68D56479" w14:textId="77777777" w:rsidR="00F208CE" w:rsidRDefault="00513E84">
            <w:pPr>
              <w:pStyle w:val="P68B1DB1-Normal8"/>
              <w:spacing w:after="0"/>
              <w:rPr>
                <w:rFonts w:eastAsia="Times New Roman" w:cs="Times New Roman"/>
                <w:strike/>
                <w:noProof/>
              </w:rPr>
            </w:pPr>
            <w:r>
              <w:rPr>
                <w:noProof/>
              </w:rPr>
              <w:t>Adjudicación de contratos públicos para proyectos de fomento de la economía circular en Valonia</w:t>
            </w:r>
          </w:p>
        </w:tc>
        <w:tc>
          <w:tcPr>
            <w:tcW w:w="1962" w:type="dxa"/>
            <w:tcBorders>
              <w:top w:val="nil"/>
              <w:left w:val="nil"/>
              <w:bottom w:val="single" w:sz="4" w:space="0" w:color="auto"/>
              <w:right w:val="single" w:sz="4" w:space="0" w:color="auto"/>
            </w:tcBorders>
            <w:shd w:val="clear" w:color="auto" w:fill="C6EFCE"/>
            <w:noWrap/>
            <w:vAlign w:val="center"/>
          </w:tcPr>
          <w:p w14:paraId="5D7C52CB" w14:textId="77777777" w:rsidR="00F208CE" w:rsidRDefault="00513E84">
            <w:pPr>
              <w:pStyle w:val="P68B1DB1-Normal8"/>
              <w:spacing w:after="0"/>
              <w:rPr>
                <w:rFonts w:eastAsia="Times New Roman" w:cs="Times New Roman"/>
                <w:noProof/>
              </w:rPr>
            </w:pPr>
            <w:r>
              <w:rPr>
                <w:noProof/>
              </w:rPr>
              <w:t xml:space="preserve">Notificación de la adjudicación de </w:t>
            </w:r>
            <w:r>
              <w:rPr>
                <w:noProof/>
              </w:rPr>
              <w:t>contratos públicos a los candidatos seleccionados</w:t>
            </w:r>
          </w:p>
        </w:tc>
        <w:tc>
          <w:tcPr>
            <w:tcW w:w="1555" w:type="dxa"/>
            <w:tcBorders>
              <w:top w:val="nil"/>
              <w:left w:val="nil"/>
              <w:bottom w:val="single" w:sz="4" w:space="0" w:color="auto"/>
              <w:right w:val="single" w:sz="4" w:space="0" w:color="auto"/>
            </w:tcBorders>
            <w:shd w:val="clear" w:color="auto" w:fill="C6EFCE"/>
            <w:noWrap/>
            <w:vAlign w:val="center"/>
          </w:tcPr>
          <w:p w14:paraId="0581119D" w14:textId="77777777" w:rsidR="00F208CE" w:rsidRDefault="00F208CE">
            <w:pPr>
              <w:spacing w:after="0"/>
              <w:rPr>
                <w:rFonts w:ascii="Times New Roman" w:eastAsia="Times New Roman" w:hAnsi="Times New Roman" w:cs="Times New Roman"/>
                <w:noProof/>
                <w:color w:val="006100"/>
              </w:rPr>
            </w:pPr>
          </w:p>
        </w:tc>
        <w:tc>
          <w:tcPr>
            <w:tcW w:w="1080" w:type="dxa"/>
            <w:tcBorders>
              <w:top w:val="nil"/>
              <w:left w:val="nil"/>
              <w:bottom w:val="single" w:sz="4" w:space="0" w:color="auto"/>
              <w:right w:val="single" w:sz="4" w:space="0" w:color="auto"/>
            </w:tcBorders>
            <w:shd w:val="clear" w:color="auto" w:fill="C6EFCE"/>
            <w:noWrap/>
            <w:vAlign w:val="center"/>
          </w:tcPr>
          <w:p w14:paraId="438D5BAC" w14:textId="77777777" w:rsidR="00F208CE" w:rsidRDefault="00F208CE">
            <w:pPr>
              <w:spacing w:after="0"/>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2102B2B3" w14:textId="77777777"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7F8E2F00" w14:textId="77777777" w:rsidR="00F208CE" w:rsidRDefault="00513E84">
            <w:pPr>
              <w:pStyle w:val="P68B1DB1-Normal8"/>
              <w:spacing w:after="0"/>
              <w:jc w:val="center"/>
              <w:rPr>
                <w:rFonts w:eastAsia="Times New Roman" w:cs="Times New Roman"/>
                <w:noProof/>
              </w:rPr>
            </w:pPr>
            <w:r>
              <w:rPr>
                <w:noProof/>
              </w:rPr>
              <w:t>TERCER TRIMESTRE 2</w:t>
            </w:r>
          </w:p>
        </w:tc>
        <w:tc>
          <w:tcPr>
            <w:tcW w:w="720" w:type="dxa"/>
            <w:tcBorders>
              <w:top w:val="nil"/>
              <w:left w:val="nil"/>
              <w:bottom w:val="single" w:sz="4" w:space="0" w:color="auto"/>
              <w:right w:val="single" w:sz="4" w:space="0" w:color="auto"/>
            </w:tcBorders>
            <w:shd w:val="clear" w:color="auto" w:fill="C6EFCE"/>
            <w:noWrap/>
            <w:vAlign w:val="center"/>
          </w:tcPr>
          <w:p w14:paraId="0CAE1920" w14:textId="77777777" w:rsidR="00F208CE" w:rsidRDefault="00513E84">
            <w:pPr>
              <w:pStyle w:val="P68B1DB1-Normal8"/>
              <w:spacing w:after="0"/>
              <w:jc w:val="center"/>
              <w:rPr>
                <w:rFonts w:eastAsia="Times New Roman" w:cs="Times New Roman"/>
                <w:noProof/>
              </w:rPr>
            </w:pPr>
            <w:r>
              <w:rPr>
                <w:noProof/>
              </w:rPr>
              <w:t>2022</w:t>
            </w:r>
          </w:p>
        </w:tc>
        <w:tc>
          <w:tcPr>
            <w:tcW w:w="4424" w:type="dxa"/>
            <w:gridSpan w:val="2"/>
            <w:tcBorders>
              <w:top w:val="nil"/>
              <w:left w:val="nil"/>
              <w:bottom w:val="single" w:sz="4" w:space="0" w:color="auto"/>
              <w:right w:val="single" w:sz="4" w:space="0" w:color="auto"/>
            </w:tcBorders>
            <w:shd w:val="clear" w:color="auto" w:fill="C6EFCE"/>
            <w:noWrap/>
            <w:vAlign w:val="center"/>
          </w:tcPr>
          <w:p w14:paraId="0E069980" w14:textId="67050C3C" w:rsidR="00F208CE" w:rsidRDefault="00513E84">
            <w:pPr>
              <w:pStyle w:val="P68B1DB1-Normal8"/>
              <w:spacing w:after="0"/>
              <w:rPr>
                <w:rFonts w:eastAsia="Times New Roman" w:cs="Times New Roman"/>
                <w:noProof/>
              </w:rPr>
            </w:pPr>
            <w:r>
              <w:rPr>
                <w:noProof/>
              </w:rPr>
              <w:t>Selección de los candidatos seleccionados tras la convocatoria de propuestas de proyectos sobre reciclado y reutilización de metales, baterías y minerales. La convocatoria de prop</w:t>
            </w:r>
            <w:r>
              <w:rPr>
                <w:noProof/>
              </w:rPr>
              <w:t>uestas tendrá un pliego de condiciones que incluya criterios de admisibilidad que garanticen que los proyectos seleccionados cumplen las orientaciones técnicas «No causar un perjuicio significativo» (2021/C58/01) mediante el uso de una lista de exclusión y</w:t>
            </w:r>
            <w:r>
              <w:rPr>
                <w:noProof/>
              </w:rPr>
              <w:t xml:space="preserve"> el requisito de cumplimiento de la legislación medioambiental nacional y de la UE pertinente.</w:t>
            </w:r>
          </w:p>
        </w:tc>
      </w:tr>
      <w:tr w:rsidR="00F208CE" w14:paraId="46D4A0CE" w14:textId="77777777">
        <w:trPr>
          <w:trHeight w:val="309"/>
        </w:trPr>
        <w:tc>
          <w:tcPr>
            <w:tcW w:w="787" w:type="dxa"/>
            <w:tcBorders>
              <w:top w:val="nil"/>
              <w:left w:val="single" w:sz="4" w:space="0" w:color="auto"/>
              <w:bottom w:val="single" w:sz="4" w:space="0" w:color="auto"/>
              <w:right w:val="single" w:sz="4" w:space="0" w:color="auto"/>
            </w:tcBorders>
            <w:shd w:val="clear" w:color="auto" w:fill="C6EFCE"/>
            <w:noWrap/>
            <w:vAlign w:val="center"/>
          </w:tcPr>
          <w:p w14:paraId="3989CF6B" w14:textId="77777777" w:rsidR="00F208CE" w:rsidRDefault="00513E84">
            <w:pPr>
              <w:pStyle w:val="P68B1DB1-Normal8"/>
              <w:spacing w:after="0"/>
              <w:jc w:val="center"/>
              <w:rPr>
                <w:rFonts w:eastAsia="Times New Roman" w:cs="Times New Roman"/>
                <w:noProof/>
              </w:rPr>
            </w:pPr>
            <w:r>
              <w:rPr>
                <w:noProof/>
              </w:rPr>
              <w:t>202</w:t>
            </w:r>
          </w:p>
        </w:tc>
        <w:tc>
          <w:tcPr>
            <w:tcW w:w="1332" w:type="dxa"/>
            <w:tcBorders>
              <w:top w:val="nil"/>
              <w:left w:val="nil"/>
              <w:bottom w:val="single" w:sz="4" w:space="0" w:color="auto"/>
              <w:right w:val="single" w:sz="4" w:space="0" w:color="auto"/>
            </w:tcBorders>
            <w:shd w:val="clear" w:color="auto" w:fill="C6EFCE"/>
            <w:noWrap/>
            <w:vAlign w:val="center"/>
          </w:tcPr>
          <w:p w14:paraId="76E6FEB4" w14:textId="77777777" w:rsidR="00F208CE" w:rsidRDefault="00513E84">
            <w:pPr>
              <w:pStyle w:val="P68B1DB1-Normal8"/>
              <w:spacing w:after="0"/>
              <w:rPr>
                <w:rFonts w:eastAsia="Times New Roman" w:cs="Times New Roman"/>
                <w:noProof/>
              </w:rPr>
            </w:pPr>
            <w:r>
              <w:rPr>
                <w:noProof/>
              </w:rPr>
              <w:t>Despliegue de la economía circular en Valonia (I-5.16)</w:t>
            </w:r>
          </w:p>
        </w:tc>
        <w:tc>
          <w:tcPr>
            <w:tcW w:w="1111" w:type="dxa"/>
            <w:tcBorders>
              <w:top w:val="nil"/>
              <w:left w:val="nil"/>
              <w:bottom w:val="single" w:sz="4" w:space="0" w:color="auto"/>
              <w:right w:val="single" w:sz="4" w:space="0" w:color="auto"/>
            </w:tcBorders>
            <w:shd w:val="clear" w:color="auto" w:fill="C6EFCE"/>
            <w:noWrap/>
            <w:vAlign w:val="center"/>
          </w:tcPr>
          <w:p w14:paraId="16C6407F" w14:textId="44B2FCBB" w:rsidR="00F208CE" w:rsidRDefault="00513E84">
            <w:pPr>
              <w:pStyle w:val="P68B1DB1-Normal8"/>
              <w:spacing w:after="0"/>
              <w:rPr>
                <w:rFonts w:eastAsia="Times New Roman" w:cs="Times New Roman"/>
                <w:noProof/>
              </w:rPr>
            </w:pPr>
            <w:r>
              <w:rPr>
                <w:noProof/>
              </w:rPr>
              <w:t>T</w:t>
            </w:r>
          </w:p>
        </w:tc>
        <w:tc>
          <w:tcPr>
            <w:tcW w:w="1402" w:type="dxa"/>
            <w:tcBorders>
              <w:top w:val="nil"/>
              <w:left w:val="nil"/>
              <w:bottom w:val="single" w:sz="4" w:space="0" w:color="auto"/>
              <w:right w:val="single" w:sz="4" w:space="0" w:color="auto"/>
            </w:tcBorders>
            <w:shd w:val="clear" w:color="auto" w:fill="C6EFCE"/>
            <w:noWrap/>
            <w:vAlign w:val="center"/>
          </w:tcPr>
          <w:p w14:paraId="4EA4FA6A" w14:textId="77777777" w:rsidR="00F208CE" w:rsidRDefault="00513E84">
            <w:pPr>
              <w:pStyle w:val="P68B1DB1-Normal8"/>
              <w:spacing w:after="0"/>
              <w:rPr>
                <w:rFonts w:eastAsia="Times New Roman" w:cs="Times New Roman"/>
                <w:noProof/>
              </w:rPr>
            </w:pPr>
            <w:r>
              <w:rPr>
                <w:noProof/>
              </w:rPr>
              <w:t>Finalización de proyectos de fomento de la economía circular en Valonia</w:t>
            </w:r>
          </w:p>
        </w:tc>
        <w:tc>
          <w:tcPr>
            <w:tcW w:w="1962" w:type="dxa"/>
            <w:tcBorders>
              <w:top w:val="nil"/>
              <w:left w:val="nil"/>
              <w:bottom w:val="single" w:sz="4" w:space="0" w:color="auto"/>
              <w:right w:val="single" w:sz="4" w:space="0" w:color="auto"/>
            </w:tcBorders>
            <w:shd w:val="clear" w:color="auto" w:fill="C6EFCE"/>
            <w:noWrap/>
            <w:vAlign w:val="center"/>
          </w:tcPr>
          <w:p w14:paraId="2A2789C7" w14:textId="77777777" w:rsidR="00F208CE" w:rsidRDefault="00F208CE">
            <w:pPr>
              <w:spacing w:after="0"/>
              <w:rPr>
                <w:rFonts w:ascii="Times New Roman" w:eastAsia="Times New Roman" w:hAnsi="Times New Roman" w:cs="Times New Roman"/>
                <w:noProof/>
                <w:color w:val="006100"/>
              </w:rPr>
            </w:pPr>
          </w:p>
        </w:tc>
        <w:tc>
          <w:tcPr>
            <w:tcW w:w="1555" w:type="dxa"/>
            <w:tcBorders>
              <w:top w:val="nil"/>
              <w:left w:val="nil"/>
              <w:bottom w:val="single" w:sz="4" w:space="0" w:color="auto"/>
              <w:right w:val="single" w:sz="4" w:space="0" w:color="auto"/>
            </w:tcBorders>
            <w:shd w:val="clear" w:color="auto" w:fill="C6EFCE"/>
            <w:noWrap/>
            <w:vAlign w:val="center"/>
          </w:tcPr>
          <w:p w14:paraId="49DD65E4" w14:textId="77777777" w:rsidR="00F208CE" w:rsidRDefault="00513E84">
            <w:pPr>
              <w:pStyle w:val="P68B1DB1-Normal8"/>
              <w:spacing w:after="0"/>
              <w:rPr>
                <w:rFonts w:eastAsia="Times New Roman" w:cs="Times New Roman"/>
                <w:noProof/>
              </w:rPr>
            </w:pPr>
            <w:r>
              <w:rPr>
                <w:noProof/>
              </w:rPr>
              <w:t>Proyectos</w:t>
            </w:r>
          </w:p>
        </w:tc>
        <w:tc>
          <w:tcPr>
            <w:tcW w:w="1080" w:type="dxa"/>
            <w:tcBorders>
              <w:top w:val="nil"/>
              <w:left w:val="nil"/>
              <w:bottom w:val="single" w:sz="4" w:space="0" w:color="auto"/>
              <w:right w:val="single" w:sz="4" w:space="0" w:color="auto"/>
            </w:tcBorders>
            <w:shd w:val="clear" w:color="auto" w:fill="C6EFCE"/>
            <w:noWrap/>
            <w:vAlign w:val="center"/>
          </w:tcPr>
          <w:p w14:paraId="4D9ACA6C" w14:textId="77777777" w:rsidR="00F208CE" w:rsidRDefault="00513E84">
            <w:pPr>
              <w:pStyle w:val="P68B1DB1-Normal8"/>
              <w:spacing w:after="0"/>
              <w:jc w:val="right"/>
              <w:rPr>
                <w:rFonts w:eastAsia="Times New Roman" w:cs="Times New Roman"/>
                <w:noProof/>
              </w:rPr>
            </w:pPr>
            <w:r>
              <w:rPr>
                <w:noProof/>
              </w:rPr>
              <w:t>0</w:t>
            </w:r>
          </w:p>
        </w:tc>
        <w:tc>
          <w:tcPr>
            <w:tcW w:w="720" w:type="dxa"/>
            <w:tcBorders>
              <w:top w:val="nil"/>
              <w:left w:val="nil"/>
              <w:bottom w:val="single" w:sz="4" w:space="0" w:color="auto"/>
              <w:right w:val="single" w:sz="4" w:space="0" w:color="auto"/>
            </w:tcBorders>
            <w:shd w:val="clear" w:color="auto" w:fill="C6EFCE"/>
            <w:noWrap/>
            <w:vAlign w:val="center"/>
          </w:tcPr>
          <w:p w14:paraId="303202DA" w14:textId="47B3449B" w:rsidR="00F208CE" w:rsidRDefault="00513E84">
            <w:pPr>
              <w:pStyle w:val="P68B1DB1-Normal8"/>
              <w:spacing w:after="0"/>
              <w:jc w:val="right"/>
              <w:rPr>
                <w:rFonts w:eastAsia="Times New Roman" w:cs="Times New Roman"/>
                <w:noProof/>
              </w:rPr>
            </w:pPr>
            <w:r>
              <w:rPr>
                <w:noProof/>
              </w:rPr>
              <w:t>11</w:t>
            </w:r>
          </w:p>
        </w:tc>
        <w:tc>
          <w:tcPr>
            <w:tcW w:w="960" w:type="dxa"/>
            <w:tcBorders>
              <w:top w:val="nil"/>
              <w:left w:val="nil"/>
              <w:bottom w:val="single" w:sz="4" w:space="0" w:color="auto"/>
              <w:right w:val="single" w:sz="4" w:space="0" w:color="auto"/>
            </w:tcBorders>
            <w:shd w:val="clear" w:color="auto" w:fill="C6EFCE"/>
            <w:noWrap/>
            <w:vAlign w:val="center"/>
          </w:tcPr>
          <w:p w14:paraId="09A4281C" w14:textId="77777777" w:rsidR="00F208CE" w:rsidRDefault="00513E84">
            <w:pPr>
              <w:pStyle w:val="P68B1DB1-Normal8"/>
              <w:spacing w:after="0"/>
              <w:jc w:val="center"/>
              <w:rPr>
                <w:rFonts w:eastAsia="Times New Roman" w:cs="Times New Roman"/>
                <w:noProof/>
              </w:rPr>
            </w:pPr>
            <w:r>
              <w:rPr>
                <w:noProof/>
              </w:rPr>
              <w:t xml:space="preserve">TERCER </w:t>
            </w:r>
            <w:r>
              <w:rPr>
                <w:noProof/>
              </w:rPr>
              <w:t>TRIMESTRE 2</w:t>
            </w:r>
          </w:p>
        </w:tc>
        <w:tc>
          <w:tcPr>
            <w:tcW w:w="720" w:type="dxa"/>
            <w:tcBorders>
              <w:top w:val="nil"/>
              <w:left w:val="nil"/>
              <w:bottom w:val="single" w:sz="4" w:space="0" w:color="auto"/>
              <w:right w:val="single" w:sz="4" w:space="0" w:color="auto"/>
            </w:tcBorders>
            <w:shd w:val="clear" w:color="auto" w:fill="C6EFCE"/>
            <w:noWrap/>
            <w:vAlign w:val="center"/>
          </w:tcPr>
          <w:p w14:paraId="79A37583" w14:textId="77777777" w:rsidR="00F208CE" w:rsidRDefault="00513E84">
            <w:pPr>
              <w:pStyle w:val="P68B1DB1-Normal8"/>
              <w:spacing w:after="0"/>
              <w:jc w:val="center"/>
              <w:rPr>
                <w:rFonts w:eastAsia="Times New Roman" w:cs="Times New Roman"/>
                <w:noProof/>
              </w:rPr>
            </w:pPr>
            <w:r>
              <w:rPr>
                <w:noProof/>
              </w:rPr>
              <w:t>2026</w:t>
            </w:r>
          </w:p>
        </w:tc>
        <w:tc>
          <w:tcPr>
            <w:tcW w:w="4424" w:type="dxa"/>
            <w:gridSpan w:val="2"/>
            <w:tcBorders>
              <w:top w:val="nil"/>
              <w:left w:val="nil"/>
              <w:bottom w:val="single" w:sz="4" w:space="0" w:color="auto"/>
              <w:right w:val="single" w:sz="4" w:space="0" w:color="auto"/>
            </w:tcBorders>
            <w:shd w:val="clear" w:color="auto" w:fill="C6EFCE"/>
            <w:noWrap/>
            <w:vAlign w:val="center"/>
          </w:tcPr>
          <w:p w14:paraId="0EE01D67" w14:textId="1414C43A" w:rsidR="00F208CE" w:rsidRDefault="00513E84">
            <w:pPr>
              <w:pStyle w:val="P68B1DB1-Normal8"/>
              <w:spacing w:after="0"/>
              <w:rPr>
                <w:rFonts w:eastAsia="Times New Roman" w:cs="Times New Roman"/>
                <w:noProof/>
              </w:rPr>
            </w:pPr>
            <w:r>
              <w:rPr>
                <w:noProof/>
              </w:rPr>
              <w:t>Al menos 11 proyectos finalizados sobre reciclado y reutilización de metales, baterías y minerales.</w:t>
            </w:r>
          </w:p>
        </w:tc>
      </w:tr>
    </w:tbl>
    <w:p w14:paraId="66383088" w14:textId="77777777" w:rsidR="00F208CE" w:rsidRDefault="00F208CE">
      <w:pPr>
        <w:pStyle w:val="Text1"/>
        <w:rPr>
          <w:noProof/>
        </w:rPr>
      </w:pPr>
    </w:p>
    <w:p w14:paraId="14AACED7" w14:textId="77777777" w:rsidR="00F208CE" w:rsidRDefault="00F208CE">
      <w:pPr>
        <w:pStyle w:val="Text1"/>
        <w:ind w:left="709"/>
        <w:rPr>
          <w:noProof/>
        </w:rPr>
        <w:sectPr w:rsidR="00F208CE" w:rsidSect="007F56C3">
          <w:headerReference w:type="default" r:id="rId164"/>
          <w:footerReference w:type="default" r:id="rId165"/>
          <w:pgSz w:w="16839" w:h="11907" w:orient="landscape"/>
          <w:pgMar w:top="1134" w:right="1134" w:bottom="1134" w:left="1134" w:header="567" w:footer="567" w:gutter="0"/>
          <w:cols w:space="720"/>
          <w:docGrid w:linePitch="360"/>
        </w:sectPr>
      </w:pPr>
    </w:p>
    <w:p w14:paraId="51838070" w14:textId="77777777" w:rsidR="00F208CE" w:rsidRDefault="00513E84">
      <w:pPr>
        <w:pStyle w:val="ManualHeading1"/>
        <w:spacing w:before="120"/>
        <w:ind w:left="0" w:hanging="130"/>
        <w:rPr>
          <w:noProof/>
        </w:rPr>
      </w:pPr>
      <w:r>
        <w:rPr>
          <w:noProof/>
        </w:rPr>
        <w:t>Q. COMPONENTE 6.1: Revisiones del gasto</w:t>
      </w:r>
    </w:p>
    <w:p w14:paraId="3CE32659" w14:textId="77777777" w:rsidR="00F208CE" w:rsidRDefault="00513E84">
      <w:pPr>
        <w:pStyle w:val="Text1"/>
        <w:ind w:left="0"/>
        <w:rPr>
          <w:noProof/>
        </w:rPr>
      </w:pPr>
      <w:r>
        <w:rPr>
          <w:noProof/>
        </w:rPr>
        <w:t xml:space="preserve">Este componente del plan belga de </w:t>
      </w:r>
      <w:r>
        <w:rPr>
          <w:noProof/>
        </w:rPr>
        <w:t>recuperación y resiliencia se compone de medidas centradas en la realización de revisiones del gasto a distintos niveles de gobierno. El objetivo general es mejorar la calidad y la composición del gasto público.</w:t>
      </w:r>
    </w:p>
    <w:p w14:paraId="7143001E" w14:textId="77777777" w:rsidR="00F208CE" w:rsidRDefault="00513E84">
      <w:pPr>
        <w:pStyle w:val="Text1"/>
        <w:ind w:left="0"/>
        <w:rPr>
          <w:noProof/>
        </w:rPr>
      </w:pPr>
      <w:r>
        <w:rPr>
          <w:noProof/>
        </w:rPr>
        <w:t>El componente contribuye a abordar la recome</w:t>
      </w:r>
      <w:r>
        <w:rPr>
          <w:noProof/>
        </w:rPr>
        <w:t>ndación específica por país n.º 2019.1 sobre la mejora de la composición y la eficiencia del gasto público.</w:t>
      </w:r>
    </w:p>
    <w:p w14:paraId="32686C4B" w14:textId="77777777"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P.1. </w:t>
      </w:r>
      <w:r>
        <w:rPr>
          <w:noProof/>
        </w:rPr>
        <w:t xml:space="preserve"> </w:t>
      </w:r>
      <w:r>
        <w:rPr>
          <w:rFonts w:ascii="Times New Roman" w:hAnsi="Times New Roman"/>
          <w:b/>
          <w:noProof/>
          <w:sz w:val="24"/>
          <w:u w:val="single"/>
        </w:rPr>
        <w:t>Descripción de las reformas e inversiones para la ayuda financiera no reembolsable</w:t>
      </w:r>
    </w:p>
    <w:p w14:paraId="6B0F5A93" w14:textId="59BF2362" w:rsidR="00F208CE" w:rsidRDefault="00513E84">
      <w:pPr>
        <w:pStyle w:val="P68B1DB1-Text12"/>
        <w:ind w:left="0"/>
        <w:rPr>
          <w:noProof/>
          <w:color w:val="000000"/>
        </w:rPr>
      </w:pPr>
      <w:r>
        <w:rPr>
          <w:noProof/>
        </w:rPr>
        <w:t>Reforma R-6: «Revisiones del gasto»</w:t>
      </w:r>
    </w:p>
    <w:p w14:paraId="4712B7BB" w14:textId="77777777" w:rsidR="00F208CE" w:rsidRDefault="00513E84">
      <w:pPr>
        <w:pStyle w:val="P68B1DB1-Text13"/>
        <w:ind w:left="0"/>
        <w:rPr>
          <w:noProof/>
          <w:color w:val="000000"/>
        </w:rPr>
      </w:pPr>
      <w:r>
        <w:rPr>
          <w:noProof/>
        </w:rPr>
        <w:t>El objetivo de la refor</w:t>
      </w:r>
      <w:r>
        <w:rPr>
          <w:noProof/>
        </w:rPr>
        <w:t>ma es introducir revisiones del gasto a distintos niveles de gobierno. La aplicación de las reformas concluirá a más tardar el 31 de diciembre de 2024. Esta medida incluye las cinco submedidas siguientes:</w:t>
      </w:r>
    </w:p>
    <w:p w14:paraId="341F645D" w14:textId="77777777" w:rsidR="00F208CE" w:rsidRDefault="00513E84">
      <w:pPr>
        <w:pStyle w:val="P68B1DB1-Text13"/>
        <w:numPr>
          <w:ilvl w:val="0"/>
          <w:numId w:val="61"/>
        </w:numPr>
        <w:tabs>
          <w:tab w:val="left" w:pos="567"/>
        </w:tabs>
        <w:contextualSpacing/>
        <w:rPr>
          <w:noProof/>
        </w:rPr>
      </w:pPr>
      <w:r>
        <w:rPr>
          <w:noProof/>
        </w:rPr>
        <w:t>Reforma R-6.01 «Revisión del gasto» del Estado Fede</w:t>
      </w:r>
      <w:r>
        <w:rPr>
          <w:noProof/>
        </w:rPr>
        <w:t>ral</w:t>
      </w:r>
    </w:p>
    <w:p w14:paraId="335A1F0D" w14:textId="77777777" w:rsidR="00F208CE" w:rsidRDefault="00513E84">
      <w:pPr>
        <w:pStyle w:val="P68B1DB1-Text13"/>
        <w:numPr>
          <w:ilvl w:val="0"/>
          <w:numId w:val="61"/>
        </w:numPr>
        <w:tabs>
          <w:tab w:val="left" w:pos="567"/>
        </w:tabs>
        <w:contextualSpacing/>
        <w:rPr>
          <w:noProof/>
        </w:rPr>
      </w:pPr>
      <w:r>
        <w:rPr>
          <w:noProof/>
        </w:rPr>
        <w:t>Reforma R-6.02 «Análisis del gasto — Revisión general flamenca y norma de gasto» de Flandes</w:t>
      </w:r>
    </w:p>
    <w:p w14:paraId="2365F257" w14:textId="6F1407CC" w:rsidR="00F208CE" w:rsidRDefault="00513E84">
      <w:pPr>
        <w:pStyle w:val="P68B1DB1-Text13"/>
        <w:numPr>
          <w:ilvl w:val="0"/>
          <w:numId w:val="61"/>
        </w:numPr>
        <w:tabs>
          <w:tab w:val="left" w:pos="567"/>
        </w:tabs>
        <w:contextualSpacing/>
        <w:rPr>
          <w:noProof/>
        </w:rPr>
      </w:pPr>
      <w:r>
        <w:rPr>
          <w:noProof/>
        </w:rPr>
        <w:t>Reforma R-6.03 «Examen del gasto — Presupuesto cero» de la Región Valona</w:t>
      </w:r>
    </w:p>
    <w:p w14:paraId="190ECB6D" w14:textId="77777777" w:rsidR="00F208CE" w:rsidRDefault="00513E84">
      <w:pPr>
        <w:pStyle w:val="P68B1DB1-Text13"/>
        <w:numPr>
          <w:ilvl w:val="0"/>
          <w:numId w:val="61"/>
        </w:numPr>
        <w:tabs>
          <w:tab w:val="left" w:pos="567"/>
        </w:tabs>
        <w:contextualSpacing/>
        <w:rPr>
          <w:noProof/>
        </w:rPr>
      </w:pPr>
      <w:r>
        <w:rPr>
          <w:noProof/>
        </w:rPr>
        <w:t>Reforma R-6.04 «Revisión del gasto» de la Región de Bruselas-Capital</w:t>
      </w:r>
    </w:p>
    <w:p w14:paraId="679EC393" w14:textId="77777777" w:rsidR="00F208CE" w:rsidRDefault="00513E84">
      <w:pPr>
        <w:pStyle w:val="P68B1DB1-Text13"/>
        <w:numPr>
          <w:ilvl w:val="0"/>
          <w:numId w:val="61"/>
        </w:numPr>
        <w:tabs>
          <w:tab w:val="left" w:pos="567"/>
        </w:tabs>
        <w:contextualSpacing/>
        <w:rPr>
          <w:noProof/>
        </w:rPr>
      </w:pPr>
      <w:r>
        <w:rPr>
          <w:noProof/>
        </w:rPr>
        <w:t>Reforma R-6.05 «An</w:t>
      </w:r>
      <w:r>
        <w:rPr>
          <w:noProof/>
        </w:rPr>
        <w:t>álisis del gasto» de la Comunidad Francesa</w:t>
      </w:r>
    </w:p>
    <w:p w14:paraId="50C1DA55" w14:textId="77777777" w:rsidR="00F208CE" w:rsidRDefault="00F208CE">
      <w:pPr>
        <w:pStyle w:val="Text1"/>
        <w:ind w:left="0"/>
        <w:rPr>
          <w:noProof/>
          <w:color w:val="000000"/>
        </w:rPr>
      </w:pPr>
    </w:p>
    <w:p w14:paraId="37E1D95A" w14:textId="14BD3E1F" w:rsidR="00F208CE" w:rsidRDefault="00513E84">
      <w:pPr>
        <w:pStyle w:val="P68B1DB1-Text12"/>
        <w:ind w:left="0"/>
        <w:rPr>
          <w:noProof/>
        </w:rPr>
      </w:pPr>
      <w:r>
        <w:rPr>
          <w:noProof/>
        </w:rPr>
        <w:t>Reforma R-6.01: «Análisis del gasto» del Estado Federal</w:t>
      </w:r>
    </w:p>
    <w:p w14:paraId="6E5C2FCE" w14:textId="77777777" w:rsidR="00F208CE" w:rsidRDefault="00513E84">
      <w:pPr>
        <w:pStyle w:val="P68B1DB1-Text13"/>
        <w:ind w:left="0"/>
        <w:rPr>
          <w:noProof/>
        </w:rPr>
      </w:pPr>
      <w:r>
        <w:rPr>
          <w:noProof/>
        </w:rPr>
        <w:t>La medida de reforma tiene por objeto llevar a cabo revisiones del gasto de manera estructural a nivel federal y en el sector de la seguridad social. Como p</w:t>
      </w:r>
      <w:r>
        <w:rPr>
          <w:noProof/>
        </w:rPr>
        <w:t>arte del programa de apoyo a las reformas estructurales de la Comisión, la OCDE ha apoyado la preparación de revisiones del gasto. En 2019 y 2020, proporcionó asistencia técnica y recomendaciones para aplicar eficazmente las revisiones del gasto en el proc</w:t>
      </w:r>
      <w:r>
        <w:rPr>
          <w:noProof/>
        </w:rPr>
        <w:t>eso presupuestario belga. En consonancia con las recomendaciones de la OCDE, el Gobierno federal decidió poner en marcha ejercicios piloto a principios de 2021 en tres ámbitos principales: gasto fiscal, gasto primario, sector de la seguridad social. Con es</w:t>
      </w:r>
      <w:r>
        <w:rPr>
          <w:noProof/>
        </w:rPr>
        <w:t xml:space="preserve">te fin se han creado grupos de trabajo que deben presentar su informe con vistas a la preparación del presupuesto de 2022. En ese momento, el Gobierno seleccionará una nueva serie de temas que se presentarán para el año siguiente. Tras el ejercicio piloto </w:t>
      </w:r>
      <w:r>
        <w:rPr>
          <w:noProof/>
        </w:rPr>
        <w:t>se llevará a cabo una evaluación del proceso (comité director, mandato, composición de los grupos de trabajo) para determinar si la estructura y el calendario previstos son óptimos o pueden mejorarse. Al término de los proyectos piloto, el Gobierno decidir</w:t>
      </w:r>
      <w:r>
        <w:rPr>
          <w:noProof/>
        </w:rPr>
        <w:t>á en 2022 cómo las revisiones del gasto se convertirán en un proceso recurrente y en parte integrante del procedimiento presupuestario.</w:t>
      </w:r>
    </w:p>
    <w:p w14:paraId="61A2D111" w14:textId="3B04E4BB" w:rsidR="00F208CE" w:rsidRDefault="00513E84">
      <w:pPr>
        <w:pStyle w:val="P68B1DB1-Text12"/>
        <w:ind w:left="0"/>
        <w:rPr>
          <w:noProof/>
        </w:rPr>
      </w:pPr>
      <w:r>
        <w:rPr>
          <w:noProof/>
        </w:rPr>
        <w:t>Reforma R-6.02: «Revisiones del gasto — Revisión general flamenca y norma de gasto» de Flandes</w:t>
      </w:r>
    </w:p>
    <w:p w14:paraId="3E3B7449" w14:textId="1492574F" w:rsidR="00F208CE" w:rsidRDefault="00513E84">
      <w:pPr>
        <w:pStyle w:val="Text1"/>
        <w:ind w:left="0"/>
        <w:rPr>
          <w:noProof/>
          <w:color w:val="000000" w:themeColor="text1"/>
        </w:rPr>
      </w:pPr>
      <w:r>
        <w:rPr>
          <w:noProof/>
          <w:color w:val="000000" w:themeColor="text1"/>
        </w:rPr>
        <w:t>La medida de reforma prev</w:t>
      </w:r>
      <w:r>
        <w:rPr>
          <w:noProof/>
          <w:color w:val="000000" w:themeColor="text1"/>
        </w:rPr>
        <w:t>é volver a priorizar los gastos del gobierno regional de Flandes y limitarlo cuando sea posible: por una parte, mediante el desarrollo de una norma de gasto y, por otra, a través de la denominada «Vlaamse Brede Herovering (VBH)», que tiene por objeto ancla</w:t>
      </w:r>
      <w:r>
        <w:rPr>
          <w:noProof/>
          <w:color w:val="000000" w:themeColor="text1"/>
        </w:rPr>
        <w:t>r estructuralmente las revisiones del gasto en el proceso presupuestario flamenco en los próximos años. La norma de gasto que se adoptará en 2022 definirá la trayectoria máxima de crecimiento del gasto público, teniendo en cuenta la tendencia del crecimien</w:t>
      </w:r>
      <w:r>
        <w:rPr>
          <w:noProof/>
          <w:color w:val="000000" w:themeColor="text1"/>
        </w:rPr>
        <w:t>to de los ingresos y los objetivos presupuestarios fijados. El</w:t>
      </w:r>
      <w:r>
        <w:rPr>
          <w:noProof/>
        </w:rPr>
        <w:t xml:space="preserve">objetivo del </w:t>
      </w:r>
      <w:r>
        <w:rPr>
          <w:noProof/>
          <w:color w:val="000000" w:themeColor="text1"/>
        </w:rPr>
        <w:t>programa VBH es llevar a cabo una evaluación de diez ámbitos políticos antes de mediados de 2021 que servirá de base para definir el alcance de las revisiones del gasto. La medida t</w:t>
      </w:r>
      <w:r>
        <w:rPr>
          <w:noProof/>
          <w:color w:val="000000" w:themeColor="text1"/>
        </w:rPr>
        <w:t>iene por objeto apoyar las revisiones del gasto en once ámbitos políticos entre septiembre de 2021 y octubre de 2025.</w:t>
      </w:r>
    </w:p>
    <w:p w14:paraId="09E8D8B5" w14:textId="45C7BFFC" w:rsidR="00F208CE" w:rsidRDefault="00513E84">
      <w:pPr>
        <w:pStyle w:val="P68B1DB1-Text12"/>
        <w:ind w:left="0"/>
        <w:rPr>
          <w:noProof/>
        </w:rPr>
      </w:pPr>
      <w:r>
        <w:rPr>
          <w:noProof/>
        </w:rPr>
        <w:t>Reforma R-6.03: «Análisis del gasto — presupuesto cero» de la Región Valona</w:t>
      </w:r>
    </w:p>
    <w:p w14:paraId="38A99358" w14:textId="77777777" w:rsidR="00F208CE" w:rsidRDefault="00513E84">
      <w:pPr>
        <w:pStyle w:val="P68B1DB1-Text13"/>
        <w:ind w:left="0"/>
        <w:rPr>
          <w:noProof/>
          <w:color w:val="000000"/>
        </w:rPr>
      </w:pPr>
      <w:r>
        <w:rPr>
          <w:noProof/>
        </w:rPr>
        <w:t>La medida de reforma consiste en un ejercicio presupuestario d</w:t>
      </w:r>
      <w:r>
        <w:rPr>
          <w:noProof/>
        </w:rPr>
        <w:t>e base cero y en revisiones de gastos que abarcan todos los gastos e ingresos, estructurados en torno a siete ámbitos políticos y que abarcan todos los departamentos de la administración valona, así como 170 unidades de la administración pública. </w:t>
      </w:r>
    </w:p>
    <w:p w14:paraId="2CC50552" w14:textId="77777777" w:rsidR="00F208CE" w:rsidRDefault="00513E84">
      <w:pPr>
        <w:pStyle w:val="P68B1DB1-Normal20"/>
        <w:rPr>
          <w:rFonts w:ascii="Times New Roman" w:hAnsi="Times New Roman" w:cs="Times New Roman"/>
          <w:noProof/>
          <w:sz w:val="24"/>
        </w:rPr>
      </w:pPr>
      <w:r>
        <w:rPr>
          <w:noProof/>
        </w:rPr>
        <w:br w:type="page"/>
      </w:r>
    </w:p>
    <w:p w14:paraId="44CE5678" w14:textId="5C8671B5" w:rsidR="00F208CE" w:rsidRDefault="00513E84">
      <w:pPr>
        <w:pStyle w:val="Text1"/>
        <w:ind w:left="0"/>
        <w:rPr>
          <w:noProof/>
          <w:color w:val="000000" w:themeColor="text1"/>
        </w:rPr>
      </w:pPr>
      <w:r>
        <w:rPr>
          <w:noProof/>
        </w:rPr>
        <w:t>El</w:t>
      </w:r>
      <w:r>
        <w:rPr>
          <w:noProof/>
          <w:color w:val="000000"/>
        </w:rPr>
        <w:t>enfo</w:t>
      </w:r>
      <w:r>
        <w:rPr>
          <w:noProof/>
          <w:color w:val="000000"/>
        </w:rPr>
        <w:t xml:space="preserve">que de presupuestación de base cero, </w:t>
      </w:r>
      <w:r>
        <w:rPr>
          <w:noProof/>
        </w:rPr>
        <w:t>que requerirá una justificación completa del gasto anual,</w:t>
      </w:r>
      <w:r>
        <w:rPr>
          <w:noProof/>
          <w:color w:val="000000"/>
        </w:rPr>
        <w:t xml:space="preserve"> se centrará en los gastos de funcionamiento y de inversión, mientras que las revisiones del gasto se referirán a los gastos de intervención que impliquen una tra</w:t>
      </w:r>
      <w:r>
        <w:rPr>
          <w:noProof/>
          <w:color w:val="000000"/>
        </w:rPr>
        <w:t xml:space="preserve">nsferencia de recursos públicos a las empresas, los hogares y las autoridades locales. El ejercicio se llevará a cabo en una serie de cuatro rondas de octubre de 2020 a junio de 2022 con el apoyo de consultores externos. Una vez concluido el ejercicio, el </w:t>
      </w:r>
      <w:r>
        <w:rPr>
          <w:noProof/>
          <w:color w:val="000000"/>
        </w:rPr>
        <w:t xml:space="preserve">Gobierno valón decidirá el modo en que las revisiones del gasto deben integrarse de forma permanente en el proceso presupuestario. </w:t>
      </w:r>
    </w:p>
    <w:p w14:paraId="3AD814B5" w14:textId="65989A52" w:rsidR="00F208CE" w:rsidRDefault="00513E84">
      <w:pPr>
        <w:pStyle w:val="P68B1DB1-Text12"/>
        <w:ind w:left="0"/>
        <w:rPr>
          <w:noProof/>
        </w:rPr>
      </w:pPr>
      <w:r>
        <w:rPr>
          <w:noProof/>
        </w:rPr>
        <w:t>Reforma R-6.04: «Revisión del gasto» de la Región de Bruselas-Capital</w:t>
      </w:r>
    </w:p>
    <w:p w14:paraId="0E9F38CD" w14:textId="79A43DC2" w:rsidR="00F208CE" w:rsidRDefault="00513E84">
      <w:pPr>
        <w:pStyle w:val="Text1"/>
        <w:ind w:left="0"/>
        <w:rPr>
          <w:noProof/>
          <w:color w:val="000000" w:themeColor="text1"/>
        </w:rPr>
      </w:pPr>
      <w:r>
        <w:rPr>
          <w:noProof/>
          <w:color w:val="000000"/>
        </w:rPr>
        <w:t xml:space="preserve">La medida de reforma consiste en la realización y </w:t>
      </w:r>
      <w:r>
        <w:rPr>
          <w:noProof/>
          <w:color w:val="000000"/>
        </w:rPr>
        <w:t xml:space="preserve">finalización de dos revisiones piloto del gasto y la posterior integración de las revisiones del gasto en el proceso presupuestario de la Región de Bruselas. Con el apoyo del programa de apoyo a las reformas estructurales, la Región de Bruselas inició dos </w:t>
      </w:r>
      <w:r>
        <w:rPr>
          <w:noProof/>
          <w:color w:val="000000"/>
        </w:rPr>
        <w:t xml:space="preserve">proyectos piloto de revisión del gasto </w:t>
      </w:r>
      <w:r>
        <w:rPr>
          <w:noProof/>
        </w:rPr>
        <w:t>en los ámbitos de la movilidad y la vivienda social</w:t>
      </w:r>
      <w:r>
        <w:rPr>
          <w:noProof/>
          <w:color w:val="000000"/>
        </w:rPr>
        <w:t>. Su principal objetivo es reforzar la capacidad de la Administración (en particular, la Administración de Finanzas y Presupuesto de Bruselas y el Instituto de Estadí</w:t>
      </w:r>
      <w:r>
        <w:rPr>
          <w:noProof/>
          <w:color w:val="000000"/>
        </w:rPr>
        <w:t>stica y Análisis de Bruselas) y extraer lecciones para afianzar la herramienta de manera estructural. Gracias también al programa de apoyo a las reformas estructurales, el Gobierno de Bruselas se benefició de un análisis exhaustivo de las deficiencias de s</w:t>
      </w:r>
      <w:r>
        <w:rPr>
          <w:noProof/>
          <w:color w:val="000000"/>
        </w:rPr>
        <w:t>u sistema de gestión de las finanzas</w:t>
      </w:r>
      <w:r>
        <w:rPr>
          <w:i/>
          <w:noProof/>
          <w:color w:val="000000"/>
        </w:rPr>
        <w:t xml:space="preserve"> </w:t>
      </w:r>
      <w:r>
        <w:rPr>
          <w:rStyle w:val="Emphasis"/>
          <w:noProof/>
        </w:rPr>
        <w:t xml:space="preserve">públicas gracias a una evaluación del Gasto Público y la Responsabilidad Financiera </w:t>
      </w:r>
      <w:r>
        <w:rPr>
          <w:rStyle w:val="acopre"/>
          <w:noProof/>
        </w:rPr>
        <w:t>(PEFA) que concluyó en julio de 2021. Sobre la base de la experiencia adquirida en la realización de las revisiones piloto y los result</w:t>
      </w:r>
      <w:r>
        <w:rPr>
          <w:rStyle w:val="acopre"/>
          <w:noProof/>
        </w:rPr>
        <w:t>ados del análisis PEFA, el Gobierno de Bruselas decidirá cómo integrar las revisiones del gasto de manera estructural en el proceso presupuestario.</w:t>
      </w:r>
    </w:p>
    <w:p w14:paraId="0D52CA2C" w14:textId="2A653BB1" w:rsidR="00F208CE" w:rsidRDefault="00513E84">
      <w:pPr>
        <w:pStyle w:val="P68B1DB1-Text12"/>
        <w:ind w:left="0"/>
        <w:rPr>
          <w:noProof/>
        </w:rPr>
      </w:pPr>
      <w:r>
        <w:rPr>
          <w:noProof/>
        </w:rPr>
        <w:t>Reforma R-6.05: «Análisis del gasto» de la Comunidad Francesa</w:t>
      </w:r>
    </w:p>
    <w:p w14:paraId="499F8A76" w14:textId="0F55C76B" w:rsidR="00F208CE" w:rsidRDefault="00513E84">
      <w:pPr>
        <w:pStyle w:val="P68B1DB1-Text13"/>
        <w:ind w:left="0"/>
        <w:rPr>
          <w:noProof/>
          <w:color w:val="000000"/>
        </w:rPr>
        <w:sectPr w:rsidR="00F208CE" w:rsidSect="0071084B">
          <w:headerReference w:type="even" r:id="rId166"/>
          <w:headerReference w:type="default" r:id="rId167"/>
          <w:footerReference w:type="even" r:id="rId168"/>
          <w:footerReference w:type="default" r:id="rId169"/>
          <w:headerReference w:type="first" r:id="rId170"/>
          <w:footerReference w:type="first" r:id="rId171"/>
          <w:pgSz w:w="11907" w:h="16839"/>
          <w:pgMar w:top="1134" w:right="1134" w:bottom="1134" w:left="1134" w:header="567" w:footer="567" w:gutter="0"/>
          <w:cols w:space="720"/>
          <w:docGrid w:linePitch="360"/>
        </w:sectPr>
      </w:pPr>
      <w:r>
        <w:rPr>
          <w:noProof/>
        </w:rPr>
        <w:t>La medida de reforma consiste en la realización de revisiones piloto del gasto y la posterior integración de las revisiones del gasto en el proceso presupuestario de la comunidad francófona. Se seleccionó una primera ronda de revisio</w:t>
      </w:r>
      <w:r>
        <w:rPr>
          <w:noProof/>
        </w:rPr>
        <w:t>nes piloto para la elaboración del presupuesto de 2022. Seguirá una segunda ronda, que concluirá a mediados de 2022. En el marco del Instrumento de Apoyo Técnico de la UE, el Gobierno de la Comunidad Francófona se beneficiará de apoyo técnico para integrar</w:t>
      </w:r>
      <w:r>
        <w:rPr>
          <w:noProof/>
        </w:rPr>
        <w:t xml:space="preserve"> las revisiones del gasto en su ciclo presupuestario, lo que permitirá al Gobierno decidir en el primer trimestre de 2 2023 cómo integrar las revisiones del gasto en el ciclo presupuestario.</w:t>
      </w:r>
    </w:p>
    <w:p w14:paraId="189C2298" w14:textId="0BDF448F" w:rsidR="00F208CE" w:rsidRDefault="00513E84">
      <w:pPr>
        <w:pStyle w:val="Text1"/>
        <w:ind w:left="0"/>
        <w:rPr>
          <w:b/>
          <w:noProof/>
          <w:u w:val="single"/>
        </w:rPr>
      </w:pPr>
      <w:r>
        <w:rPr>
          <w:b/>
          <w:noProof/>
          <w:u w:val="single"/>
        </w:rPr>
        <w:t xml:space="preserve">P.2. </w:t>
      </w:r>
      <w:r>
        <w:rPr>
          <w:noProof/>
        </w:rPr>
        <w:t xml:space="preserve"> </w:t>
      </w:r>
      <w:r>
        <w:rPr>
          <w:b/>
          <w:noProof/>
          <w:u w:val="single"/>
        </w:rPr>
        <w:t>Hitos, objetivos, indicadores y calendario para el seguimie</w:t>
      </w:r>
      <w:r>
        <w:rPr>
          <w:b/>
          <w:noProof/>
          <w:u w:val="single"/>
        </w:rPr>
        <w:t>nto y la ejecución de las ayudas financieras no reembolsables 1</w:t>
      </w:r>
    </w:p>
    <w:tbl>
      <w:tblPr>
        <w:tblW w:w="16013" w:type="dxa"/>
        <w:tblInd w:w="-601" w:type="dxa"/>
        <w:tblLayout w:type="fixed"/>
        <w:tblLook w:val="04A0" w:firstRow="1" w:lastRow="0" w:firstColumn="1" w:lastColumn="0" w:noHBand="0" w:noVBand="1"/>
      </w:tblPr>
      <w:tblGrid>
        <w:gridCol w:w="596"/>
        <w:gridCol w:w="1680"/>
        <w:gridCol w:w="1155"/>
        <w:gridCol w:w="1725"/>
        <w:gridCol w:w="1920"/>
        <w:gridCol w:w="1200"/>
        <w:gridCol w:w="960"/>
        <w:gridCol w:w="720"/>
        <w:gridCol w:w="960"/>
        <w:gridCol w:w="840"/>
        <w:gridCol w:w="4257"/>
      </w:tblGrid>
      <w:tr w:rsidR="00F208CE" w14:paraId="11463D92" w14:textId="77777777">
        <w:trPr>
          <w:trHeight w:val="939"/>
          <w:tblHeader/>
        </w:trPr>
        <w:tc>
          <w:tcPr>
            <w:tcW w:w="59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116E7CD" w14:textId="6D20B04B" w:rsidR="00F208CE" w:rsidRDefault="00513E84">
            <w:pPr>
              <w:pStyle w:val="P68B1DB1-Normal7"/>
              <w:spacing w:after="0"/>
              <w:jc w:val="center"/>
              <w:rPr>
                <w:rFonts w:eastAsia="Times New Roman" w:cs="Times New Roman"/>
                <w:noProof/>
              </w:rPr>
            </w:pPr>
            <w:r>
              <w:rPr>
                <w:noProof/>
              </w:rPr>
              <w:t>Código N.B.:</w:t>
            </w:r>
          </w:p>
        </w:tc>
        <w:tc>
          <w:tcPr>
            <w:tcW w:w="168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6C74DF5"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115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7068979" w14:textId="77777777" w:rsidR="00F208CE" w:rsidRDefault="00513E84">
            <w:pPr>
              <w:pStyle w:val="P68B1DB1-Normal7"/>
              <w:spacing w:after="0"/>
              <w:jc w:val="center"/>
              <w:rPr>
                <w:rFonts w:eastAsia="Times New Roman" w:cs="Times New Roman"/>
                <w:noProof/>
              </w:rPr>
            </w:pPr>
            <w:r>
              <w:rPr>
                <w:noProof/>
              </w:rPr>
              <w:t>Hito/Objetivo</w:t>
            </w:r>
          </w:p>
        </w:tc>
        <w:tc>
          <w:tcPr>
            <w:tcW w:w="172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70D495C9" w14:textId="77777777" w:rsidR="00F208CE" w:rsidRDefault="00513E84">
            <w:pPr>
              <w:pStyle w:val="P68B1DB1-Normal7"/>
              <w:spacing w:after="0"/>
              <w:jc w:val="center"/>
              <w:rPr>
                <w:rFonts w:eastAsia="Times New Roman" w:cs="Times New Roman"/>
                <w:noProof/>
              </w:rPr>
            </w:pPr>
            <w:r>
              <w:rPr>
                <w:noProof/>
              </w:rPr>
              <w:t>Nombre</w:t>
            </w:r>
          </w:p>
        </w:tc>
        <w:tc>
          <w:tcPr>
            <w:tcW w:w="192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6832E04"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880" w:type="dxa"/>
            <w:gridSpan w:val="3"/>
            <w:tcBorders>
              <w:top w:val="single" w:sz="4" w:space="0" w:color="auto"/>
              <w:left w:val="nil"/>
              <w:bottom w:val="single" w:sz="4" w:space="0" w:color="auto"/>
              <w:right w:val="single" w:sz="4" w:space="0" w:color="auto"/>
            </w:tcBorders>
            <w:shd w:val="clear" w:color="auto" w:fill="BDD7EE"/>
            <w:vAlign w:val="center"/>
            <w:hideMark/>
          </w:tcPr>
          <w:p w14:paraId="11891BCF"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53FC8B32" w14:textId="77777777" w:rsidR="00F208CE" w:rsidRDefault="00513E84">
            <w:pPr>
              <w:pStyle w:val="P68B1DB1-Normal7"/>
              <w:spacing w:after="0"/>
              <w:jc w:val="center"/>
              <w:rPr>
                <w:rFonts w:eastAsia="Times New Roman" w:cs="Times New Roman"/>
                <w:noProof/>
              </w:rPr>
            </w:pPr>
            <w:r>
              <w:rPr>
                <w:noProof/>
              </w:rPr>
              <w:t>Calendario indicativo de fin</w:t>
            </w:r>
            <w:r>
              <w:rPr>
                <w:noProof/>
              </w:rPr>
              <w:t xml:space="preserve">alización </w:t>
            </w:r>
          </w:p>
        </w:tc>
        <w:tc>
          <w:tcPr>
            <w:tcW w:w="42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74E372"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2ECEC7A9" w14:textId="77777777">
        <w:trPr>
          <w:trHeight w:val="1027"/>
        </w:trPr>
        <w:tc>
          <w:tcPr>
            <w:tcW w:w="596" w:type="dxa"/>
            <w:vMerge/>
            <w:tcBorders>
              <w:top w:val="single" w:sz="4" w:space="0" w:color="auto"/>
              <w:left w:val="single" w:sz="4" w:space="0" w:color="auto"/>
              <w:bottom w:val="single" w:sz="4" w:space="0" w:color="000000"/>
              <w:right w:val="single" w:sz="4" w:space="0" w:color="auto"/>
            </w:tcBorders>
            <w:vAlign w:val="center"/>
            <w:hideMark/>
          </w:tcPr>
          <w:p w14:paraId="4EB4C382" w14:textId="77777777" w:rsidR="00F208CE" w:rsidRDefault="00F208CE">
            <w:pPr>
              <w:spacing w:after="0"/>
              <w:rPr>
                <w:rFonts w:ascii="Times New Roman" w:eastAsia="Times New Roman" w:hAnsi="Times New Roman" w:cs="Times New Roman"/>
                <w:b/>
                <w:noProof/>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14:paraId="07BD3848" w14:textId="77777777" w:rsidR="00F208CE" w:rsidRDefault="00F208CE">
            <w:pPr>
              <w:spacing w:after="0"/>
              <w:rPr>
                <w:rFonts w:ascii="Times New Roman" w:eastAsia="Times New Roman" w:hAnsi="Times New Roman" w:cs="Times New Roman"/>
                <w:b/>
                <w:noProof/>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0124E4C6" w14:textId="77777777" w:rsidR="00F208CE" w:rsidRDefault="00F208CE">
            <w:pPr>
              <w:spacing w:after="0"/>
              <w:rPr>
                <w:rFonts w:ascii="Times New Roman" w:eastAsia="Times New Roman" w:hAnsi="Times New Roman" w:cs="Times New Roman"/>
                <w:b/>
                <w:noProof/>
              </w:rPr>
            </w:pPr>
          </w:p>
        </w:tc>
        <w:tc>
          <w:tcPr>
            <w:tcW w:w="1725" w:type="dxa"/>
            <w:vMerge/>
            <w:tcBorders>
              <w:top w:val="single" w:sz="4" w:space="0" w:color="auto"/>
              <w:left w:val="nil"/>
              <w:bottom w:val="single" w:sz="4" w:space="0" w:color="000000"/>
              <w:right w:val="single" w:sz="4" w:space="0" w:color="auto"/>
            </w:tcBorders>
            <w:vAlign w:val="center"/>
            <w:hideMark/>
          </w:tcPr>
          <w:p w14:paraId="7F691F65" w14:textId="77777777" w:rsidR="00F208CE" w:rsidRDefault="00F208CE">
            <w:pPr>
              <w:spacing w:after="0"/>
              <w:rPr>
                <w:rFonts w:ascii="Times New Roman" w:eastAsia="Times New Roman" w:hAnsi="Times New Roman" w:cs="Times New Roman"/>
                <w:b/>
                <w:noProof/>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7EE670FB" w14:textId="77777777" w:rsidR="00F208CE" w:rsidRDefault="00F208CE">
            <w:pPr>
              <w:spacing w:after="0"/>
              <w:rPr>
                <w:rFonts w:ascii="Times New Roman" w:eastAsia="Times New Roman" w:hAnsi="Times New Roman" w:cs="Times New Roman"/>
                <w:b/>
                <w:noProof/>
              </w:rPr>
            </w:pPr>
          </w:p>
        </w:tc>
        <w:tc>
          <w:tcPr>
            <w:tcW w:w="1200" w:type="dxa"/>
            <w:tcBorders>
              <w:top w:val="nil"/>
              <w:left w:val="nil"/>
              <w:bottom w:val="single" w:sz="4" w:space="0" w:color="auto"/>
              <w:right w:val="single" w:sz="4" w:space="0" w:color="auto"/>
            </w:tcBorders>
            <w:shd w:val="clear" w:color="auto" w:fill="BDD7EE"/>
            <w:vAlign w:val="center"/>
            <w:hideMark/>
          </w:tcPr>
          <w:p w14:paraId="69894C56" w14:textId="77777777" w:rsidR="00F208CE" w:rsidRDefault="00513E84">
            <w:pPr>
              <w:pStyle w:val="P68B1DB1-Normal7"/>
              <w:spacing w:after="0"/>
              <w:jc w:val="center"/>
              <w:rPr>
                <w:rFonts w:eastAsia="Times New Roman" w:cs="Times New Roman"/>
                <w:noProof/>
              </w:rPr>
            </w:pPr>
            <w:r>
              <w:rPr>
                <w:noProof/>
              </w:rPr>
              <w:t>Unidad de medida</w:t>
            </w:r>
          </w:p>
        </w:tc>
        <w:tc>
          <w:tcPr>
            <w:tcW w:w="960" w:type="dxa"/>
            <w:tcBorders>
              <w:top w:val="nil"/>
              <w:left w:val="nil"/>
              <w:bottom w:val="single" w:sz="4" w:space="0" w:color="auto"/>
              <w:right w:val="single" w:sz="4" w:space="0" w:color="auto"/>
            </w:tcBorders>
            <w:shd w:val="clear" w:color="auto" w:fill="BDD7EE"/>
            <w:vAlign w:val="center"/>
            <w:hideMark/>
          </w:tcPr>
          <w:p w14:paraId="53426285" w14:textId="77777777" w:rsidR="00F208CE" w:rsidRDefault="00513E84">
            <w:pPr>
              <w:pStyle w:val="P68B1DB1-Normal7"/>
              <w:spacing w:after="0"/>
              <w:jc w:val="center"/>
              <w:rPr>
                <w:rFonts w:eastAsia="Times New Roman" w:cs="Times New Roman"/>
                <w:noProof/>
              </w:rPr>
            </w:pPr>
            <w:r>
              <w:rPr>
                <w:noProof/>
              </w:rPr>
              <w:t xml:space="preserve">Basal </w:t>
            </w:r>
          </w:p>
        </w:tc>
        <w:tc>
          <w:tcPr>
            <w:tcW w:w="720" w:type="dxa"/>
            <w:tcBorders>
              <w:top w:val="nil"/>
              <w:left w:val="nil"/>
              <w:bottom w:val="single" w:sz="4" w:space="0" w:color="auto"/>
              <w:right w:val="single" w:sz="4" w:space="0" w:color="auto"/>
            </w:tcBorders>
            <w:shd w:val="clear" w:color="auto" w:fill="BDD7EE"/>
            <w:vAlign w:val="center"/>
            <w:hideMark/>
          </w:tcPr>
          <w:p w14:paraId="34CA7C02" w14:textId="77777777" w:rsidR="00F208CE" w:rsidRDefault="00513E84">
            <w:pPr>
              <w:pStyle w:val="P68B1DB1-Normal7"/>
              <w:spacing w:after="0"/>
              <w:jc w:val="center"/>
              <w:rPr>
                <w:rFonts w:eastAsia="Times New Roman" w:cs="Times New Roman"/>
                <w:noProof/>
              </w:rPr>
            </w:pPr>
            <w:r>
              <w:rPr>
                <w:noProof/>
              </w:rPr>
              <w:t xml:space="preserve">Meta </w:t>
            </w:r>
          </w:p>
        </w:tc>
        <w:tc>
          <w:tcPr>
            <w:tcW w:w="960" w:type="dxa"/>
            <w:tcBorders>
              <w:top w:val="nil"/>
              <w:left w:val="nil"/>
              <w:bottom w:val="single" w:sz="4" w:space="0" w:color="auto"/>
              <w:right w:val="single" w:sz="4" w:space="0" w:color="auto"/>
            </w:tcBorders>
            <w:shd w:val="clear" w:color="auto" w:fill="BDD7EE"/>
            <w:vAlign w:val="center"/>
            <w:hideMark/>
          </w:tcPr>
          <w:p w14:paraId="57041D96" w14:textId="77777777" w:rsidR="00F208CE" w:rsidRDefault="00513E84">
            <w:pPr>
              <w:pStyle w:val="P68B1DB1-Normal7"/>
              <w:spacing w:after="0"/>
              <w:jc w:val="center"/>
              <w:rPr>
                <w:rFonts w:eastAsia="Times New Roman" w:cs="Times New Roman"/>
                <w:noProof/>
              </w:rPr>
            </w:pPr>
            <w:r>
              <w:rPr>
                <w:noProof/>
              </w:rPr>
              <w:t>Trimestre</w:t>
            </w:r>
          </w:p>
        </w:tc>
        <w:tc>
          <w:tcPr>
            <w:tcW w:w="840" w:type="dxa"/>
            <w:tcBorders>
              <w:top w:val="nil"/>
              <w:left w:val="nil"/>
              <w:bottom w:val="single" w:sz="4" w:space="0" w:color="auto"/>
              <w:right w:val="single" w:sz="4" w:space="0" w:color="auto"/>
            </w:tcBorders>
            <w:shd w:val="clear" w:color="auto" w:fill="BDD7EE"/>
            <w:vAlign w:val="center"/>
            <w:hideMark/>
          </w:tcPr>
          <w:p w14:paraId="53EFDA8F" w14:textId="77777777" w:rsidR="00F208CE" w:rsidRDefault="00513E84">
            <w:pPr>
              <w:pStyle w:val="P68B1DB1-Normal7"/>
              <w:spacing w:after="0"/>
              <w:jc w:val="center"/>
              <w:rPr>
                <w:rFonts w:eastAsia="Times New Roman" w:cs="Times New Roman"/>
                <w:noProof/>
              </w:rPr>
            </w:pPr>
            <w:r>
              <w:rPr>
                <w:noProof/>
              </w:rPr>
              <w:t>Año</w:t>
            </w:r>
          </w:p>
        </w:tc>
        <w:tc>
          <w:tcPr>
            <w:tcW w:w="4257" w:type="dxa"/>
            <w:vMerge/>
            <w:tcBorders>
              <w:top w:val="single" w:sz="4" w:space="0" w:color="auto"/>
              <w:left w:val="single" w:sz="4" w:space="0" w:color="auto"/>
              <w:bottom w:val="single" w:sz="4" w:space="0" w:color="auto"/>
              <w:right w:val="single" w:sz="4" w:space="0" w:color="auto"/>
            </w:tcBorders>
            <w:vAlign w:val="center"/>
            <w:hideMark/>
          </w:tcPr>
          <w:p w14:paraId="33A07C56" w14:textId="77777777" w:rsidR="00F208CE" w:rsidRDefault="00F208CE">
            <w:pPr>
              <w:spacing w:after="0"/>
              <w:rPr>
                <w:rFonts w:ascii="Times New Roman" w:eastAsia="Times New Roman" w:hAnsi="Times New Roman" w:cs="Times New Roman"/>
                <w:b/>
                <w:noProof/>
              </w:rPr>
            </w:pPr>
          </w:p>
        </w:tc>
      </w:tr>
      <w:tr w:rsidR="00F208CE" w14:paraId="318C4163" w14:textId="77777777">
        <w:trPr>
          <w:trHeight w:val="313"/>
        </w:trPr>
        <w:tc>
          <w:tcPr>
            <w:tcW w:w="59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CE5EC2" w14:textId="77777777" w:rsidR="00F208CE" w:rsidRDefault="00513E84">
            <w:pPr>
              <w:pStyle w:val="P68B1DB1-Normal8"/>
              <w:spacing w:after="0"/>
              <w:jc w:val="center"/>
              <w:rPr>
                <w:rFonts w:eastAsia="Times New Roman" w:cs="Times New Roman"/>
                <w:noProof/>
              </w:rPr>
            </w:pPr>
            <w:r>
              <w:rPr>
                <w:noProof/>
              </w:rPr>
              <w:t>205</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01161372" w14:textId="77777777" w:rsidR="00F208CE" w:rsidRDefault="00513E84">
            <w:pPr>
              <w:pStyle w:val="P68B1DB1-Normal8"/>
              <w:spacing w:after="0"/>
              <w:rPr>
                <w:rFonts w:cs="Times New Roman"/>
                <w:noProof/>
              </w:rPr>
            </w:pPr>
            <w:r>
              <w:rPr>
                <w:noProof/>
              </w:rPr>
              <w:t>Revi</w:t>
            </w:r>
            <w:r>
              <w:rPr>
                <w:noProof/>
              </w:rPr>
              <w:t>siones del gasto (R-6)</w:t>
            </w:r>
          </w:p>
        </w:tc>
        <w:tc>
          <w:tcPr>
            <w:tcW w:w="1155" w:type="dxa"/>
            <w:tcBorders>
              <w:top w:val="single" w:sz="4" w:space="0" w:color="auto"/>
              <w:left w:val="nil"/>
              <w:bottom w:val="single" w:sz="4" w:space="0" w:color="auto"/>
              <w:right w:val="single" w:sz="4" w:space="0" w:color="auto"/>
            </w:tcBorders>
            <w:shd w:val="clear" w:color="auto" w:fill="C6EFCE"/>
            <w:noWrap/>
            <w:vAlign w:val="center"/>
          </w:tcPr>
          <w:p w14:paraId="46F49D28" w14:textId="3F48B47B" w:rsidR="00F208CE" w:rsidRDefault="00513E84">
            <w:pPr>
              <w:pStyle w:val="P68B1DB1-Normal8"/>
              <w:spacing w:after="0"/>
              <w:jc w:val="center"/>
              <w:rPr>
                <w:rFonts w:eastAsia="Times New Roman" w:cs="Times New Roman"/>
                <w:noProof/>
              </w:rPr>
            </w:pPr>
            <w:r>
              <w:rPr>
                <w:noProof/>
              </w:rPr>
              <w:t>M</w:t>
            </w:r>
          </w:p>
        </w:tc>
        <w:tc>
          <w:tcPr>
            <w:tcW w:w="1725" w:type="dxa"/>
            <w:tcBorders>
              <w:top w:val="single" w:sz="4" w:space="0" w:color="auto"/>
              <w:left w:val="nil"/>
              <w:bottom w:val="single" w:sz="4" w:space="0" w:color="auto"/>
              <w:right w:val="single" w:sz="4" w:space="0" w:color="auto"/>
            </w:tcBorders>
            <w:shd w:val="clear" w:color="auto" w:fill="C6EFCE"/>
            <w:noWrap/>
            <w:vAlign w:val="center"/>
          </w:tcPr>
          <w:p w14:paraId="313DEFD5" w14:textId="77777777" w:rsidR="00F208CE" w:rsidRDefault="00513E84">
            <w:pPr>
              <w:pStyle w:val="P68B1DB1-Normal8"/>
              <w:spacing w:after="0"/>
              <w:rPr>
                <w:rFonts w:eastAsia="Times New Roman" w:cs="Times New Roman"/>
                <w:noProof/>
              </w:rPr>
            </w:pPr>
            <w:r>
              <w:rPr>
                <w:noProof/>
              </w:rPr>
              <w:t>Proyecto piloto de revisión del gasto o integración en el proceso presupuestario (1)</w:t>
            </w:r>
          </w:p>
        </w:tc>
        <w:tc>
          <w:tcPr>
            <w:tcW w:w="1920" w:type="dxa"/>
            <w:tcBorders>
              <w:top w:val="single" w:sz="4" w:space="0" w:color="auto"/>
              <w:left w:val="nil"/>
              <w:bottom w:val="single" w:sz="4" w:space="0" w:color="auto"/>
              <w:right w:val="single" w:sz="4" w:space="0" w:color="auto"/>
            </w:tcBorders>
            <w:shd w:val="clear" w:color="auto" w:fill="C6EFCE"/>
            <w:noWrap/>
            <w:vAlign w:val="center"/>
          </w:tcPr>
          <w:p w14:paraId="30269DB0" w14:textId="77777777" w:rsidR="00F208CE" w:rsidRDefault="00513E84">
            <w:pPr>
              <w:pStyle w:val="P68B1DB1-Normal8"/>
              <w:spacing w:after="0"/>
              <w:rPr>
                <w:rFonts w:eastAsia="Times New Roman" w:cs="Times New Roman"/>
                <w:noProof/>
              </w:rPr>
            </w:pPr>
            <w:r>
              <w:rPr>
                <w:noProof/>
              </w:rPr>
              <w:t>Proyectos piloto completados e informes asociados</w:t>
            </w:r>
          </w:p>
        </w:tc>
        <w:tc>
          <w:tcPr>
            <w:tcW w:w="1200" w:type="dxa"/>
            <w:tcBorders>
              <w:top w:val="single" w:sz="4" w:space="0" w:color="auto"/>
              <w:left w:val="nil"/>
              <w:bottom w:val="single" w:sz="4" w:space="0" w:color="auto"/>
              <w:right w:val="single" w:sz="4" w:space="0" w:color="auto"/>
            </w:tcBorders>
            <w:shd w:val="clear" w:color="auto" w:fill="C6EFCE"/>
            <w:noWrap/>
            <w:vAlign w:val="center"/>
          </w:tcPr>
          <w:p w14:paraId="547C4493" w14:textId="6340AC72" w:rsidR="00F208CE" w:rsidRDefault="00F208CE">
            <w:pPr>
              <w:spacing w:after="0"/>
              <w:rPr>
                <w:rFonts w:ascii="Times New Roman" w:eastAsia="Times New Roman" w:hAnsi="Times New Roman" w:cs="Times New Roman"/>
                <w:noProof/>
                <w:color w:val="006100"/>
              </w:rPr>
            </w:pP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3E5F9ADD" w14:textId="4324827B" w:rsidR="00F208CE" w:rsidRDefault="00F208CE">
            <w:pPr>
              <w:spacing w:after="0"/>
              <w:jc w:val="center"/>
              <w:rPr>
                <w:rFonts w:ascii="Times New Roman" w:eastAsia="Times New Roman" w:hAnsi="Times New Roman" w:cs="Times New Roman"/>
                <w:noProof/>
                <w:color w:val="006100"/>
              </w:rPr>
            </w:pPr>
          </w:p>
        </w:tc>
        <w:tc>
          <w:tcPr>
            <w:tcW w:w="720" w:type="dxa"/>
            <w:tcBorders>
              <w:top w:val="single" w:sz="4" w:space="0" w:color="auto"/>
              <w:left w:val="nil"/>
              <w:bottom w:val="single" w:sz="4" w:space="0" w:color="auto"/>
              <w:right w:val="single" w:sz="4" w:space="0" w:color="auto"/>
            </w:tcBorders>
            <w:shd w:val="clear" w:color="auto" w:fill="C6EFCE"/>
            <w:noWrap/>
            <w:vAlign w:val="center"/>
          </w:tcPr>
          <w:p w14:paraId="74C4D37E" w14:textId="6AAE8631" w:rsidR="00F208CE" w:rsidRDefault="00F208CE">
            <w:pPr>
              <w:spacing w:after="0"/>
              <w:jc w:val="right"/>
              <w:rPr>
                <w:rFonts w:ascii="Times New Roman" w:eastAsia="Times New Roman" w:hAnsi="Times New Roman" w:cs="Times New Roman"/>
                <w:noProof/>
                <w:color w:val="006100"/>
              </w:rPr>
            </w:pPr>
          </w:p>
        </w:tc>
        <w:tc>
          <w:tcPr>
            <w:tcW w:w="960" w:type="dxa"/>
            <w:tcBorders>
              <w:top w:val="single" w:sz="4" w:space="0" w:color="auto"/>
              <w:left w:val="nil"/>
              <w:bottom w:val="single" w:sz="4" w:space="0" w:color="auto"/>
              <w:right w:val="single" w:sz="4" w:space="0" w:color="auto"/>
            </w:tcBorders>
            <w:shd w:val="clear" w:color="auto" w:fill="C6EFCE"/>
            <w:noWrap/>
            <w:vAlign w:val="center"/>
          </w:tcPr>
          <w:p w14:paraId="3DF2865B" w14:textId="77777777" w:rsidR="00F208CE" w:rsidRDefault="00513E84">
            <w:pPr>
              <w:pStyle w:val="P68B1DB1-Normal8"/>
              <w:spacing w:after="0"/>
              <w:jc w:val="center"/>
              <w:rPr>
                <w:rFonts w:eastAsia="Times New Roman" w:cs="Times New Roman"/>
                <w:noProof/>
              </w:rPr>
            </w:pPr>
            <w:r>
              <w:rPr>
                <w:noProof/>
              </w:rPr>
              <w:t>TERCER TRIMESTRE 4</w:t>
            </w: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1C191505" w14:textId="77777777" w:rsidR="00F208CE" w:rsidRDefault="00513E84">
            <w:pPr>
              <w:pStyle w:val="P68B1DB1-Normal8"/>
              <w:spacing w:after="0"/>
              <w:jc w:val="center"/>
              <w:rPr>
                <w:rFonts w:eastAsia="Times New Roman" w:cs="Times New Roman"/>
                <w:noProof/>
              </w:rPr>
            </w:pPr>
            <w:r>
              <w:rPr>
                <w:noProof/>
              </w:rPr>
              <w:t>2021</w:t>
            </w:r>
          </w:p>
        </w:tc>
        <w:tc>
          <w:tcPr>
            <w:tcW w:w="425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4830FE" w14:textId="77777777" w:rsidR="00F208CE" w:rsidRDefault="00513E84">
            <w:pPr>
              <w:pStyle w:val="P68B1DB1-Normal8"/>
              <w:spacing w:after="0"/>
              <w:rPr>
                <w:rFonts w:eastAsia="Times New Roman" w:cs="Times New Roman"/>
                <w:noProof/>
              </w:rPr>
            </w:pPr>
            <w:r>
              <w:rPr>
                <w:noProof/>
              </w:rPr>
              <w:t xml:space="preserve">Para las autoridades federales, de Valonia y de Bruselas-Capital: </w:t>
            </w:r>
            <w:r>
              <w:rPr>
                <w:noProof/>
              </w:rPr>
              <w:t>Finalización piloto de la revisión del gasto y elaboración de informes. Para las autoridades de la Región Flamenca: Integración de la revisión del gasto en el proceso presupuestario (1): Las decisiones gubernamentales que definen cómo se integran en el pro</w:t>
            </w:r>
            <w:r>
              <w:rPr>
                <w:noProof/>
              </w:rPr>
              <w:t>ceso presupuestario las revisiones del gasto (o un enfoque similar). Las decisiones definen la estrategia de revisión del gasto y un calendario para futuras revisiones, que pueden incluir objetivos cuantificados. En consonancia con las orientaciones del Eu</w:t>
            </w:r>
            <w:r>
              <w:rPr>
                <w:noProof/>
              </w:rPr>
              <w:t>rogrupo, garantizar, entre otros elementos, un alcance y un diseño claros de las revisiones, así como un seguimiento, notificación y evaluación transparentes.</w:t>
            </w:r>
          </w:p>
        </w:tc>
      </w:tr>
      <w:tr w:rsidR="00F208CE" w14:paraId="28ABA4C6" w14:textId="77777777">
        <w:trPr>
          <w:trHeight w:val="313"/>
        </w:trPr>
        <w:tc>
          <w:tcPr>
            <w:tcW w:w="596" w:type="dxa"/>
            <w:tcBorders>
              <w:top w:val="nil"/>
              <w:left w:val="single" w:sz="4" w:space="0" w:color="auto"/>
              <w:bottom w:val="single" w:sz="4" w:space="0" w:color="auto"/>
              <w:right w:val="single" w:sz="4" w:space="0" w:color="auto"/>
            </w:tcBorders>
            <w:shd w:val="clear" w:color="auto" w:fill="C6EFCE"/>
            <w:noWrap/>
            <w:vAlign w:val="center"/>
            <w:hideMark/>
          </w:tcPr>
          <w:p w14:paraId="6CB546E2" w14:textId="77777777" w:rsidR="00F208CE" w:rsidRDefault="00513E84">
            <w:pPr>
              <w:pStyle w:val="P68B1DB1-Normal8"/>
              <w:spacing w:after="0"/>
              <w:jc w:val="center"/>
              <w:rPr>
                <w:rFonts w:eastAsia="Times New Roman" w:cs="Times New Roman"/>
                <w:noProof/>
              </w:rPr>
            </w:pPr>
            <w:r>
              <w:rPr>
                <w:noProof/>
              </w:rPr>
              <w:t>206</w:t>
            </w:r>
          </w:p>
        </w:tc>
        <w:tc>
          <w:tcPr>
            <w:tcW w:w="1680" w:type="dxa"/>
            <w:tcBorders>
              <w:top w:val="nil"/>
              <w:left w:val="nil"/>
              <w:bottom w:val="single" w:sz="4" w:space="0" w:color="auto"/>
              <w:right w:val="single" w:sz="4" w:space="0" w:color="auto"/>
            </w:tcBorders>
            <w:shd w:val="clear" w:color="auto" w:fill="C6EFCE"/>
            <w:noWrap/>
            <w:vAlign w:val="center"/>
          </w:tcPr>
          <w:p w14:paraId="016D36BB" w14:textId="77777777" w:rsidR="00F208CE" w:rsidRDefault="00513E84">
            <w:pPr>
              <w:pStyle w:val="P68B1DB1-Normal8"/>
              <w:spacing w:after="0"/>
              <w:rPr>
                <w:rFonts w:eastAsia="Times New Roman" w:cs="Times New Roman"/>
                <w:noProof/>
              </w:rPr>
            </w:pPr>
            <w:r>
              <w:rPr>
                <w:noProof/>
              </w:rPr>
              <w:t>Revisiones del gasto (R-6)</w:t>
            </w:r>
          </w:p>
        </w:tc>
        <w:tc>
          <w:tcPr>
            <w:tcW w:w="1155" w:type="dxa"/>
            <w:tcBorders>
              <w:top w:val="nil"/>
              <w:left w:val="nil"/>
              <w:bottom w:val="single" w:sz="4" w:space="0" w:color="auto"/>
              <w:right w:val="single" w:sz="4" w:space="0" w:color="auto"/>
            </w:tcBorders>
            <w:shd w:val="clear" w:color="auto" w:fill="C6EFCE"/>
            <w:noWrap/>
            <w:vAlign w:val="center"/>
          </w:tcPr>
          <w:p w14:paraId="55D94354" w14:textId="445EFA04" w:rsidR="00F208CE" w:rsidRDefault="00513E84">
            <w:pPr>
              <w:pStyle w:val="P68B1DB1-Normal8"/>
              <w:spacing w:after="0"/>
              <w:jc w:val="center"/>
              <w:rPr>
                <w:rFonts w:eastAsia="Times New Roman" w:cs="Times New Roman"/>
                <w:noProof/>
              </w:rPr>
            </w:pPr>
            <w:r>
              <w:rPr>
                <w:noProof/>
              </w:rPr>
              <w:t>M</w:t>
            </w:r>
          </w:p>
        </w:tc>
        <w:tc>
          <w:tcPr>
            <w:tcW w:w="1725" w:type="dxa"/>
            <w:tcBorders>
              <w:top w:val="nil"/>
              <w:left w:val="nil"/>
              <w:bottom w:val="single" w:sz="4" w:space="0" w:color="auto"/>
              <w:right w:val="single" w:sz="4" w:space="0" w:color="auto"/>
            </w:tcBorders>
            <w:shd w:val="clear" w:color="auto" w:fill="C6EFCE"/>
            <w:noWrap/>
            <w:vAlign w:val="center"/>
          </w:tcPr>
          <w:p w14:paraId="0AF8CB7B" w14:textId="77777777" w:rsidR="00F208CE" w:rsidRDefault="00513E84">
            <w:pPr>
              <w:pStyle w:val="P68B1DB1-Normal8"/>
              <w:spacing w:after="0"/>
              <w:rPr>
                <w:rFonts w:eastAsia="Times New Roman" w:cs="Times New Roman"/>
                <w:noProof/>
              </w:rPr>
            </w:pPr>
            <w:r>
              <w:rPr>
                <w:noProof/>
              </w:rPr>
              <w:t xml:space="preserve">Integración de la revisión del gasto en el proceso </w:t>
            </w:r>
            <w:r>
              <w:rPr>
                <w:noProof/>
              </w:rPr>
              <w:t>presupuestario (1) o finalización piloto</w:t>
            </w:r>
          </w:p>
        </w:tc>
        <w:tc>
          <w:tcPr>
            <w:tcW w:w="1920" w:type="dxa"/>
            <w:tcBorders>
              <w:top w:val="nil"/>
              <w:left w:val="nil"/>
              <w:bottom w:val="single" w:sz="4" w:space="0" w:color="auto"/>
              <w:right w:val="single" w:sz="4" w:space="0" w:color="auto"/>
            </w:tcBorders>
            <w:shd w:val="clear" w:color="auto" w:fill="C6EFCE"/>
            <w:noWrap/>
            <w:vAlign w:val="center"/>
          </w:tcPr>
          <w:p w14:paraId="05A2E416" w14:textId="77777777" w:rsidR="00F208CE" w:rsidRDefault="00513E84">
            <w:pPr>
              <w:pStyle w:val="P68B1DB1-Normal8"/>
              <w:spacing w:after="0"/>
              <w:rPr>
                <w:rFonts w:eastAsia="Times New Roman" w:cs="Times New Roman"/>
                <w:noProof/>
              </w:rPr>
            </w:pPr>
            <w:r>
              <w:rPr>
                <w:noProof/>
              </w:rPr>
              <w:t>Resolución del Gobierno</w:t>
            </w:r>
          </w:p>
        </w:tc>
        <w:tc>
          <w:tcPr>
            <w:tcW w:w="1200" w:type="dxa"/>
            <w:tcBorders>
              <w:top w:val="nil"/>
              <w:left w:val="nil"/>
              <w:bottom w:val="single" w:sz="4" w:space="0" w:color="auto"/>
              <w:right w:val="single" w:sz="4" w:space="0" w:color="auto"/>
            </w:tcBorders>
            <w:shd w:val="clear" w:color="auto" w:fill="C6EFCE"/>
            <w:noWrap/>
            <w:vAlign w:val="center"/>
          </w:tcPr>
          <w:p w14:paraId="5514CE86" w14:textId="6933855E" w:rsidR="00F208CE" w:rsidRDefault="00F208CE">
            <w:pPr>
              <w:spacing w:after="0"/>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1A43BCCE" w14:textId="26B78344" w:rsidR="00F208CE" w:rsidRDefault="00F208CE">
            <w:pPr>
              <w:spacing w:after="0"/>
              <w:jc w:val="right"/>
              <w:rPr>
                <w:rFonts w:ascii="Times New Roman" w:eastAsia="Times New Roman" w:hAnsi="Times New Roman" w:cs="Times New Roman"/>
                <w:noProof/>
                <w:color w:val="006100"/>
              </w:rPr>
            </w:pPr>
          </w:p>
        </w:tc>
        <w:tc>
          <w:tcPr>
            <w:tcW w:w="720" w:type="dxa"/>
            <w:tcBorders>
              <w:top w:val="nil"/>
              <w:left w:val="nil"/>
              <w:bottom w:val="single" w:sz="4" w:space="0" w:color="auto"/>
              <w:right w:val="single" w:sz="4" w:space="0" w:color="auto"/>
            </w:tcBorders>
            <w:shd w:val="clear" w:color="auto" w:fill="C6EFCE"/>
            <w:noWrap/>
            <w:vAlign w:val="center"/>
          </w:tcPr>
          <w:p w14:paraId="33AEE14F" w14:textId="6E7C0422" w:rsidR="00F208CE" w:rsidRDefault="00F208CE">
            <w:pPr>
              <w:spacing w:after="0"/>
              <w:jc w:val="right"/>
              <w:rPr>
                <w:rFonts w:ascii="Times New Roman" w:eastAsia="Times New Roman" w:hAnsi="Times New Roman" w:cs="Times New Roman"/>
                <w:noProof/>
                <w:color w:val="006100"/>
              </w:rPr>
            </w:pPr>
          </w:p>
        </w:tc>
        <w:tc>
          <w:tcPr>
            <w:tcW w:w="960" w:type="dxa"/>
            <w:tcBorders>
              <w:top w:val="nil"/>
              <w:left w:val="nil"/>
              <w:bottom w:val="single" w:sz="4" w:space="0" w:color="auto"/>
              <w:right w:val="single" w:sz="4" w:space="0" w:color="auto"/>
            </w:tcBorders>
            <w:shd w:val="clear" w:color="auto" w:fill="C6EFCE"/>
            <w:noWrap/>
            <w:vAlign w:val="center"/>
          </w:tcPr>
          <w:p w14:paraId="57066F8F" w14:textId="77777777" w:rsidR="00F208CE" w:rsidRDefault="00513E84">
            <w:pPr>
              <w:pStyle w:val="P68B1DB1-Normal8"/>
              <w:spacing w:after="0"/>
              <w:jc w:val="center"/>
              <w:rPr>
                <w:rFonts w:eastAsia="Times New Roman" w:cs="Times New Roman"/>
                <w:noProof/>
              </w:rPr>
            </w:pPr>
            <w:r>
              <w:rPr>
                <w:noProof/>
              </w:rPr>
              <w:t>TERCER TRIMESTRE 4</w:t>
            </w:r>
          </w:p>
        </w:tc>
        <w:tc>
          <w:tcPr>
            <w:tcW w:w="840" w:type="dxa"/>
            <w:tcBorders>
              <w:top w:val="nil"/>
              <w:left w:val="nil"/>
              <w:bottom w:val="single" w:sz="4" w:space="0" w:color="auto"/>
              <w:right w:val="single" w:sz="4" w:space="0" w:color="auto"/>
            </w:tcBorders>
            <w:shd w:val="clear" w:color="auto" w:fill="C6EFCE"/>
            <w:noWrap/>
            <w:vAlign w:val="center"/>
          </w:tcPr>
          <w:p w14:paraId="2CF2B550" w14:textId="77777777" w:rsidR="00F208CE" w:rsidRDefault="00513E84">
            <w:pPr>
              <w:pStyle w:val="P68B1DB1-Normal8"/>
              <w:spacing w:after="0"/>
              <w:jc w:val="center"/>
              <w:rPr>
                <w:rFonts w:eastAsia="Times New Roman" w:cs="Times New Roman"/>
                <w:noProof/>
              </w:rPr>
            </w:pPr>
            <w:r>
              <w:rPr>
                <w:noProof/>
              </w:rPr>
              <w:t>2022</w:t>
            </w:r>
          </w:p>
        </w:tc>
        <w:tc>
          <w:tcPr>
            <w:tcW w:w="4257" w:type="dxa"/>
            <w:tcBorders>
              <w:top w:val="nil"/>
              <w:left w:val="single" w:sz="4" w:space="0" w:color="auto"/>
              <w:bottom w:val="single" w:sz="4" w:space="0" w:color="auto"/>
              <w:right w:val="single" w:sz="4" w:space="0" w:color="auto"/>
            </w:tcBorders>
            <w:shd w:val="clear" w:color="auto" w:fill="C6EFCE"/>
            <w:noWrap/>
            <w:vAlign w:val="center"/>
          </w:tcPr>
          <w:p w14:paraId="76229B45" w14:textId="77777777" w:rsidR="00F208CE" w:rsidRDefault="00513E84">
            <w:pPr>
              <w:pStyle w:val="P68B1DB1-Normal8"/>
              <w:spacing w:after="0"/>
              <w:rPr>
                <w:rFonts w:eastAsia="Times New Roman" w:cs="Times New Roman"/>
                <w:noProof/>
              </w:rPr>
            </w:pPr>
            <w:r>
              <w:rPr>
                <w:noProof/>
              </w:rPr>
              <w:t>Para las autoridades federales, de Valonia y de Bruselas-Capital: Integración de la revisión del gasto en el proceso presupuestario (1): Las decisiones gubernamenta</w:t>
            </w:r>
            <w:r>
              <w:rPr>
                <w:noProof/>
              </w:rPr>
              <w:t>les que definen cómo se integran en el proceso presupuestario las revisiones del gasto (o un enfoque similar). Las decisiones definen la estrategia de revisión del gasto y un calendario para futuras revisiones, que pueden incluir objetivos cuantificados. E</w:t>
            </w:r>
            <w:r>
              <w:rPr>
                <w:noProof/>
              </w:rPr>
              <w:t>n consonancia con las orientaciones del Eurogrupo, garantizar, entre otros elementos, un alcance y un diseño claros de las revisiones, así como un seguimiento, notificación y evaluación transparentes. Para las autoridades de la Comunidad Francesa: Finaliza</w:t>
            </w:r>
            <w:r>
              <w:rPr>
                <w:noProof/>
              </w:rPr>
              <w:t>ción piloto de la revisión del gasto y redacción de informes.</w:t>
            </w:r>
          </w:p>
        </w:tc>
      </w:tr>
      <w:tr w:rsidR="00F208CE" w14:paraId="2836C8FC" w14:textId="77777777">
        <w:trPr>
          <w:trHeight w:val="1591"/>
        </w:trPr>
        <w:tc>
          <w:tcPr>
            <w:tcW w:w="596" w:type="dxa"/>
            <w:tcBorders>
              <w:top w:val="nil"/>
              <w:left w:val="single" w:sz="4" w:space="0" w:color="auto"/>
              <w:bottom w:val="single" w:sz="4" w:space="0" w:color="auto"/>
              <w:right w:val="single" w:sz="4" w:space="0" w:color="auto"/>
            </w:tcBorders>
            <w:shd w:val="clear" w:color="auto" w:fill="C6EFCE"/>
            <w:noWrap/>
            <w:vAlign w:val="center"/>
            <w:hideMark/>
          </w:tcPr>
          <w:p w14:paraId="5BDCF966" w14:textId="77777777" w:rsidR="00F208CE" w:rsidRDefault="00513E84">
            <w:pPr>
              <w:pStyle w:val="P68B1DB1-Normal8"/>
              <w:spacing w:after="0"/>
              <w:jc w:val="center"/>
              <w:rPr>
                <w:rFonts w:eastAsia="Times New Roman" w:cs="Times New Roman"/>
                <w:noProof/>
              </w:rPr>
            </w:pPr>
            <w:r>
              <w:rPr>
                <w:noProof/>
              </w:rPr>
              <w:t>207</w:t>
            </w:r>
          </w:p>
        </w:tc>
        <w:tc>
          <w:tcPr>
            <w:tcW w:w="1680" w:type="dxa"/>
            <w:tcBorders>
              <w:top w:val="nil"/>
              <w:left w:val="nil"/>
              <w:bottom w:val="single" w:sz="4" w:space="0" w:color="auto"/>
              <w:right w:val="single" w:sz="4" w:space="0" w:color="auto"/>
            </w:tcBorders>
            <w:shd w:val="clear" w:color="auto" w:fill="C6EFCE"/>
            <w:noWrap/>
            <w:vAlign w:val="center"/>
          </w:tcPr>
          <w:p w14:paraId="4758A41B" w14:textId="77777777" w:rsidR="00F208CE" w:rsidRDefault="00513E84">
            <w:pPr>
              <w:pStyle w:val="P68B1DB1-Normal8"/>
              <w:spacing w:after="0"/>
              <w:rPr>
                <w:rFonts w:eastAsia="Times New Roman" w:cs="Times New Roman"/>
                <w:noProof/>
              </w:rPr>
            </w:pPr>
            <w:r>
              <w:rPr>
                <w:noProof/>
              </w:rPr>
              <w:t>Revisiones del gasto (R-6)</w:t>
            </w:r>
          </w:p>
        </w:tc>
        <w:tc>
          <w:tcPr>
            <w:tcW w:w="1155" w:type="dxa"/>
            <w:tcBorders>
              <w:top w:val="nil"/>
              <w:left w:val="nil"/>
              <w:bottom w:val="single" w:sz="4" w:space="0" w:color="auto"/>
              <w:right w:val="single" w:sz="4" w:space="0" w:color="auto"/>
            </w:tcBorders>
            <w:shd w:val="clear" w:color="auto" w:fill="C6EFCE"/>
            <w:noWrap/>
            <w:vAlign w:val="center"/>
          </w:tcPr>
          <w:p w14:paraId="2E9C88C9" w14:textId="0AAA3ABB" w:rsidR="00F208CE" w:rsidRDefault="00513E84">
            <w:pPr>
              <w:pStyle w:val="P68B1DB1-Normal8"/>
              <w:spacing w:after="0"/>
              <w:jc w:val="center"/>
              <w:rPr>
                <w:rFonts w:eastAsia="Times New Roman" w:cs="Times New Roman"/>
                <w:noProof/>
              </w:rPr>
            </w:pPr>
            <w:r>
              <w:rPr>
                <w:noProof/>
              </w:rPr>
              <w:t>M</w:t>
            </w:r>
          </w:p>
        </w:tc>
        <w:tc>
          <w:tcPr>
            <w:tcW w:w="1725" w:type="dxa"/>
            <w:tcBorders>
              <w:top w:val="nil"/>
              <w:left w:val="nil"/>
              <w:bottom w:val="single" w:sz="4" w:space="0" w:color="auto"/>
              <w:right w:val="single" w:sz="4" w:space="0" w:color="auto"/>
            </w:tcBorders>
            <w:shd w:val="clear" w:color="auto" w:fill="C6EFCE"/>
            <w:noWrap/>
            <w:vAlign w:val="center"/>
          </w:tcPr>
          <w:p w14:paraId="46384CDA" w14:textId="77777777" w:rsidR="00F208CE" w:rsidRDefault="00513E84">
            <w:pPr>
              <w:pStyle w:val="P68B1DB1-Normal8"/>
              <w:spacing w:after="0"/>
              <w:rPr>
                <w:rFonts w:eastAsia="Times New Roman" w:cs="Times New Roman"/>
                <w:noProof/>
              </w:rPr>
            </w:pPr>
            <w:r>
              <w:rPr>
                <w:noProof/>
              </w:rPr>
              <w:t>Integración de la revisión del gasto en el proceso presupuestario (1) o (2)</w:t>
            </w:r>
          </w:p>
        </w:tc>
        <w:tc>
          <w:tcPr>
            <w:tcW w:w="1920" w:type="dxa"/>
            <w:tcBorders>
              <w:top w:val="nil"/>
              <w:left w:val="nil"/>
              <w:bottom w:val="single" w:sz="4" w:space="0" w:color="auto"/>
              <w:right w:val="single" w:sz="4" w:space="0" w:color="auto"/>
            </w:tcBorders>
            <w:shd w:val="clear" w:color="auto" w:fill="C6EFCE"/>
            <w:noWrap/>
            <w:vAlign w:val="center"/>
          </w:tcPr>
          <w:p w14:paraId="78E92C1F" w14:textId="77777777" w:rsidR="00F208CE" w:rsidRDefault="00513E84">
            <w:pPr>
              <w:pStyle w:val="P68B1DB1-Normal8"/>
              <w:spacing w:after="0"/>
              <w:rPr>
                <w:rFonts w:eastAsia="Times New Roman" w:cs="Times New Roman"/>
                <w:noProof/>
              </w:rPr>
            </w:pPr>
            <w:r>
              <w:rPr>
                <w:noProof/>
              </w:rPr>
              <w:t>Resolución del Gobierno</w:t>
            </w:r>
          </w:p>
        </w:tc>
        <w:tc>
          <w:tcPr>
            <w:tcW w:w="1200" w:type="dxa"/>
            <w:tcBorders>
              <w:top w:val="nil"/>
              <w:left w:val="nil"/>
              <w:bottom w:val="single" w:sz="4" w:space="0" w:color="auto"/>
              <w:right w:val="single" w:sz="4" w:space="0" w:color="auto"/>
            </w:tcBorders>
            <w:shd w:val="clear" w:color="auto" w:fill="C6EFCE"/>
            <w:noWrap/>
            <w:vAlign w:val="center"/>
          </w:tcPr>
          <w:p w14:paraId="244E94CE"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tcPr>
          <w:p w14:paraId="75AF59E8" w14:textId="77777777" w:rsidR="00F208CE" w:rsidRDefault="00513E84">
            <w:pPr>
              <w:pStyle w:val="P68B1DB1-Normal8"/>
              <w:spacing w:after="0"/>
              <w:rPr>
                <w:rFonts w:eastAsia="Times New Roman" w:cs="Times New Roman"/>
                <w:noProof/>
              </w:rPr>
            </w:pPr>
            <w:r>
              <w:rPr>
                <w:noProof/>
              </w:rPr>
              <w:t xml:space="preserve"> </w:t>
            </w:r>
          </w:p>
        </w:tc>
        <w:tc>
          <w:tcPr>
            <w:tcW w:w="720" w:type="dxa"/>
            <w:tcBorders>
              <w:top w:val="nil"/>
              <w:left w:val="nil"/>
              <w:bottom w:val="single" w:sz="4" w:space="0" w:color="auto"/>
              <w:right w:val="single" w:sz="4" w:space="0" w:color="auto"/>
            </w:tcBorders>
            <w:shd w:val="clear" w:color="auto" w:fill="C6EFCE"/>
            <w:noWrap/>
            <w:vAlign w:val="center"/>
          </w:tcPr>
          <w:p w14:paraId="63190686"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tcPr>
          <w:p w14:paraId="521C3C96" w14:textId="77777777" w:rsidR="00F208CE" w:rsidRDefault="00513E84">
            <w:pPr>
              <w:pStyle w:val="P68B1DB1-Normal8"/>
              <w:spacing w:after="0"/>
              <w:jc w:val="center"/>
              <w:rPr>
                <w:rFonts w:eastAsia="Times New Roman" w:cs="Times New Roman"/>
                <w:noProof/>
              </w:rPr>
            </w:pPr>
            <w:r>
              <w:rPr>
                <w:noProof/>
              </w:rPr>
              <w:t>TERCER TRIMESTRE 4</w:t>
            </w:r>
          </w:p>
        </w:tc>
        <w:tc>
          <w:tcPr>
            <w:tcW w:w="840" w:type="dxa"/>
            <w:tcBorders>
              <w:top w:val="nil"/>
              <w:left w:val="nil"/>
              <w:bottom w:val="single" w:sz="4" w:space="0" w:color="auto"/>
              <w:right w:val="single" w:sz="4" w:space="0" w:color="auto"/>
            </w:tcBorders>
            <w:shd w:val="clear" w:color="auto" w:fill="C6EFCE"/>
            <w:noWrap/>
            <w:vAlign w:val="center"/>
          </w:tcPr>
          <w:p w14:paraId="204D34A4" w14:textId="77777777" w:rsidR="00F208CE" w:rsidRDefault="00513E84">
            <w:pPr>
              <w:pStyle w:val="P68B1DB1-Normal8"/>
              <w:spacing w:after="0"/>
              <w:jc w:val="center"/>
              <w:rPr>
                <w:rFonts w:eastAsia="Times New Roman" w:cs="Times New Roman"/>
                <w:noProof/>
              </w:rPr>
            </w:pPr>
            <w:r>
              <w:rPr>
                <w:noProof/>
              </w:rPr>
              <w:t>2023</w:t>
            </w:r>
          </w:p>
        </w:tc>
        <w:tc>
          <w:tcPr>
            <w:tcW w:w="4257" w:type="dxa"/>
            <w:tcBorders>
              <w:top w:val="nil"/>
              <w:left w:val="single" w:sz="4" w:space="0" w:color="auto"/>
              <w:bottom w:val="single" w:sz="4" w:space="0" w:color="auto"/>
              <w:right w:val="single" w:sz="4" w:space="0" w:color="auto"/>
            </w:tcBorders>
            <w:shd w:val="clear" w:color="auto" w:fill="C6EFCE"/>
            <w:noWrap/>
            <w:vAlign w:val="center"/>
          </w:tcPr>
          <w:p w14:paraId="4CE92B81" w14:textId="77777777" w:rsidR="00F208CE" w:rsidRDefault="00513E84">
            <w:pPr>
              <w:pStyle w:val="P68B1DB1-Normal8"/>
              <w:spacing w:after="0"/>
              <w:rPr>
                <w:rFonts w:eastAsia="Times New Roman" w:cs="Times New Roman"/>
                <w:noProof/>
              </w:rPr>
            </w:pPr>
            <w:r>
              <w:rPr>
                <w:noProof/>
              </w:rPr>
              <w:t xml:space="preserve">Para las autoridades de la </w:t>
            </w:r>
            <w:r>
              <w:rPr>
                <w:noProof/>
              </w:rPr>
              <w:t>Comunidad Francesa: Integración de la revisión del gasto en el proceso presupuestario (1): Las decisiones gubernamentales que definen cómo se integran en el proceso presupuestario las revisiones del gasto (o un enfoque similar). Las decisiones definen la e</w:t>
            </w:r>
            <w:r>
              <w:rPr>
                <w:noProof/>
              </w:rPr>
              <w:t>strategia de revisión del gasto y un calendario para futuras revisiones, que pueden incluir objetivos cuantificados. En consonancia con las orientaciones del Eurogrupo, garantizar, entre otros elementos, un alcance y un diseño claros de las revisiones, así</w:t>
            </w:r>
            <w:r>
              <w:rPr>
                <w:noProof/>
              </w:rPr>
              <w:t xml:space="preserve"> como un seguimiento, notificación y evaluación transparentes. Para la región federal, la Región Flamenca, la Región Valona, la Región de Bruselas-Capital y las autoridades comunitarias francesas: Integración de la revisión del gasto en el proceso presupue</w:t>
            </w:r>
            <w:r>
              <w:rPr>
                <w:noProof/>
              </w:rPr>
              <w:t>stario (2): Inclusión sistemática de los resultados de las revisiones del gasto en la planificación presupuestaria anual y plurianual a partir de la preparación de la ley presupuestaria para 2024. Esto incluirá, entre otras cosas, la cuantificación ex post</w:t>
            </w:r>
            <w:r>
              <w:rPr>
                <w:noProof/>
              </w:rPr>
              <w:t xml:space="preserve"> de los resultados, incluidos los ahorros, asociados al programa de revisión del gasto. </w:t>
            </w:r>
          </w:p>
        </w:tc>
      </w:tr>
      <w:tr w:rsidR="00F208CE" w14:paraId="7E69490E" w14:textId="77777777">
        <w:trPr>
          <w:trHeight w:val="313"/>
        </w:trPr>
        <w:tc>
          <w:tcPr>
            <w:tcW w:w="596" w:type="dxa"/>
            <w:tcBorders>
              <w:top w:val="nil"/>
              <w:left w:val="single" w:sz="4" w:space="0" w:color="auto"/>
              <w:bottom w:val="single" w:sz="4" w:space="0" w:color="auto"/>
              <w:right w:val="single" w:sz="4" w:space="0" w:color="auto"/>
            </w:tcBorders>
            <w:shd w:val="clear" w:color="auto" w:fill="C6EFCE"/>
            <w:noWrap/>
            <w:vAlign w:val="center"/>
            <w:hideMark/>
          </w:tcPr>
          <w:p w14:paraId="58C92C35" w14:textId="77777777" w:rsidR="00F208CE" w:rsidRDefault="00513E84">
            <w:pPr>
              <w:pStyle w:val="P68B1DB1-Normal8"/>
              <w:spacing w:after="0"/>
              <w:jc w:val="center"/>
              <w:rPr>
                <w:rFonts w:eastAsia="Times New Roman" w:cs="Times New Roman"/>
                <w:noProof/>
              </w:rPr>
            </w:pPr>
            <w:r>
              <w:rPr>
                <w:noProof/>
              </w:rPr>
              <w:t>208</w:t>
            </w:r>
          </w:p>
        </w:tc>
        <w:tc>
          <w:tcPr>
            <w:tcW w:w="1680" w:type="dxa"/>
            <w:tcBorders>
              <w:top w:val="nil"/>
              <w:left w:val="nil"/>
              <w:bottom w:val="single" w:sz="4" w:space="0" w:color="auto"/>
              <w:right w:val="single" w:sz="4" w:space="0" w:color="auto"/>
            </w:tcBorders>
            <w:shd w:val="clear" w:color="auto" w:fill="C6EFCE"/>
            <w:noWrap/>
            <w:vAlign w:val="center"/>
          </w:tcPr>
          <w:p w14:paraId="38B1E417" w14:textId="77777777" w:rsidR="00F208CE" w:rsidRDefault="00513E84">
            <w:pPr>
              <w:pStyle w:val="P68B1DB1-Normal8"/>
              <w:spacing w:after="0"/>
              <w:rPr>
                <w:rFonts w:eastAsia="Times New Roman" w:cs="Times New Roman"/>
                <w:noProof/>
              </w:rPr>
            </w:pPr>
            <w:r>
              <w:rPr>
                <w:noProof/>
              </w:rPr>
              <w:t>Revisiones del gasto (R-6)</w:t>
            </w:r>
          </w:p>
        </w:tc>
        <w:tc>
          <w:tcPr>
            <w:tcW w:w="1155" w:type="dxa"/>
            <w:tcBorders>
              <w:top w:val="nil"/>
              <w:left w:val="nil"/>
              <w:bottom w:val="single" w:sz="4" w:space="0" w:color="auto"/>
              <w:right w:val="single" w:sz="4" w:space="0" w:color="auto"/>
            </w:tcBorders>
            <w:shd w:val="clear" w:color="auto" w:fill="C6EFCE"/>
            <w:noWrap/>
            <w:vAlign w:val="center"/>
          </w:tcPr>
          <w:p w14:paraId="1B882358" w14:textId="3F9BD227" w:rsidR="00F208CE" w:rsidRDefault="00513E84">
            <w:pPr>
              <w:pStyle w:val="P68B1DB1-Normal8"/>
              <w:spacing w:after="0"/>
              <w:jc w:val="center"/>
              <w:rPr>
                <w:rFonts w:eastAsia="Times New Roman" w:cs="Times New Roman"/>
                <w:noProof/>
              </w:rPr>
            </w:pPr>
            <w:r>
              <w:rPr>
                <w:noProof/>
              </w:rPr>
              <w:t>M</w:t>
            </w:r>
          </w:p>
        </w:tc>
        <w:tc>
          <w:tcPr>
            <w:tcW w:w="1725" w:type="dxa"/>
            <w:tcBorders>
              <w:top w:val="nil"/>
              <w:left w:val="nil"/>
              <w:bottom w:val="single" w:sz="4" w:space="0" w:color="auto"/>
              <w:right w:val="single" w:sz="4" w:space="0" w:color="auto"/>
            </w:tcBorders>
            <w:shd w:val="clear" w:color="auto" w:fill="C6EFCE"/>
            <w:noWrap/>
            <w:vAlign w:val="center"/>
          </w:tcPr>
          <w:p w14:paraId="50C0AA67" w14:textId="77777777" w:rsidR="00F208CE" w:rsidRDefault="00513E84">
            <w:pPr>
              <w:pStyle w:val="P68B1DB1-Normal8"/>
              <w:spacing w:after="0"/>
              <w:rPr>
                <w:rFonts w:eastAsia="Times New Roman" w:cs="Times New Roman"/>
                <w:noProof/>
              </w:rPr>
            </w:pPr>
            <w:r>
              <w:rPr>
                <w:noProof/>
              </w:rPr>
              <w:t>Análisis ex post del gasto</w:t>
            </w:r>
          </w:p>
        </w:tc>
        <w:tc>
          <w:tcPr>
            <w:tcW w:w="1920" w:type="dxa"/>
            <w:tcBorders>
              <w:top w:val="nil"/>
              <w:left w:val="nil"/>
              <w:bottom w:val="single" w:sz="4" w:space="0" w:color="auto"/>
              <w:right w:val="single" w:sz="4" w:space="0" w:color="auto"/>
            </w:tcBorders>
            <w:shd w:val="clear" w:color="auto" w:fill="C6EFCE"/>
            <w:noWrap/>
            <w:vAlign w:val="center"/>
          </w:tcPr>
          <w:p w14:paraId="0A561D8B" w14:textId="77777777" w:rsidR="00F208CE" w:rsidRDefault="00513E84">
            <w:pPr>
              <w:pStyle w:val="P68B1DB1-Normal8"/>
              <w:spacing w:after="0"/>
              <w:rPr>
                <w:rFonts w:eastAsia="Times New Roman" w:cs="Times New Roman"/>
                <w:noProof/>
              </w:rPr>
            </w:pPr>
            <w:r>
              <w:rPr>
                <w:noProof/>
              </w:rPr>
              <w:t>Informe de evaluación.</w:t>
            </w:r>
          </w:p>
        </w:tc>
        <w:tc>
          <w:tcPr>
            <w:tcW w:w="1200" w:type="dxa"/>
            <w:tcBorders>
              <w:top w:val="nil"/>
              <w:left w:val="nil"/>
              <w:bottom w:val="single" w:sz="4" w:space="0" w:color="auto"/>
              <w:right w:val="single" w:sz="4" w:space="0" w:color="auto"/>
            </w:tcBorders>
            <w:shd w:val="clear" w:color="auto" w:fill="C6EFCE"/>
            <w:noWrap/>
            <w:vAlign w:val="center"/>
          </w:tcPr>
          <w:p w14:paraId="24B81518"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tcPr>
          <w:p w14:paraId="450E0B04" w14:textId="77777777" w:rsidR="00F208CE" w:rsidRDefault="00513E84">
            <w:pPr>
              <w:pStyle w:val="P68B1DB1-Normal8"/>
              <w:spacing w:after="0"/>
              <w:rPr>
                <w:rFonts w:eastAsia="Times New Roman" w:cs="Times New Roman"/>
                <w:noProof/>
              </w:rPr>
            </w:pPr>
            <w:r>
              <w:rPr>
                <w:noProof/>
              </w:rPr>
              <w:t xml:space="preserve"> </w:t>
            </w:r>
          </w:p>
        </w:tc>
        <w:tc>
          <w:tcPr>
            <w:tcW w:w="720" w:type="dxa"/>
            <w:tcBorders>
              <w:top w:val="nil"/>
              <w:left w:val="nil"/>
              <w:bottom w:val="single" w:sz="4" w:space="0" w:color="auto"/>
              <w:right w:val="single" w:sz="4" w:space="0" w:color="auto"/>
            </w:tcBorders>
            <w:shd w:val="clear" w:color="auto" w:fill="C6EFCE"/>
            <w:noWrap/>
            <w:vAlign w:val="center"/>
          </w:tcPr>
          <w:p w14:paraId="46C9755D" w14:textId="77777777" w:rsidR="00F208CE" w:rsidRDefault="00513E84">
            <w:pPr>
              <w:pStyle w:val="P68B1DB1-Normal8"/>
              <w:spacing w:after="0"/>
              <w:rPr>
                <w:rFonts w:eastAsia="Times New Roman" w:cs="Times New Roman"/>
                <w:noProof/>
              </w:rPr>
            </w:pPr>
            <w:r>
              <w:rPr>
                <w:noProof/>
              </w:rPr>
              <w:t xml:space="preserve"> </w:t>
            </w:r>
          </w:p>
        </w:tc>
        <w:tc>
          <w:tcPr>
            <w:tcW w:w="960" w:type="dxa"/>
            <w:tcBorders>
              <w:top w:val="nil"/>
              <w:left w:val="nil"/>
              <w:bottom w:val="single" w:sz="4" w:space="0" w:color="auto"/>
              <w:right w:val="single" w:sz="4" w:space="0" w:color="auto"/>
            </w:tcBorders>
            <w:shd w:val="clear" w:color="auto" w:fill="C6EFCE"/>
            <w:noWrap/>
            <w:vAlign w:val="center"/>
          </w:tcPr>
          <w:p w14:paraId="39A8539E" w14:textId="77777777" w:rsidR="00F208CE" w:rsidRDefault="00513E84">
            <w:pPr>
              <w:pStyle w:val="P68B1DB1-Normal8"/>
              <w:spacing w:after="0"/>
              <w:jc w:val="center"/>
              <w:rPr>
                <w:rFonts w:eastAsia="Times New Roman" w:cs="Times New Roman"/>
                <w:noProof/>
              </w:rPr>
            </w:pPr>
            <w:r>
              <w:rPr>
                <w:noProof/>
              </w:rPr>
              <w:t>TERCER TRIMESTRE 4</w:t>
            </w:r>
          </w:p>
        </w:tc>
        <w:tc>
          <w:tcPr>
            <w:tcW w:w="840" w:type="dxa"/>
            <w:tcBorders>
              <w:top w:val="nil"/>
              <w:left w:val="nil"/>
              <w:bottom w:val="single" w:sz="4" w:space="0" w:color="auto"/>
              <w:right w:val="single" w:sz="4" w:space="0" w:color="auto"/>
            </w:tcBorders>
            <w:shd w:val="clear" w:color="auto" w:fill="C6EFCE"/>
            <w:noWrap/>
            <w:vAlign w:val="center"/>
          </w:tcPr>
          <w:p w14:paraId="099C9E48" w14:textId="77777777" w:rsidR="00F208CE" w:rsidRDefault="00513E84">
            <w:pPr>
              <w:pStyle w:val="P68B1DB1-Normal8"/>
              <w:spacing w:after="0"/>
              <w:jc w:val="center"/>
              <w:rPr>
                <w:rFonts w:eastAsia="Times New Roman" w:cs="Times New Roman"/>
                <w:noProof/>
              </w:rPr>
            </w:pPr>
            <w:r>
              <w:rPr>
                <w:noProof/>
              </w:rPr>
              <w:t>2024</w:t>
            </w:r>
          </w:p>
        </w:tc>
        <w:tc>
          <w:tcPr>
            <w:tcW w:w="4257" w:type="dxa"/>
            <w:tcBorders>
              <w:top w:val="nil"/>
              <w:left w:val="single" w:sz="4" w:space="0" w:color="auto"/>
              <w:bottom w:val="single" w:sz="4" w:space="0" w:color="auto"/>
              <w:right w:val="single" w:sz="4" w:space="0" w:color="auto"/>
            </w:tcBorders>
            <w:shd w:val="clear" w:color="auto" w:fill="C6EFCE"/>
            <w:noWrap/>
            <w:vAlign w:val="center"/>
          </w:tcPr>
          <w:p w14:paraId="5870E761" w14:textId="77777777" w:rsidR="00F208CE" w:rsidRDefault="00513E84">
            <w:pPr>
              <w:pStyle w:val="P68B1DB1-Normal8"/>
              <w:spacing w:after="0"/>
              <w:rPr>
                <w:rFonts w:eastAsia="Times New Roman" w:cs="Times New Roman"/>
                <w:noProof/>
              </w:rPr>
            </w:pPr>
            <w:r>
              <w:rPr>
                <w:noProof/>
              </w:rPr>
              <w:t>Para la región federal, la Región Flamenca, la Región</w:t>
            </w:r>
            <w:r>
              <w:rPr>
                <w:noProof/>
              </w:rPr>
              <w:t xml:space="preserve"> Valona, la Región de Bruselas-Capital y las autoridades comunitarias francesas: Análisis ex post del gasto: Publicación del informe de evaluación de las revisiones del gasto.</w:t>
            </w:r>
          </w:p>
        </w:tc>
      </w:tr>
    </w:tbl>
    <w:p w14:paraId="28248F9B" w14:textId="77777777" w:rsidR="00F208CE" w:rsidRDefault="00F208CE">
      <w:pPr>
        <w:pStyle w:val="Text1"/>
        <w:ind w:left="709"/>
        <w:rPr>
          <w:noProof/>
        </w:rPr>
        <w:sectPr w:rsidR="00F208CE" w:rsidSect="007F56C3">
          <w:headerReference w:type="default" r:id="rId172"/>
          <w:footerReference w:type="default" r:id="rId173"/>
          <w:pgSz w:w="16839" w:h="11907" w:orient="landscape"/>
          <w:pgMar w:top="1134" w:right="1134" w:bottom="1134" w:left="1134" w:header="567" w:footer="567" w:gutter="0"/>
          <w:cols w:space="720"/>
          <w:docGrid w:linePitch="360"/>
        </w:sectPr>
      </w:pPr>
    </w:p>
    <w:p w14:paraId="5F350C70" w14:textId="77777777" w:rsidR="00F208CE" w:rsidRDefault="00513E84">
      <w:pPr>
        <w:pStyle w:val="P68B1DB1-Jalonsetcibles21"/>
        <w:spacing w:before="120" w:after="120" w:line="240" w:lineRule="auto"/>
        <w:rPr>
          <w:noProof/>
        </w:rPr>
      </w:pPr>
      <w:r>
        <w:rPr>
          <w:noProof/>
        </w:rPr>
        <w:t xml:space="preserve">Capítulo de </w:t>
      </w:r>
      <w:r>
        <w:rPr>
          <w:noProof/>
        </w:rPr>
        <w:t>REPowerEU</w:t>
      </w:r>
    </w:p>
    <w:p w14:paraId="112B0B91" w14:textId="1E0DB633" w:rsidR="00F208CE" w:rsidRDefault="00513E84">
      <w:pPr>
        <w:pStyle w:val="ManualHeading1"/>
        <w:spacing w:before="120"/>
        <w:ind w:left="0" w:hanging="130"/>
        <w:rPr>
          <w:noProof/>
        </w:rPr>
      </w:pPr>
      <w:r>
        <w:rPr>
          <w:noProof/>
        </w:rPr>
        <w:t xml:space="preserve">R. </w:t>
      </w:r>
      <w:r>
        <w:rPr>
          <w:caps/>
          <w:smallCaps w:val="0"/>
          <w:noProof/>
        </w:rPr>
        <w:t>COMPONENTE</w:t>
      </w:r>
      <w:r>
        <w:rPr>
          <w:noProof/>
        </w:rPr>
        <w:t xml:space="preserve"> 7.1: Renovación de los edificios</w:t>
      </w:r>
    </w:p>
    <w:p w14:paraId="3B677C36" w14:textId="77777777" w:rsidR="00F208CE" w:rsidRDefault="00513E84">
      <w:pPr>
        <w:pStyle w:val="Text1"/>
        <w:ind w:left="0"/>
        <w:rPr>
          <w:noProof/>
        </w:rPr>
      </w:pPr>
      <w:r>
        <w:rPr>
          <w:noProof/>
        </w:rPr>
        <w:t>El capítulo de REPowerEU aborda el reto de reducir la dependencia de los combustibles fósiles e impulsar la eficiencia energética. El objetivo de este componente del capítulo de REPowerEU del plan be</w:t>
      </w:r>
      <w:r>
        <w:rPr>
          <w:noProof/>
        </w:rPr>
        <w:t>lga de recuperación y resiliencia es renovar el parque inmobiliario existente y hacerlo más eficiente desde el punto de vista energético y de los recursos. El componente se centra en la renovación de edificios públicos y privados, incluidas las infraestruc</w:t>
      </w:r>
      <w:r>
        <w:rPr>
          <w:noProof/>
        </w:rPr>
        <w:t xml:space="preserve">turas sociales y las viviendas residenciales, y, de manera más general, en los edificios menos eficientes en términos de eficiencia energética. Por lo tanto, este componente contribuye a reducir las emisiones de gases de efecto invernadero y a fomentar el </w:t>
      </w:r>
      <w:r>
        <w:rPr>
          <w:noProof/>
        </w:rPr>
        <w:t xml:space="preserve">crecimiento de la construcción sostenible, así como la resiliencia social mediante la reducción de las facturas energéticas. </w:t>
      </w:r>
    </w:p>
    <w:p w14:paraId="0C1508D9" w14:textId="77777777" w:rsidR="00F208CE" w:rsidRDefault="00513E84">
      <w:pPr>
        <w:pStyle w:val="Text1"/>
        <w:ind w:left="0"/>
        <w:rPr>
          <w:noProof/>
        </w:rPr>
      </w:pPr>
      <w:r>
        <w:rPr>
          <w:noProof/>
        </w:rPr>
        <w:t xml:space="preserve">El componente contribuye a abordar las recomendaciones específicas por país n.º 2022.4 y n.º 2023.4, en las que se pide a Bélgica </w:t>
      </w:r>
      <w:r>
        <w:rPr>
          <w:noProof/>
        </w:rPr>
        <w:t xml:space="preserve">que </w:t>
      </w:r>
      <w:r>
        <w:rPr>
          <w:i/>
          <w:noProof/>
        </w:rPr>
        <w:t>reduzca la dependencia general de los combustibles fósiles intensificando las mejoras de la eficiencia energética y la reducción del uso de combustibles fósiles en los edificios</w:t>
      </w:r>
      <w:r>
        <w:rPr>
          <w:noProof/>
        </w:rPr>
        <w:t>.</w:t>
      </w:r>
    </w:p>
    <w:p w14:paraId="1E012F85" w14:textId="77777777" w:rsidR="00F208CE" w:rsidRDefault="00513E84">
      <w:pPr>
        <w:pStyle w:val="P68B1DB1-Normal1"/>
        <w:spacing w:before="120" w:after="120" w:line="240" w:lineRule="auto"/>
        <w:jc w:val="both"/>
        <w:rPr>
          <w:rFonts w:cs="Times New Roman"/>
          <w:noProof/>
        </w:rPr>
      </w:pPr>
      <w:r>
        <w:rPr>
          <w:noProof/>
        </w:rPr>
        <w:t>Se espera que ninguna medida de este componente perjudique significativam</w:t>
      </w:r>
      <w:r>
        <w:rPr>
          <w:noProof/>
        </w:rPr>
        <w:t>ente a los objetivos medioambientales en el sentido del artículo 17 del Reglamento (UE) 2020/852, teniendo en cuenta la descripción de las medidas y las medidas atenuantes establecidas en el plan de recuperación y resiliencia de conformidad con las orienta</w:t>
      </w:r>
      <w:r>
        <w:rPr>
          <w:noProof/>
        </w:rPr>
        <w:t>ciones técnicas de DNSH (2021/C58/01).</w:t>
      </w:r>
    </w:p>
    <w:p w14:paraId="2E88CE1F" w14:textId="72CB6EC8"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R.1. </w:t>
      </w:r>
      <w:r>
        <w:rPr>
          <w:noProof/>
        </w:rPr>
        <w:t xml:space="preserve"> </w:t>
      </w:r>
      <w:r>
        <w:rPr>
          <w:rFonts w:ascii="Times New Roman" w:hAnsi="Times New Roman"/>
          <w:b/>
          <w:noProof/>
          <w:sz w:val="24"/>
          <w:u w:val="single"/>
        </w:rPr>
        <w:t>Descripción de las reformas e inversiones para la ayuda financiera no reembolsable</w:t>
      </w:r>
    </w:p>
    <w:p w14:paraId="515835B4" w14:textId="77777777" w:rsidR="00F208CE" w:rsidRDefault="00513E84">
      <w:pPr>
        <w:pStyle w:val="P68B1DB1-Jalonsetcibles22"/>
        <w:spacing w:before="120" w:after="120" w:line="240" w:lineRule="auto"/>
        <w:jc w:val="both"/>
        <w:rPr>
          <w:noProof/>
        </w:rPr>
      </w:pPr>
      <w:r>
        <w:rPr>
          <w:noProof/>
        </w:rPr>
        <w:t>Reforma R-7.01: «Revisión del Código sobre el aire, el clima y la energía» de la Región de Bruselas-Capital</w:t>
      </w:r>
    </w:p>
    <w:p w14:paraId="6A3E65F0" w14:textId="77777777" w:rsidR="00F208CE" w:rsidRDefault="00513E84">
      <w:pPr>
        <w:pStyle w:val="P68B1DB1-Jalonsetcibles23"/>
        <w:spacing w:before="120" w:after="120" w:line="240" w:lineRule="auto"/>
        <w:jc w:val="both"/>
        <w:rPr>
          <w:noProof/>
        </w:rPr>
      </w:pPr>
      <w:r>
        <w:rPr>
          <w:noProof/>
        </w:rPr>
        <w:t>Esta reforma consist</w:t>
      </w:r>
      <w:r>
        <w:rPr>
          <w:noProof/>
        </w:rPr>
        <w:t>e en modificar el Código de Bruselas sobre el aire, el clima y la energía (COBRACE) e introducir nuevas obligaciones en materia de renovación de edificios y edificios nuevos. Se exigirá un certificado de eficiencia energética de los edificios para todas la</w:t>
      </w:r>
      <w:r>
        <w:rPr>
          <w:noProof/>
        </w:rPr>
        <w:t xml:space="preserve">s unidades de EPB residenciales y no residenciales. En el caso del parque inmobiliario residencial, toda unidad EPB deberá someterse a obras de renovación con el fin de cumplir los siguientes requisitos de consumo de energía primaria: Las unidades EPB del </w:t>
      </w:r>
      <w:r>
        <w:rPr>
          <w:noProof/>
        </w:rPr>
        <w:t>parque inmobiliario residencial deben corresponder como mínimo a un nivel de consumo de energía primaria inferior a 275 kWh/m²/año (límite de la clase E) en un plazo de 10 años o, a más tardar, en 2033, e inferior a 150 kWh/m²/año (límite de la clase C) pa</w:t>
      </w:r>
      <w:r>
        <w:rPr>
          <w:noProof/>
        </w:rPr>
        <w:t xml:space="preserve">ra los requisitos que deben cumplirse en un plazo de 20 años. </w:t>
      </w:r>
    </w:p>
    <w:p w14:paraId="76D99C8C" w14:textId="77777777" w:rsidR="00F208CE" w:rsidRDefault="00513E84">
      <w:pPr>
        <w:pStyle w:val="P68B1DB1-Jalonsetcibles23"/>
        <w:spacing w:before="120" w:after="120" w:line="240" w:lineRule="auto"/>
        <w:jc w:val="both"/>
        <w:rPr>
          <w:noProof/>
        </w:rPr>
      </w:pPr>
      <w:r>
        <w:rPr>
          <w:noProof/>
        </w:rPr>
        <w:t xml:space="preserve">A partir del 1 de enero de 2025, todos los edificios nuevos dispondrán únicamente de sistemas de calefacción para los que los generadores de calor cumplan los requisitos de diseño ecológico de </w:t>
      </w:r>
      <w:r>
        <w:rPr>
          <w:noProof/>
        </w:rPr>
        <w:t>la Directiva 2009/125/CE y produzcan calor únicamente a partir de electricidad o energía procedente de fuentes renovables o estén conectados a un sistema urbano de calefacción eficiente. En segundo lugar, a partir de 2027, toda nueva construcción que sea p</w:t>
      </w:r>
      <w:r>
        <w:rPr>
          <w:noProof/>
        </w:rPr>
        <w:t>ropiedad de una autoridad pública, esté ocupada o vaya a ser ocupada por una autoridad pública cumplirá el objetivo de «cero emisiones» y estará equipada con una instalación para la producción de energía solar. En tercer lugar, a partir de 2030, el objetiv</w:t>
      </w:r>
      <w:r>
        <w:rPr>
          <w:noProof/>
        </w:rPr>
        <w:t xml:space="preserve">o de cero emisiones deberá alcanzarse mediante cualquier nueva construcción. </w:t>
      </w:r>
    </w:p>
    <w:p w14:paraId="1557AA70" w14:textId="77777777" w:rsidR="00F208CE" w:rsidRDefault="00513E84">
      <w:pPr>
        <w:pStyle w:val="pf1"/>
        <w:jc w:val="both"/>
        <w:rPr>
          <w:noProof/>
        </w:rPr>
      </w:pPr>
      <w:r>
        <w:rPr>
          <w:noProof/>
        </w:rPr>
        <w:t>El período transitorio para la aplicación de la reforma comenzará el 30 de junio de 2024 con la entrada en vigor de los requisitos de diseño ecológico para los sistemas de calefa</w:t>
      </w:r>
      <w:r>
        <w:rPr>
          <w:noProof/>
        </w:rPr>
        <w:t xml:space="preserve">cción a partir del 1 de enero de 2025. </w:t>
      </w:r>
    </w:p>
    <w:p w14:paraId="5F323CAA" w14:textId="77777777" w:rsidR="00F208CE" w:rsidRDefault="00513E84">
      <w:pPr>
        <w:pStyle w:val="P68B1DB1-Normal1"/>
        <w:rPr>
          <w:rFonts w:cs="Times New Roman"/>
          <w:noProof/>
        </w:rPr>
      </w:pPr>
      <w:r>
        <w:rPr>
          <w:noProof/>
        </w:rPr>
        <w:t xml:space="preserve">La </w:t>
      </w:r>
      <w:r>
        <w:rPr>
          <w:noProof/>
          <w:color w:val="000000" w:themeColor="text1"/>
        </w:rPr>
        <w:t xml:space="preserve">implementación de la medida estará terminada a más tardar </w:t>
      </w:r>
      <w:r>
        <w:rPr>
          <w:noProof/>
        </w:rPr>
        <w:t xml:space="preserve">el 30 de junio de 2024. </w:t>
      </w:r>
    </w:p>
    <w:p w14:paraId="031FEA15" w14:textId="77777777" w:rsidR="00F208CE" w:rsidRDefault="00513E84">
      <w:pPr>
        <w:pStyle w:val="P68B1DB1-Normal24"/>
        <w:rPr>
          <w:rFonts w:ascii="Times New Roman" w:eastAsia="Yu Gothic" w:hAnsi="Times New Roman" w:cs="Times New Roman"/>
          <w:noProof/>
        </w:rPr>
      </w:pPr>
      <w:r>
        <w:rPr>
          <w:noProof/>
        </w:rPr>
        <w:br w:type="page"/>
      </w:r>
    </w:p>
    <w:p w14:paraId="6E2A4019" w14:textId="1D69E917" w:rsidR="00F208CE" w:rsidRDefault="00513E84">
      <w:pPr>
        <w:pStyle w:val="P68B1DB1-Jalonsetcibles22"/>
        <w:spacing w:before="120" w:after="120" w:line="240" w:lineRule="auto"/>
        <w:jc w:val="both"/>
        <w:rPr>
          <w:noProof/>
        </w:rPr>
      </w:pPr>
      <w:r>
        <w:rPr>
          <w:noProof/>
        </w:rPr>
        <w:t>Inversión I-7.01: «Programa mejorado de subvenciones a la energía» de la Región de Bruselas-Capital</w:t>
      </w:r>
    </w:p>
    <w:p w14:paraId="65E9F026" w14:textId="5CA1C6E2" w:rsidR="00F208CE" w:rsidRDefault="00513E84">
      <w:pPr>
        <w:pStyle w:val="P68B1DB1-Jalonsetcibles23"/>
        <w:spacing w:before="120" w:after="120" w:line="240" w:lineRule="auto"/>
        <w:jc w:val="both"/>
        <w:rPr>
          <w:noProof/>
        </w:rPr>
      </w:pPr>
      <w:r>
        <w:rPr>
          <w:noProof/>
        </w:rPr>
        <w:t xml:space="preserve">Esta medida financiará </w:t>
      </w:r>
      <w:r>
        <w:rPr>
          <w:noProof/>
        </w:rPr>
        <w:t>subvenciones del programa de subvenciones a la renovación de RENOLUTION para renovaciones de eficiencia energética para hogares con bajos ingresos. La inversión estará completada a más tardar el 31 de diciembre de 2024.</w:t>
      </w:r>
    </w:p>
    <w:p w14:paraId="5AAEBF64" w14:textId="24ED1B01" w:rsidR="00F208CE" w:rsidRDefault="00513E84">
      <w:pPr>
        <w:pStyle w:val="P68B1DB1-Jalonsetcibles22"/>
        <w:spacing w:before="120" w:after="120" w:line="240" w:lineRule="auto"/>
        <w:jc w:val="both"/>
        <w:rPr>
          <w:rFonts w:eastAsia="Times New Roman"/>
          <w:noProof/>
        </w:rPr>
      </w:pPr>
      <w:r>
        <w:rPr>
          <w:noProof/>
        </w:rPr>
        <w:t xml:space="preserve">Inversión I-7.02: «Medida ampliada: </w:t>
      </w:r>
      <w:r>
        <w:rPr>
          <w:noProof/>
        </w:rPr>
        <w:t>Mejora del régimen de subvenciones a la energía» de la Región Flamenca</w:t>
      </w:r>
    </w:p>
    <w:p w14:paraId="7CF13425" w14:textId="4B7544E3" w:rsidR="00F208CE" w:rsidRDefault="00513E84">
      <w:pPr>
        <w:pStyle w:val="P68B1DB1-Jalonsetcibles23"/>
        <w:spacing w:before="120" w:after="120" w:line="240" w:lineRule="auto"/>
        <w:jc w:val="both"/>
        <w:rPr>
          <w:rFonts w:eastAsia="Times New Roman"/>
          <w:noProof/>
        </w:rPr>
      </w:pPr>
      <w:r>
        <w:rPr>
          <w:noProof/>
        </w:rPr>
        <w:t>Esta inversión incrementa la reforma R-1.01, subinversión i) «Régimen mejorado de subvenciones a la energía» de la Región Flamenca en el marco del componente 1.1: Renovación. La parte a</w:t>
      </w:r>
      <w:r>
        <w:rPr>
          <w:noProof/>
        </w:rPr>
        <w:t>mpliada de esta medida financiará el aumento de la subvención por beneficiario final para renovaciones eficientes desde el punto de vista energético de viviendas privadas. La implementación de la medida estará terminada a más tardar el 30 de junio de 2026.</w:t>
      </w:r>
    </w:p>
    <w:p w14:paraId="4C6A60F5" w14:textId="0F5EA3BB" w:rsidR="00F208CE" w:rsidRDefault="00513E84">
      <w:pPr>
        <w:pStyle w:val="P68B1DB1-Jalonsetcibles22"/>
        <w:spacing w:before="120" w:after="120" w:line="240" w:lineRule="auto"/>
        <w:rPr>
          <w:rFonts w:eastAsia="Times New Roman"/>
          <w:noProof/>
          <w:color w:val="000000" w:themeColor="text1"/>
        </w:rPr>
      </w:pPr>
      <w:r>
        <w:rPr>
          <w:noProof/>
        </w:rPr>
        <w:t>Inversión I-7.03: «Subvenciones energéticas para viviendas privadas» de la Comunidad Germanófona</w:t>
      </w:r>
    </w:p>
    <w:p w14:paraId="2816780A" w14:textId="2A3CE610" w:rsidR="00F208CE" w:rsidRDefault="00513E84">
      <w:pPr>
        <w:pStyle w:val="P68B1DB1-Jalonsetcibles23"/>
        <w:spacing w:before="120" w:after="120" w:line="240" w:lineRule="auto"/>
        <w:jc w:val="both"/>
        <w:rPr>
          <w:noProof/>
        </w:rPr>
      </w:pPr>
      <w:r>
        <w:rPr>
          <w:noProof/>
        </w:rPr>
        <w:t xml:space="preserve">Esta medida fue el componente de inversión del R-1.03 «Régimen mejorado de subvenciones a la energía» de la Comunidad Germanófona, en el marco del componente </w:t>
      </w:r>
      <w:r>
        <w:rPr>
          <w:noProof/>
        </w:rPr>
        <w:t>1.1: Renovación. La medida consiste en conceder primas energéticas para la renovación de viviendas privadas que contribuyan a la reducción del consumo de energía. La implementación de la medida estará terminada a más tardar el 30 de junio de 2024.</w:t>
      </w:r>
    </w:p>
    <w:p w14:paraId="0107D3BB" w14:textId="77777777" w:rsidR="00F208CE" w:rsidRDefault="00513E84">
      <w:pPr>
        <w:pStyle w:val="P68B1DB1-Jalonsetcibles22"/>
        <w:spacing w:before="120" w:after="120" w:line="240" w:lineRule="auto"/>
        <w:jc w:val="both"/>
        <w:rPr>
          <w:noProof/>
        </w:rPr>
      </w:pPr>
      <w:r>
        <w:rPr>
          <w:noProof/>
        </w:rPr>
        <w:t>Inversió</w:t>
      </w:r>
      <w:r>
        <w:rPr>
          <w:noProof/>
        </w:rPr>
        <w:t>n I-7.04: «Renovación de viviendas sociales» de la Región Valona</w:t>
      </w:r>
    </w:p>
    <w:p w14:paraId="245253F9" w14:textId="7E4BEEBE" w:rsidR="00F208CE" w:rsidRDefault="00513E84">
      <w:pPr>
        <w:pStyle w:val="P68B1DB1-Jalonsetcibles23"/>
        <w:spacing w:before="120" w:after="120" w:line="240" w:lineRule="auto"/>
        <w:jc w:val="both"/>
        <w:rPr>
          <w:noProof/>
        </w:rPr>
      </w:pPr>
      <w:r>
        <w:rPr>
          <w:noProof/>
        </w:rPr>
        <w:t>Esta inversión consiste en equipar las viviendas sociales con paneles solares y bombas de calor. La implementación de la medida estará terminada a más tardar el 30 de junio de 2026.</w:t>
      </w:r>
    </w:p>
    <w:p w14:paraId="056C434A" w14:textId="77777777" w:rsidR="00F208CE" w:rsidRDefault="00513E84">
      <w:pPr>
        <w:pStyle w:val="P68B1DB1-Jalonsetcibles22"/>
        <w:spacing w:before="120" w:after="120" w:line="240" w:lineRule="auto"/>
        <w:jc w:val="both"/>
        <w:rPr>
          <w:noProof/>
        </w:rPr>
      </w:pPr>
      <w:r>
        <w:rPr>
          <w:noProof/>
        </w:rPr>
        <w:t>Inversión</w:t>
      </w:r>
      <w:r>
        <w:rPr>
          <w:noProof/>
        </w:rPr>
        <w:t xml:space="preserve"> I-7.05: «Medidas energéticas y climáticas en edificios públicos» del Estado Federal</w:t>
      </w:r>
    </w:p>
    <w:p w14:paraId="255E25F8" w14:textId="57315C9E" w:rsidR="00F208CE" w:rsidRDefault="00513E84">
      <w:pPr>
        <w:pStyle w:val="P68B1DB1-Jalonsetcibles23"/>
        <w:spacing w:before="120" w:after="120" w:line="240" w:lineRule="auto"/>
        <w:jc w:val="both"/>
        <w:rPr>
          <w:noProof/>
        </w:rPr>
      </w:pPr>
      <w:r>
        <w:rPr>
          <w:noProof/>
        </w:rPr>
        <w:t xml:space="preserve">Esta inversión consiste en equipar los edificios públicos federales con estaciones de recarga, paneles solares y luces LED. El objetivo de la inversión en lo que respecta </w:t>
      </w:r>
      <w:r>
        <w:rPr>
          <w:noProof/>
        </w:rPr>
        <w:t>a la infraestructura de recarga estará en consonancia con la Directiva (UE) 2023/2413 por la que se modifica la Directiva (UE) 2018/2001 sobre fuentes de energía renovables. La implementación de la medida estará terminada a más tardar el 31 de diciembre de</w:t>
      </w:r>
      <w:r>
        <w:rPr>
          <w:noProof/>
        </w:rPr>
        <w:t xml:space="preserve"> 2025.</w:t>
      </w:r>
    </w:p>
    <w:p w14:paraId="27E36024" w14:textId="77777777" w:rsidR="00F208CE" w:rsidRDefault="00513E84">
      <w:pPr>
        <w:pStyle w:val="P68B1DB1-Jalonsetcibles22"/>
        <w:spacing w:before="120" w:after="120" w:line="240" w:lineRule="auto"/>
        <w:jc w:val="both"/>
        <w:rPr>
          <w:noProof/>
        </w:rPr>
      </w:pPr>
      <w:r>
        <w:rPr>
          <w:noProof/>
        </w:rPr>
        <w:t>Inversión I-7: «Ahorro energético en edificios públicos» de la Región Flamenca</w:t>
      </w:r>
    </w:p>
    <w:p w14:paraId="58EC1A62" w14:textId="77777777" w:rsidR="00F208CE" w:rsidRDefault="00513E84">
      <w:pPr>
        <w:pStyle w:val="P68B1DB1-Jalonsetcibles23"/>
        <w:spacing w:before="120" w:after="0" w:line="240" w:lineRule="auto"/>
        <w:jc w:val="both"/>
        <w:rPr>
          <w:noProof/>
        </w:rPr>
      </w:pPr>
      <w:r>
        <w:rPr>
          <w:noProof/>
        </w:rPr>
        <w:t>La implementación de la medida estará terminada a más tardar el 30 de junio de 2026. La inversión se compone de las siguientes submedidas/acciones:</w:t>
      </w:r>
    </w:p>
    <w:p w14:paraId="74BD06DD" w14:textId="77777777" w:rsidR="00F208CE" w:rsidRDefault="00513E84">
      <w:pPr>
        <w:pStyle w:val="P68B1DB1-Jalonsetcibles23"/>
        <w:numPr>
          <w:ilvl w:val="0"/>
          <w:numId w:val="43"/>
        </w:numPr>
        <w:spacing w:before="120" w:after="120" w:line="240" w:lineRule="auto"/>
        <w:ind w:left="714" w:hanging="357"/>
        <w:contextualSpacing/>
        <w:jc w:val="both"/>
        <w:rPr>
          <w:noProof/>
        </w:rPr>
      </w:pPr>
      <w:r>
        <w:rPr>
          <w:noProof/>
        </w:rPr>
        <w:t>Inversión I-7.06: «Ren</w:t>
      </w:r>
      <w:r>
        <w:rPr>
          <w:noProof/>
        </w:rPr>
        <w:t>ovación de edificios públicos» de la Región Flamenca</w:t>
      </w:r>
    </w:p>
    <w:p w14:paraId="12BD4BF7" w14:textId="77777777" w:rsidR="00F208CE" w:rsidRDefault="00513E84">
      <w:pPr>
        <w:pStyle w:val="P68B1DB1-Jalonsetcibles23"/>
        <w:numPr>
          <w:ilvl w:val="0"/>
          <w:numId w:val="43"/>
        </w:numPr>
        <w:spacing w:before="120" w:after="120" w:line="240" w:lineRule="auto"/>
        <w:ind w:left="714" w:hanging="357"/>
        <w:contextualSpacing/>
        <w:jc w:val="both"/>
        <w:rPr>
          <w:noProof/>
        </w:rPr>
      </w:pPr>
      <w:r>
        <w:rPr>
          <w:noProof/>
        </w:rPr>
        <w:t>Inversión I-7.07: «Medidas energéticas para escuelas públicas» de la Región Flamenca</w:t>
      </w:r>
    </w:p>
    <w:p w14:paraId="031809FE" w14:textId="012BAFEF" w:rsidR="00F208CE" w:rsidRDefault="00513E84">
      <w:pPr>
        <w:pStyle w:val="P68B1DB1-Jalonsetcibles23"/>
        <w:numPr>
          <w:ilvl w:val="0"/>
          <w:numId w:val="43"/>
        </w:numPr>
        <w:spacing w:before="120" w:after="120" w:line="240" w:lineRule="auto"/>
        <w:ind w:left="714" w:hanging="357"/>
        <w:contextualSpacing/>
        <w:jc w:val="both"/>
        <w:rPr>
          <w:noProof/>
        </w:rPr>
      </w:pPr>
      <w:r>
        <w:rPr>
          <w:noProof/>
        </w:rPr>
        <w:t>Inversión I-7.08: «Medidas energéticas para edificios asistenciales» de la Región Flamenca</w:t>
      </w:r>
    </w:p>
    <w:p w14:paraId="4C43FEC9" w14:textId="77777777" w:rsidR="00F208CE" w:rsidRDefault="00513E84">
      <w:pPr>
        <w:pStyle w:val="P68B1DB1-Jalonsetcibles23"/>
        <w:numPr>
          <w:ilvl w:val="0"/>
          <w:numId w:val="43"/>
        </w:numPr>
        <w:spacing w:before="120" w:after="240" w:line="240" w:lineRule="auto"/>
        <w:ind w:left="714" w:hanging="357"/>
        <w:jc w:val="both"/>
        <w:rPr>
          <w:noProof/>
        </w:rPr>
      </w:pPr>
      <w:r>
        <w:rPr>
          <w:noProof/>
        </w:rPr>
        <w:t xml:space="preserve">Inversión I-7.09: «Medidas </w:t>
      </w:r>
      <w:r>
        <w:rPr>
          <w:noProof/>
        </w:rPr>
        <w:t>energéticas para el edificio VRT» de la Región Flamenca</w:t>
      </w:r>
    </w:p>
    <w:p w14:paraId="6E603F2B" w14:textId="77777777" w:rsidR="00F208CE" w:rsidRDefault="00513E84">
      <w:pPr>
        <w:pStyle w:val="P68B1DB1-Jalonsetcibles22"/>
        <w:spacing w:before="120" w:after="120" w:line="240" w:lineRule="auto"/>
        <w:jc w:val="both"/>
        <w:rPr>
          <w:noProof/>
        </w:rPr>
      </w:pPr>
      <w:r>
        <w:rPr>
          <w:noProof/>
        </w:rPr>
        <w:t>Inversión I-7.06: «Renovación de edificios públicos» de la Región Flamenca</w:t>
      </w:r>
    </w:p>
    <w:p w14:paraId="7D6434AD" w14:textId="30332925" w:rsidR="00F208CE" w:rsidRDefault="00513E84">
      <w:pPr>
        <w:pStyle w:val="P68B1DB1-Jalonsetcibles23"/>
        <w:spacing w:before="120" w:after="120" w:line="240" w:lineRule="auto"/>
        <w:jc w:val="both"/>
        <w:rPr>
          <w:noProof/>
        </w:rPr>
      </w:pPr>
      <w:r>
        <w:rPr>
          <w:noProof/>
        </w:rPr>
        <w:t>Esta inversión consiste en la renovación eficiente desde el punto de vista energético de cuatro edificios públicos: (1) Marte</w:t>
      </w:r>
      <w:r>
        <w:rPr>
          <w:noProof/>
        </w:rPr>
        <w:t>laarsplein 7, Martelaarsplein 19 y Kreupelenstraat 2, Brussel, (2) Winston Churchillkaai 2, Oostende, (3) Justitiehuis, Ieper, (4) Koolstraat 35, Brussel. La medida reducirá por término medio al menos el 30 % del consumo de energía primaria, tal como se de</w:t>
      </w:r>
      <w:r>
        <w:rPr>
          <w:noProof/>
        </w:rPr>
        <w:t>fine en la Recomendación (UE) 2019/786 de la Comisión, relativa a la renovación de edificios. La implementación de la medida estará terminada a más tardar el 30 de junio de 2026.</w:t>
      </w:r>
    </w:p>
    <w:p w14:paraId="61278B85" w14:textId="77777777" w:rsidR="00F208CE" w:rsidRDefault="00513E84">
      <w:pPr>
        <w:pStyle w:val="P68B1DB1-Normal24"/>
        <w:rPr>
          <w:rFonts w:ascii="Times New Roman" w:eastAsia="Yu Gothic" w:hAnsi="Times New Roman" w:cs="Times New Roman"/>
          <w:noProof/>
        </w:rPr>
      </w:pPr>
      <w:r>
        <w:rPr>
          <w:noProof/>
        </w:rPr>
        <w:br w:type="page"/>
      </w:r>
    </w:p>
    <w:p w14:paraId="0845CBF5" w14:textId="7A63C91E" w:rsidR="00F208CE" w:rsidRDefault="00513E84">
      <w:pPr>
        <w:pStyle w:val="P68B1DB1-Jalonsetcibles22"/>
        <w:spacing w:before="120" w:after="120" w:line="240" w:lineRule="auto"/>
        <w:jc w:val="both"/>
        <w:rPr>
          <w:noProof/>
        </w:rPr>
      </w:pPr>
      <w:r>
        <w:rPr>
          <w:noProof/>
        </w:rPr>
        <w:t>Inversión I-7.07: «Medidas energéticas para escuelas públicas» de la Región</w:t>
      </w:r>
      <w:r>
        <w:rPr>
          <w:noProof/>
        </w:rPr>
        <w:t xml:space="preserve"> Flamenca</w:t>
      </w:r>
    </w:p>
    <w:p w14:paraId="78AE3A43" w14:textId="77777777" w:rsidR="00F208CE" w:rsidRDefault="00513E84">
      <w:pPr>
        <w:pStyle w:val="P68B1DB1-Jalonsetcibles23"/>
        <w:spacing w:before="120" w:after="120" w:line="240" w:lineRule="auto"/>
        <w:jc w:val="both"/>
        <w:rPr>
          <w:noProof/>
        </w:rPr>
      </w:pPr>
      <w:r>
        <w:rPr>
          <w:noProof/>
        </w:rPr>
        <w:t>Esta inversión consiste en el despliegue de paneles solares en las escuelas públicas, sobre la base de un estudio preparatorio. La implementación de la medida estará terminada a más tardar el 30 de junio de 2026.</w:t>
      </w:r>
    </w:p>
    <w:p w14:paraId="4EFE0863" w14:textId="44E3BA26" w:rsidR="00F208CE" w:rsidRDefault="00513E84">
      <w:pPr>
        <w:pStyle w:val="P68B1DB1-Jalonsetcibles22"/>
        <w:spacing w:before="120" w:after="120" w:line="240" w:lineRule="auto"/>
        <w:jc w:val="both"/>
        <w:rPr>
          <w:noProof/>
        </w:rPr>
      </w:pPr>
      <w:r>
        <w:rPr>
          <w:noProof/>
        </w:rPr>
        <w:t>Inversión I-7.08: «Medidas energé</w:t>
      </w:r>
      <w:r>
        <w:rPr>
          <w:noProof/>
        </w:rPr>
        <w:t>ticas para edificios asistenciales» de la Región Flamenca</w:t>
      </w:r>
    </w:p>
    <w:p w14:paraId="0294951C" w14:textId="269D45D5" w:rsidR="00F208CE" w:rsidRDefault="00513E84">
      <w:pPr>
        <w:pStyle w:val="P68B1DB1-Jalonsetcibles23"/>
        <w:spacing w:before="120" w:after="120" w:line="240" w:lineRule="auto"/>
        <w:jc w:val="both"/>
        <w:rPr>
          <w:noProof/>
        </w:rPr>
      </w:pPr>
      <w:r>
        <w:rPr>
          <w:noProof/>
        </w:rPr>
        <w:t xml:space="preserve">Esta inversión consiste en (1) realizar auditorías energéticas y (2) completar medidas energéticas en edificios asistenciales. La implementación de la medida estará terminada a más tardar el 30 de </w:t>
      </w:r>
      <w:r>
        <w:rPr>
          <w:noProof/>
        </w:rPr>
        <w:t>junio de 2026.</w:t>
      </w:r>
    </w:p>
    <w:p w14:paraId="1929102B" w14:textId="77777777" w:rsidR="00F208CE" w:rsidRDefault="00513E84">
      <w:pPr>
        <w:pStyle w:val="P68B1DB1-Jalonsetcibles22"/>
        <w:spacing w:before="120" w:after="120" w:line="240" w:lineRule="auto"/>
        <w:jc w:val="both"/>
        <w:rPr>
          <w:noProof/>
        </w:rPr>
      </w:pPr>
      <w:r>
        <w:rPr>
          <w:noProof/>
        </w:rPr>
        <w:t>Inversión I-7.09: «Medidas energéticas para el edificio VRT» de la Región Flamenca</w:t>
      </w:r>
    </w:p>
    <w:p w14:paraId="575DEF8E" w14:textId="23900FD9" w:rsidR="00F208CE" w:rsidRDefault="00513E84">
      <w:pPr>
        <w:pStyle w:val="P68B1DB1-Jalonsetcibles23"/>
        <w:spacing w:before="120" w:after="120" w:line="240" w:lineRule="auto"/>
        <w:jc w:val="both"/>
        <w:rPr>
          <w:noProof/>
        </w:rPr>
      </w:pPr>
      <w:r>
        <w:rPr>
          <w:noProof/>
        </w:rPr>
        <w:t>Esta inversión consiste en el despliegue de bombas de calor y paneles solares, así como luces LED, aislamiento de tejados y seguimiento inteligente de la ener</w:t>
      </w:r>
      <w:r>
        <w:rPr>
          <w:noProof/>
        </w:rPr>
        <w:t>gía en el nuevo edificio VRT (</w:t>
      </w:r>
      <w:r>
        <w:rPr>
          <w:i/>
          <w:noProof/>
        </w:rPr>
        <w:t>Vlaamse Radio en Televisie</w:t>
      </w:r>
      <w:r>
        <w:rPr>
          <w:noProof/>
        </w:rPr>
        <w:t>). La implementación de la medida estará terminada a más tardar el 30 de junio de 2026.</w:t>
      </w:r>
    </w:p>
    <w:p w14:paraId="49BBF254" w14:textId="68BCC827" w:rsidR="00F208CE" w:rsidRDefault="00513E84">
      <w:pPr>
        <w:pStyle w:val="P68B1DB1-Jalonsetcibles22"/>
        <w:spacing w:before="120" w:after="120" w:line="240" w:lineRule="auto"/>
        <w:jc w:val="both"/>
        <w:rPr>
          <w:noProof/>
        </w:rPr>
      </w:pPr>
      <w:r>
        <w:rPr>
          <w:noProof/>
        </w:rPr>
        <w:t>Inversión I-7.10: «Medidas energéticas para los edificios AWV» de la Región Flamenca</w:t>
      </w:r>
    </w:p>
    <w:p w14:paraId="0050CF59" w14:textId="68818787" w:rsidR="00F208CE" w:rsidRDefault="00513E84">
      <w:pPr>
        <w:pStyle w:val="P68B1DB1-Jalonsetcibles23"/>
        <w:spacing w:before="120" w:after="120" w:line="240" w:lineRule="auto"/>
        <w:jc w:val="both"/>
        <w:rPr>
          <w:noProof/>
        </w:rPr>
        <w:sectPr w:rsidR="00F208CE" w:rsidSect="0071084B">
          <w:headerReference w:type="even" r:id="rId174"/>
          <w:headerReference w:type="default" r:id="rId175"/>
          <w:footerReference w:type="even" r:id="rId176"/>
          <w:footerReference w:type="default" r:id="rId177"/>
          <w:headerReference w:type="first" r:id="rId178"/>
          <w:footerReference w:type="first" r:id="rId179"/>
          <w:pgSz w:w="11906" w:h="16838"/>
          <w:pgMar w:top="1417" w:right="1417" w:bottom="1417" w:left="1417" w:header="708" w:footer="708" w:gutter="0"/>
          <w:cols w:space="708"/>
          <w:docGrid w:linePitch="360"/>
        </w:sectPr>
      </w:pPr>
      <w:r>
        <w:rPr>
          <w:noProof/>
        </w:rPr>
        <w:t>Esta inversión consiste en completar cuatro proyectos de instalación en edificios AWV (</w:t>
      </w:r>
      <w:r>
        <w:rPr>
          <w:i/>
          <w:noProof/>
        </w:rPr>
        <w:t>Agentschap Wegen en Verkeer</w:t>
      </w:r>
      <w:r>
        <w:rPr>
          <w:noProof/>
        </w:rPr>
        <w:t>): aislamiento, bombas de calor, paneles solares y luces LED. La medida reducirá por término medio al menos</w:t>
      </w:r>
      <w:r>
        <w:rPr>
          <w:noProof/>
        </w:rPr>
        <w:t xml:space="preserve"> el 30 % del consumo de energía primaria, tal como se define en la Recomendación (UE) 2019/786 de la Comisión, relativa a la renovación de edificios. La implementación de la medida estará terminada a más tardar el 31 de diciembre de 2025.</w:t>
      </w:r>
    </w:p>
    <w:p w14:paraId="030858B2" w14:textId="7F6533CF" w:rsidR="00F208CE" w:rsidRDefault="00513E84">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R.2. </w:t>
      </w:r>
      <w:r>
        <w:rPr>
          <w:noProof/>
        </w:rPr>
        <w:t xml:space="preserve"> </w:t>
      </w:r>
      <w:r>
        <w:rPr>
          <w:rFonts w:ascii="Times New Roman" w:hAnsi="Times New Roman"/>
          <w:b/>
          <w:noProof/>
          <w:sz w:val="24"/>
          <w:u w:val="single"/>
        </w:rPr>
        <w:t>Hitos, meta</w:t>
      </w:r>
      <w:r>
        <w:rPr>
          <w:rFonts w:ascii="Times New Roman" w:hAnsi="Times New Roman"/>
          <w:b/>
          <w:noProof/>
          <w:sz w:val="24"/>
          <w:u w:val="single"/>
        </w:rPr>
        <w:t>s, indicadores y calendario para el seguimiento y la ejecución de la ayuda financiera no reembolsable</w:t>
      </w:r>
    </w:p>
    <w:tbl>
      <w:tblPr>
        <w:tblW w:w="157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9"/>
        <w:gridCol w:w="1320"/>
        <w:gridCol w:w="943"/>
        <w:gridCol w:w="1281"/>
        <w:gridCol w:w="1345"/>
        <w:gridCol w:w="1207"/>
        <w:gridCol w:w="992"/>
        <w:gridCol w:w="712"/>
        <w:gridCol w:w="987"/>
        <w:gridCol w:w="813"/>
        <w:gridCol w:w="5423"/>
      </w:tblGrid>
      <w:tr w:rsidR="00F208CE" w14:paraId="366FF9D5" w14:textId="77777777">
        <w:trPr>
          <w:trHeight w:val="1309"/>
          <w:tblHeader/>
        </w:trPr>
        <w:tc>
          <w:tcPr>
            <w:tcW w:w="709" w:type="dxa"/>
            <w:vMerge w:val="restart"/>
            <w:shd w:val="clear" w:color="auto" w:fill="BDD7EE"/>
            <w:vAlign w:val="center"/>
          </w:tcPr>
          <w:p w14:paraId="34A7285B" w14:textId="04F66430" w:rsidR="00F208CE" w:rsidRDefault="00513E84">
            <w:pPr>
              <w:pStyle w:val="P68B1DB1-Normal7"/>
              <w:spacing w:after="0" w:line="240" w:lineRule="auto"/>
              <w:jc w:val="center"/>
              <w:rPr>
                <w:rFonts w:cs="Times New Roman"/>
                <w:noProof/>
              </w:rPr>
            </w:pPr>
            <w:r>
              <w:rPr>
                <w:noProof/>
              </w:rPr>
              <w:t>Código N.B.:</w:t>
            </w:r>
          </w:p>
        </w:tc>
        <w:tc>
          <w:tcPr>
            <w:tcW w:w="1320" w:type="dxa"/>
            <w:vMerge w:val="restart"/>
            <w:shd w:val="clear" w:color="auto" w:fill="BDD7EE"/>
            <w:vAlign w:val="center"/>
          </w:tcPr>
          <w:p w14:paraId="0BC3F88A" w14:textId="77777777" w:rsidR="00F208CE" w:rsidRDefault="00513E84">
            <w:pPr>
              <w:pStyle w:val="P68B1DB1-Normal7"/>
              <w:spacing w:after="0" w:line="240" w:lineRule="auto"/>
              <w:jc w:val="center"/>
              <w:rPr>
                <w:rFonts w:cs="Times New Roman"/>
                <w:noProof/>
              </w:rPr>
            </w:pPr>
            <w:r>
              <w:rPr>
                <w:noProof/>
              </w:rPr>
              <w:t>Medida relacionada</w:t>
            </w:r>
          </w:p>
        </w:tc>
        <w:tc>
          <w:tcPr>
            <w:tcW w:w="943" w:type="dxa"/>
            <w:vMerge w:val="restart"/>
            <w:shd w:val="clear" w:color="auto" w:fill="BDD7EE"/>
            <w:vAlign w:val="center"/>
          </w:tcPr>
          <w:p w14:paraId="78227290" w14:textId="77777777" w:rsidR="00F208CE" w:rsidRDefault="00513E84">
            <w:pPr>
              <w:pStyle w:val="P68B1DB1-Normal7"/>
              <w:spacing w:after="0" w:line="240" w:lineRule="auto"/>
              <w:jc w:val="center"/>
              <w:rPr>
                <w:rFonts w:cs="Times New Roman"/>
                <w:noProof/>
              </w:rPr>
            </w:pPr>
            <w:r>
              <w:rPr>
                <w:noProof/>
              </w:rPr>
              <w:t>M/T</w:t>
            </w:r>
          </w:p>
        </w:tc>
        <w:tc>
          <w:tcPr>
            <w:tcW w:w="1281" w:type="dxa"/>
            <w:vMerge w:val="restart"/>
            <w:shd w:val="clear" w:color="auto" w:fill="BDD7EE"/>
            <w:vAlign w:val="center"/>
          </w:tcPr>
          <w:p w14:paraId="5C91F380" w14:textId="77777777" w:rsidR="00F208CE" w:rsidRDefault="00513E84">
            <w:pPr>
              <w:pStyle w:val="P68B1DB1-Normal7"/>
              <w:spacing w:after="0" w:line="240" w:lineRule="auto"/>
              <w:jc w:val="center"/>
              <w:rPr>
                <w:rFonts w:cs="Times New Roman"/>
                <w:noProof/>
              </w:rPr>
            </w:pPr>
            <w:r>
              <w:rPr>
                <w:noProof/>
              </w:rPr>
              <w:t>Nombre</w:t>
            </w:r>
          </w:p>
        </w:tc>
        <w:tc>
          <w:tcPr>
            <w:tcW w:w="1345" w:type="dxa"/>
            <w:vMerge w:val="restart"/>
            <w:shd w:val="clear" w:color="auto" w:fill="BDD7EE"/>
            <w:vAlign w:val="center"/>
          </w:tcPr>
          <w:p w14:paraId="663752A2" w14:textId="77777777" w:rsidR="00F208CE" w:rsidRDefault="00513E84">
            <w:pPr>
              <w:pStyle w:val="P68B1DB1-Normal7"/>
              <w:spacing w:after="0" w:line="240" w:lineRule="auto"/>
              <w:jc w:val="center"/>
              <w:rPr>
                <w:rFonts w:cs="Times New Roman"/>
                <w:noProof/>
              </w:rPr>
            </w:pPr>
            <w:r>
              <w:rPr>
                <w:noProof/>
              </w:rPr>
              <w:t>Indicadores cualitativos (para hitos)</w:t>
            </w:r>
          </w:p>
        </w:tc>
        <w:tc>
          <w:tcPr>
            <w:tcW w:w="2911" w:type="dxa"/>
            <w:gridSpan w:val="3"/>
            <w:shd w:val="clear" w:color="auto" w:fill="BDD7EE"/>
            <w:vAlign w:val="center"/>
          </w:tcPr>
          <w:p w14:paraId="736A0896" w14:textId="77777777" w:rsidR="00F208CE" w:rsidRDefault="00513E84">
            <w:pPr>
              <w:pStyle w:val="P68B1DB1-Normal7"/>
              <w:spacing w:after="0" w:line="240" w:lineRule="auto"/>
              <w:jc w:val="center"/>
              <w:rPr>
                <w:rFonts w:cs="Times New Roman"/>
                <w:noProof/>
              </w:rPr>
            </w:pPr>
            <w:r>
              <w:rPr>
                <w:noProof/>
              </w:rPr>
              <w:t>Indicadores cuantitativos (para objetivos)</w:t>
            </w:r>
          </w:p>
        </w:tc>
        <w:tc>
          <w:tcPr>
            <w:tcW w:w="1800" w:type="dxa"/>
            <w:gridSpan w:val="2"/>
            <w:shd w:val="clear" w:color="auto" w:fill="BDD7EE"/>
            <w:vAlign w:val="center"/>
          </w:tcPr>
          <w:p w14:paraId="45D8465F" w14:textId="77777777" w:rsidR="00F208CE" w:rsidRDefault="00513E84">
            <w:pPr>
              <w:pStyle w:val="P68B1DB1-Normal7"/>
              <w:spacing w:after="0" w:line="240" w:lineRule="auto"/>
              <w:jc w:val="center"/>
              <w:rPr>
                <w:rFonts w:cs="Times New Roman"/>
                <w:noProof/>
              </w:rPr>
            </w:pPr>
            <w:r>
              <w:rPr>
                <w:noProof/>
              </w:rPr>
              <w:t>Calendario de finalización</w:t>
            </w:r>
          </w:p>
        </w:tc>
        <w:tc>
          <w:tcPr>
            <w:tcW w:w="5423" w:type="dxa"/>
            <w:vMerge w:val="restart"/>
            <w:shd w:val="clear" w:color="auto" w:fill="BDD7EE"/>
            <w:vAlign w:val="center"/>
          </w:tcPr>
          <w:p w14:paraId="1510894D" w14:textId="77777777" w:rsidR="00F208CE" w:rsidRDefault="00513E84">
            <w:pPr>
              <w:pStyle w:val="P68B1DB1-Normal7"/>
              <w:spacing w:after="0" w:line="240" w:lineRule="auto"/>
              <w:jc w:val="center"/>
              <w:rPr>
                <w:rFonts w:cs="Times New Roman"/>
                <w:noProof/>
              </w:rPr>
            </w:pPr>
            <w:r>
              <w:rPr>
                <w:noProof/>
              </w:rPr>
              <w:t>Des</w:t>
            </w:r>
            <w:r>
              <w:rPr>
                <w:noProof/>
              </w:rPr>
              <w:t>cripción del hito/objetivo</w:t>
            </w:r>
          </w:p>
        </w:tc>
      </w:tr>
      <w:tr w:rsidR="00F208CE" w14:paraId="0BB897E3" w14:textId="77777777">
        <w:trPr>
          <w:trHeight w:val="589"/>
          <w:tblHeader/>
        </w:trPr>
        <w:tc>
          <w:tcPr>
            <w:tcW w:w="709" w:type="dxa"/>
            <w:vMerge/>
            <w:vAlign w:val="center"/>
          </w:tcPr>
          <w:p w14:paraId="00D03653" w14:textId="77777777" w:rsidR="00F208CE" w:rsidRDefault="00F208CE">
            <w:pPr>
              <w:spacing w:after="0" w:line="240" w:lineRule="auto"/>
              <w:rPr>
                <w:rFonts w:ascii="Times New Roman" w:eastAsia="Times New Roman" w:hAnsi="Times New Roman" w:cs="Times New Roman"/>
                <w:noProof/>
                <w:color w:val="006100"/>
              </w:rPr>
            </w:pPr>
          </w:p>
        </w:tc>
        <w:tc>
          <w:tcPr>
            <w:tcW w:w="1320" w:type="dxa"/>
            <w:vMerge/>
            <w:vAlign w:val="center"/>
          </w:tcPr>
          <w:p w14:paraId="4EC0CEBD" w14:textId="77777777" w:rsidR="00F208CE" w:rsidRDefault="00F208CE">
            <w:pPr>
              <w:spacing w:after="0" w:line="240" w:lineRule="auto"/>
              <w:rPr>
                <w:rFonts w:ascii="Times New Roman" w:eastAsia="Times New Roman" w:hAnsi="Times New Roman" w:cs="Times New Roman"/>
                <w:noProof/>
                <w:color w:val="006100"/>
              </w:rPr>
            </w:pPr>
          </w:p>
        </w:tc>
        <w:tc>
          <w:tcPr>
            <w:tcW w:w="943" w:type="dxa"/>
            <w:vMerge/>
            <w:vAlign w:val="center"/>
          </w:tcPr>
          <w:p w14:paraId="55C81887" w14:textId="77777777" w:rsidR="00F208CE" w:rsidRDefault="00F208CE">
            <w:pPr>
              <w:spacing w:after="0" w:line="240" w:lineRule="auto"/>
              <w:rPr>
                <w:rFonts w:ascii="Times New Roman" w:eastAsia="Times New Roman" w:hAnsi="Times New Roman" w:cs="Times New Roman"/>
                <w:noProof/>
                <w:color w:val="006100"/>
              </w:rPr>
            </w:pPr>
          </w:p>
        </w:tc>
        <w:tc>
          <w:tcPr>
            <w:tcW w:w="1281" w:type="dxa"/>
            <w:vMerge/>
            <w:vAlign w:val="center"/>
          </w:tcPr>
          <w:p w14:paraId="7861DF9C" w14:textId="77777777" w:rsidR="00F208CE" w:rsidRDefault="00F208CE">
            <w:pPr>
              <w:spacing w:after="0" w:line="240" w:lineRule="auto"/>
              <w:rPr>
                <w:rFonts w:ascii="Times New Roman" w:eastAsia="Times New Roman" w:hAnsi="Times New Roman" w:cs="Times New Roman"/>
                <w:noProof/>
                <w:color w:val="006100"/>
              </w:rPr>
            </w:pPr>
          </w:p>
        </w:tc>
        <w:tc>
          <w:tcPr>
            <w:tcW w:w="1345" w:type="dxa"/>
            <w:vMerge/>
            <w:vAlign w:val="center"/>
          </w:tcPr>
          <w:p w14:paraId="5DCC6B71" w14:textId="77777777" w:rsidR="00F208CE" w:rsidRDefault="00F208CE">
            <w:pPr>
              <w:spacing w:after="0" w:line="240" w:lineRule="auto"/>
              <w:rPr>
                <w:rFonts w:ascii="Times New Roman" w:eastAsia="Times New Roman" w:hAnsi="Times New Roman" w:cs="Times New Roman"/>
                <w:noProof/>
                <w:color w:val="006100"/>
              </w:rPr>
            </w:pPr>
          </w:p>
        </w:tc>
        <w:tc>
          <w:tcPr>
            <w:tcW w:w="1207" w:type="dxa"/>
            <w:shd w:val="clear" w:color="auto" w:fill="BDD7EE"/>
            <w:vAlign w:val="center"/>
          </w:tcPr>
          <w:p w14:paraId="0642ACFD" w14:textId="77777777" w:rsidR="00F208CE" w:rsidRDefault="00513E84">
            <w:pPr>
              <w:pStyle w:val="P68B1DB1-Normal7"/>
              <w:spacing w:after="0" w:line="240" w:lineRule="auto"/>
              <w:jc w:val="center"/>
              <w:rPr>
                <w:rFonts w:eastAsia="Times New Roman" w:cs="Times New Roman"/>
                <w:noProof/>
                <w:color w:val="006100"/>
              </w:rPr>
            </w:pPr>
            <w:r>
              <w:rPr>
                <w:noProof/>
              </w:rPr>
              <w:t>Unidad de medida</w:t>
            </w:r>
          </w:p>
        </w:tc>
        <w:tc>
          <w:tcPr>
            <w:tcW w:w="992" w:type="dxa"/>
            <w:shd w:val="clear" w:color="auto" w:fill="BDD7EE"/>
            <w:vAlign w:val="center"/>
          </w:tcPr>
          <w:p w14:paraId="46F31EB5" w14:textId="77777777" w:rsidR="00F208CE" w:rsidRDefault="00513E84">
            <w:pPr>
              <w:pStyle w:val="P68B1DB1-Normal7"/>
              <w:spacing w:after="0" w:line="240" w:lineRule="auto"/>
              <w:jc w:val="center"/>
              <w:rPr>
                <w:rFonts w:eastAsia="Times New Roman" w:cs="Times New Roman"/>
                <w:noProof/>
                <w:color w:val="006100"/>
              </w:rPr>
            </w:pPr>
            <w:r>
              <w:rPr>
                <w:noProof/>
              </w:rPr>
              <w:t>Basal</w:t>
            </w:r>
          </w:p>
        </w:tc>
        <w:tc>
          <w:tcPr>
            <w:tcW w:w="712" w:type="dxa"/>
            <w:shd w:val="clear" w:color="auto" w:fill="BDD7EE"/>
            <w:vAlign w:val="center"/>
          </w:tcPr>
          <w:p w14:paraId="77EDD374" w14:textId="77777777" w:rsidR="00F208CE" w:rsidRDefault="00513E84">
            <w:pPr>
              <w:pStyle w:val="P68B1DB1-Normal7"/>
              <w:spacing w:after="0" w:line="240" w:lineRule="auto"/>
              <w:jc w:val="center"/>
              <w:rPr>
                <w:rFonts w:eastAsia="Times New Roman" w:cs="Times New Roman"/>
                <w:noProof/>
                <w:color w:val="006100"/>
              </w:rPr>
            </w:pPr>
            <w:r>
              <w:rPr>
                <w:noProof/>
              </w:rPr>
              <w:t>Meta</w:t>
            </w:r>
          </w:p>
        </w:tc>
        <w:tc>
          <w:tcPr>
            <w:tcW w:w="987" w:type="dxa"/>
            <w:shd w:val="clear" w:color="auto" w:fill="BDD7EE"/>
            <w:vAlign w:val="center"/>
          </w:tcPr>
          <w:p w14:paraId="79D5F0D7" w14:textId="77777777" w:rsidR="00F208CE" w:rsidRDefault="00513E84">
            <w:pPr>
              <w:pStyle w:val="P68B1DB1-Normal7"/>
              <w:spacing w:after="0" w:line="240" w:lineRule="auto"/>
              <w:jc w:val="center"/>
              <w:rPr>
                <w:rFonts w:eastAsia="Times New Roman" w:cs="Times New Roman"/>
                <w:noProof/>
                <w:color w:val="006100"/>
              </w:rPr>
            </w:pPr>
            <w:r>
              <w:rPr>
                <w:noProof/>
              </w:rPr>
              <w:t>Trimestre</w:t>
            </w:r>
          </w:p>
        </w:tc>
        <w:tc>
          <w:tcPr>
            <w:tcW w:w="813" w:type="dxa"/>
            <w:shd w:val="clear" w:color="auto" w:fill="BDD7EE"/>
            <w:vAlign w:val="center"/>
          </w:tcPr>
          <w:p w14:paraId="1F8550EF" w14:textId="77777777" w:rsidR="00F208CE" w:rsidRDefault="00513E84">
            <w:pPr>
              <w:pStyle w:val="P68B1DB1-Normal7"/>
              <w:spacing w:after="0" w:line="240" w:lineRule="auto"/>
              <w:jc w:val="center"/>
              <w:rPr>
                <w:rFonts w:eastAsia="Times New Roman" w:cs="Times New Roman"/>
                <w:noProof/>
                <w:color w:val="006100"/>
              </w:rPr>
            </w:pPr>
            <w:r>
              <w:rPr>
                <w:noProof/>
              </w:rPr>
              <w:t>Año</w:t>
            </w:r>
          </w:p>
        </w:tc>
        <w:tc>
          <w:tcPr>
            <w:tcW w:w="5423" w:type="dxa"/>
            <w:vMerge/>
            <w:vAlign w:val="center"/>
          </w:tcPr>
          <w:p w14:paraId="587E98CB" w14:textId="77777777" w:rsidR="00F208CE" w:rsidRDefault="00F208CE">
            <w:pPr>
              <w:spacing w:after="0" w:line="240" w:lineRule="auto"/>
              <w:rPr>
                <w:rFonts w:ascii="Times New Roman" w:eastAsia="Times New Roman" w:hAnsi="Times New Roman" w:cs="Times New Roman"/>
                <w:noProof/>
                <w:color w:val="006100"/>
              </w:rPr>
            </w:pPr>
          </w:p>
        </w:tc>
      </w:tr>
      <w:tr w:rsidR="00F208CE" w14:paraId="4E3251CA" w14:textId="77777777">
        <w:tc>
          <w:tcPr>
            <w:tcW w:w="709" w:type="dxa"/>
            <w:shd w:val="clear" w:color="auto" w:fill="C6EFCE"/>
            <w:vAlign w:val="center"/>
          </w:tcPr>
          <w:p w14:paraId="43A7A7C5" w14:textId="77777777" w:rsidR="00F208CE" w:rsidRDefault="00513E84">
            <w:pPr>
              <w:pStyle w:val="P68B1DB1-Normal8"/>
              <w:spacing w:line="240" w:lineRule="auto"/>
              <w:rPr>
                <w:rFonts w:cs="Times New Roman"/>
                <w:noProof/>
              </w:rPr>
            </w:pPr>
            <w:r>
              <w:rPr>
                <w:noProof/>
              </w:rPr>
              <w:t>211</w:t>
            </w:r>
          </w:p>
        </w:tc>
        <w:tc>
          <w:tcPr>
            <w:tcW w:w="1320" w:type="dxa"/>
            <w:shd w:val="clear" w:color="auto" w:fill="C6EFCE"/>
            <w:vAlign w:val="center"/>
          </w:tcPr>
          <w:p w14:paraId="11DC1546" w14:textId="3FD6782D" w:rsidR="00F208CE" w:rsidRDefault="00513E84">
            <w:pPr>
              <w:pStyle w:val="P68B1DB1-Normal8"/>
              <w:spacing w:line="240" w:lineRule="auto"/>
              <w:rPr>
                <w:rFonts w:eastAsia="Times New Roman" w:cs="Times New Roman"/>
                <w:noProof/>
              </w:rPr>
            </w:pPr>
            <w:r>
              <w:rPr>
                <w:noProof/>
              </w:rPr>
              <w:t>Revisión del código sobre el aire, el clima y la energía — RBC (R-7.01)</w:t>
            </w:r>
          </w:p>
        </w:tc>
        <w:tc>
          <w:tcPr>
            <w:tcW w:w="943" w:type="dxa"/>
            <w:shd w:val="clear" w:color="auto" w:fill="C6EFCE"/>
            <w:vAlign w:val="center"/>
          </w:tcPr>
          <w:p w14:paraId="4328D6B3" w14:textId="77777777" w:rsidR="00F208CE" w:rsidRDefault="00513E84">
            <w:pPr>
              <w:pStyle w:val="P68B1DB1-Normal8"/>
              <w:spacing w:line="240" w:lineRule="auto"/>
              <w:jc w:val="center"/>
              <w:rPr>
                <w:rFonts w:eastAsia="Times New Roman" w:cs="Times New Roman"/>
                <w:noProof/>
              </w:rPr>
            </w:pPr>
            <w:r>
              <w:rPr>
                <w:noProof/>
              </w:rPr>
              <w:t>M</w:t>
            </w:r>
          </w:p>
        </w:tc>
        <w:tc>
          <w:tcPr>
            <w:tcW w:w="1281" w:type="dxa"/>
            <w:shd w:val="clear" w:color="auto" w:fill="C6EFCE"/>
            <w:vAlign w:val="center"/>
          </w:tcPr>
          <w:p w14:paraId="10C17AAE" w14:textId="77777777" w:rsidR="00F208CE" w:rsidRDefault="00513E84">
            <w:pPr>
              <w:pStyle w:val="P68B1DB1-Normal8"/>
              <w:spacing w:line="240" w:lineRule="auto"/>
              <w:rPr>
                <w:rFonts w:eastAsia="Times New Roman" w:cs="Times New Roman"/>
                <w:noProof/>
              </w:rPr>
            </w:pPr>
            <w:r>
              <w:rPr>
                <w:noProof/>
              </w:rPr>
              <w:t>Nuevas obligaciones para la renovación de edificios</w:t>
            </w:r>
          </w:p>
        </w:tc>
        <w:tc>
          <w:tcPr>
            <w:tcW w:w="1345" w:type="dxa"/>
            <w:shd w:val="clear" w:color="auto" w:fill="C6EFCE"/>
            <w:vAlign w:val="center"/>
          </w:tcPr>
          <w:p w14:paraId="698C1D08" w14:textId="77777777" w:rsidR="00F208CE" w:rsidRDefault="00513E84">
            <w:pPr>
              <w:pStyle w:val="P68B1DB1-Normal8"/>
              <w:spacing w:line="240" w:lineRule="auto"/>
              <w:rPr>
                <w:rFonts w:eastAsia="Times New Roman" w:cs="Times New Roman"/>
                <w:noProof/>
              </w:rPr>
            </w:pPr>
            <w:r>
              <w:rPr>
                <w:noProof/>
              </w:rPr>
              <w:t xml:space="preserve">Disposición del acto jurídico que indica la </w:t>
            </w:r>
            <w:r>
              <w:rPr>
                <w:noProof/>
              </w:rPr>
              <w:t>entrada en vigor de la ordenanza modificativa de COBRACE</w:t>
            </w:r>
          </w:p>
        </w:tc>
        <w:tc>
          <w:tcPr>
            <w:tcW w:w="1207" w:type="dxa"/>
            <w:shd w:val="clear" w:color="auto" w:fill="C6EFCE"/>
            <w:vAlign w:val="center"/>
          </w:tcPr>
          <w:p w14:paraId="3F42A21C" w14:textId="77777777" w:rsidR="00F208CE" w:rsidRDefault="00F208CE">
            <w:pPr>
              <w:spacing w:line="240" w:lineRule="auto"/>
              <w:rPr>
                <w:rFonts w:ascii="Times New Roman" w:eastAsia="Times New Roman" w:hAnsi="Times New Roman" w:cs="Times New Roman"/>
                <w:noProof/>
                <w:color w:val="006100"/>
              </w:rPr>
            </w:pPr>
          </w:p>
        </w:tc>
        <w:tc>
          <w:tcPr>
            <w:tcW w:w="992" w:type="dxa"/>
            <w:shd w:val="clear" w:color="auto" w:fill="C6EFCE"/>
            <w:vAlign w:val="center"/>
          </w:tcPr>
          <w:p w14:paraId="7A51DCB7" w14:textId="77777777" w:rsidR="00F208CE" w:rsidRDefault="00F208CE">
            <w:pPr>
              <w:spacing w:line="240" w:lineRule="auto"/>
              <w:rPr>
                <w:rFonts w:ascii="Times New Roman" w:eastAsia="Times New Roman" w:hAnsi="Times New Roman" w:cs="Times New Roman"/>
                <w:noProof/>
                <w:color w:val="006100"/>
              </w:rPr>
            </w:pPr>
          </w:p>
        </w:tc>
        <w:tc>
          <w:tcPr>
            <w:tcW w:w="712" w:type="dxa"/>
            <w:shd w:val="clear" w:color="auto" w:fill="C6EFCE"/>
            <w:vAlign w:val="center"/>
          </w:tcPr>
          <w:p w14:paraId="318D62CD" w14:textId="77777777" w:rsidR="00F208CE" w:rsidRDefault="00F208CE">
            <w:pPr>
              <w:spacing w:line="240" w:lineRule="auto"/>
              <w:rPr>
                <w:rFonts w:ascii="Times New Roman" w:eastAsia="Times New Roman" w:hAnsi="Times New Roman" w:cs="Times New Roman"/>
                <w:noProof/>
                <w:color w:val="006100"/>
              </w:rPr>
            </w:pPr>
          </w:p>
        </w:tc>
        <w:tc>
          <w:tcPr>
            <w:tcW w:w="987" w:type="dxa"/>
            <w:shd w:val="clear" w:color="auto" w:fill="C6EFCE"/>
            <w:vAlign w:val="center"/>
          </w:tcPr>
          <w:p w14:paraId="181411F1" w14:textId="2393EA36" w:rsidR="00F208CE" w:rsidRDefault="00513E84">
            <w:pPr>
              <w:pStyle w:val="P68B1DB1-Normal8"/>
              <w:spacing w:line="240" w:lineRule="auto"/>
              <w:rPr>
                <w:rFonts w:eastAsia="Times New Roman" w:cs="Times New Roman"/>
                <w:noProof/>
              </w:rPr>
            </w:pPr>
            <w:r>
              <w:rPr>
                <w:noProof/>
              </w:rPr>
              <w:t>TERCER TRIMESTRE 2</w:t>
            </w:r>
          </w:p>
        </w:tc>
        <w:tc>
          <w:tcPr>
            <w:tcW w:w="813" w:type="dxa"/>
            <w:shd w:val="clear" w:color="auto" w:fill="C6EFCE"/>
            <w:vAlign w:val="center"/>
          </w:tcPr>
          <w:p w14:paraId="5500F842" w14:textId="77777777" w:rsidR="00F208CE" w:rsidRDefault="00513E84">
            <w:pPr>
              <w:pStyle w:val="P68B1DB1-Normal8"/>
              <w:spacing w:line="240" w:lineRule="auto"/>
              <w:rPr>
                <w:rFonts w:eastAsia="Times New Roman" w:cs="Times New Roman"/>
                <w:noProof/>
              </w:rPr>
            </w:pPr>
            <w:r>
              <w:rPr>
                <w:noProof/>
              </w:rPr>
              <w:t>2024</w:t>
            </w:r>
          </w:p>
        </w:tc>
        <w:tc>
          <w:tcPr>
            <w:tcW w:w="5423" w:type="dxa"/>
            <w:shd w:val="clear" w:color="auto" w:fill="C6EFCE"/>
            <w:vAlign w:val="center"/>
          </w:tcPr>
          <w:p w14:paraId="2140CE2D" w14:textId="76315743" w:rsidR="00F208CE" w:rsidRDefault="00513E84">
            <w:pPr>
              <w:pStyle w:val="P68B1DB1-Normal8"/>
              <w:spacing w:line="240" w:lineRule="auto"/>
              <w:rPr>
                <w:rFonts w:eastAsia="Times New Roman" w:cs="Times New Roman"/>
                <w:noProof/>
              </w:rPr>
            </w:pPr>
            <w:r>
              <w:rPr>
                <w:noProof/>
              </w:rPr>
              <w:t>Entrada en vigor de la Ordenanza por la que se modifica el Código de Bruselas sobre el aire, el clima y la energía.  Estas nuevas obligaciones incluirán: i) que se exija un</w:t>
            </w:r>
            <w:r>
              <w:rPr>
                <w:noProof/>
              </w:rPr>
              <w:t xml:space="preserve"> certificado de eficiencia energética de los edificios para todas las unidades de EPB residenciales y no residenciales, ii) que las unidades EPB del parque inmobiliario residencial correspondan como mínimo a un nivel de consumo de energía primaria inferior</w:t>
            </w:r>
            <w:r>
              <w:rPr>
                <w:noProof/>
              </w:rPr>
              <w:t xml:space="preserve"> a 275 kWh/m²/año (límite de la clase E) en un plazo de 10 años o, a más tardar, en 2033, y iii) que sea inferior a 150 kWh/m²/año (límite de clase C) para los requisitos que deben cumplirse en un plazo de 20 años. A partir del 1 de enero de 2025, iv) todo</w:t>
            </w:r>
            <w:r>
              <w:rPr>
                <w:noProof/>
              </w:rPr>
              <w:t xml:space="preserve">s los edificios nuevos dispondrán únicamente de sistemas de calefacción cuyos generadores de calor cumplan los requisitos de diseño ecológico de la Directiva 2009/125/CE y produzcan calor únicamente a partir de electricidad o energía procedente de fuentes </w:t>
            </w:r>
            <w:r>
              <w:rPr>
                <w:noProof/>
              </w:rPr>
              <w:t>renovables o estén conectados a un sistema urbano de calefacción eficiente.</w:t>
            </w:r>
          </w:p>
        </w:tc>
      </w:tr>
      <w:tr w:rsidR="00F208CE" w14:paraId="2CC8D081" w14:textId="77777777">
        <w:trPr>
          <w:trHeight w:val="1047"/>
        </w:trPr>
        <w:tc>
          <w:tcPr>
            <w:tcW w:w="709" w:type="dxa"/>
            <w:shd w:val="clear" w:color="auto" w:fill="C6EFCE"/>
            <w:vAlign w:val="center"/>
          </w:tcPr>
          <w:p w14:paraId="7B788A1F" w14:textId="77777777" w:rsidR="00F208CE" w:rsidRDefault="00513E84">
            <w:pPr>
              <w:pStyle w:val="P68B1DB1-Normal8"/>
              <w:spacing w:line="240" w:lineRule="auto"/>
              <w:rPr>
                <w:rFonts w:cs="Times New Roman"/>
                <w:noProof/>
              </w:rPr>
            </w:pPr>
            <w:r>
              <w:rPr>
                <w:noProof/>
              </w:rPr>
              <w:t>212</w:t>
            </w:r>
          </w:p>
        </w:tc>
        <w:tc>
          <w:tcPr>
            <w:tcW w:w="1320" w:type="dxa"/>
            <w:shd w:val="clear" w:color="auto" w:fill="C6EFCE"/>
            <w:vAlign w:val="center"/>
          </w:tcPr>
          <w:p w14:paraId="5A57BC00" w14:textId="49E72D61" w:rsidR="00F208CE" w:rsidRDefault="00513E84">
            <w:pPr>
              <w:pStyle w:val="P68B1DB1-Normal8"/>
              <w:spacing w:line="240" w:lineRule="auto"/>
              <w:rPr>
                <w:rFonts w:eastAsia="Times New Roman" w:cs="Times New Roman"/>
                <w:noProof/>
              </w:rPr>
            </w:pPr>
            <w:r>
              <w:rPr>
                <w:noProof/>
              </w:rPr>
              <w:t>Mejora del régimen de subvenciones a la energía» — RBC (I-7.01)</w:t>
            </w:r>
          </w:p>
        </w:tc>
        <w:tc>
          <w:tcPr>
            <w:tcW w:w="943" w:type="dxa"/>
            <w:shd w:val="clear" w:color="auto" w:fill="C6EFCE"/>
            <w:vAlign w:val="center"/>
          </w:tcPr>
          <w:p w14:paraId="72D425D6" w14:textId="77777777" w:rsidR="00F208CE" w:rsidRDefault="00513E84">
            <w:pPr>
              <w:pStyle w:val="P68B1DB1-Normal8"/>
              <w:spacing w:line="240" w:lineRule="auto"/>
              <w:jc w:val="center"/>
              <w:rPr>
                <w:rFonts w:eastAsia="Times New Roman" w:cs="Times New Roman"/>
                <w:noProof/>
              </w:rPr>
            </w:pPr>
            <w:r>
              <w:rPr>
                <w:noProof/>
              </w:rPr>
              <w:t>T</w:t>
            </w:r>
          </w:p>
        </w:tc>
        <w:tc>
          <w:tcPr>
            <w:tcW w:w="1281" w:type="dxa"/>
            <w:shd w:val="clear" w:color="auto" w:fill="C6EFCE"/>
            <w:vAlign w:val="center"/>
          </w:tcPr>
          <w:p w14:paraId="4FBC7AC7" w14:textId="77777777" w:rsidR="00F208CE" w:rsidRDefault="00513E84">
            <w:pPr>
              <w:pStyle w:val="P68B1DB1-Normal8"/>
              <w:spacing w:line="240" w:lineRule="auto"/>
              <w:rPr>
                <w:rFonts w:eastAsia="Times New Roman" w:cs="Times New Roman"/>
                <w:noProof/>
              </w:rPr>
            </w:pPr>
            <w:r>
              <w:rPr>
                <w:noProof/>
              </w:rPr>
              <w:t>Subvenciones energéticas para hogares con bajos ingresos</w:t>
            </w:r>
          </w:p>
        </w:tc>
        <w:tc>
          <w:tcPr>
            <w:tcW w:w="1345" w:type="dxa"/>
            <w:shd w:val="clear" w:color="auto" w:fill="C6EFCE"/>
            <w:vAlign w:val="center"/>
          </w:tcPr>
          <w:p w14:paraId="0CBEFDD6" w14:textId="77777777" w:rsidR="00F208CE" w:rsidRDefault="00F208CE">
            <w:pPr>
              <w:spacing w:line="240" w:lineRule="auto"/>
              <w:rPr>
                <w:rFonts w:ascii="Times New Roman" w:eastAsia="Times New Roman" w:hAnsi="Times New Roman" w:cs="Times New Roman"/>
                <w:noProof/>
                <w:color w:val="006100"/>
              </w:rPr>
            </w:pPr>
          </w:p>
        </w:tc>
        <w:tc>
          <w:tcPr>
            <w:tcW w:w="1207" w:type="dxa"/>
            <w:shd w:val="clear" w:color="auto" w:fill="C6EFCE"/>
            <w:vAlign w:val="center"/>
          </w:tcPr>
          <w:p w14:paraId="161CB08B" w14:textId="77777777" w:rsidR="00F208CE" w:rsidRDefault="00513E84">
            <w:pPr>
              <w:pStyle w:val="P68B1DB1-Normal8"/>
              <w:spacing w:line="240" w:lineRule="auto"/>
              <w:rPr>
                <w:rFonts w:eastAsia="Times New Roman" w:cs="Times New Roman"/>
                <w:noProof/>
              </w:rPr>
            </w:pPr>
            <w:r>
              <w:rPr>
                <w:noProof/>
              </w:rPr>
              <w:t>Número</w:t>
            </w:r>
          </w:p>
        </w:tc>
        <w:tc>
          <w:tcPr>
            <w:tcW w:w="992" w:type="dxa"/>
            <w:shd w:val="clear" w:color="auto" w:fill="C6EFCE"/>
            <w:vAlign w:val="center"/>
          </w:tcPr>
          <w:p w14:paraId="65AD8801" w14:textId="77777777" w:rsidR="00F208CE" w:rsidRDefault="00513E84">
            <w:pPr>
              <w:pStyle w:val="P68B1DB1-Normal8"/>
              <w:spacing w:line="240" w:lineRule="auto"/>
              <w:rPr>
                <w:rFonts w:eastAsia="Times New Roman" w:cs="Times New Roman"/>
                <w:noProof/>
              </w:rPr>
            </w:pPr>
            <w:r>
              <w:rPr>
                <w:noProof/>
              </w:rPr>
              <w:t>0</w:t>
            </w:r>
          </w:p>
        </w:tc>
        <w:tc>
          <w:tcPr>
            <w:tcW w:w="712" w:type="dxa"/>
            <w:shd w:val="clear" w:color="auto" w:fill="C6EFCE"/>
            <w:vAlign w:val="center"/>
          </w:tcPr>
          <w:p w14:paraId="4D478174" w14:textId="0478C2A3" w:rsidR="00F208CE" w:rsidRDefault="00513E84">
            <w:pPr>
              <w:pStyle w:val="P68B1DB1-Normal8"/>
              <w:spacing w:line="240" w:lineRule="auto"/>
              <w:rPr>
                <w:rFonts w:eastAsia="Times New Roman" w:cs="Times New Roman"/>
                <w:noProof/>
              </w:rPr>
            </w:pPr>
            <w:r>
              <w:rPr>
                <w:noProof/>
              </w:rPr>
              <w:t>3 498</w:t>
            </w:r>
          </w:p>
        </w:tc>
        <w:tc>
          <w:tcPr>
            <w:tcW w:w="987" w:type="dxa"/>
            <w:shd w:val="clear" w:color="auto" w:fill="C6EFCE"/>
            <w:vAlign w:val="center"/>
          </w:tcPr>
          <w:p w14:paraId="4B3E18FB" w14:textId="77777777" w:rsidR="00F208CE" w:rsidRDefault="00513E84">
            <w:pPr>
              <w:pStyle w:val="P68B1DB1-Normal8"/>
              <w:spacing w:line="240" w:lineRule="auto"/>
              <w:rPr>
                <w:rFonts w:eastAsia="Times New Roman" w:cs="Times New Roman"/>
                <w:noProof/>
              </w:rPr>
            </w:pPr>
            <w:r>
              <w:rPr>
                <w:noProof/>
              </w:rPr>
              <w:t>TERCER TRIMESTRE 4</w:t>
            </w:r>
          </w:p>
        </w:tc>
        <w:tc>
          <w:tcPr>
            <w:tcW w:w="813" w:type="dxa"/>
            <w:shd w:val="clear" w:color="auto" w:fill="C6EFCE"/>
            <w:vAlign w:val="center"/>
          </w:tcPr>
          <w:p w14:paraId="285126DB" w14:textId="77777777" w:rsidR="00F208CE" w:rsidRDefault="00513E84">
            <w:pPr>
              <w:pStyle w:val="P68B1DB1-Normal8"/>
              <w:spacing w:line="240" w:lineRule="auto"/>
              <w:rPr>
                <w:rFonts w:eastAsia="Times New Roman" w:cs="Times New Roman"/>
                <w:noProof/>
              </w:rPr>
            </w:pPr>
            <w:r>
              <w:rPr>
                <w:noProof/>
              </w:rPr>
              <w:t>2024</w:t>
            </w:r>
          </w:p>
        </w:tc>
        <w:tc>
          <w:tcPr>
            <w:tcW w:w="5423" w:type="dxa"/>
            <w:shd w:val="clear" w:color="auto" w:fill="C6EFCE"/>
            <w:vAlign w:val="center"/>
          </w:tcPr>
          <w:p w14:paraId="4C4C78F3" w14:textId="600165E8" w:rsidR="00F208CE" w:rsidRDefault="00513E84">
            <w:pPr>
              <w:pStyle w:val="P68B1DB1-Normal8"/>
              <w:spacing w:line="240" w:lineRule="auto"/>
              <w:rPr>
                <w:rFonts w:eastAsia="Times New Roman" w:cs="Times New Roman"/>
                <w:noProof/>
              </w:rPr>
            </w:pPr>
            <w:r>
              <w:rPr>
                <w:noProof/>
              </w:rPr>
              <w:t>3 498 viviendas renovadas con el apoyo de subvenciones energéticas que logran la reducción de la demanda de energía primaria en beneficio de los hogares con bajos ingresos.</w:t>
            </w:r>
          </w:p>
        </w:tc>
      </w:tr>
      <w:tr w:rsidR="00F208CE" w14:paraId="3A96592F" w14:textId="77777777">
        <w:tc>
          <w:tcPr>
            <w:tcW w:w="709" w:type="dxa"/>
            <w:shd w:val="clear" w:color="auto" w:fill="C6EFCE"/>
            <w:vAlign w:val="center"/>
          </w:tcPr>
          <w:p w14:paraId="2EF3B09E" w14:textId="77777777" w:rsidR="00F208CE" w:rsidRDefault="00513E84">
            <w:pPr>
              <w:pStyle w:val="P68B1DB1-Normal8"/>
              <w:spacing w:line="240" w:lineRule="auto"/>
              <w:rPr>
                <w:rFonts w:cs="Times New Roman"/>
                <w:noProof/>
              </w:rPr>
            </w:pPr>
            <w:r>
              <w:rPr>
                <w:noProof/>
              </w:rPr>
              <w:t>213</w:t>
            </w:r>
          </w:p>
        </w:tc>
        <w:tc>
          <w:tcPr>
            <w:tcW w:w="1320" w:type="dxa"/>
            <w:shd w:val="clear" w:color="auto" w:fill="C6EFCE"/>
            <w:vAlign w:val="center"/>
          </w:tcPr>
          <w:p w14:paraId="55CB6960" w14:textId="5B5D8B27" w:rsidR="00F208CE" w:rsidRDefault="00513E84">
            <w:pPr>
              <w:pStyle w:val="P68B1DB1-Normal8"/>
              <w:spacing w:after="0" w:line="240" w:lineRule="auto"/>
              <w:rPr>
                <w:rFonts w:eastAsia="Times New Roman" w:cs="Times New Roman"/>
                <w:noProof/>
              </w:rPr>
            </w:pPr>
            <w:r>
              <w:rPr>
                <w:noProof/>
              </w:rPr>
              <w:t>Mejora del régimen de subvenciones a la energía de la Región Flamenca (I-7.02)</w:t>
            </w:r>
          </w:p>
        </w:tc>
        <w:tc>
          <w:tcPr>
            <w:tcW w:w="943" w:type="dxa"/>
            <w:shd w:val="clear" w:color="auto" w:fill="C6EFCE"/>
            <w:vAlign w:val="center"/>
          </w:tcPr>
          <w:p w14:paraId="779668C1" w14:textId="77777777" w:rsidR="00F208CE" w:rsidRDefault="00513E84">
            <w:pPr>
              <w:pStyle w:val="P68B1DB1-Normal8"/>
              <w:spacing w:line="240" w:lineRule="auto"/>
              <w:jc w:val="center"/>
              <w:rPr>
                <w:rFonts w:eastAsia="Times New Roman" w:cs="Times New Roman"/>
                <w:noProof/>
              </w:rPr>
            </w:pPr>
            <w:r>
              <w:rPr>
                <w:noProof/>
              </w:rPr>
              <w:t>M</w:t>
            </w:r>
          </w:p>
        </w:tc>
        <w:tc>
          <w:tcPr>
            <w:tcW w:w="1281" w:type="dxa"/>
            <w:shd w:val="clear" w:color="auto" w:fill="C6EFCE"/>
            <w:vAlign w:val="center"/>
          </w:tcPr>
          <w:p w14:paraId="603DAEFE" w14:textId="77777777" w:rsidR="00F208CE" w:rsidRDefault="00513E84">
            <w:pPr>
              <w:pStyle w:val="P68B1DB1-Normal8"/>
              <w:spacing w:line="240" w:lineRule="auto"/>
              <w:rPr>
                <w:rFonts w:eastAsia="Times New Roman" w:cs="Times New Roman"/>
                <w:noProof/>
              </w:rPr>
            </w:pPr>
            <w:r>
              <w:rPr>
                <w:noProof/>
              </w:rPr>
              <w:t>Aumento del régimen de subvenciones a la energía de la Región Flamenca</w:t>
            </w:r>
          </w:p>
        </w:tc>
        <w:tc>
          <w:tcPr>
            <w:tcW w:w="1345" w:type="dxa"/>
            <w:shd w:val="clear" w:color="auto" w:fill="C6EFCE"/>
            <w:vAlign w:val="center"/>
          </w:tcPr>
          <w:p w14:paraId="396F4248" w14:textId="3647185C" w:rsidR="00F208CE" w:rsidRDefault="00513E84">
            <w:pPr>
              <w:pStyle w:val="P68B1DB1-Normal8"/>
              <w:spacing w:line="240" w:lineRule="auto"/>
              <w:rPr>
                <w:rFonts w:eastAsia="Times New Roman" w:cs="Times New Roman"/>
                <w:noProof/>
              </w:rPr>
            </w:pPr>
            <w:r>
              <w:rPr>
                <w:noProof/>
              </w:rPr>
              <w:t>Entrada en vigor de la modificación del Decreto relativo al régimen de subvenciones a la energía del Gobierno flamenco</w:t>
            </w:r>
          </w:p>
        </w:tc>
        <w:tc>
          <w:tcPr>
            <w:tcW w:w="1207" w:type="dxa"/>
            <w:shd w:val="clear" w:color="auto" w:fill="C6EFCE"/>
            <w:vAlign w:val="center"/>
          </w:tcPr>
          <w:p w14:paraId="7C4E8F3B" w14:textId="77777777" w:rsidR="00F208CE" w:rsidRDefault="00F208CE">
            <w:pPr>
              <w:spacing w:line="240" w:lineRule="auto"/>
              <w:rPr>
                <w:rFonts w:ascii="Times New Roman" w:eastAsia="Times New Roman" w:hAnsi="Times New Roman" w:cs="Times New Roman"/>
                <w:noProof/>
                <w:color w:val="006100"/>
              </w:rPr>
            </w:pPr>
          </w:p>
        </w:tc>
        <w:tc>
          <w:tcPr>
            <w:tcW w:w="992" w:type="dxa"/>
            <w:shd w:val="clear" w:color="auto" w:fill="C6EFCE"/>
            <w:vAlign w:val="center"/>
          </w:tcPr>
          <w:p w14:paraId="6CD9CAC9" w14:textId="77777777" w:rsidR="00F208CE" w:rsidRDefault="00F208CE">
            <w:pPr>
              <w:spacing w:line="240" w:lineRule="auto"/>
              <w:rPr>
                <w:rFonts w:ascii="Times New Roman" w:eastAsia="Times New Roman" w:hAnsi="Times New Roman" w:cs="Times New Roman"/>
                <w:noProof/>
                <w:color w:val="006100"/>
              </w:rPr>
            </w:pPr>
          </w:p>
        </w:tc>
        <w:tc>
          <w:tcPr>
            <w:tcW w:w="712" w:type="dxa"/>
            <w:shd w:val="clear" w:color="auto" w:fill="C6EFCE"/>
            <w:vAlign w:val="center"/>
          </w:tcPr>
          <w:p w14:paraId="7A4560B3" w14:textId="77777777" w:rsidR="00F208CE" w:rsidRDefault="00F208CE">
            <w:pPr>
              <w:spacing w:line="240" w:lineRule="auto"/>
              <w:rPr>
                <w:rFonts w:ascii="Times New Roman" w:eastAsia="Times New Roman" w:hAnsi="Times New Roman" w:cs="Times New Roman"/>
                <w:noProof/>
                <w:color w:val="006100"/>
              </w:rPr>
            </w:pPr>
          </w:p>
        </w:tc>
        <w:tc>
          <w:tcPr>
            <w:tcW w:w="987" w:type="dxa"/>
            <w:shd w:val="clear" w:color="auto" w:fill="C6EFCE"/>
            <w:vAlign w:val="center"/>
          </w:tcPr>
          <w:p w14:paraId="529BB195" w14:textId="77777777" w:rsidR="00F208CE" w:rsidRDefault="00513E84">
            <w:pPr>
              <w:pStyle w:val="P68B1DB1-Normal8"/>
              <w:spacing w:line="240" w:lineRule="auto"/>
              <w:rPr>
                <w:rFonts w:eastAsia="Times New Roman" w:cs="Times New Roman"/>
                <w:noProof/>
              </w:rPr>
            </w:pPr>
            <w:r>
              <w:rPr>
                <w:noProof/>
              </w:rPr>
              <w:t>TERCER TRIMESTRE 1</w:t>
            </w:r>
          </w:p>
        </w:tc>
        <w:tc>
          <w:tcPr>
            <w:tcW w:w="813" w:type="dxa"/>
            <w:shd w:val="clear" w:color="auto" w:fill="C6EFCE"/>
            <w:vAlign w:val="center"/>
          </w:tcPr>
          <w:p w14:paraId="39F87307" w14:textId="77777777" w:rsidR="00F208CE" w:rsidRDefault="00513E84">
            <w:pPr>
              <w:pStyle w:val="P68B1DB1-Normal8"/>
              <w:spacing w:line="240" w:lineRule="auto"/>
              <w:rPr>
                <w:rFonts w:eastAsia="Times New Roman" w:cs="Times New Roman"/>
                <w:noProof/>
              </w:rPr>
            </w:pPr>
            <w:r>
              <w:rPr>
                <w:noProof/>
              </w:rPr>
              <w:t>2022</w:t>
            </w:r>
          </w:p>
        </w:tc>
        <w:tc>
          <w:tcPr>
            <w:tcW w:w="5423" w:type="dxa"/>
            <w:shd w:val="clear" w:color="auto" w:fill="C6EFCE"/>
            <w:vAlign w:val="center"/>
          </w:tcPr>
          <w:p w14:paraId="0B619B7A" w14:textId="691F9866" w:rsidR="00F208CE" w:rsidRDefault="00513E84">
            <w:pPr>
              <w:pStyle w:val="P68B1DB1-Normal8"/>
              <w:spacing w:line="240" w:lineRule="auto"/>
              <w:rPr>
                <w:rFonts w:eastAsia="Times New Roman" w:cs="Times New Roman"/>
                <w:noProof/>
                <w:highlight w:val="yellow"/>
              </w:rPr>
            </w:pPr>
            <w:r>
              <w:rPr>
                <w:noProof/>
              </w:rPr>
              <w:t xml:space="preserve">Entrada en vigor de la modificación </w:t>
            </w:r>
            <w:r>
              <w:rPr>
                <w:noProof/>
              </w:rPr>
              <w:t>del Decreto relativo al régimen de subvenciones a la energía en relación con R-1.01, subreforma i). Definirá un aumento de la ayuda a los dos grupos destinatarios de ingresos más bajos, así como un aumento de las subvenciones para el aislamiento de tejados</w:t>
            </w:r>
            <w:r>
              <w:rPr>
                <w:noProof/>
              </w:rPr>
              <w:t xml:space="preserve"> y las subvenciones para bombas de calor.</w:t>
            </w:r>
          </w:p>
        </w:tc>
      </w:tr>
      <w:tr w:rsidR="00F208CE" w14:paraId="1CB1BC49" w14:textId="77777777">
        <w:tc>
          <w:tcPr>
            <w:tcW w:w="709" w:type="dxa"/>
            <w:shd w:val="clear" w:color="auto" w:fill="C6EFCE"/>
            <w:vAlign w:val="center"/>
          </w:tcPr>
          <w:p w14:paraId="34E82CF4" w14:textId="77777777" w:rsidR="00F208CE" w:rsidRDefault="00513E84">
            <w:pPr>
              <w:pStyle w:val="P68B1DB1-Normal8"/>
              <w:spacing w:after="0" w:line="240" w:lineRule="auto"/>
              <w:rPr>
                <w:rFonts w:cs="Times New Roman"/>
                <w:noProof/>
              </w:rPr>
            </w:pPr>
            <w:r>
              <w:rPr>
                <w:noProof/>
              </w:rPr>
              <w:t>214</w:t>
            </w:r>
          </w:p>
        </w:tc>
        <w:tc>
          <w:tcPr>
            <w:tcW w:w="1320" w:type="dxa"/>
            <w:shd w:val="clear" w:color="auto" w:fill="C6EFCE"/>
            <w:vAlign w:val="center"/>
          </w:tcPr>
          <w:p w14:paraId="4A114E0E" w14:textId="359D06FE" w:rsidR="00F208CE" w:rsidRDefault="00513E84">
            <w:pPr>
              <w:pStyle w:val="P68B1DB1-Normal8"/>
              <w:spacing w:after="0" w:line="240" w:lineRule="auto"/>
              <w:rPr>
                <w:rFonts w:eastAsia="Times New Roman" w:cs="Times New Roman"/>
                <w:noProof/>
              </w:rPr>
            </w:pPr>
            <w:r>
              <w:rPr>
                <w:noProof/>
              </w:rPr>
              <w:t>Subvenciones a la energía — Comunidad germanófona (I-7.03)</w:t>
            </w:r>
          </w:p>
        </w:tc>
        <w:tc>
          <w:tcPr>
            <w:tcW w:w="943" w:type="dxa"/>
            <w:shd w:val="clear" w:color="auto" w:fill="C6EFCE"/>
            <w:vAlign w:val="center"/>
          </w:tcPr>
          <w:p w14:paraId="14EC3885" w14:textId="77777777" w:rsidR="00F208CE" w:rsidRDefault="00513E84">
            <w:pPr>
              <w:pStyle w:val="P68B1DB1-Normal8"/>
              <w:spacing w:after="0" w:line="240" w:lineRule="auto"/>
              <w:jc w:val="center"/>
              <w:rPr>
                <w:rFonts w:cs="Times New Roman"/>
                <w:noProof/>
              </w:rPr>
            </w:pPr>
            <w:r>
              <w:rPr>
                <w:noProof/>
              </w:rPr>
              <w:t>T</w:t>
            </w:r>
          </w:p>
        </w:tc>
        <w:tc>
          <w:tcPr>
            <w:tcW w:w="1281" w:type="dxa"/>
            <w:shd w:val="clear" w:color="auto" w:fill="C6EFCE"/>
            <w:vAlign w:val="center"/>
          </w:tcPr>
          <w:p w14:paraId="4540FA18" w14:textId="77777777" w:rsidR="00F208CE" w:rsidRDefault="00513E84">
            <w:pPr>
              <w:pStyle w:val="P68B1DB1-Normal8"/>
              <w:spacing w:after="0" w:line="240" w:lineRule="auto"/>
              <w:rPr>
                <w:rFonts w:cs="Times New Roman"/>
                <w:noProof/>
              </w:rPr>
            </w:pPr>
            <w:r>
              <w:rPr>
                <w:noProof/>
              </w:rPr>
              <w:t>Renovación de viviendas privadas</w:t>
            </w:r>
          </w:p>
        </w:tc>
        <w:tc>
          <w:tcPr>
            <w:tcW w:w="1345" w:type="dxa"/>
            <w:shd w:val="clear" w:color="auto" w:fill="C6EFCE"/>
            <w:vAlign w:val="center"/>
          </w:tcPr>
          <w:p w14:paraId="68C731E6" w14:textId="40CBA41C" w:rsidR="00F208CE" w:rsidRDefault="00F208CE">
            <w:pPr>
              <w:spacing w:after="0" w:line="240" w:lineRule="auto"/>
              <w:rPr>
                <w:rFonts w:ascii="Times New Roman" w:hAnsi="Times New Roman" w:cs="Times New Roman"/>
                <w:noProof/>
                <w:color w:val="006100"/>
              </w:rPr>
            </w:pPr>
          </w:p>
        </w:tc>
        <w:tc>
          <w:tcPr>
            <w:tcW w:w="1207" w:type="dxa"/>
            <w:shd w:val="clear" w:color="auto" w:fill="C6EFCE"/>
            <w:vAlign w:val="center"/>
          </w:tcPr>
          <w:p w14:paraId="3CD233D3" w14:textId="77777777" w:rsidR="00F208CE" w:rsidRDefault="00513E84">
            <w:pPr>
              <w:pStyle w:val="P68B1DB1-Normal8"/>
              <w:spacing w:after="0" w:line="240" w:lineRule="auto"/>
              <w:rPr>
                <w:rFonts w:eastAsia="Times New Roman" w:cs="Times New Roman"/>
                <w:noProof/>
              </w:rPr>
            </w:pPr>
            <w:r>
              <w:rPr>
                <w:noProof/>
              </w:rPr>
              <w:t>Número</w:t>
            </w:r>
          </w:p>
        </w:tc>
        <w:tc>
          <w:tcPr>
            <w:tcW w:w="992" w:type="dxa"/>
            <w:shd w:val="clear" w:color="auto" w:fill="C6EFCE"/>
            <w:vAlign w:val="center"/>
          </w:tcPr>
          <w:p w14:paraId="671AF560" w14:textId="77777777" w:rsidR="00F208CE" w:rsidRDefault="00513E84">
            <w:pPr>
              <w:pStyle w:val="P68B1DB1-Normal8"/>
              <w:spacing w:after="0" w:line="240" w:lineRule="auto"/>
              <w:rPr>
                <w:rFonts w:eastAsia="Times New Roman" w:cs="Times New Roman"/>
                <w:noProof/>
              </w:rPr>
            </w:pPr>
            <w:r>
              <w:rPr>
                <w:noProof/>
              </w:rPr>
              <w:t>0</w:t>
            </w:r>
          </w:p>
        </w:tc>
        <w:tc>
          <w:tcPr>
            <w:tcW w:w="712" w:type="dxa"/>
            <w:shd w:val="clear" w:color="auto" w:fill="C6EFCE"/>
            <w:vAlign w:val="center"/>
          </w:tcPr>
          <w:p w14:paraId="104447E8" w14:textId="77777777" w:rsidR="00F208CE" w:rsidRDefault="00513E84">
            <w:pPr>
              <w:pStyle w:val="P68B1DB1-Normal8"/>
              <w:spacing w:after="0" w:line="240" w:lineRule="auto"/>
              <w:rPr>
                <w:rFonts w:eastAsia="Times New Roman" w:cs="Times New Roman"/>
                <w:noProof/>
              </w:rPr>
            </w:pPr>
            <w:r>
              <w:rPr>
                <w:noProof/>
              </w:rPr>
              <w:t>774</w:t>
            </w:r>
          </w:p>
        </w:tc>
        <w:tc>
          <w:tcPr>
            <w:tcW w:w="987" w:type="dxa"/>
            <w:shd w:val="clear" w:color="auto" w:fill="C6EFCE"/>
            <w:vAlign w:val="center"/>
          </w:tcPr>
          <w:p w14:paraId="26875591" w14:textId="77777777" w:rsidR="00F208CE" w:rsidRDefault="00513E84">
            <w:pPr>
              <w:pStyle w:val="P68B1DB1-Normal8"/>
              <w:spacing w:after="0" w:line="240" w:lineRule="auto"/>
              <w:rPr>
                <w:rFonts w:cs="Times New Roman"/>
                <w:noProof/>
              </w:rPr>
            </w:pPr>
            <w:r>
              <w:rPr>
                <w:noProof/>
              </w:rPr>
              <w:t>TERCER TRIMESTRE 2</w:t>
            </w:r>
          </w:p>
        </w:tc>
        <w:tc>
          <w:tcPr>
            <w:tcW w:w="813" w:type="dxa"/>
            <w:shd w:val="clear" w:color="auto" w:fill="C6EFCE"/>
            <w:vAlign w:val="center"/>
          </w:tcPr>
          <w:p w14:paraId="30EA5DB0" w14:textId="77777777" w:rsidR="00F208CE" w:rsidRDefault="00513E84">
            <w:pPr>
              <w:pStyle w:val="P68B1DB1-Normal8"/>
              <w:spacing w:after="0" w:line="240" w:lineRule="auto"/>
              <w:rPr>
                <w:rFonts w:eastAsia="Times New Roman" w:cs="Times New Roman"/>
                <w:noProof/>
              </w:rPr>
            </w:pPr>
            <w:r>
              <w:rPr>
                <w:noProof/>
              </w:rPr>
              <w:t>2024</w:t>
            </w:r>
          </w:p>
        </w:tc>
        <w:tc>
          <w:tcPr>
            <w:tcW w:w="5423" w:type="dxa"/>
            <w:shd w:val="clear" w:color="auto" w:fill="C6EFCE"/>
            <w:vAlign w:val="center"/>
          </w:tcPr>
          <w:p w14:paraId="2A1903C1" w14:textId="77777777" w:rsidR="00F208CE" w:rsidRDefault="00513E84">
            <w:pPr>
              <w:pStyle w:val="P68B1DB1-Normal8"/>
              <w:spacing w:after="0" w:line="240" w:lineRule="auto"/>
              <w:rPr>
                <w:rFonts w:eastAsia="Times New Roman" w:cs="Times New Roman"/>
                <w:noProof/>
              </w:rPr>
            </w:pPr>
            <w:r>
              <w:rPr>
                <w:noProof/>
              </w:rPr>
              <w:t xml:space="preserve">Se han renovado 774 viviendas privadas con el apoyo de subvenciones </w:t>
            </w:r>
            <w:r>
              <w:rPr>
                <w:noProof/>
              </w:rPr>
              <w:t>energéticas.</w:t>
            </w:r>
          </w:p>
        </w:tc>
      </w:tr>
      <w:tr w:rsidR="00F208CE" w14:paraId="3457531F" w14:textId="77777777">
        <w:tc>
          <w:tcPr>
            <w:tcW w:w="709" w:type="dxa"/>
            <w:shd w:val="clear" w:color="auto" w:fill="C6EFCE"/>
            <w:vAlign w:val="center"/>
          </w:tcPr>
          <w:p w14:paraId="699106B2" w14:textId="77777777" w:rsidR="00F208CE" w:rsidRDefault="00513E84">
            <w:pPr>
              <w:pStyle w:val="P68B1DB1-Normal8"/>
              <w:spacing w:line="240" w:lineRule="auto"/>
              <w:rPr>
                <w:rFonts w:cs="Times New Roman"/>
                <w:noProof/>
              </w:rPr>
            </w:pPr>
            <w:r>
              <w:rPr>
                <w:noProof/>
              </w:rPr>
              <w:t>215</w:t>
            </w:r>
          </w:p>
        </w:tc>
        <w:tc>
          <w:tcPr>
            <w:tcW w:w="1320" w:type="dxa"/>
            <w:shd w:val="clear" w:color="auto" w:fill="C6EFCE"/>
            <w:vAlign w:val="center"/>
          </w:tcPr>
          <w:p w14:paraId="7BBAD41F" w14:textId="08A00C87" w:rsidR="00F208CE" w:rsidRDefault="00513E84">
            <w:pPr>
              <w:pStyle w:val="P68B1DB1-Normal8"/>
              <w:spacing w:line="240" w:lineRule="auto"/>
              <w:rPr>
                <w:rFonts w:eastAsia="Times New Roman" w:cs="Times New Roman"/>
                <w:noProof/>
              </w:rPr>
            </w:pPr>
            <w:r>
              <w:rPr>
                <w:noProof/>
              </w:rPr>
              <w:t>Renovación de viviendas sociales — WAL (I-7.04)</w:t>
            </w:r>
          </w:p>
        </w:tc>
        <w:tc>
          <w:tcPr>
            <w:tcW w:w="943" w:type="dxa"/>
            <w:shd w:val="clear" w:color="auto" w:fill="C6EFCE"/>
            <w:vAlign w:val="center"/>
          </w:tcPr>
          <w:p w14:paraId="496893F6" w14:textId="77777777" w:rsidR="00F208CE" w:rsidRDefault="00513E84">
            <w:pPr>
              <w:pStyle w:val="P68B1DB1-Normal8"/>
              <w:spacing w:line="240" w:lineRule="auto"/>
              <w:jc w:val="center"/>
              <w:rPr>
                <w:rFonts w:eastAsia="Times New Roman" w:cs="Times New Roman"/>
                <w:noProof/>
              </w:rPr>
            </w:pPr>
            <w:r>
              <w:rPr>
                <w:noProof/>
              </w:rPr>
              <w:t>T</w:t>
            </w:r>
          </w:p>
        </w:tc>
        <w:tc>
          <w:tcPr>
            <w:tcW w:w="1281" w:type="dxa"/>
            <w:shd w:val="clear" w:color="auto" w:fill="C6EFCE"/>
            <w:vAlign w:val="center"/>
          </w:tcPr>
          <w:p w14:paraId="4C011105" w14:textId="77777777" w:rsidR="00F208CE" w:rsidRDefault="00513E84">
            <w:pPr>
              <w:pStyle w:val="P68B1DB1-Normal8"/>
              <w:spacing w:after="0" w:line="240" w:lineRule="auto"/>
              <w:rPr>
                <w:rFonts w:eastAsia="Times New Roman" w:cs="Times New Roman"/>
                <w:noProof/>
              </w:rPr>
            </w:pPr>
            <w:r>
              <w:rPr>
                <w:noProof/>
              </w:rPr>
              <w:t>Paneles solares y bombas de calor en viviendas sociales</w:t>
            </w:r>
          </w:p>
        </w:tc>
        <w:tc>
          <w:tcPr>
            <w:tcW w:w="1345" w:type="dxa"/>
            <w:shd w:val="clear" w:color="auto" w:fill="C6EFCE"/>
            <w:vAlign w:val="center"/>
          </w:tcPr>
          <w:p w14:paraId="5FF6BFAF" w14:textId="77777777" w:rsidR="00F208CE" w:rsidRDefault="00F208CE">
            <w:pPr>
              <w:spacing w:after="0" w:line="240" w:lineRule="auto"/>
              <w:rPr>
                <w:rFonts w:ascii="Times New Roman" w:eastAsia="Times New Roman" w:hAnsi="Times New Roman" w:cs="Times New Roman"/>
                <w:noProof/>
                <w:color w:val="006100"/>
              </w:rPr>
            </w:pPr>
          </w:p>
        </w:tc>
        <w:tc>
          <w:tcPr>
            <w:tcW w:w="1207" w:type="dxa"/>
            <w:shd w:val="clear" w:color="auto" w:fill="C6EFCE"/>
            <w:vAlign w:val="center"/>
          </w:tcPr>
          <w:p w14:paraId="182498BC" w14:textId="77777777" w:rsidR="00F208CE" w:rsidRDefault="00513E84">
            <w:pPr>
              <w:pStyle w:val="P68B1DB1-Normal8"/>
              <w:spacing w:after="0" w:line="240" w:lineRule="auto"/>
              <w:rPr>
                <w:rFonts w:eastAsia="Times New Roman" w:cs="Times New Roman"/>
                <w:noProof/>
              </w:rPr>
            </w:pPr>
            <w:r>
              <w:rPr>
                <w:noProof/>
              </w:rPr>
              <w:t>Número</w:t>
            </w:r>
          </w:p>
        </w:tc>
        <w:tc>
          <w:tcPr>
            <w:tcW w:w="992" w:type="dxa"/>
            <w:shd w:val="clear" w:color="auto" w:fill="C6EFCE"/>
            <w:vAlign w:val="center"/>
          </w:tcPr>
          <w:p w14:paraId="4F0416F3" w14:textId="7DAC78DD" w:rsidR="00F208CE" w:rsidRDefault="00513E84">
            <w:pPr>
              <w:pStyle w:val="P68B1DB1-Normal8"/>
              <w:spacing w:after="0" w:line="240" w:lineRule="auto"/>
              <w:rPr>
                <w:rFonts w:eastAsia="Times New Roman" w:cs="Times New Roman"/>
                <w:noProof/>
              </w:rPr>
            </w:pPr>
            <w:r>
              <w:rPr>
                <w:noProof/>
              </w:rPr>
              <w:t>0</w:t>
            </w:r>
          </w:p>
        </w:tc>
        <w:tc>
          <w:tcPr>
            <w:tcW w:w="712" w:type="dxa"/>
            <w:shd w:val="clear" w:color="auto" w:fill="C6EFCE"/>
            <w:vAlign w:val="center"/>
          </w:tcPr>
          <w:p w14:paraId="6AF13A06" w14:textId="2D2DB314" w:rsidR="00F208CE" w:rsidRDefault="00513E84">
            <w:pPr>
              <w:pStyle w:val="P68B1DB1-Normal8"/>
              <w:spacing w:after="0" w:line="240" w:lineRule="auto"/>
              <w:rPr>
                <w:rFonts w:eastAsia="Times New Roman" w:cs="Times New Roman"/>
                <w:noProof/>
              </w:rPr>
            </w:pPr>
            <w:r>
              <w:rPr>
                <w:noProof/>
              </w:rPr>
              <w:t>3 600</w:t>
            </w:r>
          </w:p>
        </w:tc>
        <w:tc>
          <w:tcPr>
            <w:tcW w:w="987" w:type="dxa"/>
            <w:shd w:val="clear" w:color="auto" w:fill="C6EFCE"/>
            <w:vAlign w:val="center"/>
          </w:tcPr>
          <w:p w14:paraId="434BD88A" w14:textId="77777777" w:rsidR="00F208CE" w:rsidRDefault="00513E84">
            <w:pPr>
              <w:pStyle w:val="P68B1DB1-Normal8"/>
              <w:spacing w:after="0" w:line="240" w:lineRule="auto"/>
              <w:rPr>
                <w:rFonts w:eastAsia="Times New Roman" w:cs="Times New Roman"/>
                <w:noProof/>
              </w:rPr>
            </w:pPr>
            <w:r>
              <w:rPr>
                <w:noProof/>
              </w:rPr>
              <w:t>TERCER TRIMESTRE 2</w:t>
            </w:r>
          </w:p>
        </w:tc>
        <w:tc>
          <w:tcPr>
            <w:tcW w:w="813" w:type="dxa"/>
            <w:shd w:val="clear" w:color="auto" w:fill="C6EFCE"/>
            <w:vAlign w:val="center"/>
          </w:tcPr>
          <w:p w14:paraId="4FBEF063" w14:textId="77777777" w:rsidR="00F208CE" w:rsidRDefault="00513E84">
            <w:pPr>
              <w:pStyle w:val="P68B1DB1-Normal8"/>
              <w:spacing w:after="0" w:line="240" w:lineRule="auto"/>
              <w:rPr>
                <w:rFonts w:eastAsia="Times New Roman" w:cs="Times New Roman"/>
                <w:noProof/>
              </w:rPr>
            </w:pPr>
            <w:r>
              <w:rPr>
                <w:noProof/>
              </w:rPr>
              <w:t>2026</w:t>
            </w:r>
          </w:p>
        </w:tc>
        <w:tc>
          <w:tcPr>
            <w:tcW w:w="5423" w:type="dxa"/>
            <w:shd w:val="clear" w:color="auto" w:fill="C6EFCE"/>
            <w:vAlign w:val="center"/>
          </w:tcPr>
          <w:p w14:paraId="6B18E007" w14:textId="5194DD42" w:rsidR="00F208CE" w:rsidRDefault="00513E84">
            <w:pPr>
              <w:pStyle w:val="P68B1DB1-Normal8"/>
              <w:spacing w:after="0" w:line="240" w:lineRule="auto"/>
              <w:rPr>
                <w:rFonts w:eastAsia="Times New Roman" w:cs="Times New Roman"/>
                <w:noProof/>
              </w:rPr>
            </w:pPr>
            <w:r>
              <w:rPr>
                <w:noProof/>
              </w:rPr>
              <w:t xml:space="preserve">Se han equipado 3 600 viviendas sociales con paneles solares, incluidas 285 viviendas </w:t>
            </w:r>
            <w:r>
              <w:rPr>
                <w:noProof/>
              </w:rPr>
              <w:t>sociales equipadas con paneles solares y bombas de calor.</w:t>
            </w:r>
          </w:p>
        </w:tc>
      </w:tr>
      <w:tr w:rsidR="00F208CE" w14:paraId="1182A32D" w14:textId="77777777">
        <w:tc>
          <w:tcPr>
            <w:tcW w:w="709" w:type="dxa"/>
            <w:shd w:val="clear" w:color="auto" w:fill="C6EFCE"/>
            <w:vAlign w:val="center"/>
          </w:tcPr>
          <w:p w14:paraId="151C995E" w14:textId="77777777" w:rsidR="00F208CE" w:rsidRDefault="00513E84">
            <w:pPr>
              <w:pStyle w:val="P68B1DB1-Normal8"/>
              <w:spacing w:line="240" w:lineRule="auto"/>
              <w:rPr>
                <w:rFonts w:cs="Times New Roman"/>
                <w:noProof/>
              </w:rPr>
            </w:pPr>
            <w:r>
              <w:rPr>
                <w:noProof/>
              </w:rPr>
              <w:t>216</w:t>
            </w:r>
          </w:p>
        </w:tc>
        <w:tc>
          <w:tcPr>
            <w:tcW w:w="1320" w:type="dxa"/>
            <w:shd w:val="clear" w:color="auto" w:fill="C6EFCE"/>
            <w:vAlign w:val="center"/>
          </w:tcPr>
          <w:p w14:paraId="05345B1B" w14:textId="7F0D4C9D" w:rsidR="00F208CE" w:rsidRDefault="00513E84">
            <w:pPr>
              <w:pStyle w:val="P68B1DB1-Normal8"/>
              <w:spacing w:after="0" w:line="240" w:lineRule="auto"/>
              <w:rPr>
                <w:rFonts w:eastAsia="Times New Roman" w:cs="Times New Roman"/>
                <w:noProof/>
              </w:rPr>
            </w:pPr>
            <w:r>
              <w:rPr>
                <w:noProof/>
              </w:rPr>
              <w:t>Medidas energéticas y climáticas en los edificios públicos — Estado federal (I-7.05)</w:t>
            </w:r>
          </w:p>
        </w:tc>
        <w:tc>
          <w:tcPr>
            <w:tcW w:w="943" w:type="dxa"/>
            <w:shd w:val="clear" w:color="auto" w:fill="C6EFCE"/>
            <w:vAlign w:val="center"/>
          </w:tcPr>
          <w:p w14:paraId="4497D7E0" w14:textId="77777777" w:rsidR="00F208CE" w:rsidRDefault="00513E84">
            <w:pPr>
              <w:pStyle w:val="P68B1DB1-Normal8"/>
              <w:spacing w:after="0" w:line="240" w:lineRule="auto"/>
              <w:jc w:val="center"/>
              <w:rPr>
                <w:rFonts w:eastAsia="Times New Roman" w:cs="Times New Roman"/>
                <w:noProof/>
              </w:rPr>
            </w:pPr>
            <w:r>
              <w:rPr>
                <w:noProof/>
              </w:rPr>
              <w:t>T</w:t>
            </w:r>
          </w:p>
        </w:tc>
        <w:tc>
          <w:tcPr>
            <w:tcW w:w="1281" w:type="dxa"/>
            <w:shd w:val="clear" w:color="auto" w:fill="C6EFCE"/>
            <w:vAlign w:val="center"/>
          </w:tcPr>
          <w:p w14:paraId="104187A4" w14:textId="77777777" w:rsidR="00F208CE" w:rsidRDefault="00513E84">
            <w:pPr>
              <w:pStyle w:val="P68B1DB1-Normal8"/>
              <w:spacing w:line="240" w:lineRule="auto"/>
              <w:rPr>
                <w:rFonts w:eastAsia="Times New Roman" w:cs="Times New Roman"/>
                <w:noProof/>
              </w:rPr>
            </w:pPr>
            <w:r>
              <w:rPr>
                <w:noProof/>
              </w:rPr>
              <w:t>Medidas energéticas finalizadas</w:t>
            </w:r>
          </w:p>
        </w:tc>
        <w:tc>
          <w:tcPr>
            <w:tcW w:w="1345" w:type="dxa"/>
            <w:shd w:val="clear" w:color="auto" w:fill="C6EFCE"/>
            <w:vAlign w:val="center"/>
          </w:tcPr>
          <w:p w14:paraId="3CFD5B32" w14:textId="77777777" w:rsidR="00F208CE" w:rsidRDefault="00F208CE">
            <w:pPr>
              <w:spacing w:line="240" w:lineRule="auto"/>
              <w:rPr>
                <w:rFonts w:ascii="Times New Roman" w:eastAsia="Times New Roman" w:hAnsi="Times New Roman" w:cs="Times New Roman"/>
                <w:noProof/>
                <w:color w:val="006100"/>
              </w:rPr>
            </w:pPr>
          </w:p>
        </w:tc>
        <w:tc>
          <w:tcPr>
            <w:tcW w:w="1207" w:type="dxa"/>
            <w:shd w:val="clear" w:color="auto" w:fill="C6EFCE"/>
            <w:vAlign w:val="center"/>
          </w:tcPr>
          <w:p w14:paraId="5EA064FA" w14:textId="77777777" w:rsidR="00F208CE" w:rsidRDefault="00513E84">
            <w:pPr>
              <w:pStyle w:val="P68B1DB1-Normal8"/>
              <w:spacing w:line="240" w:lineRule="auto"/>
              <w:rPr>
                <w:rFonts w:eastAsia="Times New Roman" w:cs="Times New Roman"/>
                <w:noProof/>
              </w:rPr>
            </w:pPr>
            <w:r>
              <w:rPr>
                <w:noProof/>
              </w:rPr>
              <w:t>Número</w:t>
            </w:r>
          </w:p>
        </w:tc>
        <w:tc>
          <w:tcPr>
            <w:tcW w:w="992" w:type="dxa"/>
            <w:shd w:val="clear" w:color="auto" w:fill="C6EFCE"/>
            <w:vAlign w:val="center"/>
          </w:tcPr>
          <w:p w14:paraId="4A4EC687" w14:textId="77777777" w:rsidR="00F208CE" w:rsidRDefault="00513E84">
            <w:pPr>
              <w:pStyle w:val="P68B1DB1-Normal8"/>
              <w:spacing w:line="240" w:lineRule="auto"/>
              <w:rPr>
                <w:rFonts w:eastAsia="Times New Roman" w:cs="Times New Roman"/>
                <w:noProof/>
              </w:rPr>
            </w:pPr>
            <w:r>
              <w:rPr>
                <w:noProof/>
              </w:rPr>
              <w:t>0</w:t>
            </w:r>
          </w:p>
        </w:tc>
        <w:tc>
          <w:tcPr>
            <w:tcW w:w="712" w:type="dxa"/>
            <w:shd w:val="clear" w:color="auto" w:fill="C6EFCE"/>
            <w:vAlign w:val="center"/>
          </w:tcPr>
          <w:p w14:paraId="4B22FE9C" w14:textId="0AFA958A" w:rsidR="00F208CE" w:rsidRDefault="00513E84">
            <w:pPr>
              <w:pStyle w:val="P68B1DB1-Normal8"/>
              <w:spacing w:line="240" w:lineRule="auto"/>
              <w:rPr>
                <w:rFonts w:eastAsia="Times New Roman" w:cs="Times New Roman"/>
                <w:noProof/>
              </w:rPr>
            </w:pPr>
            <w:r>
              <w:rPr>
                <w:noProof/>
              </w:rPr>
              <w:t>3 622</w:t>
            </w:r>
          </w:p>
        </w:tc>
        <w:tc>
          <w:tcPr>
            <w:tcW w:w="987" w:type="dxa"/>
            <w:shd w:val="clear" w:color="auto" w:fill="C6EFCE"/>
            <w:vAlign w:val="center"/>
          </w:tcPr>
          <w:p w14:paraId="188E9126" w14:textId="77777777" w:rsidR="00F208CE" w:rsidRDefault="00513E84">
            <w:pPr>
              <w:pStyle w:val="P68B1DB1-Normal8"/>
              <w:spacing w:line="240" w:lineRule="auto"/>
              <w:rPr>
                <w:rFonts w:eastAsia="Times New Roman" w:cs="Times New Roman"/>
                <w:noProof/>
              </w:rPr>
            </w:pPr>
            <w:r>
              <w:rPr>
                <w:noProof/>
              </w:rPr>
              <w:t>TERCER TRIMESTRE 4</w:t>
            </w:r>
          </w:p>
        </w:tc>
        <w:tc>
          <w:tcPr>
            <w:tcW w:w="813" w:type="dxa"/>
            <w:shd w:val="clear" w:color="auto" w:fill="C6EFCE"/>
            <w:vAlign w:val="center"/>
          </w:tcPr>
          <w:p w14:paraId="3063168D" w14:textId="77777777" w:rsidR="00F208CE" w:rsidRDefault="00513E84">
            <w:pPr>
              <w:pStyle w:val="P68B1DB1-Normal8"/>
              <w:spacing w:line="240" w:lineRule="auto"/>
              <w:rPr>
                <w:rFonts w:eastAsia="Times New Roman" w:cs="Times New Roman"/>
                <w:noProof/>
              </w:rPr>
            </w:pPr>
            <w:r>
              <w:rPr>
                <w:noProof/>
              </w:rPr>
              <w:t>2025</w:t>
            </w:r>
          </w:p>
        </w:tc>
        <w:tc>
          <w:tcPr>
            <w:tcW w:w="5423" w:type="dxa"/>
            <w:shd w:val="clear" w:color="auto" w:fill="C6EFCE"/>
            <w:vAlign w:val="center"/>
          </w:tcPr>
          <w:p w14:paraId="6464FE74" w14:textId="168A931D" w:rsidR="00F208CE" w:rsidRDefault="00513E84">
            <w:pPr>
              <w:spacing w:line="240" w:lineRule="auto"/>
              <w:rPr>
                <w:rFonts w:ascii="Times New Roman" w:eastAsia="Times New Roman" w:hAnsi="Times New Roman" w:cs="Times New Roman"/>
                <w:noProof/>
                <w:color w:val="006100"/>
              </w:rPr>
            </w:pPr>
            <w:r>
              <w:rPr>
                <w:rFonts w:ascii="Times New Roman" w:hAnsi="Times New Roman"/>
                <w:noProof/>
                <w:color w:val="006100"/>
              </w:rPr>
              <w:t>Se han completado los 50 proyectos</w:t>
            </w:r>
            <w:r>
              <w:rPr>
                <w:rFonts w:ascii="Times New Roman" w:hAnsi="Times New Roman"/>
                <w:noProof/>
                <w:color w:val="006100"/>
              </w:rPr>
              <w:t xml:space="preserve"> seleccionados de instalación de luces LED, paneles solares y puntos de recarga en edificios federales, incluidos al menos 224 kW de luces LED, 3 300 kWp de paneles solares y 98 puntos de recarga.</w:t>
            </w:r>
            <w:r>
              <w:rPr>
                <w:noProof/>
              </w:rPr>
              <w:t xml:space="preserve"> </w:t>
            </w:r>
            <w:r>
              <w:rPr>
                <w:rFonts w:ascii="Times New Roman" w:hAnsi="Times New Roman"/>
                <w:noProof/>
                <w:color w:val="006100"/>
              </w:rPr>
              <w:t>El objetivo de la infraestructura de recarga estará en cons</w:t>
            </w:r>
            <w:r>
              <w:rPr>
                <w:rFonts w:ascii="Times New Roman" w:hAnsi="Times New Roman"/>
                <w:noProof/>
                <w:color w:val="006100"/>
              </w:rPr>
              <w:t>onancia con la Directiva (UE) 2023/2413 por la que se modifica la Directiva (UE) 2018/2001 sobre fuentes de energía renovables.</w:t>
            </w:r>
          </w:p>
        </w:tc>
      </w:tr>
      <w:tr w:rsidR="00F208CE" w14:paraId="5FBD66EF" w14:textId="77777777">
        <w:tc>
          <w:tcPr>
            <w:tcW w:w="709" w:type="dxa"/>
            <w:shd w:val="clear" w:color="auto" w:fill="C6EFCE"/>
            <w:vAlign w:val="center"/>
          </w:tcPr>
          <w:p w14:paraId="5BBAB290" w14:textId="77777777" w:rsidR="00F208CE" w:rsidRDefault="00513E84">
            <w:pPr>
              <w:pStyle w:val="P68B1DB1-Normal8"/>
              <w:spacing w:line="240" w:lineRule="auto"/>
              <w:rPr>
                <w:rFonts w:cs="Times New Roman"/>
                <w:noProof/>
              </w:rPr>
            </w:pPr>
            <w:r>
              <w:rPr>
                <w:noProof/>
              </w:rPr>
              <w:t>217</w:t>
            </w:r>
          </w:p>
        </w:tc>
        <w:tc>
          <w:tcPr>
            <w:tcW w:w="1320" w:type="dxa"/>
            <w:shd w:val="clear" w:color="auto" w:fill="C6EFCE"/>
            <w:vAlign w:val="center"/>
          </w:tcPr>
          <w:p w14:paraId="24612784" w14:textId="3ED5355A" w:rsidR="00F208CE" w:rsidRDefault="00513E84">
            <w:pPr>
              <w:pStyle w:val="P68B1DB1-Normal8"/>
              <w:spacing w:line="240" w:lineRule="auto"/>
              <w:rPr>
                <w:rFonts w:eastAsia="Times New Roman" w:cs="Times New Roman"/>
                <w:noProof/>
              </w:rPr>
            </w:pPr>
            <w:r>
              <w:rPr>
                <w:noProof/>
              </w:rPr>
              <w:t>Medidas energéticas para los edificios AWV (I-7.10)</w:t>
            </w:r>
          </w:p>
        </w:tc>
        <w:tc>
          <w:tcPr>
            <w:tcW w:w="943" w:type="dxa"/>
            <w:shd w:val="clear" w:color="auto" w:fill="C6EFCE"/>
            <w:vAlign w:val="center"/>
          </w:tcPr>
          <w:p w14:paraId="3E35A754" w14:textId="77777777" w:rsidR="00F208CE" w:rsidRDefault="00513E84">
            <w:pPr>
              <w:pStyle w:val="P68B1DB1-Normal8"/>
              <w:spacing w:line="240" w:lineRule="auto"/>
              <w:jc w:val="center"/>
              <w:rPr>
                <w:rFonts w:eastAsia="Times New Roman" w:cs="Times New Roman"/>
                <w:noProof/>
              </w:rPr>
            </w:pPr>
            <w:r>
              <w:rPr>
                <w:noProof/>
              </w:rPr>
              <w:t>T</w:t>
            </w:r>
          </w:p>
        </w:tc>
        <w:tc>
          <w:tcPr>
            <w:tcW w:w="1281" w:type="dxa"/>
            <w:shd w:val="clear" w:color="auto" w:fill="C6EFCE"/>
            <w:vAlign w:val="center"/>
          </w:tcPr>
          <w:p w14:paraId="2B611A15" w14:textId="77777777" w:rsidR="00F208CE" w:rsidRDefault="00513E84">
            <w:pPr>
              <w:pStyle w:val="P68B1DB1-Normal8"/>
              <w:spacing w:line="240" w:lineRule="auto"/>
              <w:rPr>
                <w:rFonts w:eastAsia="Times New Roman" w:cs="Times New Roman"/>
                <w:noProof/>
              </w:rPr>
            </w:pPr>
            <w:r>
              <w:rPr>
                <w:noProof/>
              </w:rPr>
              <w:t>Proyectos de medidas energéticas finalizados</w:t>
            </w:r>
          </w:p>
        </w:tc>
        <w:tc>
          <w:tcPr>
            <w:tcW w:w="1345" w:type="dxa"/>
            <w:shd w:val="clear" w:color="auto" w:fill="C6EFCE"/>
            <w:vAlign w:val="center"/>
          </w:tcPr>
          <w:p w14:paraId="473265EE" w14:textId="77777777" w:rsidR="00F208CE" w:rsidRDefault="00F208CE">
            <w:pPr>
              <w:spacing w:line="240" w:lineRule="auto"/>
              <w:rPr>
                <w:rFonts w:ascii="Times New Roman" w:eastAsia="Times New Roman" w:hAnsi="Times New Roman" w:cs="Times New Roman"/>
                <w:noProof/>
                <w:color w:val="006100"/>
              </w:rPr>
            </w:pPr>
          </w:p>
        </w:tc>
        <w:tc>
          <w:tcPr>
            <w:tcW w:w="1207" w:type="dxa"/>
            <w:shd w:val="clear" w:color="auto" w:fill="C6EFCE"/>
            <w:vAlign w:val="center"/>
          </w:tcPr>
          <w:p w14:paraId="737D2E2E" w14:textId="77777777" w:rsidR="00F208CE" w:rsidRDefault="00513E84">
            <w:pPr>
              <w:pStyle w:val="P68B1DB1-Normal8"/>
              <w:spacing w:line="240" w:lineRule="auto"/>
              <w:rPr>
                <w:rFonts w:eastAsia="Times New Roman" w:cs="Times New Roman"/>
                <w:noProof/>
              </w:rPr>
            </w:pPr>
            <w:r>
              <w:rPr>
                <w:noProof/>
              </w:rPr>
              <w:t>Número</w:t>
            </w:r>
          </w:p>
        </w:tc>
        <w:tc>
          <w:tcPr>
            <w:tcW w:w="992" w:type="dxa"/>
            <w:shd w:val="clear" w:color="auto" w:fill="C6EFCE"/>
            <w:vAlign w:val="center"/>
          </w:tcPr>
          <w:p w14:paraId="246188EF" w14:textId="77777777" w:rsidR="00F208CE" w:rsidRDefault="00513E84">
            <w:pPr>
              <w:pStyle w:val="P68B1DB1-Normal8"/>
              <w:spacing w:line="240" w:lineRule="auto"/>
              <w:rPr>
                <w:rFonts w:eastAsia="Times New Roman" w:cs="Times New Roman"/>
                <w:noProof/>
              </w:rPr>
            </w:pPr>
            <w:r>
              <w:rPr>
                <w:noProof/>
              </w:rPr>
              <w:t>0</w:t>
            </w:r>
          </w:p>
        </w:tc>
        <w:tc>
          <w:tcPr>
            <w:tcW w:w="712" w:type="dxa"/>
            <w:shd w:val="clear" w:color="auto" w:fill="C6EFCE"/>
            <w:vAlign w:val="center"/>
          </w:tcPr>
          <w:p w14:paraId="4CCEF3CB" w14:textId="13633DFA" w:rsidR="00F208CE" w:rsidRDefault="00513E84">
            <w:pPr>
              <w:pStyle w:val="P68B1DB1-Normal8"/>
              <w:spacing w:line="240" w:lineRule="auto"/>
              <w:rPr>
                <w:rFonts w:eastAsia="Times New Roman" w:cs="Times New Roman"/>
                <w:noProof/>
              </w:rPr>
            </w:pPr>
            <w:r>
              <w:rPr>
                <w:noProof/>
              </w:rPr>
              <w:t>4</w:t>
            </w:r>
          </w:p>
        </w:tc>
        <w:tc>
          <w:tcPr>
            <w:tcW w:w="987" w:type="dxa"/>
            <w:shd w:val="clear" w:color="auto" w:fill="C6EFCE"/>
            <w:vAlign w:val="center"/>
          </w:tcPr>
          <w:p w14:paraId="3A6B8AB6" w14:textId="77777777" w:rsidR="00F208CE" w:rsidRDefault="00513E84">
            <w:pPr>
              <w:pStyle w:val="P68B1DB1-Normal8"/>
              <w:spacing w:line="240" w:lineRule="auto"/>
              <w:rPr>
                <w:rFonts w:eastAsia="Times New Roman" w:cs="Times New Roman"/>
                <w:noProof/>
              </w:rPr>
            </w:pPr>
            <w:r>
              <w:rPr>
                <w:noProof/>
              </w:rPr>
              <w:t xml:space="preserve">TERCER </w:t>
            </w:r>
            <w:r>
              <w:rPr>
                <w:noProof/>
              </w:rPr>
              <w:t>TRIMESTRE 4</w:t>
            </w:r>
          </w:p>
        </w:tc>
        <w:tc>
          <w:tcPr>
            <w:tcW w:w="813" w:type="dxa"/>
            <w:shd w:val="clear" w:color="auto" w:fill="C6EFCE"/>
            <w:vAlign w:val="center"/>
          </w:tcPr>
          <w:p w14:paraId="4AB54B66" w14:textId="77777777" w:rsidR="00F208CE" w:rsidRDefault="00513E84">
            <w:pPr>
              <w:pStyle w:val="P68B1DB1-Normal8"/>
              <w:spacing w:line="240" w:lineRule="auto"/>
              <w:rPr>
                <w:rFonts w:eastAsia="Times New Roman" w:cs="Times New Roman"/>
                <w:noProof/>
              </w:rPr>
            </w:pPr>
            <w:r>
              <w:rPr>
                <w:noProof/>
              </w:rPr>
              <w:t>2025</w:t>
            </w:r>
          </w:p>
        </w:tc>
        <w:tc>
          <w:tcPr>
            <w:tcW w:w="5423" w:type="dxa"/>
            <w:shd w:val="clear" w:color="auto" w:fill="C6EFCE"/>
            <w:vAlign w:val="center"/>
          </w:tcPr>
          <w:p w14:paraId="154A5577" w14:textId="424D6136" w:rsidR="00F208CE" w:rsidRDefault="00513E84">
            <w:pPr>
              <w:pStyle w:val="P68B1DB1-Normal8"/>
              <w:spacing w:line="240" w:lineRule="auto"/>
              <w:rPr>
                <w:rFonts w:eastAsia="Times New Roman" w:cs="Times New Roman"/>
                <w:noProof/>
              </w:rPr>
            </w:pPr>
            <w:r>
              <w:rPr>
                <w:noProof/>
              </w:rPr>
              <w:t>Cuatro proyectos de instalación en edificios AWV: se han completado las bombas de calor, el aislamiento, los paneles solares y las luces LED, reduciendo por término medio al menos el 30 % del consumo de energía primaria, tal como se define</w:t>
            </w:r>
            <w:r>
              <w:rPr>
                <w:noProof/>
              </w:rPr>
              <w:t xml:space="preserve"> en la Recomendación (UE) 2019/786 de la Comisión, relativa a la renovación de edificios.</w:t>
            </w:r>
          </w:p>
        </w:tc>
      </w:tr>
      <w:tr w:rsidR="00F208CE" w14:paraId="75A07ADB" w14:textId="77777777">
        <w:tc>
          <w:tcPr>
            <w:tcW w:w="709" w:type="dxa"/>
            <w:shd w:val="clear" w:color="auto" w:fill="C6EFCE"/>
            <w:vAlign w:val="center"/>
          </w:tcPr>
          <w:p w14:paraId="0022BB37" w14:textId="77777777" w:rsidR="00F208CE" w:rsidRDefault="00513E84">
            <w:pPr>
              <w:pStyle w:val="P68B1DB1-Normal8"/>
              <w:spacing w:line="240" w:lineRule="auto"/>
              <w:rPr>
                <w:rFonts w:cs="Times New Roman"/>
                <w:noProof/>
              </w:rPr>
            </w:pPr>
            <w:r>
              <w:rPr>
                <w:noProof/>
              </w:rPr>
              <w:t>218</w:t>
            </w:r>
          </w:p>
        </w:tc>
        <w:tc>
          <w:tcPr>
            <w:tcW w:w="1320" w:type="dxa"/>
            <w:shd w:val="clear" w:color="auto" w:fill="C6EFCE"/>
            <w:vAlign w:val="center"/>
          </w:tcPr>
          <w:p w14:paraId="4F74DF08" w14:textId="146C80E9" w:rsidR="00F208CE" w:rsidRDefault="00513E84">
            <w:pPr>
              <w:pStyle w:val="P68B1DB1-Normal8"/>
              <w:spacing w:line="240" w:lineRule="auto"/>
              <w:rPr>
                <w:rFonts w:eastAsia="Times New Roman" w:cs="Times New Roman"/>
                <w:noProof/>
              </w:rPr>
            </w:pPr>
            <w:r>
              <w:rPr>
                <w:noProof/>
              </w:rPr>
              <w:t>Ahorro de energía en los edificios públicos — VLA (I-7)</w:t>
            </w:r>
          </w:p>
        </w:tc>
        <w:tc>
          <w:tcPr>
            <w:tcW w:w="943" w:type="dxa"/>
            <w:shd w:val="clear" w:color="auto" w:fill="C6EFCE"/>
            <w:vAlign w:val="center"/>
          </w:tcPr>
          <w:p w14:paraId="519D1CA2" w14:textId="77777777" w:rsidR="00F208CE" w:rsidRDefault="00513E84">
            <w:pPr>
              <w:pStyle w:val="P68B1DB1-Normal8"/>
              <w:spacing w:after="0" w:line="240" w:lineRule="auto"/>
              <w:jc w:val="center"/>
              <w:rPr>
                <w:rFonts w:eastAsia="Times New Roman" w:cs="Times New Roman"/>
                <w:noProof/>
              </w:rPr>
            </w:pPr>
            <w:r>
              <w:rPr>
                <w:noProof/>
              </w:rPr>
              <w:t>T</w:t>
            </w:r>
          </w:p>
        </w:tc>
        <w:tc>
          <w:tcPr>
            <w:tcW w:w="1281" w:type="dxa"/>
            <w:shd w:val="clear" w:color="auto" w:fill="C6EFCE"/>
            <w:vAlign w:val="center"/>
          </w:tcPr>
          <w:p w14:paraId="13605C34" w14:textId="77777777" w:rsidR="00F208CE" w:rsidRDefault="00513E84">
            <w:pPr>
              <w:pStyle w:val="P68B1DB1-Normal8"/>
              <w:spacing w:line="240" w:lineRule="auto"/>
              <w:rPr>
                <w:rFonts w:eastAsia="Times New Roman" w:cs="Times New Roman"/>
                <w:noProof/>
              </w:rPr>
            </w:pPr>
            <w:r>
              <w:rPr>
                <w:noProof/>
              </w:rPr>
              <w:t>Renovación eficiente desde el punto de vista energético de los edificios públicos</w:t>
            </w:r>
          </w:p>
        </w:tc>
        <w:tc>
          <w:tcPr>
            <w:tcW w:w="1345" w:type="dxa"/>
            <w:shd w:val="clear" w:color="auto" w:fill="C6EFCE"/>
            <w:vAlign w:val="center"/>
          </w:tcPr>
          <w:p w14:paraId="72BDF933" w14:textId="77777777" w:rsidR="00F208CE" w:rsidRDefault="00F208CE">
            <w:pPr>
              <w:spacing w:line="240" w:lineRule="auto"/>
              <w:rPr>
                <w:rFonts w:ascii="Times New Roman" w:eastAsia="Times New Roman" w:hAnsi="Times New Roman" w:cs="Times New Roman"/>
                <w:noProof/>
                <w:color w:val="006100"/>
              </w:rPr>
            </w:pPr>
          </w:p>
        </w:tc>
        <w:tc>
          <w:tcPr>
            <w:tcW w:w="1207" w:type="dxa"/>
            <w:shd w:val="clear" w:color="auto" w:fill="C6EFCE"/>
            <w:vAlign w:val="center"/>
          </w:tcPr>
          <w:p w14:paraId="7D0E1036" w14:textId="1720116A" w:rsidR="00F208CE" w:rsidRDefault="00513E84">
            <w:pPr>
              <w:pStyle w:val="P68B1DB1-Normal8"/>
              <w:spacing w:line="240" w:lineRule="auto"/>
              <w:rPr>
                <w:rFonts w:eastAsia="Times New Roman" w:cs="Times New Roman"/>
                <w:noProof/>
              </w:rPr>
            </w:pPr>
            <w:r>
              <w:rPr>
                <w:noProof/>
              </w:rPr>
              <w:t>Número</w:t>
            </w:r>
          </w:p>
        </w:tc>
        <w:tc>
          <w:tcPr>
            <w:tcW w:w="992" w:type="dxa"/>
            <w:shd w:val="clear" w:color="auto" w:fill="C6EFCE"/>
            <w:vAlign w:val="center"/>
          </w:tcPr>
          <w:p w14:paraId="1F90DD08" w14:textId="77777777" w:rsidR="00F208CE" w:rsidRDefault="00513E84">
            <w:pPr>
              <w:pStyle w:val="P68B1DB1-Normal8"/>
              <w:spacing w:line="240" w:lineRule="auto"/>
              <w:rPr>
                <w:rFonts w:eastAsia="Times New Roman" w:cs="Times New Roman"/>
                <w:noProof/>
              </w:rPr>
            </w:pPr>
            <w:r>
              <w:rPr>
                <w:noProof/>
              </w:rPr>
              <w:t>0</w:t>
            </w:r>
          </w:p>
        </w:tc>
        <w:tc>
          <w:tcPr>
            <w:tcW w:w="712" w:type="dxa"/>
            <w:shd w:val="clear" w:color="auto" w:fill="C6EFCE"/>
            <w:vAlign w:val="center"/>
          </w:tcPr>
          <w:p w14:paraId="137C47A9" w14:textId="4448DE08" w:rsidR="00F208CE" w:rsidRDefault="00513E84">
            <w:pPr>
              <w:pStyle w:val="P68B1DB1-Normal8"/>
              <w:spacing w:line="240" w:lineRule="auto"/>
              <w:rPr>
                <w:rFonts w:eastAsia="Times New Roman" w:cs="Times New Roman"/>
                <w:noProof/>
              </w:rPr>
            </w:pPr>
            <w:r>
              <w:rPr>
                <w:noProof/>
              </w:rPr>
              <w:t>555</w:t>
            </w:r>
          </w:p>
        </w:tc>
        <w:tc>
          <w:tcPr>
            <w:tcW w:w="987" w:type="dxa"/>
            <w:shd w:val="clear" w:color="auto" w:fill="C6EFCE"/>
            <w:vAlign w:val="center"/>
          </w:tcPr>
          <w:p w14:paraId="21D5EA60" w14:textId="77777777" w:rsidR="00F208CE" w:rsidRDefault="00513E84">
            <w:pPr>
              <w:pStyle w:val="P68B1DB1-Normal8"/>
              <w:spacing w:line="240" w:lineRule="auto"/>
              <w:rPr>
                <w:rFonts w:eastAsia="Times New Roman" w:cs="Times New Roman"/>
                <w:noProof/>
              </w:rPr>
            </w:pPr>
            <w:r>
              <w:rPr>
                <w:noProof/>
              </w:rPr>
              <w:t xml:space="preserve">TERCER </w:t>
            </w:r>
            <w:r>
              <w:rPr>
                <w:noProof/>
              </w:rPr>
              <w:t>TRIMESTRE 2</w:t>
            </w:r>
          </w:p>
        </w:tc>
        <w:tc>
          <w:tcPr>
            <w:tcW w:w="813" w:type="dxa"/>
            <w:shd w:val="clear" w:color="auto" w:fill="C6EFCE"/>
            <w:vAlign w:val="center"/>
          </w:tcPr>
          <w:p w14:paraId="268D1F65" w14:textId="77777777" w:rsidR="00F208CE" w:rsidRDefault="00513E84">
            <w:pPr>
              <w:pStyle w:val="P68B1DB1-Normal8"/>
              <w:spacing w:line="240" w:lineRule="auto"/>
              <w:rPr>
                <w:rFonts w:eastAsia="Times New Roman" w:cs="Times New Roman"/>
                <w:noProof/>
              </w:rPr>
            </w:pPr>
            <w:r>
              <w:rPr>
                <w:noProof/>
              </w:rPr>
              <w:t>2026</w:t>
            </w:r>
          </w:p>
        </w:tc>
        <w:tc>
          <w:tcPr>
            <w:tcW w:w="5423" w:type="dxa"/>
            <w:shd w:val="clear" w:color="auto" w:fill="C6EFCE"/>
            <w:vAlign w:val="center"/>
          </w:tcPr>
          <w:p w14:paraId="0EFA3A37" w14:textId="2934A345" w:rsidR="00F208CE" w:rsidRDefault="00513E84">
            <w:pPr>
              <w:pStyle w:val="P68B1DB1-Normal8"/>
              <w:spacing w:line="240" w:lineRule="auto"/>
              <w:rPr>
                <w:rFonts w:eastAsia="Times New Roman" w:cs="Times New Roman"/>
                <w:noProof/>
              </w:rPr>
            </w:pPr>
            <w:r>
              <w:rPr>
                <w:noProof/>
              </w:rPr>
              <w:t xml:space="preserve">Se han renovado cuatro edificios públicos: (1) Martelaarsplein 7, Martelaarsplein 19 y Kreupelenstraat 2, Brussel, (2) Winston Churchillkaai 2, Oostende, (3) Justitiehuis, Ieper, (4) Koolstraat 35, Brussel (I-7.06), que reduce por término </w:t>
            </w:r>
            <w:r>
              <w:rPr>
                <w:noProof/>
              </w:rPr>
              <w:t>medio al menos el 30 % del consumo de energía primaria, tal como se define en la Recomendación (UE) 2019/786 de la Comisión sobre la renovación de edificios. La reducción de al menos una media del 30 % del consumo de energía primaria se demostrará mediante</w:t>
            </w:r>
            <w:r>
              <w:rPr>
                <w:noProof/>
              </w:rPr>
              <w:t xml:space="preserve"> certificados de eficiencia energética ex ante y ex post para cada uno de estos edificios. De conformidad con el anexo I de la Directiva relativa a la eficiencia energética de los edificios (Directiva 2010/31/UE), los certificados de eficiencia energética </w:t>
            </w:r>
            <w:r>
              <w:rPr>
                <w:noProof/>
              </w:rPr>
              <w:t>ex ante y ex post pueden basarse en el consumo de energía calculado en consonancia con la metodología de eficiencia energética (nacional) pertinente.</w:t>
            </w:r>
          </w:p>
          <w:p w14:paraId="3097FF43" w14:textId="343C6E6A" w:rsidR="00F208CE" w:rsidRDefault="00513E84">
            <w:pPr>
              <w:pStyle w:val="P68B1DB1-Normal8"/>
              <w:spacing w:line="240" w:lineRule="auto"/>
              <w:rPr>
                <w:rFonts w:eastAsia="Times New Roman" w:cs="Times New Roman"/>
                <w:noProof/>
              </w:rPr>
            </w:pPr>
            <w:r>
              <w:rPr>
                <w:noProof/>
              </w:rPr>
              <w:t>Al menos 100 edificios escolares públicos han sido equipados con al menos 100 000 m² acumulados de paneles</w:t>
            </w:r>
            <w:r>
              <w:rPr>
                <w:noProof/>
              </w:rPr>
              <w:t xml:space="preserve"> solares (I-7.07).</w:t>
            </w:r>
          </w:p>
          <w:p w14:paraId="49B788B6" w14:textId="2739D2C9" w:rsidR="00F208CE" w:rsidRDefault="00513E84">
            <w:pPr>
              <w:pStyle w:val="P68B1DB1-Normal8"/>
              <w:spacing w:line="240" w:lineRule="auto"/>
              <w:rPr>
                <w:rFonts w:eastAsia="Times New Roman" w:cs="Times New Roman"/>
                <w:noProof/>
              </w:rPr>
            </w:pPr>
            <w:r>
              <w:rPr>
                <w:noProof/>
              </w:rPr>
              <w:t>Al menos 400 edificios asistenciales han sido objeto de una auditoría energética. Al menos 50 edificios de cuidados han completado las medidas energéticas para las que se recibió una subvención (I-7.08).</w:t>
            </w:r>
          </w:p>
          <w:p w14:paraId="5228786B" w14:textId="3E387D51" w:rsidR="00F208CE" w:rsidRDefault="00513E84">
            <w:pPr>
              <w:pStyle w:val="P68B1DB1-Normal8"/>
              <w:spacing w:line="240" w:lineRule="auto"/>
              <w:rPr>
                <w:rFonts w:eastAsia="Times New Roman" w:cs="Times New Roman"/>
                <w:noProof/>
              </w:rPr>
            </w:pPr>
            <w:r>
              <w:rPr>
                <w:noProof/>
              </w:rPr>
              <w:t xml:space="preserve">El edificio VRT ha sido equipado </w:t>
            </w:r>
            <w:r>
              <w:rPr>
                <w:noProof/>
              </w:rPr>
              <w:t>con bombas de calor y paneles solares, así como luces LED, aislamiento de tejados y seguimiento inteligente de la energía (I-7.09).</w:t>
            </w:r>
          </w:p>
        </w:tc>
      </w:tr>
    </w:tbl>
    <w:p w14:paraId="28962988" w14:textId="77777777" w:rsidR="00F208CE" w:rsidRDefault="00F208CE">
      <w:pPr>
        <w:pStyle w:val="TitreComposante"/>
        <w:rPr>
          <w:noProof/>
        </w:rPr>
        <w:sectPr w:rsidR="00F208CE" w:rsidSect="007F56C3">
          <w:headerReference w:type="default" r:id="rId180"/>
          <w:footerReference w:type="default" r:id="rId181"/>
          <w:pgSz w:w="16838" w:h="11906" w:orient="landscape"/>
          <w:pgMar w:top="1417" w:right="1417" w:bottom="1417" w:left="1417" w:header="708" w:footer="708" w:gutter="0"/>
          <w:cols w:space="708"/>
          <w:docGrid w:linePitch="360"/>
        </w:sectPr>
      </w:pPr>
    </w:p>
    <w:p w14:paraId="23C4178E" w14:textId="0F48774B" w:rsidR="00F208CE" w:rsidRDefault="00513E84">
      <w:pPr>
        <w:pStyle w:val="ManualHeading1"/>
        <w:spacing w:before="120"/>
        <w:ind w:left="0" w:hanging="130"/>
        <w:rPr>
          <w:noProof/>
        </w:rPr>
      </w:pPr>
      <w:r>
        <w:rPr>
          <w:noProof/>
        </w:rPr>
        <w:t xml:space="preserve">S. </w:t>
      </w:r>
      <w:r>
        <w:rPr>
          <w:caps/>
          <w:smallCaps w:val="0"/>
          <w:noProof/>
        </w:rPr>
        <w:t>COMPONENTE</w:t>
      </w:r>
      <w:r>
        <w:rPr>
          <w:noProof/>
        </w:rPr>
        <w:t xml:space="preserve"> 7.2: Nuevas tecnologías energéticas emergentes</w:t>
      </w:r>
    </w:p>
    <w:p w14:paraId="34C87190" w14:textId="77777777" w:rsidR="00F208CE" w:rsidRDefault="00513E84">
      <w:pPr>
        <w:pStyle w:val="P68B1DB1-Normal1"/>
        <w:spacing w:before="120" w:after="120" w:line="240" w:lineRule="auto"/>
        <w:jc w:val="both"/>
        <w:rPr>
          <w:rFonts w:cs="Times New Roman"/>
          <w:noProof/>
        </w:rPr>
      </w:pPr>
      <w:r>
        <w:rPr>
          <w:noProof/>
        </w:rPr>
        <w:t>Este componente del plan belga de recuperación y resiliencia tiene por objeto dar un fuerte impulso a los avances tecnológicos para apoyar la transición energética y reducir las emisiones de</w:t>
      </w:r>
      <w:r>
        <w:rPr>
          <w:noProof/>
          <w:vertAlign w:val="subscript"/>
        </w:rPr>
        <w:t>CO2</w:t>
      </w:r>
      <w:r>
        <w:rPr>
          <w:noProof/>
        </w:rPr>
        <w:t>, haciendo hincapié en la integración del sistema y la descarbo</w:t>
      </w:r>
      <w:r>
        <w:rPr>
          <w:noProof/>
        </w:rPr>
        <w:t>nización industrial.</w:t>
      </w:r>
    </w:p>
    <w:p w14:paraId="08B96607" w14:textId="77777777" w:rsidR="00F208CE" w:rsidRDefault="00513E84">
      <w:pPr>
        <w:pStyle w:val="P68B1DB1-Normal1"/>
        <w:spacing w:before="120" w:after="120" w:line="240" w:lineRule="auto"/>
        <w:jc w:val="both"/>
        <w:rPr>
          <w:rFonts w:cs="Times New Roman"/>
          <w:noProof/>
        </w:rPr>
      </w:pPr>
      <w:bookmarkStart w:id="3" w:name="_Hlk142416993"/>
      <w:r>
        <w:rPr>
          <w:noProof/>
        </w:rPr>
        <w:t>El componente contribuye a abordar las recomendaciones específicas por país n.º 2022.4 y n.º 2023.4, y pide a Bélgica que reduzca la dependencia general de los combustibles fósiles</w:t>
      </w:r>
      <w:bookmarkEnd w:id="3"/>
      <w:r>
        <w:rPr>
          <w:noProof/>
        </w:rPr>
        <w:t xml:space="preserve">, </w:t>
      </w:r>
      <w:r>
        <w:rPr>
          <w:i/>
          <w:noProof/>
        </w:rPr>
        <w:t>entre otras cosas</w:t>
      </w:r>
      <w:r>
        <w:rPr>
          <w:noProof/>
        </w:rPr>
        <w:t>, estimulando aún más la descarboniz</w:t>
      </w:r>
      <w:r>
        <w:rPr>
          <w:noProof/>
        </w:rPr>
        <w:t>ación de la industria e intensificando los esfuerzos políticos destinados a la adquisición de capacidades y competencias para la transición ecológica.</w:t>
      </w:r>
    </w:p>
    <w:p w14:paraId="4B8BBD4F" w14:textId="77777777" w:rsidR="00F208CE" w:rsidRDefault="00513E84">
      <w:pPr>
        <w:pStyle w:val="P68B1DB1-Normal1"/>
        <w:spacing w:before="120" w:after="120" w:line="240" w:lineRule="auto"/>
        <w:jc w:val="both"/>
        <w:rPr>
          <w:rFonts w:cs="Times New Roman"/>
          <w:noProof/>
        </w:rPr>
      </w:pPr>
      <w:bookmarkStart w:id="4" w:name="_Hlk142416148"/>
      <w:r>
        <w:rPr>
          <w:noProof/>
        </w:rPr>
        <w:t>Se espera que ninguna medida de este componente perjudique significativamente a los objetivos medioambien</w:t>
      </w:r>
      <w:r>
        <w:rPr>
          <w:noProof/>
        </w:rPr>
        <w:t>tales en el sentido del artículo 17 del Reglamento (UE) 2020/852, teniendo en cuenta la descripción de las medidas y las medidas atenuantes establecidas en el plan de recuperación y resiliencia de conformidad con las orientaciones técnicas de DNSH (2021/C5</w:t>
      </w:r>
      <w:r>
        <w:rPr>
          <w:noProof/>
        </w:rPr>
        <w:t>8/01).</w:t>
      </w:r>
      <w:bookmarkEnd w:id="4"/>
    </w:p>
    <w:p w14:paraId="4AEA6454" w14:textId="73F8FFFE" w:rsidR="00F208CE" w:rsidRDefault="00513E84">
      <w:pPr>
        <w:pStyle w:val="P68B1DB1-Jalonsetcibles25"/>
        <w:spacing w:after="120" w:line="240" w:lineRule="auto"/>
        <w:rPr>
          <w:rFonts w:eastAsia="Times New Roman"/>
          <w:noProof/>
        </w:rPr>
      </w:pPr>
      <w:bookmarkStart w:id="5" w:name="_Hlk142330835"/>
      <w:r>
        <w:rPr>
          <w:noProof/>
        </w:rPr>
        <w:t>S.1. Descripción de las reformas e inversiones para la ayuda financiera no reembolsable</w:t>
      </w:r>
    </w:p>
    <w:bookmarkEnd w:id="5"/>
    <w:p w14:paraId="1D17C22F" w14:textId="08AFD177" w:rsidR="00F208CE" w:rsidRDefault="00513E84">
      <w:pPr>
        <w:pStyle w:val="P68B1DB1-Jalonsetcibles22"/>
        <w:spacing w:before="120" w:after="120" w:line="240" w:lineRule="auto"/>
        <w:rPr>
          <w:rFonts w:eastAsia="Times New Roman"/>
          <w:noProof/>
          <w:color w:val="000000" w:themeColor="text1"/>
        </w:rPr>
      </w:pPr>
      <w:r>
        <w:rPr>
          <w:noProof/>
        </w:rPr>
        <w:t>Inversión I-7.11: «Plataforma de investigación para la transición energética» de la Comunidad Francesa</w:t>
      </w:r>
    </w:p>
    <w:p w14:paraId="33814C7B" w14:textId="77777777" w:rsidR="00F208CE" w:rsidRDefault="00513E84">
      <w:pPr>
        <w:pStyle w:val="P68B1DB1-Jalonsetcibles23"/>
        <w:spacing w:before="120" w:after="120" w:line="240" w:lineRule="auto"/>
        <w:jc w:val="both"/>
        <w:rPr>
          <w:rFonts w:eastAsia="Times New Roman"/>
          <w:noProof/>
        </w:rPr>
      </w:pPr>
      <w:r>
        <w:rPr>
          <w:noProof/>
        </w:rPr>
        <w:t xml:space="preserve">Esta medida consiste en inversiones en una serie de </w:t>
      </w:r>
      <w:r>
        <w:rPr>
          <w:noProof/>
        </w:rPr>
        <w:t>instalaciones y equipos de I + D en beneficio de las universidades francófonas. Las tecnologías objeto de esta medida se refieren a uno o varios de los siguientes ámbitos: producción de energía renovable y con bajas emisiones de carbono; producción, conver</w:t>
      </w:r>
      <w:r>
        <w:rPr>
          <w:noProof/>
        </w:rPr>
        <w:t>sión y almacenamiento de energía; Captura y valorización de CO2; el uso racional de la energía en los edificios y en la movilidad; funcionamiento de la red eléctrica. La implementación de la medida estará terminada a más tardar el 31 de diciembre de 2025.</w:t>
      </w:r>
    </w:p>
    <w:p w14:paraId="025FE87F" w14:textId="5C0385BD" w:rsidR="00F208CE" w:rsidRDefault="00513E84">
      <w:pPr>
        <w:pStyle w:val="P68B1DB1-Jalonsetcibles22"/>
        <w:spacing w:before="120" w:after="120" w:line="240" w:lineRule="auto"/>
        <w:rPr>
          <w:rFonts w:eastAsia="Times New Roman"/>
          <w:noProof/>
        </w:rPr>
      </w:pPr>
      <w:r>
        <w:rPr>
          <w:noProof/>
        </w:rPr>
        <w:t>Inversión I-7.12: «Infraestructura de importación de energía» del Estado Federal</w:t>
      </w:r>
    </w:p>
    <w:p w14:paraId="34671380" w14:textId="77777777" w:rsidR="00F208CE" w:rsidRDefault="00513E84">
      <w:pPr>
        <w:pStyle w:val="P68B1DB1-Normal1"/>
        <w:widowControl w:val="0"/>
        <w:spacing w:before="120" w:after="120" w:line="240" w:lineRule="auto"/>
        <w:jc w:val="both"/>
        <w:rPr>
          <w:rFonts w:eastAsia="Times New Roman" w:cs="Times New Roman"/>
          <w:noProof/>
          <w:color w:val="000000" w:themeColor="text1"/>
        </w:rPr>
      </w:pPr>
      <w:r>
        <w:rPr>
          <w:noProof/>
        </w:rPr>
        <w:t xml:space="preserve">Esta medida consiste en apoyar proyectos de demostración o de I + D con el objetivo de optimizar la infraestructura para la importación de hidrógeno o electricidad. </w:t>
      </w:r>
      <w:r>
        <w:rPr>
          <w:noProof/>
          <w:color w:val="000000" w:themeColor="text1"/>
        </w:rPr>
        <w:t>Se organiz</w:t>
      </w:r>
      <w:r>
        <w:rPr>
          <w:noProof/>
          <w:color w:val="000000" w:themeColor="text1"/>
        </w:rPr>
        <w:t>arán dos convocatorias de proyectos:</w:t>
      </w:r>
      <w:r>
        <w:rPr>
          <w:noProof/>
        </w:rPr>
        <w:t xml:space="preserve"> </w:t>
      </w:r>
      <w:r>
        <w:rPr>
          <w:noProof/>
          <w:color w:val="000000" w:themeColor="text1"/>
        </w:rPr>
        <w:t>una convocatoria de proyectos para apoyar la investigación, el desarrollo y la demostración de tecnologías e infraestructuras que puedan contribuir a la importación de hidrógeno en Bélgica y ii) una convocatoria de proy</w:t>
      </w:r>
      <w:r>
        <w:rPr>
          <w:noProof/>
          <w:color w:val="000000" w:themeColor="text1"/>
        </w:rPr>
        <w:t xml:space="preserve">ectos para apoyar, mediante la concesión de subvenciones, la investigación, el desarrollo y la demostración de tecnologías e infraestructuras para la importación de electricidad o hidrógeno en Bélgica. </w:t>
      </w:r>
      <w:r>
        <w:rPr>
          <w:noProof/>
        </w:rPr>
        <w:t>La implementación de la</w:t>
      </w:r>
      <w:r>
        <w:rPr>
          <w:noProof/>
          <w:color w:val="000000" w:themeColor="text1"/>
        </w:rPr>
        <w:t xml:space="preserve"> </w:t>
      </w:r>
      <w:r>
        <w:rPr>
          <w:noProof/>
        </w:rPr>
        <w:t xml:space="preserve">medida estará terminada a más </w:t>
      </w:r>
      <w:r>
        <w:rPr>
          <w:noProof/>
        </w:rPr>
        <w:t>tardar el 30 de junio de 2026.</w:t>
      </w:r>
    </w:p>
    <w:p w14:paraId="7163D44A" w14:textId="0E2E96C1" w:rsidR="00F208CE" w:rsidRDefault="00513E84">
      <w:pPr>
        <w:pStyle w:val="P68B1DB1-Jalonsetcibles22"/>
        <w:spacing w:before="120" w:after="120" w:line="240" w:lineRule="auto"/>
        <w:rPr>
          <w:rFonts w:eastAsia="Times New Roman"/>
          <w:noProof/>
        </w:rPr>
      </w:pPr>
      <w:r>
        <w:rPr>
          <w:noProof/>
        </w:rPr>
        <w:t>Inversión I-7.13: «Llamamiento en favor de la descarbonización de la industria» de la Región Valona</w:t>
      </w:r>
    </w:p>
    <w:p w14:paraId="1DD413F8" w14:textId="0736E81D" w:rsidR="00F208CE" w:rsidRDefault="00513E84">
      <w:pPr>
        <w:pStyle w:val="Jalonsetcibles"/>
        <w:spacing w:before="120" w:after="120" w:line="240" w:lineRule="auto"/>
        <w:jc w:val="both"/>
        <w:rPr>
          <w:rFonts w:eastAsia="Times New Roman"/>
          <w:b w:val="0"/>
          <w:noProof/>
          <w:color w:val="auto"/>
          <w:sz w:val="24"/>
        </w:rPr>
      </w:pPr>
      <w:r>
        <w:rPr>
          <w:b w:val="0"/>
          <w:noProof/>
          <w:color w:val="auto"/>
          <w:sz w:val="24"/>
        </w:rPr>
        <w:t>Esta medida consiste en proporcionar incentivos financieros para las inversiones energéticas en las industrias valonas y para</w:t>
      </w:r>
      <w:r>
        <w:rPr>
          <w:b w:val="0"/>
          <w:noProof/>
          <w:color w:val="auto"/>
          <w:sz w:val="24"/>
        </w:rPr>
        <w:t xml:space="preserve"> el desarrollo de nuevas industrias en tecnologías ecológicas. Estas inversiones abarcarán proyectos en materia de eficiencia energética, como la gestión del calor industrial, la captura y almacenamiento de carbono (CAC) cuando el CO</w:t>
      </w:r>
      <w:r>
        <w:rPr>
          <w:b w:val="0"/>
          <w:noProof/>
          <w:color w:val="auto"/>
          <w:sz w:val="24"/>
          <w:vertAlign w:val="subscript"/>
        </w:rPr>
        <w:t>2</w:t>
      </w:r>
      <w:r>
        <w:rPr>
          <w:b w:val="0"/>
          <w:noProof/>
          <w:color w:val="auto"/>
          <w:sz w:val="24"/>
        </w:rPr>
        <w:t xml:space="preserve"> capturado proceda de </w:t>
      </w:r>
      <w:r>
        <w:rPr>
          <w:b w:val="0"/>
          <w:noProof/>
          <w:color w:val="auto"/>
          <w:sz w:val="24"/>
        </w:rPr>
        <w:t xml:space="preserve">emisiones de proceso inevitables, el cambio de combustible, la producción de energía renovable o la creación de nuevos elementos industriales de la cadena de valor de las tecnologías </w:t>
      </w:r>
      <w:r>
        <w:rPr>
          <w:rStyle w:val="cf01"/>
          <w:rFonts w:ascii="Times New Roman" w:hAnsi="Times New Roman"/>
          <w:noProof/>
          <w:color w:val="auto"/>
          <w:sz w:val="24"/>
        </w:rPr>
        <w:t>vinculadas a la transición ecológica, como la</w:t>
      </w:r>
      <w:r>
        <w:rPr>
          <w:b w:val="0"/>
          <w:noProof/>
          <w:color w:val="auto"/>
          <w:sz w:val="24"/>
        </w:rPr>
        <w:t xml:space="preserve"> cadena de valor de las bate</w:t>
      </w:r>
      <w:r>
        <w:rPr>
          <w:b w:val="0"/>
          <w:noProof/>
          <w:color w:val="auto"/>
          <w:sz w:val="24"/>
        </w:rPr>
        <w:t>rías (en producción o en la gestión de materiales críticos) y la cadena de valor del hidrógeno renovable o sin combustibles fósiles.</w:t>
      </w:r>
    </w:p>
    <w:p w14:paraId="696BA567" w14:textId="77777777" w:rsidR="00F208CE" w:rsidRDefault="00513E84">
      <w:pPr>
        <w:pStyle w:val="P68B1DB1-Jalonsetcibles23"/>
        <w:spacing w:before="120" w:after="120" w:line="240" w:lineRule="auto"/>
        <w:jc w:val="both"/>
        <w:rPr>
          <w:noProof/>
        </w:rPr>
      </w:pPr>
      <w:r>
        <w:rPr>
          <w:noProof/>
        </w:rPr>
        <w:t>A fin de garantizar que la medida cumpla el principio de «no causar un perjuicio significativo» en el marco del Mecanismo d</w:t>
      </w:r>
      <w:r>
        <w:rPr>
          <w:noProof/>
        </w:rPr>
        <w:t>e Recuperación y Resiliencia, tal como se establece en las orientaciones técnicas DNSH (2021/C58/01), los criterios de admisibilidad de la próxima convocatoria excluirán las actividades en el marco del régimen de comercio de derechos de emisión de la UE (R</w:t>
      </w:r>
      <w:r>
        <w:rPr>
          <w:noProof/>
        </w:rPr>
        <w:t xml:space="preserve">CDE), que alcancen las emisiones de gases de efecto invernadero previstas que no sean inferiores a los parámetros de referencia pertinentes. </w:t>
      </w:r>
    </w:p>
    <w:p w14:paraId="011E40ED" w14:textId="77777777" w:rsidR="00F208CE" w:rsidRDefault="00513E84">
      <w:pPr>
        <w:pStyle w:val="P68B1DB1-Normal26"/>
        <w:rPr>
          <w:rFonts w:ascii="Times New Roman" w:eastAsia="Yu Gothic" w:hAnsi="Times New Roman" w:cs="Times New Roman"/>
          <w:noProof/>
        </w:rPr>
      </w:pPr>
      <w:r>
        <w:rPr>
          <w:noProof/>
        </w:rPr>
        <w:br w:type="page"/>
      </w:r>
    </w:p>
    <w:p w14:paraId="514EB096" w14:textId="61B53E27" w:rsidR="00F208CE" w:rsidRDefault="00513E84">
      <w:pPr>
        <w:pStyle w:val="P68B1DB1-Jalonsetcibles23"/>
        <w:spacing w:before="120" w:after="120" w:line="240" w:lineRule="auto"/>
        <w:jc w:val="both"/>
        <w:rPr>
          <w:rFonts w:eastAsia="Times New Roman"/>
          <w:noProof/>
        </w:rPr>
      </w:pPr>
      <w:r>
        <w:rPr>
          <w:noProof/>
        </w:rPr>
        <w:t>Cuando la actividad logre emisiones de gases de efecto invernadero previstas que no sean significativamente infe</w:t>
      </w:r>
      <w:r>
        <w:rPr>
          <w:noProof/>
        </w:rPr>
        <w:t>riores, pero que sigan siendo inferiores a los parámetros de referencia pertinentes, debe facilitarse una explicación de las razones por las que esto no es posible. Además, la medida también puede apoyar, en los emplazamientos registrados como instalacione</w:t>
      </w:r>
      <w:r>
        <w:rPr>
          <w:noProof/>
        </w:rPr>
        <w:t>s sujetas al RCDE, intervenciones que no afectan a las emisiones de la instalación RCDE y, por tanto, son acciones que no se encuentran dentro de los límites de las instalaciones del RCDE (véanse las orientaciones sobre la interpretación de dichos límites)</w:t>
      </w:r>
      <w:r>
        <w:rPr>
          <w:noProof/>
        </w:rPr>
        <w:t>. Los parámetros de referencia establecidos para la asignación gratuita de derechos de emisión para actividades incluidas en el ámbito de aplicación del régimen de comercio de derechos de emisión se establecen en el Reglamento de Ejecución (UE) 2021/447 de</w:t>
      </w:r>
      <w:r>
        <w:rPr>
          <w:noProof/>
        </w:rPr>
        <w:t xml:space="preserve"> la Comisión. La implementación de la medida estará terminada a más tardar el 30 de junio de 2026.</w:t>
      </w:r>
    </w:p>
    <w:p w14:paraId="597A1958" w14:textId="6C00153C" w:rsidR="00F208CE" w:rsidRDefault="00513E84">
      <w:pPr>
        <w:pStyle w:val="P68B1DB1-Jalonsetcibles22"/>
        <w:spacing w:before="120" w:after="120" w:line="240" w:lineRule="auto"/>
        <w:rPr>
          <w:rFonts w:eastAsia="Times New Roman"/>
          <w:noProof/>
        </w:rPr>
      </w:pPr>
      <w:r>
        <w:rPr>
          <w:noProof/>
        </w:rPr>
        <w:t>Inversión I-7.14: «Llamamiento en favor de medidas climáticas en la agricultura» de la Región Flamenca</w:t>
      </w:r>
    </w:p>
    <w:p w14:paraId="4011945A" w14:textId="381332AC" w:rsidR="00F208CE" w:rsidRDefault="00513E84">
      <w:pPr>
        <w:pStyle w:val="P68B1DB1-Jalonsetcibles27"/>
        <w:spacing w:before="120" w:after="120" w:line="240" w:lineRule="auto"/>
        <w:jc w:val="both"/>
        <w:rPr>
          <w:rFonts w:eastAsia="Times New Roman"/>
          <w:noProof/>
          <w:color w:val="auto"/>
        </w:rPr>
        <w:sectPr w:rsidR="00F208CE" w:rsidSect="00F14B5D">
          <w:headerReference w:type="even" r:id="rId182"/>
          <w:headerReference w:type="default" r:id="rId183"/>
          <w:footerReference w:type="even" r:id="rId184"/>
          <w:footerReference w:type="default" r:id="rId185"/>
          <w:headerReference w:type="first" r:id="rId186"/>
          <w:footerReference w:type="first" r:id="rId187"/>
          <w:pgSz w:w="11906" w:h="16838"/>
          <w:pgMar w:top="1417" w:right="1417" w:bottom="1417" w:left="1417" w:header="708" w:footer="708" w:gutter="0"/>
          <w:cols w:space="708"/>
          <w:docGrid w:linePitch="360"/>
        </w:sectPr>
      </w:pPr>
      <w:r>
        <w:rPr>
          <w:noProof/>
          <w:color w:val="auto"/>
        </w:rPr>
        <w:t xml:space="preserve">Esta inversión consiste en apoyar técnicas </w:t>
      </w:r>
      <w:r>
        <w:rPr>
          <w:noProof/>
          <w:color w:val="000000" w:themeColor="text1"/>
        </w:rPr>
        <w:t>de ahorro de energía (como aislamiento, almacenamiento de calor, recuperación de calor, control de la frecuencia de bombas y ventiladores, prerefrigeración), calor verde y energías renovab</w:t>
      </w:r>
      <w:r>
        <w:rPr>
          <w:noProof/>
          <w:color w:val="000000" w:themeColor="text1"/>
        </w:rPr>
        <w:t>les (como calentadores de agua solares, bombas de calor, uso sostenible y local de biomasa), destinadas a reducir las emisiones de gases de efecto invernadero en el sector agrícola. La medida se ejecutará utilizando las mismas modalidades aplicadas a la me</w:t>
      </w:r>
      <w:r>
        <w:rPr>
          <w:noProof/>
          <w:color w:val="000000" w:themeColor="text1"/>
        </w:rPr>
        <w:t xml:space="preserve">dida «3.23 — VLIF Inversiones productivas en explotaciones agrícolas» incluida en el plan estratégico flamenco en el marco de la política agrícola común. </w:t>
      </w:r>
      <w:r>
        <w:rPr>
          <w:noProof/>
          <w:color w:val="auto"/>
        </w:rPr>
        <w:t>La ejecución de la medida estará terminada a más tardar el 30 de junio de 2026.</w:t>
      </w:r>
    </w:p>
    <w:p w14:paraId="5FDEDF20" w14:textId="23275C78" w:rsidR="00F208CE" w:rsidRDefault="00513E84">
      <w:pPr>
        <w:pStyle w:val="P68B1DB1-Jalonsetcibles28"/>
        <w:spacing w:before="120" w:after="120" w:line="240" w:lineRule="auto"/>
        <w:rPr>
          <w:rFonts w:eastAsia="Times New Roman"/>
          <w:noProof/>
        </w:rPr>
      </w:pPr>
      <w:r>
        <w:rPr>
          <w:noProof/>
        </w:rPr>
        <w:t>S.2 Hechos, objetivos,</w:t>
      </w:r>
      <w:r>
        <w:rPr>
          <w:noProof/>
        </w:rPr>
        <w:t xml:space="preserve"> indicadores y calendario para el seguimiento y la ejecución de la ayuda financiera no reembolsable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52"/>
        <w:gridCol w:w="567"/>
        <w:gridCol w:w="1559"/>
        <w:gridCol w:w="1276"/>
        <w:gridCol w:w="992"/>
        <w:gridCol w:w="709"/>
        <w:gridCol w:w="708"/>
        <w:gridCol w:w="709"/>
        <w:gridCol w:w="709"/>
        <w:gridCol w:w="5103"/>
      </w:tblGrid>
      <w:tr w:rsidR="00F208CE" w14:paraId="194D69AF" w14:textId="77777777">
        <w:trPr>
          <w:trHeight w:val="836"/>
          <w:tblHeader/>
        </w:trPr>
        <w:tc>
          <w:tcPr>
            <w:tcW w:w="670" w:type="dxa"/>
            <w:vMerge w:val="restart"/>
            <w:shd w:val="clear" w:color="auto" w:fill="BDD7EE"/>
            <w:vAlign w:val="center"/>
          </w:tcPr>
          <w:p w14:paraId="36CF3D90" w14:textId="77777777" w:rsidR="00F208CE" w:rsidRDefault="00513E84">
            <w:pPr>
              <w:pStyle w:val="P68B1DB1-Normal7"/>
              <w:spacing w:after="0" w:line="240" w:lineRule="auto"/>
              <w:jc w:val="center"/>
              <w:rPr>
                <w:rFonts w:cs="Times New Roman"/>
                <w:noProof/>
                <w:color w:val="006100"/>
              </w:rPr>
            </w:pPr>
            <w:bookmarkStart w:id="6" w:name="_Hlk142327646"/>
            <w:r>
              <w:rPr>
                <w:noProof/>
              </w:rPr>
              <w:t>Código Nota:</w:t>
            </w:r>
          </w:p>
        </w:tc>
        <w:tc>
          <w:tcPr>
            <w:tcW w:w="1452" w:type="dxa"/>
            <w:vMerge w:val="restart"/>
            <w:shd w:val="clear" w:color="auto" w:fill="BDD7EE"/>
            <w:vAlign w:val="center"/>
          </w:tcPr>
          <w:p w14:paraId="47799B1F" w14:textId="77777777" w:rsidR="00F208CE" w:rsidRDefault="00513E84">
            <w:pPr>
              <w:pStyle w:val="P68B1DB1-Normal7"/>
              <w:spacing w:after="0" w:line="240" w:lineRule="auto"/>
              <w:jc w:val="center"/>
              <w:rPr>
                <w:rFonts w:cs="Times New Roman"/>
                <w:noProof/>
                <w:color w:val="006100"/>
              </w:rPr>
            </w:pPr>
            <w:r>
              <w:rPr>
                <w:noProof/>
              </w:rPr>
              <w:t>Medida relacionada (reforma o inversión)</w:t>
            </w:r>
          </w:p>
        </w:tc>
        <w:tc>
          <w:tcPr>
            <w:tcW w:w="567" w:type="dxa"/>
            <w:vMerge w:val="restart"/>
            <w:shd w:val="clear" w:color="auto" w:fill="BDD7EE"/>
            <w:vAlign w:val="center"/>
          </w:tcPr>
          <w:p w14:paraId="1F40DDFD" w14:textId="77777777" w:rsidR="00F208CE" w:rsidRDefault="00513E84">
            <w:pPr>
              <w:pStyle w:val="P68B1DB1-Normal7"/>
              <w:spacing w:after="0" w:line="240" w:lineRule="auto"/>
              <w:jc w:val="center"/>
              <w:rPr>
                <w:rFonts w:cs="Times New Roman"/>
                <w:noProof/>
                <w:color w:val="006100"/>
              </w:rPr>
            </w:pPr>
            <w:r>
              <w:rPr>
                <w:noProof/>
              </w:rPr>
              <w:t>M/T</w:t>
            </w:r>
          </w:p>
        </w:tc>
        <w:tc>
          <w:tcPr>
            <w:tcW w:w="1559" w:type="dxa"/>
            <w:vMerge w:val="restart"/>
            <w:shd w:val="clear" w:color="auto" w:fill="BDD7EE"/>
            <w:vAlign w:val="center"/>
          </w:tcPr>
          <w:p w14:paraId="1690F1B4" w14:textId="77777777" w:rsidR="00F208CE" w:rsidRDefault="00513E84">
            <w:pPr>
              <w:pStyle w:val="P68B1DB1-Normal7"/>
              <w:spacing w:after="0" w:line="240" w:lineRule="auto"/>
              <w:jc w:val="center"/>
              <w:rPr>
                <w:rFonts w:cs="Times New Roman"/>
                <w:noProof/>
                <w:color w:val="006100"/>
              </w:rPr>
            </w:pPr>
            <w:r>
              <w:rPr>
                <w:noProof/>
              </w:rPr>
              <w:t>Nombre</w:t>
            </w:r>
          </w:p>
        </w:tc>
        <w:tc>
          <w:tcPr>
            <w:tcW w:w="1276" w:type="dxa"/>
            <w:vMerge w:val="restart"/>
            <w:shd w:val="clear" w:color="auto" w:fill="BDD7EE"/>
            <w:vAlign w:val="center"/>
          </w:tcPr>
          <w:p w14:paraId="5195421C" w14:textId="77777777" w:rsidR="00F208CE" w:rsidRDefault="00513E84">
            <w:pPr>
              <w:spacing w:after="0" w:line="240" w:lineRule="auto"/>
              <w:jc w:val="center"/>
              <w:rPr>
                <w:rFonts w:ascii="Times New Roman" w:hAnsi="Times New Roman" w:cs="Times New Roman"/>
                <w:noProof/>
                <w:color w:val="006100"/>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409" w:type="dxa"/>
            <w:gridSpan w:val="3"/>
            <w:shd w:val="clear" w:color="auto" w:fill="BDD7EE"/>
            <w:vAlign w:val="center"/>
          </w:tcPr>
          <w:p w14:paraId="6615FD18" w14:textId="77777777" w:rsidR="00F208CE" w:rsidRDefault="00513E84">
            <w:pPr>
              <w:spacing w:after="0" w:line="240" w:lineRule="auto"/>
              <w:jc w:val="center"/>
              <w:rPr>
                <w:rFonts w:ascii="Times New Roman" w:eastAsia="Times New Roman" w:hAnsi="Times New Roman" w:cs="Times New Roman"/>
                <w:noProof/>
                <w:color w:val="006100"/>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418" w:type="dxa"/>
            <w:gridSpan w:val="2"/>
            <w:shd w:val="clear" w:color="auto" w:fill="BDD7EE"/>
            <w:vAlign w:val="center"/>
          </w:tcPr>
          <w:p w14:paraId="749B6226" w14:textId="77777777" w:rsidR="00F208CE" w:rsidRDefault="00513E84">
            <w:pPr>
              <w:pStyle w:val="P68B1DB1-Normal7"/>
              <w:jc w:val="center"/>
              <w:rPr>
                <w:rFonts w:eastAsia="Times New Roman" w:cs="Times New Roman"/>
                <w:noProof/>
              </w:rPr>
            </w:pPr>
            <w:r>
              <w:rPr>
                <w:noProof/>
              </w:rPr>
              <w:t>Ca</w:t>
            </w:r>
            <w:r>
              <w:rPr>
                <w:noProof/>
              </w:rPr>
              <w:t>lendario indicativo de finalización</w:t>
            </w:r>
          </w:p>
        </w:tc>
        <w:tc>
          <w:tcPr>
            <w:tcW w:w="5103" w:type="dxa"/>
            <w:vMerge w:val="restart"/>
            <w:shd w:val="clear" w:color="auto" w:fill="BDD7EE"/>
            <w:vAlign w:val="center"/>
          </w:tcPr>
          <w:p w14:paraId="0811433E" w14:textId="77777777" w:rsidR="00F208CE" w:rsidRDefault="00513E84">
            <w:pPr>
              <w:pStyle w:val="P68B1DB1-Normal7"/>
              <w:jc w:val="center"/>
              <w:rPr>
                <w:rFonts w:eastAsia="Times New Roman" w:cs="Times New Roman"/>
                <w:noProof/>
              </w:rPr>
            </w:pPr>
            <w:r>
              <w:rPr>
                <w:noProof/>
              </w:rPr>
              <w:t>Descripción de cada hito y objetivo</w:t>
            </w:r>
          </w:p>
        </w:tc>
      </w:tr>
      <w:tr w:rsidR="00F208CE" w14:paraId="1C0D673A" w14:textId="77777777">
        <w:trPr>
          <w:trHeight w:val="842"/>
        </w:trPr>
        <w:tc>
          <w:tcPr>
            <w:tcW w:w="670" w:type="dxa"/>
            <w:vMerge/>
            <w:vAlign w:val="center"/>
          </w:tcPr>
          <w:p w14:paraId="49DC0EFA" w14:textId="77777777" w:rsidR="00F208CE" w:rsidRDefault="00F208CE">
            <w:pPr>
              <w:rPr>
                <w:rFonts w:ascii="Times New Roman" w:hAnsi="Times New Roman" w:cs="Times New Roman"/>
                <w:noProof/>
              </w:rPr>
            </w:pPr>
          </w:p>
        </w:tc>
        <w:tc>
          <w:tcPr>
            <w:tcW w:w="1452" w:type="dxa"/>
            <w:vMerge/>
            <w:vAlign w:val="center"/>
          </w:tcPr>
          <w:p w14:paraId="1A3773B3" w14:textId="77777777" w:rsidR="00F208CE" w:rsidRDefault="00F208CE">
            <w:pPr>
              <w:rPr>
                <w:rFonts w:ascii="Times New Roman" w:hAnsi="Times New Roman" w:cs="Times New Roman"/>
                <w:noProof/>
              </w:rPr>
            </w:pPr>
          </w:p>
        </w:tc>
        <w:tc>
          <w:tcPr>
            <w:tcW w:w="567" w:type="dxa"/>
            <w:vMerge/>
            <w:vAlign w:val="center"/>
          </w:tcPr>
          <w:p w14:paraId="5C5E5C90" w14:textId="77777777" w:rsidR="00F208CE" w:rsidRDefault="00F208CE">
            <w:pPr>
              <w:rPr>
                <w:rFonts w:ascii="Times New Roman" w:hAnsi="Times New Roman" w:cs="Times New Roman"/>
                <w:noProof/>
              </w:rPr>
            </w:pPr>
          </w:p>
        </w:tc>
        <w:tc>
          <w:tcPr>
            <w:tcW w:w="1559" w:type="dxa"/>
            <w:vMerge/>
            <w:vAlign w:val="center"/>
          </w:tcPr>
          <w:p w14:paraId="2B11E58B" w14:textId="77777777" w:rsidR="00F208CE" w:rsidRDefault="00F208CE">
            <w:pPr>
              <w:rPr>
                <w:rFonts w:ascii="Times New Roman" w:hAnsi="Times New Roman" w:cs="Times New Roman"/>
                <w:noProof/>
              </w:rPr>
            </w:pPr>
          </w:p>
        </w:tc>
        <w:tc>
          <w:tcPr>
            <w:tcW w:w="1276" w:type="dxa"/>
            <w:vMerge/>
            <w:vAlign w:val="center"/>
          </w:tcPr>
          <w:p w14:paraId="689FC82E" w14:textId="77777777" w:rsidR="00F208CE" w:rsidRDefault="00F208CE">
            <w:pPr>
              <w:spacing w:after="0" w:line="240" w:lineRule="auto"/>
              <w:rPr>
                <w:rFonts w:ascii="Times New Roman" w:hAnsi="Times New Roman" w:cs="Times New Roman"/>
                <w:noProof/>
                <w:color w:val="006100"/>
              </w:rPr>
            </w:pPr>
          </w:p>
        </w:tc>
        <w:tc>
          <w:tcPr>
            <w:tcW w:w="992" w:type="dxa"/>
            <w:shd w:val="clear" w:color="auto" w:fill="BDD7EE"/>
            <w:vAlign w:val="center"/>
          </w:tcPr>
          <w:p w14:paraId="54CF7FE0" w14:textId="77777777" w:rsidR="00F208CE" w:rsidRDefault="00513E84">
            <w:pPr>
              <w:pStyle w:val="P68B1DB1-Normal7"/>
              <w:spacing w:after="0" w:line="240" w:lineRule="auto"/>
              <w:jc w:val="center"/>
              <w:rPr>
                <w:rFonts w:eastAsia="Times New Roman" w:cs="Times New Roman"/>
                <w:noProof/>
                <w:color w:val="006100"/>
              </w:rPr>
            </w:pPr>
            <w:r>
              <w:rPr>
                <w:noProof/>
              </w:rPr>
              <w:t>Unidad de medida</w:t>
            </w:r>
          </w:p>
        </w:tc>
        <w:tc>
          <w:tcPr>
            <w:tcW w:w="709" w:type="dxa"/>
            <w:shd w:val="clear" w:color="auto" w:fill="BDD7EE"/>
            <w:vAlign w:val="center"/>
          </w:tcPr>
          <w:p w14:paraId="3769952F" w14:textId="77777777" w:rsidR="00F208CE" w:rsidRDefault="00513E84">
            <w:pPr>
              <w:pStyle w:val="P68B1DB1-Normal7"/>
              <w:spacing w:after="0" w:line="240" w:lineRule="auto"/>
              <w:jc w:val="center"/>
              <w:rPr>
                <w:rFonts w:eastAsia="Times New Roman" w:cs="Times New Roman"/>
                <w:noProof/>
                <w:color w:val="006100"/>
              </w:rPr>
            </w:pPr>
            <w:r>
              <w:rPr>
                <w:noProof/>
              </w:rPr>
              <w:t>Basal</w:t>
            </w:r>
          </w:p>
        </w:tc>
        <w:tc>
          <w:tcPr>
            <w:tcW w:w="708" w:type="dxa"/>
            <w:shd w:val="clear" w:color="auto" w:fill="BDD7EE"/>
            <w:vAlign w:val="center"/>
          </w:tcPr>
          <w:p w14:paraId="688CF99F" w14:textId="77777777" w:rsidR="00F208CE" w:rsidRDefault="00513E84">
            <w:pPr>
              <w:pStyle w:val="P68B1DB1-Normal7"/>
              <w:spacing w:after="0" w:line="240" w:lineRule="auto"/>
              <w:jc w:val="center"/>
              <w:rPr>
                <w:rFonts w:eastAsia="Times New Roman" w:cs="Times New Roman"/>
                <w:noProof/>
              </w:rPr>
            </w:pPr>
            <w:r>
              <w:rPr>
                <w:noProof/>
              </w:rPr>
              <w:t>Meta</w:t>
            </w:r>
          </w:p>
        </w:tc>
        <w:tc>
          <w:tcPr>
            <w:tcW w:w="709" w:type="dxa"/>
            <w:shd w:val="clear" w:color="auto" w:fill="BDD7EE"/>
            <w:vAlign w:val="center"/>
          </w:tcPr>
          <w:p w14:paraId="035148E5" w14:textId="77777777" w:rsidR="00F208CE" w:rsidRDefault="00513E84">
            <w:pPr>
              <w:pStyle w:val="P68B1DB1-Normal7"/>
              <w:spacing w:after="0" w:line="240" w:lineRule="auto"/>
              <w:jc w:val="center"/>
              <w:rPr>
                <w:rFonts w:eastAsia="Times New Roman" w:cs="Times New Roman"/>
                <w:noProof/>
                <w:color w:val="006100"/>
              </w:rPr>
            </w:pPr>
            <w:r>
              <w:rPr>
                <w:noProof/>
              </w:rPr>
              <w:t>Trimestre</w:t>
            </w:r>
          </w:p>
        </w:tc>
        <w:tc>
          <w:tcPr>
            <w:tcW w:w="709" w:type="dxa"/>
            <w:shd w:val="clear" w:color="auto" w:fill="BDD7EE"/>
            <w:vAlign w:val="center"/>
          </w:tcPr>
          <w:p w14:paraId="60661D88" w14:textId="77777777" w:rsidR="00F208CE" w:rsidRDefault="00513E84">
            <w:pPr>
              <w:pStyle w:val="P68B1DB1-Normal7"/>
              <w:spacing w:after="0" w:line="240" w:lineRule="auto"/>
              <w:jc w:val="center"/>
              <w:rPr>
                <w:rFonts w:cs="Times New Roman"/>
                <w:noProof/>
                <w:color w:val="006100"/>
              </w:rPr>
            </w:pPr>
            <w:r>
              <w:rPr>
                <w:noProof/>
              </w:rPr>
              <w:t>Año</w:t>
            </w:r>
          </w:p>
        </w:tc>
        <w:tc>
          <w:tcPr>
            <w:tcW w:w="5103" w:type="dxa"/>
            <w:vMerge/>
            <w:vAlign w:val="center"/>
          </w:tcPr>
          <w:p w14:paraId="4887C7EB" w14:textId="77777777" w:rsidR="00F208CE" w:rsidRDefault="00F208CE">
            <w:pPr>
              <w:rPr>
                <w:rFonts w:ascii="Times New Roman" w:eastAsia="Times New Roman" w:hAnsi="Times New Roman" w:cs="Times New Roman"/>
                <w:b/>
                <w:noProof/>
              </w:rPr>
            </w:pPr>
          </w:p>
        </w:tc>
      </w:tr>
      <w:bookmarkEnd w:id="6"/>
      <w:tr w:rsidR="00F208CE" w14:paraId="7A8B2AF1"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493DE247" w14:textId="77777777" w:rsidR="00F208CE" w:rsidRDefault="00513E84">
            <w:pPr>
              <w:pStyle w:val="P68B1DB1-Normal8"/>
              <w:spacing w:after="0" w:line="240" w:lineRule="auto"/>
              <w:jc w:val="center"/>
              <w:rPr>
                <w:rFonts w:cs="Times New Roman"/>
                <w:noProof/>
              </w:rPr>
            </w:pPr>
            <w:r>
              <w:rPr>
                <w:noProof/>
              </w:rPr>
              <w:t>219</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661E9F33" w14:textId="77777777" w:rsidR="00F208CE" w:rsidRDefault="00513E84">
            <w:pPr>
              <w:pStyle w:val="P68B1DB1-Normal8"/>
              <w:spacing w:after="0" w:line="240" w:lineRule="auto"/>
              <w:rPr>
                <w:rFonts w:cs="Times New Roman"/>
                <w:noProof/>
              </w:rPr>
            </w:pPr>
            <w:r>
              <w:rPr>
                <w:noProof/>
              </w:rPr>
              <w:t xml:space="preserve">Plataforma de investigación para la transición energética (I-7.11) </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3FCE4676" w14:textId="77777777" w:rsidR="00F208CE" w:rsidRDefault="00513E84">
            <w:pPr>
              <w:pStyle w:val="P68B1DB1-Normal8"/>
              <w:spacing w:after="0" w:line="240" w:lineRule="auto"/>
              <w:rPr>
                <w:rFonts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6771FC06" w14:textId="77777777" w:rsidR="00F208CE" w:rsidRDefault="00513E84">
            <w:pPr>
              <w:pStyle w:val="P68B1DB1-Normal8"/>
              <w:spacing w:after="0" w:line="240" w:lineRule="auto"/>
              <w:rPr>
                <w:rFonts w:cs="Times New Roman"/>
                <w:noProof/>
              </w:rPr>
            </w:pPr>
            <w:r>
              <w:rPr>
                <w:noProof/>
              </w:rPr>
              <w:t>Publicación de licitaciones públicas de equipos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ADE663F" w14:textId="6F4AD4F4" w:rsidR="00F208CE" w:rsidRDefault="00513E84">
            <w:pPr>
              <w:pStyle w:val="P68B1DB1-Normal8"/>
              <w:spacing w:after="0" w:line="240" w:lineRule="auto"/>
              <w:rPr>
                <w:rFonts w:cs="Times New Roman"/>
                <w:noProof/>
              </w:rPr>
            </w:pPr>
            <w:r>
              <w:rPr>
                <w:noProof/>
              </w:rPr>
              <w:t xml:space="preserve">Publicación </w:t>
            </w:r>
            <w:r>
              <w:rPr>
                <w:noProof/>
              </w:rPr>
              <w:t>de licitaciones públicas</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1054039" w14:textId="77777777" w:rsidR="00F208CE" w:rsidRDefault="00F208CE">
            <w:pPr>
              <w:spacing w:after="0"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17DB389" w14:textId="77777777" w:rsidR="00F208CE" w:rsidRDefault="00F208CE">
            <w:pPr>
              <w:spacing w:after="0" w:line="240" w:lineRule="auto"/>
              <w:rPr>
                <w:rFonts w:ascii="Times New Roman" w:eastAsia="Times New Roman" w:hAnsi="Times New Roman" w:cs="Times New Roman"/>
                <w:noProof/>
                <w:color w:val="006100"/>
              </w:rPr>
            </w:pP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6E5D46AA" w14:textId="77777777" w:rsidR="00F208CE" w:rsidRDefault="00F208CE">
            <w:pPr>
              <w:spacing w:after="0"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B6CD4EF" w14:textId="77777777" w:rsidR="00F208CE" w:rsidRDefault="00513E84">
            <w:pPr>
              <w:pStyle w:val="P68B1DB1-Normal8"/>
              <w:spacing w:after="0" w:line="240" w:lineRule="auto"/>
              <w:jc w:val="center"/>
              <w:rPr>
                <w:rFonts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9317AF6" w14:textId="77777777" w:rsidR="00F208CE" w:rsidRDefault="00513E84">
            <w:pPr>
              <w:pStyle w:val="P68B1DB1-Normal8"/>
              <w:spacing w:after="0" w:line="240" w:lineRule="auto"/>
              <w:jc w:val="center"/>
              <w:rPr>
                <w:rFonts w:cs="Times New Roman"/>
                <w:noProof/>
              </w:rPr>
            </w:pPr>
            <w:r>
              <w:rPr>
                <w:noProof/>
              </w:rPr>
              <w:t>2024</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2A471AAB" w14:textId="77777777" w:rsidR="00F208CE" w:rsidRDefault="00513E84">
            <w:pPr>
              <w:pStyle w:val="P68B1DB1-Normal8"/>
              <w:spacing w:after="0" w:line="240" w:lineRule="auto"/>
              <w:rPr>
                <w:rFonts w:cs="Times New Roman"/>
                <w:noProof/>
              </w:rPr>
            </w:pPr>
            <w:r>
              <w:rPr>
                <w:noProof/>
              </w:rPr>
              <w:t>Publicación de licitaciones públicas para la adquisición de equipos específicos en el marco del proyecto «Plataforma de investigación para la transición energética» (Fedération Wallonie-Bruxelles) que cum</w:t>
            </w:r>
            <w:r>
              <w:rPr>
                <w:noProof/>
              </w:rPr>
              <w:t xml:space="preserve">pla las siguientes condiciones por lo que se refiere a las actividades de investigación e innovación previstas: </w:t>
            </w:r>
          </w:p>
          <w:p w14:paraId="04D6C9CC" w14:textId="77777777" w:rsidR="00F208CE" w:rsidRDefault="00513E84">
            <w:pPr>
              <w:pStyle w:val="P68B1DB1-Normal8"/>
              <w:spacing w:after="0" w:line="240" w:lineRule="auto"/>
              <w:rPr>
                <w:rFonts w:cs="Times New Roman"/>
                <w:noProof/>
              </w:rPr>
            </w:pPr>
            <w:r>
              <w:rPr>
                <w:noProof/>
              </w:rPr>
              <w:t>— La Recomendación I se centra exclusiva o principalmente en opciones de bajo impacto (como la producción de hidrógeno renovable o innovaciones</w:t>
            </w:r>
            <w:r>
              <w:rPr>
                <w:noProof/>
              </w:rPr>
              <w:t xml:space="preserve"> medioambientales sin emisiones); o</w:t>
            </w:r>
          </w:p>
          <w:p w14:paraId="3F084903" w14:textId="77777777" w:rsidR="00F208CE" w:rsidRDefault="00513E84">
            <w:pPr>
              <w:pStyle w:val="P68B1DB1-Normal8"/>
              <w:spacing w:after="0" w:line="240" w:lineRule="auto"/>
              <w:rPr>
                <w:rFonts w:cs="Times New Roman"/>
                <w:noProof/>
              </w:rPr>
            </w:pPr>
            <w:r>
              <w:rPr>
                <w:noProof/>
              </w:rPr>
              <w:t xml:space="preserve">— La Recomendación I se dedica a mejorar la tecnología «mejor en clase» (como las tecnologías con el impacto más limitado (pero no nulo/bajo) entre las disponibles actualmente), y se establecen medidas de acompañamiento </w:t>
            </w:r>
            <w:r>
              <w:rPr>
                <w:noProof/>
              </w:rPr>
              <w:t>adecuadas para evitar los efectos de bloqueo (medidas que permiten la adopción de tecnologías de bajo impacto o su desarrollo); o</w:t>
            </w:r>
          </w:p>
          <w:p w14:paraId="3BE5D0E1" w14:textId="77777777" w:rsidR="00F208CE" w:rsidRDefault="00513E84">
            <w:pPr>
              <w:pStyle w:val="P68B1DB1-Normal8"/>
              <w:spacing w:after="0" w:line="240" w:lineRule="auto"/>
              <w:rPr>
                <w:rFonts w:eastAsia="Times New Roman" w:cs="Times New Roman"/>
                <w:noProof/>
                <w:highlight w:val="yellow"/>
              </w:rPr>
            </w:pPr>
            <w:r>
              <w:rPr>
                <w:noProof/>
              </w:rPr>
              <w:t>— Los resultados del proceso R/I son tecnológicamente neutros a nivel de su aplicación (es decir, pueden aplicarse a todas las</w:t>
            </w:r>
            <w:r>
              <w:rPr>
                <w:noProof/>
              </w:rPr>
              <w:t xml:space="preserve"> tecnologías disponibles).</w:t>
            </w:r>
          </w:p>
        </w:tc>
      </w:tr>
      <w:tr w:rsidR="00F208CE" w14:paraId="294CC6C4"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47FB4C46" w14:textId="77777777" w:rsidR="00F208CE" w:rsidRDefault="00513E84">
            <w:pPr>
              <w:pStyle w:val="P68B1DB1-Normal8"/>
              <w:spacing w:after="0" w:line="240" w:lineRule="auto"/>
              <w:jc w:val="center"/>
              <w:rPr>
                <w:rFonts w:cs="Times New Roman"/>
                <w:noProof/>
              </w:rPr>
            </w:pPr>
            <w:r>
              <w:rPr>
                <w:noProof/>
              </w:rPr>
              <w:t>220</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0EA9E27D" w14:textId="77777777" w:rsidR="00F208CE" w:rsidRDefault="00513E84">
            <w:pPr>
              <w:pStyle w:val="P68B1DB1-Normal8"/>
              <w:spacing w:after="0" w:line="240" w:lineRule="auto"/>
              <w:rPr>
                <w:rFonts w:cs="Times New Roman"/>
                <w:noProof/>
              </w:rPr>
            </w:pPr>
            <w:r>
              <w:rPr>
                <w:noProof/>
              </w:rPr>
              <w:t xml:space="preserve">Plataforma de investigación para la transición energética (I-7.11) </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26628CB6" w14:textId="77777777" w:rsidR="00F208CE" w:rsidRDefault="00513E84">
            <w:pPr>
              <w:pStyle w:val="P68B1DB1-Normal8"/>
              <w:spacing w:after="0" w:line="240" w:lineRule="auto"/>
              <w:rPr>
                <w:rFonts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2DBCD78B" w14:textId="77777777" w:rsidR="00F208CE" w:rsidRDefault="00513E84">
            <w:pPr>
              <w:pStyle w:val="P68B1DB1-Normal8"/>
              <w:spacing w:after="0" w:line="240" w:lineRule="auto"/>
              <w:rPr>
                <w:rFonts w:cs="Times New Roman"/>
                <w:noProof/>
              </w:rPr>
            </w:pPr>
            <w:r>
              <w:rPr>
                <w:noProof/>
              </w:rPr>
              <w:t>Adquisición de equipos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0A5B687" w14:textId="77777777" w:rsidR="00F208CE" w:rsidRDefault="00513E84">
            <w:pPr>
              <w:pStyle w:val="P68B1DB1-Normal8"/>
              <w:spacing w:after="0" w:line="240" w:lineRule="auto"/>
              <w:rPr>
                <w:rFonts w:cs="Times New Roman"/>
                <w:noProof/>
              </w:rPr>
            </w:pPr>
            <w:r>
              <w:rPr>
                <w:noProof/>
              </w:rPr>
              <w:t xml:space="preserve">Informe final del proyecto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30583A60" w14:textId="77777777" w:rsidR="00F208CE" w:rsidRDefault="00F208CE">
            <w:pPr>
              <w:spacing w:after="0"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43C44CD7" w14:textId="77777777" w:rsidR="00F208CE" w:rsidRDefault="00F208CE">
            <w:pPr>
              <w:spacing w:after="0" w:line="240" w:lineRule="auto"/>
              <w:rPr>
                <w:rFonts w:ascii="Times New Roman" w:eastAsia="Times New Roman" w:hAnsi="Times New Roman" w:cs="Times New Roman"/>
                <w:noProof/>
                <w:color w:val="006100"/>
              </w:rPr>
            </w:pP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CC4B762" w14:textId="77777777" w:rsidR="00F208CE" w:rsidRDefault="00F208CE">
            <w:pPr>
              <w:spacing w:after="0"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1BC1E4C" w14:textId="77777777" w:rsidR="00F208CE" w:rsidRDefault="00513E84">
            <w:pPr>
              <w:pStyle w:val="P68B1DB1-Normal8"/>
              <w:spacing w:after="0" w:line="240" w:lineRule="auto"/>
              <w:jc w:val="center"/>
              <w:rPr>
                <w:rFonts w:cs="Times New Roman"/>
                <w:noProof/>
              </w:rPr>
            </w:pPr>
            <w:r>
              <w:rPr>
                <w:noProof/>
              </w:rPr>
              <w:t>TERCER TRIMESTRE 4</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8E2E81B" w14:textId="77777777" w:rsidR="00F208CE" w:rsidRDefault="00513E84">
            <w:pPr>
              <w:pStyle w:val="P68B1DB1-Normal8"/>
              <w:spacing w:after="0" w:line="240" w:lineRule="auto"/>
              <w:jc w:val="center"/>
              <w:rPr>
                <w:rFonts w:cs="Times New Roman"/>
                <w:noProof/>
              </w:rPr>
            </w:pPr>
            <w:r>
              <w:rPr>
                <w:noProof/>
              </w:rPr>
              <w:t>2025</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23EF2AE1" w14:textId="022F6E3D" w:rsidR="00F208CE" w:rsidRDefault="00513E84">
            <w:pPr>
              <w:pStyle w:val="P68B1DB1-Normal8"/>
              <w:spacing w:after="0" w:line="240" w:lineRule="auto"/>
              <w:rPr>
                <w:rFonts w:eastAsia="Times New Roman" w:cs="Times New Roman"/>
                <w:noProof/>
              </w:rPr>
            </w:pPr>
            <w:r>
              <w:rPr>
                <w:noProof/>
              </w:rPr>
              <w:t>21 182 204 EUR ejecutados al término de la adquisición de equipos y se han encargado los 2 353 578 EUR restantes.</w:t>
            </w:r>
          </w:p>
        </w:tc>
      </w:tr>
      <w:tr w:rsidR="00F208CE" w14:paraId="79B20CA1"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01721C8E" w14:textId="77777777" w:rsidR="00F208CE" w:rsidRDefault="00513E84">
            <w:pPr>
              <w:pStyle w:val="P68B1DB1-Normal8"/>
              <w:spacing w:line="240" w:lineRule="auto"/>
              <w:jc w:val="center"/>
              <w:rPr>
                <w:rFonts w:eastAsia="Times New Roman" w:cs="Times New Roman"/>
                <w:noProof/>
              </w:rPr>
            </w:pPr>
            <w:r>
              <w:rPr>
                <w:noProof/>
              </w:rPr>
              <w:t>221</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11BE34C7" w14:textId="77777777" w:rsidR="00F208CE" w:rsidRDefault="00513E84">
            <w:pPr>
              <w:pStyle w:val="P68B1DB1-Normal8"/>
              <w:spacing w:line="240" w:lineRule="auto"/>
              <w:rPr>
                <w:rFonts w:eastAsia="Times New Roman" w:cs="Times New Roman"/>
                <w:noProof/>
              </w:rPr>
            </w:pPr>
            <w:r>
              <w:rPr>
                <w:noProof/>
              </w:rPr>
              <w:t>Infraestructuras de importación de energía (I-7.12)</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48FB6AD2" w14:textId="77777777" w:rsidR="00F208CE" w:rsidRDefault="00513E84">
            <w:pPr>
              <w:pStyle w:val="P68B1DB1-Normal8"/>
              <w:spacing w:line="240" w:lineRule="auto"/>
              <w:rPr>
                <w:rFonts w:eastAsia="Times New Roman"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703DC5ED" w14:textId="77777777" w:rsidR="00F208CE" w:rsidRDefault="00513E84">
            <w:pPr>
              <w:pStyle w:val="P68B1DB1-Normal8"/>
              <w:spacing w:after="0" w:line="240" w:lineRule="auto"/>
              <w:rPr>
                <w:rFonts w:eastAsia="Times New Roman" w:cs="Times New Roman"/>
                <w:noProof/>
                <w:color w:val="000000" w:themeColor="text1"/>
              </w:rPr>
            </w:pPr>
            <w:r>
              <w:rPr>
                <w:noProof/>
              </w:rPr>
              <w:t>Adjudicación de contratos en el marco de las convocatorias de proyectos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CDF1022" w14:textId="4F4852CB" w:rsidR="00F208CE" w:rsidRDefault="00513E84">
            <w:pPr>
              <w:pStyle w:val="P68B1DB1-Normal8"/>
              <w:spacing w:after="0" w:line="240" w:lineRule="auto"/>
              <w:rPr>
                <w:rFonts w:eastAsia="Times New Roman" w:cs="Times New Roman"/>
                <w:noProof/>
                <w:color w:val="000000" w:themeColor="text1"/>
              </w:rPr>
            </w:pPr>
            <w:r>
              <w:rPr>
                <w:noProof/>
              </w:rPr>
              <w:t xml:space="preserve">Notificación por escrito a los candidatos seleccionados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47AA5B7"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034549E" w14:textId="77777777" w:rsidR="00F208CE" w:rsidRDefault="00F208CE">
            <w:pPr>
              <w:spacing w:line="240" w:lineRule="auto"/>
              <w:rPr>
                <w:rFonts w:ascii="Times New Roman" w:eastAsia="Times New Roman" w:hAnsi="Times New Roman" w:cs="Times New Roman"/>
                <w:noProof/>
                <w:color w:val="006100"/>
              </w:rPr>
            </w:pP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29F03E6"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9654182" w14:textId="77777777" w:rsidR="00F208CE" w:rsidRDefault="00513E84">
            <w:pPr>
              <w:pStyle w:val="P68B1DB1-Normal8"/>
              <w:spacing w:line="240" w:lineRule="auto"/>
              <w:jc w:val="center"/>
              <w:rPr>
                <w:rFonts w:eastAsia="Times New Roman"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C8EDF7D" w14:textId="77777777" w:rsidR="00F208CE" w:rsidRDefault="00513E84">
            <w:pPr>
              <w:pStyle w:val="P68B1DB1-Normal8"/>
              <w:spacing w:line="240" w:lineRule="auto"/>
              <w:jc w:val="center"/>
              <w:rPr>
                <w:rFonts w:eastAsia="Times New Roman" w:cs="Times New Roman"/>
                <w:noProof/>
              </w:rPr>
            </w:pPr>
            <w:r>
              <w:rPr>
                <w:noProof/>
              </w:rPr>
              <w:t>2024</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00207EED" w14:textId="77777777" w:rsidR="00F208CE" w:rsidRDefault="00513E84">
            <w:pPr>
              <w:pStyle w:val="P68B1DB1-Normal8"/>
              <w:spacing w:after="0" w:line="240" w:lineRule="auto"/>
              <w:rPr>
                <w:rFonts w:cs="Times New Roman"/>
                <w:noProof/>
              </w:rPr>
            </w:pPr>
            <w:r>
              <w:rPr>
                <w:noProof/>
              </w:rPr>
              <w:t>Adjudicación de contratos a los proyectos de demostración o de I + D seleccionados en el marco de las convocatorias de proyectos sobre la optimización de las infraestructur</w:t>
            </w:r>
            <w:r>
              <w:rPr>
                <w:noProof/>
              </w:rPr>
              <w:t>as de importación de hidrógeno o electricidad.</w:t>
            </w:r>
          </w:p>
        </w:tc>
      </w:tr>
      <w:tr w:rsidR="00F208CE" w14:paraId="797A19EF"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3E9B8815" w14:textId="77777777" w:rsidR="00F208CE" w:rsidRDefault="00513E84">
            <w:pPr>
              <w:pStyle w:val="P68B1DB1-Normal8"/>
              <w:spacing w:line="240" w:lineRule="auto"/>
              <w:jc w:val="center"/>
              <w:rPr>
                <w:rFonts w:eastAsia="Times New Roman" w:cs="Times New Roman"/>
                <w:noProof/>
              </w:rPr>
            </w:pPr>
            <w:r>
              <w:rPr>
                <w:noProof/>
              </w:rPr>
              <w:t>222</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6FC05EC6" w14:textId="77777777" w:rsidR="00F208CE" w:rsidRDefault="00513E84">
            <w:pPr>
              <w:pStyle w:val="P68B1DB1-Normal8"/>
              <w:spacing w:line="240" w:lineRule="auto"/>
              <w:rPr>
                <w:rFonts w:eastAsia="Times New Roman" w:cs="Times New Roman"/>
                <w:noProof/>
              </w:rPr>
            </w:pPr>
            <w:r>
              <w:rPr>
                <w:noProof/>
              </w:rPr>
              <w:t>Infraestructuras de importación de energía (I-7.12)</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4200C745" w14:textId="77777777" w:rsidR="00F208CE" w:rsidRDefault="00513E84">
            <w:pPr>
              <w:pStyle w:val="P68B1DB1-Normal8"/>
              <w:spacing w:line="240" w:lineRule="auto"/>
              <w:rPr>
                <w:rFonts w:eastAsia="Times New Roman"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32E966ED" w14:textId="77777777" w:rsidR="00F208CE" w:rsidRDefault="00513E84">
            <w:pPr>
              <w:pStyle w:val="P68B1DB1-Normal8"/>
              <w:spacing w:after="0" w:line="240" w:lineRule="auto"/>
              <w:rPr>
                <w:rFonts w:eastAsia="Times New Roman" w:cs="Times New Roman"/>
                <w:noProof/>
                <w:color w:val="000000" w:themeColor="text1"/>
              </w:rPr>
            </w:pPr>
            <w:r>
              <w:rPr>
                <w:noProof/>
              </w:rPr>
              <w:t>Finalización de los proyectos adjudicados en el marco de las convocatorias de proyectos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F1E692A" w14:textId="77777777" w:rsidR="00F208CE" w:rsidRDefault="00513E84">
            <w:pPr>
              <w:pStyle w:val="P68B1DB1-Normal8"/>
              <w:spacing w:after="0" w:line="240" w:lineRule="auto"/>
              <w:rPr>
                <w:rFonts w:eastAsia="Times New Roman" w:cs="Times New Roman"/>
                <w:noProof/>
                <w:color w:val="000000" w:themeColor="text1"/>
              </w:rPr>
            </w:pPr>
            <w:r>
              <w:rPr>
                <w:noProof/>
              </w:rPr>
              <w:t>Informe final del proyecto aprobado</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0CB54CA6"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24A2E5C" w14:textId="77777777" w:rsidR="00F208CE" w:rsidRDefault="00F208CE">
            <w:pPr>
              <w:spacing w:line="240" w:lineRule="auto"/>
              <w:rPr>
                <w:rFonts w:ascii="Times New Roman" w:eastAsia="Times New Roman" w:hAnsi="Times New Roman" w:cs="Times New Roman"/>
                <w:noProof/>
                <w:color w:val="006100"/>
              </w:rPr>
            </w:pP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12E13FCA"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658DCFB" w14:textId="77777777" w:rsidR="00F208CE" w:rsidRDefault="00513E84">
            <w:pPr>
              <w:pStyle w:val="P68B1DB1-Normal8"/>
              <w:spacing w:line="240" w:lineRule="auto"/>
              <w:jc w:val="center"/>
              <w:rPr>
                <w:rFonts w:eastAsia="Times New Roman"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A2276A7" w14:textId="77777777" w:rsidR="00F208CE" w:rsidRDefault="00513E84">
            <w:pPr>
              <w:pStyle w:val="P68B1DB1-Normal8"/>
              <w:spacing w:line="240" w:lineRule="auto"/>
              <w:jc w:val="center"/>
              <w:rPr>
                <w:rFonts w:eastAsia="Times New Roman" w:cs="Times New Roman"/>
                <w:noProof/>
              </w:rPr>
            </w:pPr>
            <w:r>
              <w:rPr>
                <w:noProof/>
              </w:rPr>
              <w:t>2026</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172ECCF9" w14:textId="77777777" w:rsidR="00F208CE" w:rsidRDefault="00513E84">
            <w:pPr>
              <w:spacing w:after="0" w:line="240" w:lineRule="auto"/>
              <w:rPr>
                <w:rFonts w:ascii="Times New Roman" w:hAnsi="Times New Roman" w:cs="Times New Roman"/>
                <w:noProof/>
                <w:color w:val="006100"/>
              </w:rPr>
            </w:pPr>
            <w:r>
              <w:rPr>
                <w:rFonts w:ascii="Times New Roman" w:hAnsi="Times New Roman"/>
                <w:noProof/>
                <w:color w:val="006100"/>
              </w:rPr>
              <w:t>Finalización de proyectos adjudicados en el marco de las convocatorias de proyectos sobre</w:t>
            </w:r>
            <w:r>
              <w:rPr>
                <w:noProof/>
              </w:rPr>
              <w:t xml:space="preserve"> la optimización de las infraestructuras de importación de hidrógeno o electricidad, con al menos 12 000 000 EUR ejecutados. </w:t>
            </w:r>
          </w:p>
        </w:tc>
      </w:tr>
      <w:tr w:rsidR="00F208CE" w14:paraId="4CBD7566"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5C41EFD7" w14:textId="77777777" w:rsidR="00F208CE" w:rsidRDefault="00513E84">
            <w:pPr>
              <w:pStyle w:val="P68B1DB1-Normal8"/>
              <w:spacing w:line="240" w:lineRule="auto"/>
              <w:jc w:val="center"/>
              <w:rPr>
                <w:rFonts w:eastAsia="Times New Roman" w:cs="Times New Roman"/>
                <w:noProof/>
              </w:rPr>
            </w:pPr>
            <w:r>
              <w:rPr>
                <w:noProof/>
              </w:rPr>
              <w:t>223</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689AFB6C" w14:textId="77777777" w:rsidR="00F208CE" w:rsidRDefault="00513E84">
            <w:pPr>
              <w:pStyle w:val="P68B1DB1-Normal8"/>
              <w:spacing w:line="240" w:lineRule="auto"/>
              <w:rPr>
                <w:rFonts w:eastAsia="Times New Roman" w:cs="Times New Roman"/>
                <w:noProof/>
              </w:rPr>
            </w:pPr>
            <w:r>
              <w:rPr>
                <w:noProof/>
              </w:rPr>
              <w:t xml:space="preserve">Llamamiento en favor de la </w:t>
            </w:r>
            <w:r>
              <w:rPr>
                <w:noProof/>
              </w:rPr>
              <w:t>descarbonización de la industria (I-7-13)</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1CAC42CA" w14:textId="77777777" w:rsidR="00F208CE" w:rsidRDefault="00513E84">
            <w:pPr>
              <w:pStyle w:val="P68B1DB1-Normal8"/>
              <w:spacing w:line="240" w:lineRule="auto"/>
              <w:rPr>
                <w:rFonts w:eastAsia="Times New Roman"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178B1015" w14:textId="70582436" w:rsidR="00F208CE" w:rsidRDefault="00513E84">
            <w:pPr>
              <w:pStyle w:val="P68B1DB1-Normal8"/>
              <w:spacing w:line="240" w:lineRule="auto"/>
              <w:rPr>
                <w:rFonts w:eastAsia="Times New Roman" w:cs="Times New Roman"/>
                <w:noProof/>
              </w:rPr>
            </w:pPr>
            <w:r>
              <w:rPr>
                <w:noProof/>
              </w:rPr>
              <w:t>Adjudicación de contratos en el marco de la convocatoria de proyectos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CF4C128" w14:textId="0072187E" w:rsidR="00F208CE" w:rsidRDefault="00513E84">
            <w:pPr>
              <w:pStyle w:val="P68B1DB1-Normal8"/>
              <w:spacing w:after="0" w:line="240" w:lineRule="auto"/>
              <w:rPr>
                <w:rFonts w:eastAsia="Times New Roman" w:cs="Times New Roman"/>
                <w:noProof/>
                <w:color w:val="000000" w:themeColor="text1"/>
              </w:rPr>
            </w:pPr>
            <w:r>
              <w:rPr>
                <w:noProof/>
              </w:rPr>
              <w:t xml:space="preserve">Notificación por escrito a los candidatos seleccionados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4A2F8F7"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B3608F9" w14:textId="77777777" w:rsidR="00F208CE" w:rsidRDefault="00F208CE">
            <w:pPr>
              <w:spacing w:line="240" w:lineRule="auto"/>
              <w:rPr>
                <w:rFonts w:ascii="Times New Roman" w:eastAsia="Times New Roman" w:hAnsi="Times New Roman" w:cs="Times New Roman"/>
                <w:noProof/>
                <w:color w:val="006100"/>
              </w:rPr>
            </w:pP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3033237"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CAA4830" w14:textId="34224A67" w:rsidR="00F208CE" w:rsidRDefault="00513E84">
            <w:pPr>
              <w:pStyle w:val="P68B1DB1-Normal8"/>
              <w:spacing w:after="0" w:line="240" w:lineRule="auto"/>
              <w:jc w:val="center"/>
              <w:rPr>
                <w:rFonts w:eastAsia="Times New Roman"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BA03BF8" w14:textId="228D26D7" w:rsidR="00F208CE" w:rsidRDefault="00513E84">
            <w:pPr>
              <w:pStyle w:val="P68B1DB1-Normal8"/>
              <w:spacing w:after="0" w:line="240" w:lineRule="auto"/>
              <w:jc w:val="center"/>
              <w:rPr>
                <w:rFonts w:eastAsia="Times New Roman" w:cs="Times New Roman"/>
                <w:noProof/>
              </w:rPr>
            </w:pPr>
            <w:r>
              <w:rPr>
                <w:noProof/>
              </w:rPr>
              <w:t>2024</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295C15CF" w14:textId="788EA0B3" w:rsidR="00F208CE" w:rsidRDefault="00513E84">
            <w:pPr>
              <w:pStyle w:val="P68B1DB1-Normal8"/>
              <w:spacing w:after="0" w:line="240" w:lineRule="auto"/>
              <w:rPr>
                <w:rFonts w:eastAsia="Times New Roman" w:cs="Times New Roman"/>
                <w:noProof/>
              </w:rPr>
            </w:pPr>
            <w:r>
              <w:rPr>
                <w:noProof/>
              </w:rPr>
              <w:t xml:space="preserve">Adjudicación de contratos a proyectos, en consonancia con </w:t>
            </w:r>
            <w:r>
              <w:rPr>
                <w:noProof/>
              </w:rPr>
              <w:t>el requisito DNSH especificado en la descripción de la medida, tras la convocatoria de proyectos sobre eficiencia energética, sobre temas como la gestión del calor industrial, la captura y el almacenamiento de carbono (CAC) cuando el CO2 capturado se deriv</w:t>
            </w:r>
            <w:r>
              <w:rPr>
                <w:noProof/>
              </w:rPr>
              <w:t>e de emisiones de proceso inevitables, el cambio de combustible, la producción de energía renovable o el establecimiento de nuevos elementos industriales de la cadena de valor de las tecnologías vinculadas a la transición ecológica, como la cadena de valor</w:t>
            </w:r>
            <w:r>
              <w:rPr>
                <w:noProof/>
              </w:rPr>
              <w:t xml:space="preserve"> de las baterías (en la producción o en la gestión de materiales críticos) y la cadena de valor del hidrógeno renovable o sin combustibles fósiles.</w:t>
            </w:r>
          </w:p>
        </w:tc>
      </w:tr>
      <w:tr w:rsidR="00F208CE" w14:paraId="3FA6C167"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1B4DA3AC" w14:textId="77777777" w:rsidR="00F208CE" w:rsidRDefault="00513E84">
            <w:pPr>
              <w:pStyle w:val="P68B1DB1-Normal8"/>
              <w:spacing w:line="240" w:lineRule="auto"/>
              <w:jc w:val="center"/>
              <w:rPr>
                <w:rFonts w:eastAsia="Times New Roman" w:cs="Times New Roman"/>
                <w:noProof/>
              </w:rPr>
            </w:pPr>
            <w:r>
              <w:rPr>
                <w:noProof/>
              </w:rPr>
              <w:t>224</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0C8CBA41" w14:textId="77777777" w:rsidR="00F208CE" w:rsidRDefault="00513E84">
            <w:pPr>
              <w:pStyle w:val="P68B1DB1-Normal8"/>
              <w:spacing w:line="240" w:lineRule="auto"/>
              <w:rPr>
                <w:rFonts w:eastAsia="Times New Roman" w:cs="Times New Roman"/>
                <w:noProof/>
              </w:rPr>
            </w:pPr>
            <w:r>
              <w:rPr>
                <w:noProof/>
              </w:rPr>
              <w:t>Llamamiento en favor de la descarbonización de la industria (I-7.13)</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0DD20F02" w14:textId="77777777" w:rsidR="00F208CE" w:rsidRDefault="00513E84">
            <w:pPr>
              <w:pStyle w:val="P68B1DB1-Normal8"/>
              <w:spacing w:after="0" w:line="240" w:lineRule="auto"/>
              <w:rPr>
                <w:rFonts w:eastAsia="Times New Roman" w:cs="Times New Roman"/>
                <w:noProof/>
              </w:rPr>
            </w:pPr>
            <w:r>
              <w:rPr>
                <w:noProof/>
              </w:rPr>
              <w:t>M</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4E966677" w14:textId="77777777" w:rsidR="00F208CE" w:rsidRDefault="00513E84">
            <w:pPr>
              <w:pStyle w:val="P68B1DB1-Normal8"/>
              <w:spacing w:after="0" w:line="240" w:lineRule="auto"/>
              <w:rPr>
                <w:rFonts w:eastAsia="Times New Roman" w:cs="Times New Roman"/>
                <w:noProof/>
              </w:rPr>
            </w:pPr>
            <w:r>
              <w:rPr>
                <w:noProof/>
              </w:rPr>
              <w:t xml:space="preserve">Finalización de los proyectos </w:t>
            </w:r>
            <w:r>
              <w:rPr>
                <w:noProof/>
              </w:rPr>
              <w:t>adjudicados en el marco de la convocatoria de proyectos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AE5B98B" w14:textId="77777777" w:rsidR="00F208CE" w:rsidRDefault="00513E84">
            <w:pPr>
              <w:pStyle w:val="P68B1DB1-Normal8"/>
              <w:spacing w:line="240" w:lineRule="auto"/>
              <w:rPr>
                <w:rFonts w:eastAsia="Times New Roman" w:cs="Times New Roman"/>
                <w:noProof/>
              </w:rPr>
            </w:pPr>
            <w:r>
              <w:rPr>
                <w:noProof/>
              </w:rPr>
              <w:t>Informe final del proyecto aprobado</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5A0C134A"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1C4CD939" w14:textId="77777777" w:rsidR="00F208CE" w:rsidRDefault="00F208CE">
            <w:pPr>
              <w:spacing w:line="240" w:lineRule="auto"/>
              <w:rPr>
                <w:rFonts w:ascii="Times New Roman" w:eastAsia="Times New Roman" w:hAnsi="Times New Roman" w:cs="Times New Roman"/>
                <w:noProof/>
                <w:color w:val="006100"/>
              </w:rPr>
            </w:pP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B36234B" w14:textId="77777777" w:rsidR="00F208CE" w:rsidRDefault="00F208CE">
            <w:pPr>
              <w:spacing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6F4C7F0" w14:textId="77777777" w:rsidR="00F208CE" w:rsidRDefault="00513E84">
            <w:pPr>
              <w:pStyle w:val="P68B1DB1-Normal8"/>
              <w:spacing w:line="240" w:lineRule="auto"/>
              <w:jc w:val="center"/>
              <w:rPr>
                <w:rFonts w:eastAsia="Times New Roman"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7A73E45" w14:textId="77777777" w:rsidR="00F208CE" w:rsidRDefault="00513E84">
            <w:pPr>
              <w:pStyle w:val="P68B1DB1-Normal8"/>
              <w:spacing w:line="240" w:lineRule="auto"/>
              <w:jc w:val="center"/>
              <w:rPr>
                <w:rFonts w:eastAsia="Times New Roman" w:cs="Times New Roman"/>
                <w:noProof/>
              </w:rPr>
            </w:pPr>
            <w:r>
              <w:rPr>
                <w:noProof/>
              </w:rPr>
              <w:t>2026</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560CAF1D" w14:textId="7A461862" w:rsidR="00F208CE" w:rsidRDefault="00513E84">
            <w:pPr>
              <w:pStyle w:val="P68B1DB1-Normal8"/>
              <w:spacing w:after="0" w:line="240" w:lineRule="auto"/>
              <w:rPr>
                <w:rFonts w:eastAsia="Times New Roman" w:cs="Times New Roman"/>
                <w:noProof/>
              </w:rPr>
            </w:pPr>
            <w:r>
              <w:rPr>
                <w:noProof/>
              </w:rPr>
              <w:t>Finalización de proyectos adjudicados en el marco de la convocatoria de proyectos «Descarbonización de la industria», con al menos 64 000</w:t>
            </w:r>
            <w:r>
              <w:rPr>
                <w:noProof/>
              </w:rPr>
              <w:t> 000 EUR ejecutados.</w:t>
            </w:r>
          </w:p>
        </w:tc>
      </w:tr>
      <w:tr w:rsidR="00F208CE" w14:paraId="01A7C447" w14:textId="77777777">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C6EFCE"/>
            <w:vAlign w:val="center"/>
          </w:tcPr>
          <w:p w14:paraId="7B566C66" w14:textId="77777777" w:rsidR="00F208CE" w:rsidRDefault="00513E84">
            <w:pPr>
              <w:pStyle w:val="P68B1DB1-Normal8"/>
              <w:spacing w:line="240" w:lineRule="auto"/>
              <w:jc w:val="center"/>
              <w:rPr>
                <w:rFonts w:eastAsia="Times New Roman" w:cs="Times New Roman"/>
                <w:noProof/>
              </w:rPr>
            </w:pPr>
            <w:r>
              <w:rPr>
                <w:noProof/>
              </w:rPr>
              <w:t>225</w:t>
            </w:r>
          </w:p>
        </w:tc>
        <w:tc>
          <w:tcPr>
            <w:tcW w:w="1452" w:type="dxa"/>
            <w:tcBorders>
              <w:top w:val="single" w:sz="4" w:space="0" w:color="auto"/>
              <w:left w:val="single" w:sz="4" w:space="0" w:color="auto"/>
              <w:bottom w:val="single" w:sz="4" w:space="0" w:color="auto"/>
              <w:right w:val="single" w:sz="4" w:space="0" w:color="auto"/>
            </w:tcBorders>
            <w:shd w:val="clear" w:color="auto" w:fill="C6EFCE"/>
            <w:vAlign w:val="center"/>
          </w:tcPr>
          <w:p w14:paraId="3D89790B" w14:textId="77777777" w:rsidR="00F208CE" w:rsidRDefault="00513E84">
            <w:pPr>
              <w:pStyle w:val="P68B1DB1-Normal8"/>
              <w:spacing w:line="240" w:lineRule="auto"/>
              <w:rPr>
                <w:rFonts w:eastAsia="Times New Roman" w:cs="Times New Roman"/>
                <w:noProof/>
              </w:rPr>
            </w:pPr>
            <w:r>
              <w:rPr>
                <w:noProof/>
              </w:rPr>
              <w:t>Convocatoria de medidas climáticas en la agricultura (I-7.14)</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5DF57BBA" w14:textId="77777777" w:rsidR="00F208CE" w:rsidRDefault="00513E84">
            <w:pPr>
              <w:pStyle w:val="P68B1DB1-Normal8"/>
              <w:spacing w:line="240" w:lineRule="auto"/>
              <w:rPr>
                <w:rFonts w:eastAsia="Times New Roman" w:cs="Times New Roman"/>
                <w:noProof/>
              </w:rPr>
            </w:pPr>
            <w:r>
              <w:rPr>
                <w:noProof/>
              </w:rPr>
              <w:t>T</w:t>
            </w:r>
          </w:p>
        </w:tc>
        <w:tc>
          <w:tcPr>
            <w:tcW w:w="1559" w:type="dxa"/>
            <w:tcBorders>
              <w:top w:val="single" w:sz="4" w:space="0" w:color="auto"/>
              <w:left w:val="single" w:sz="4" w:space="0" w:color="auto"/>
              <w:bottom w:val="single" w:sz="4" w:space="0" w:color="auto"/>
              <w:right w:val="single" w:sz="4" w:space="0" w:color="auto"/>
            </w:tcBorders>
            <w:shd w:val="clear" w:color="auto" w:fill="C6EFCE"/>
            <w:vAlign w:val="center"/>
          </w:tcPr>
          <w:p w14:paraId="2D987B84" w14:textId="77777777" w:rsidR="00F208CE" w:rsidRDefault="00513E84">
            <w:pPr>
              <w:pStyle w:val="P68B1DB1-Normal8"/>
              <w:spacing w:after="0" w:line="240" w:lineRule="auto"/>
              <w:rPr>
                <w:rFonts w:eastAsia="Times New Roman" w:cs="Times New Roman"/>
                <w:noProof/>
              </w:rPr>
            </w:pPr>
            <w:r>
              <w:rPr>
                <w:noProof/>
              </w:rPr>
              <w:t>Finalización de los proyectos adjudicados en el marco de la convocatoria de propuestas</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DC754D6" w14:textId="77777777" w:rsidR="00F208CE" w:rsidRDefault="00F208CE">
            <w:pPr>
              <w:spacing w:line="240" w:lineRule="auto"/>
              <w:rPr>
                <w:rFonts w:ascii="Times New Roman" w:eastAsia="Times New Roman" w:hAnsi="Times New Roman" w:cs="Times New Roman"/>
                <w:noProof/>
                <w:color w:val="006100"/>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730E866E" w14:textId="5FB5F31B" w:rsidR="00F208CE" w:rsidRDefault="00513E84">
            <w:pPr>
              <w:pStyle w:val="P68B1DB1-Normal8"/>
              <w:spacing w:line="240" w:lineRule="auto"/>
              <w:rPr>
                <w:rFonts w:eastAsia="Times New Roman" w:cs="Times New Roman"/>
                <w:noProof/>
              </w:rPr>
            </w:pPr>
            <w:r>
              <w:rPr>
                <w:noProof/>
              </w:rPr>
              <w:t>Número</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F48315C" w14:textId="77777777" w:rsidR="00F208CE" w:rsidRDefault="00513E84">
            <w:pPr>
              <w:pStyle w:val="P68B1DB1-Normal8"/>
              <w:spacing w:line="240" w:lineRule="auto"/>
              <w:rPr>
                <w:rFonts w:eastAsia="Times New Roman" w:cs="Times New Roman"/>
                <w:noProof/>
              </w:rPr>
            </w:pPr>
            <w:r>
              <w:rPr>
                <w:noProof/>
              </w:rPr>
              <w:t>0</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F9A5296" w14:textId="77777777" w:rsidR="00F208CE" w:rsidRDefault="00513E84">
            <w:pPr>
              <w:pStyle w:val="P68B1DB1-Normal8"/>
              <w:spacing w:line="240" w:lineRule="auto"/>
              <w:rPr>
                <w:rFonts w:eastAsia="Times New Roman" w:cs="Times New Roman"/>
                <w:noProof/>
                <w:highlight w:val="yellow"/>
              </w:rPr>
            </w:pPr>
            <w:r>
              <w:rPr>
                <w:noProof/>
              </w:rPr>
              <w:t>270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3E5F3F3A" w14:textId="77777777" w:rsidR="00F208CE" w:rsidRDefault="00513E84">
            <w:pPr>
              <w:pStyle w:val="P68B1DB1-Normal8"/>
              <w:spacing w:line="240" w:lineRule="auto"/>
              <w:jc w:val="center"/>
              <w:rPr>
                <w:rFonts w:eastAsia="Times New Roman"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7095BC6" w14:textId="77777777" w:rsidR="00F208CE" w:rsidRDefault="00513E84">
            <w:pPr>
              <w:pStyle w:val="P68B1DB1-Normal8"/>
              <w:spacing w:line="240" w:lineRule="auto"/>
              <w:jc w:val="center"/>
              <w:rPr>
                <w:rFonts w:eastAsia="Times New Roman" w:cs="Times New Roman"/>
                <w:noProof/>
              </w:rPr>
            </w:pPr>
            <w:r>
              <w:rPr>
                <w:noProof/>
              </w:rPr>
              <w:t>2026</w:t>
            </w:r>
          </w:p>
        </w:tc>
        <w:tc>
          <w:tcPr>
            <w:tcW w:w="5103" w:type="dxa"/>
            <w:tcBorders>
              <w:top w:val="single" w:sz="4" w:space="0" w:color="auto"/>
              <w:left w:val="single" w:sz="4" w:space="0" w:color="auto"/>
              <w:bottom w:val="single" w:sz="4" w:space="0" w:color="auto"/>
              <w:right w:val="single" w:sz="4" w:space="0" w:color="auto"/>
            </w:tcBorders>
            <w:shd w:val="clear" w:color="auto" w:fill="C6EFCE"/>
            <w:vAlign w:val="center"/>
          </w:tcPr>
          <w:p w14:paraId="6D12B49C" w14:textId="77777777" w:rsidR="00F208CE" w:rsidRDefault="00513E84">
            <w:pPr>
              <w:pStyle w:val="P68B1DB1-Normal8"/>
              <w:spacing w:after="0" w:line="240" w:lineRule="auto"/>
              <w:rPr>
                <w:rFonts w:eastAsia="Times New Roman" w:cs="Times New Roman"/>
                <w:noProof/>
                <w:color w:val="000000" w:themeColor="text1"/>
              </w:rPr>
            </w:pPr>
            <w:r>
              <w:rPr>
                <w:noProof/>
              </w:rPr>
              <w:t>Finalización de al menos 270 proyectos en agricultura sobre técnicas de ahorro energético, calor verde o energías renovables, destinados a reducir las emisiones de gases de efecto invernadero.</w:t>
            </w:r>
          </w:p>
        </w:tc>
      </w:tr>
    </w:tbl>
    <w:p w14:paraId="1C219829" w14:textId="77777777" w:rsidR="00F208CE" w:rsidRDefault="00F208CE">
      <w:pPr>
        <w:rPr>
          <w:noProof/>
        </w:rPr>
      </w:pPr>
    </w:p>
    <w:p w14:paraId="4FD7117F" w14:textId="77777777" w:rsidR="00F208CE" w:rsidRDefault="00F208CE">
      <w:pPr>
        <w:pStyle w:val="TitreComposante"/>
        <w:jc w:val="both"/>
        <w:rPr>
          <w:noProof/>
        </w:rPr>
        <w:sectPr w:rsidR="00F208CE" w:rsidSect="00F14B5D">
          <w:headerReference w:type="default" r:id="rId188"/>
          <w:footerReference w:type="default" r:id="rId189"/>
          <w:pgSz w:w="16838" w:h="11906" w:orient="landscape"/>
          <w:pgMar w:top="1417" w:right="1417" w:bottom="1417" w:left="1417" w:header="708" w:footer="708" w:gutter="0"/>
          <w:cols w:space="708"/>
          <w:docGrid w:linePitch="360"/>
        </w:sectPr>
      </w:pPr>
    </w:p>
    <w:p w14:paraId="08C707C0" w14:textId="77777777" w:rsidR="00F208CE" w:rsidRDefault="00513E84">
      <w:pPr>
        <w:pStyle w:val="P68B1DB1-Jalonsetcibles28"/>
        <w:rPr>
          <w:rFonts w:eastAsia="Times New Roman"/>
          <w:noProof/>
        </w:rPr>
      </w:pPr>
      <w:r>
        <w:rPr>
          <w:noProof/>
        </w:rPr>
        <w:t>T.3. Descripción de las reformas e inversiones que pueden acogerse a las ayudas en forma de préstamo</w:t>
      </w:r>
    </w:p>
    <w:p w14:paraId="5680FB02" w14:textId="77777777" w:rsidR="00F208CE" w:rsidRDefault="00513E84">
      <w:pPr>
        <w:pStyle w:val="P68B1DB1-Jalonsetcibles29"/>
        <w:rPr>
          <w:rFonts w:eastAsia="Times New Roman"/>
          <w:noProof/>
        </w:rPr>
      </w:pPr>
      <w:bookmarkStart w:id="7" w:name="_Hlk142319314"/>
      <w:r>
        <w:rPr>
          <w:noProof/>
        </w:rPr>
        <w:t xml:space="preserve">Inversión I-7.15 </w:t>
      </w:r>
      <w:bookmarkEnd w:id="7"/>
      <w:r>
        <w:rPr>
          <w:noProof/>
        </w:rPr>
        <w:t>«Backbone for</w:t>
      </w:r>
      <w:r>
        <w:rPr>
          <w:noProof/>
          <w:vertAlign w:val="subscript"/>
        </w:rPr>
        <w:t>H2</w:t>
      </w:r>
      <w:r>
        <w:rPr>
          <w:noProof/>
        </w:rPr>
        <w:t>» del Estado Federal</w:t>
      </w:r>
    </w:p>
    <w:p w14:paraId="2025BAAA" w14:textId="77777777" w:rsidR="00F208CE" w:rsidRDefault="00513E84">
      <w:pPr>
        <w:pStyle w:val="P68B1DB1-Jalonsetcibles30"/>
        <w:spacing w:before="120" w:after="120" w:line="240" w:lineRule="auto"/>
        <w:jc w:val="both"/>
        <w:rPr>
          <w:rFonts w:eastAsia="Times New Roman"/>
          <w:noProof/>
        </w:rPr>
        <w:sectPr w:rsidR="00F208CE" w:rsidSect="00F14B5D">
          <w:headerReference w:type="even" r:id="rId190"/>
          <w:headerReference w:type="default" r:id="rId191"/>
          <w:footerReference w:type="even" r:id="rId192"/>
          <w:footerReference w:type="default" r:id="rId193"/>
          <w:headerReference w:type="first" r:id="rId194"/>
          <w:footerReference w:type="first" r:id="rId195"/>
          <w:pgSz w:w="11906" w:h="16838"/>
          <w:pgMar w:top="1417" w:right="1417" w:bottom="1417" w:left="1417" w:header="708" w:footer="708" w:gutter="0"/>
          <w:cols w:space="708"/>
          <w:docGrid w:linePitch="360"/>
        </w:sectPr>
      </w:pPr>
      <w:r>
        <w:rPr>
          <w:noProof/>
        </w:rPr>
        <w:t>Esta inversión consiste en el desarrollo</w:t>
      </w:r>
      <w:r>
        <w:rPr>
          <w:noProof/>
        </w:rPr>
        <w:t xml:space="preserve"> de una red de transporte de hidrógeno, centrada principalmente en las principales agrupaciones industriales de Flandes (Amberes, Gante), Valonia (Hainaut, Lieja) y Bruselas. Los proyectos que se vayan a ejecutar se determinarán sobre la base de una valida</w:t>
      </w:r>
      <w:r>
        <w:rPr>
          <w:noProof/>
        </w:rPr>
        <w:t>ción de las necesidades del mercado y formarán parte de un proyecto transfronterizo de interés común europeo (PIICE) más amplio previsto sobre el hidrógeno. La implementación de la medida estará terminada a más tardar el 30 de junio de 2026.</w:t>
      </w:r>
    </w:p>
    <w:p w14:paraId="6AD79E60" w14:textId="2D8E4E7C" w:rsidR="00F208CE" w:rsidRDefault="00513E84">
      <w:pPr>
        <w:pStyle w:val="P68B1DB1-Jalonsetcibles28"/>
        <w:spacing w:before="120" w:after="120" w:line="240" w:lineRule="auto"/>
        <w:jc w:val="both"/>
        <w:rPr>
          <w:rFonts w:eastAsia="Times New Roman"/>
          <w:b w:val="0"/>
          <w:noProof/>
        </w:rPr>
      </w:pPr>
      <w:r>
        <w:rPr>
          <w:noProof/>
        </w:rPr>
        <w:t>T.4. Hitos, ob</w:t>
      </w:r>
      <w:r>
        <w:rPr>
          <w:noProof/>
        </w:rPr>
        <w:t>jetivos, indicadores y calendario de seguimiento y ejecución relativos a las ayudas en forma de préstamo</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709"/>
        <w:gridCol w:w="1417"/>
        <w:gridCol w:w="1276"/>
        <w:gridCol w:w="992"/>
        <w:gridCol w:w="709"/>
        <w:gridCol w:w="850"/>
        <w:gridCol w:w="709"/>
        <w:gridCol w:w="709"/>
        <w:gridCol w:w="4642"/>
      </w:tblGrid>
      <w:tr w:rsidR="00F208CE" w14:paraId="0F7A8410" w14:textId="77777777">
        <w:trPr>
          <w:trHeight w:val="915"/>
          <w:tblHeader/>
        </w:trPr>
        <w:tc>
          <w:tcPr>
            <w:tcW w:w="562" w:type="dxa"/>
            <w:vMerge w:val="restart"/>
            <w:shd w:val="clear" w:color="auto" w:fill="BDD7EE"/>
            <w:vAlign w:val="center"/>
          </w:tcPr>
          <w:p w14:paraId="02315136" w14:textId="7F1981F3" w:rsidR="00F208CE" w:rsidRDefault="00513E84">
            <w:pPr>
              <w:pStyle w:val="P68B1DB1-Normal7"/>
              <w:spacing w:after="0" w:line="240" w:lineRule="auto"/>
              <w:jc w:val="center"/>
              <w:rPr>
                <w:rFonts w:cs="Times New Roman"/>
                <w:noProof/>
                <w:color w:val="006100"/>
              </w:rPr>
            </w:pPr>
            <w:r>
              <w:rPr>
                <w:noProof/>
              </w:rPr>
              <w:t>S. N.B.</w:t>
            </w:r>
          </w:p>
        </w:tc>
        <w:tc>
          <w:tcPr>
            <w:tcW w:w="1418" w:type="dxa"/>
            <w:vMerge w:val="restart"/>
            <w:shd w:val="clear" w:color="auto" w:fill="BDD7EE"/>
            <w:vAlign w:val="center"/>
          </w:tcPr>
          <w:p w14:paraId="39053EEA" w14:textId="77777777" w:rsidR="00F208CE" w:rsidRDefault="00513E84">
            <w:pPr>
              <w:pStyle w:val="P68B1DB1-Normal7"/>
              <w:spacing w:after="0" w:line="240" w:lineRule="auto"/>
              <w:jc w:val="center"/>
              <w:rPr>
                <w:rFonts w:cs="Times New Roman"/>
                <w:noProof/>
                <w:color w:val="006100"/>
              </w:rPr>
            </w:pPr>
            <w:r>
              <w:rPr>
                <w:noProof/>
              </w:rPr>
              <w:t>Medida relacionada (reforma o inversión)</w:t>
            </w:r>
          </w:p>
        </w:tc>
        <w:tc>
          <w:tcPr>
            <w:tcW w:w="709" w:type="dxa"/>
            <w:vMerge w:val="restart"/>
            <w:shd w:val="clear" w:color="auto" w:fill="BDD7EE"/>
            <w:vAlign w:val="center"/>
          </w:tcPr>
          <w:p w14:paraId="194B56A1" w14:textId="77777777" w:rsidR="00F208CE" w:rsidRDefault="00513E84">
            <w:pPr>
              <w:pStyle w:val="P68B1DB1-Normal7"/>
              <w:spacing w:after="0" w:line="240" w:lineRule="auto"/>
              <w:jc w:val="center"/>
              <w:rPr>
                <w:rFonts w:cs="Times New Roman"/>
                <w:noProof/>
                <w:color w:val="006100"/>
              </w:rPr>
            </w:pPr>
            <w:r>
              <w:rPr>
                <w:noProof/>
              </w:rPr>
              <w:t>M/T</w:t>
            </w:r>
          </w:p>
        </w:tc>
        <w:tc>
          <w:tcPr>
            <w:tcW w:w="1417" w:type="dxa"/>
            <w:vMerge w:val="restart"/>
            <w:shd w:val="clear" w:color="auto" w:fill="BDD7EE"/>
            <w:vAlign w:val="center"/>
          </w:tcPr>
          <w:p w14:paraId="7A470AC5" w14:textId="77777777" w:rsidR="00F208CE" w:rsidRDefault="00513E84">
            <w:pPr>
              <w:pStyle w:val="P68B1DB1-Normal7"/>
              <w:spacing w:after="0" w:line="240" w:lineRule="auto"/>
              <w:jc w:val="center"/>
              <w:rPr>
                <w:rFonts w:cs="Times New Roman"/>
                <w:noProof/>
                <w:color w:val="006100"/>
              </w:rPr>
            </w:pPr>
            <w:r>
              <w:rPr>
                <w:noProof/>
              </w:rPr>
              <w:t>Nombre</w:t>
            </w:r>
          </w:p>
        </w:tc>
        <w:tc>
          <w:tcPr>
            <w:tcW w:w="1276" w:type="dxa"/>
            <w:vMerge w:val="restart"/>
            <w:shd w:val="clear" w:color="auto" w:fill="BDD7EE"/>
            <w:vAlign w:val="center"/>
          </w:tcPr>
          <w:p w14:paraId="12750ED2" w14:textId="77777777" w:rsidR="00F208CE" w:rsidRDefault="00513E84">
            <w:pPr>
              <w:spacing w:after="0" w:line="240" w:lineRule="auto"/>
              <w:jc w:val="center"/>
              <w:rPr>
                <w:rFonts w:ascii="Times New Roman" w:hAnsi="Times New Roman" w:cs="Times New Roman"/>
                <w:noProof/>
                <w:color w:val="006100"/>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551" w:type="dxa"/>
            <w:gridSpan w:val="3"/>
            <w:shd w:val="clear" w:color="auto" w:fill="BDD7EE"/>
            <w:vAlign w:val="center"/>
          </w:tcPr>
          <w:p w14:paraId="2FC64D74" w14:textId="77777777" w:rsidR="00F208CE" w:rsidRDefault="00513E84">
            <w:pPr>
              <w:spacing w:after="0" w:line="240" w:lineRule="auto"/>
              <w:jc w:val="center"/>
              <w:rPr>
                <w:rFonts w:ascii="Times New Roman" w:eastAsia="Times New Roman" w:hAnsi="Times New Roman" w:cs="Times New Roman"/>
                <w:noProof/>
                <w:color w:val="006100"/>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418" w:type="dxa"/>
            <w:gridSpan w:val="2"/>
            <w:shd w:val="clear" w:color="auto" w:fill="BDD7EE"/>
            <w:vAlign w:val="center"/>
          </w:tcPr>
          <w:p w14:paraId="659639B3" w14:textId="77777777" w:rsidR="00F208CE" w:rsidRDefault="00513E84">
            <w:pPr>
              <w:pStyle w:val="P68B1DB1-Normal7"/>
              <w:jc w:val="center"/>
              <w:rPr>
                <w:rFonts w:eastAsia="Times New Roman" w:cs="Times New Roman"/>
                <w:noProof/>
              </w:rPr>
            </w:pPr>
            <w:r>
              <w:rPr>
                <w:noProof/>
              </w:rPr>
              <w:t>Calendario indicativo de finalización</w:t>
            </w:r>
          </w:p>
        </w:tc>
        <w:tc>
          <w:tcPr>
            <w:tcW w:w="4642" w:type="dxa"/>
            <w:vMerge w:val="restart"/>
            <w:shd w:val="clear" w:color="auto" w:fill="BDD7EE"/>
            <w:vAlign w:val="center"/>
          </w:tcPr>
          <w:p w14:paraId="4F306AB5" w14:textId="77777777" w:rsidR="00F208CE" w:rsidRDefault="00513E84">
            <w:pPr>
              <w:pStyle w:val="P68B1DB1-Normal7"/>
              <w:jc w:val="center"/>
              <w:rPr>
                <w:rFonts w:eastAsia="Times New Roman" w:cs="Times New Roman"/>
                <w:noProof/>
              </w:rPr>
            </w:pPr>
            <w:r>
              <w:rPr>
                <w:noProof/>
              </w:rPr>
              <w:t>Descripción de cada hito y objetivo</w:t>
            </w:r>
          </w:p>
        </w:tc>
      </w:tr>
      <w:tr w:rsidR="00F208CE" w14:paraId="11952FF7" w14:textId="77777777">
        <w:trPr>
          <w:trHeight w:val="154"/>
        </w:trPr>
        <w:tc>
          <w:tcPr>
            <w:tcW w:w="562" w:type="dxa"/>
            <w:vMerge/>
          </w:tcPr>
          <w:p w14:paraId="6A291946" w14:textId="77777777" w:rsidR="00F208CE" w:rsidRDefault="00F208CE">
            <w:pPr>
              <w:rPr>
                <w:rFonts w:ascii="Times New Roman" w:hAnsi="Times New Roman" w:cs="Times New Roman"/>
                <w:noProof/>
              </w:rPr>
            </w:pPr>
          </w:p>
        </w:tc>
        <w:tc>
          <w:tcPr>
            <w:tcW w:w="1418" w:type="dxa"/>
            <w:vMerge/>
          </w:tcPr>
          <w:p w14:paraId="45BB8CDD" w14:textId="77777777" w:rsidR="00F208CE" w:rsidRDefault="00F208CE">
            <w:pPr>
              <w:rPr>
                <w:rFonts w:ascii="Times New Roman" w:hAnsi="Times New Roman" w:cs="Times New Roman"/>
                <w:noProof/>
              </w:rPr>
            </w:pPr>
          </w:p>
        </w:tc>
        <w:tc>
          <w:tcPr>
            <w:tcW w:w="709" w:type="dxa"/>
            <w:vMerge/>
          </w:tcPr>
          <w:p w14:paraId="4717CC7B" w14:textId="77777777" w:rsidR="00F208CE" w:rsidRDefault="00F208CE">
            <w:pPr>
              <w:rPr>
                <w:rFonts w:ascii="Times New Roman" w:hAnsi="Times New Roman" w:cs="Times New Roman"/>
                <w:noProof/>
              </w:rPr>
            </w:pPr>
          </w:p>
        </w:tc>
        <w:tc>
          <w:tcPr>
            <w:tcW w:w="1417" w:type="dxa"/>
            <w:vMerge/>
          </w:tcPr>
          <w:p w14:paraId="770C6E7C" w14:textId="77777777" w:rsidR="00F208CE" w:rsidRDefault="00F208CE">
            <w:pPr>
              <w:rPr>
                <w:rFonts w:ascii="Times New Roman" w:hAnsi="Times New Roman" w:cs="Times New Roman"/>
                <w:noProof/>
              </w:rPr>
            </w:pPr>
          </w:p>
        </w:tc>
        <w:tc>
          <w:tcPr>
            <w:tcW w:w="1276" w:type="dxa"/>
            <w:vMerge/>
            <w:vAlign w:val="center"/>
          </w:tcPr>
          <w:p w14:paraId="32F78927" w14:textId="77777777" w:rsidR="00F208CE" w:rsidRDefault="00F208CE">
            <w:pPr>
              <w:spacing w:after="0" w:line="240" w:lineRule="auto"/>
              <w:rPr>
                <w:rFonts w:ascii="Times New Roman" w:hAnsi="Times New Roman" w:cs="Times New Roman"/>
                <w:noProof/>
                <w:color w:val="006100"/>
              </w:rPr>
            </w:pPr>
          </w:p>
        </w:tc>
        <w:tc>
          <w:tcPr>
            <w:tcW w:w="992" w:type="dxa"/>
            <w:shd w:val="clear" w:color="auto" w:fill="BDD7EE"/>
            <w:vAlign w:val="center"/>
          </w:tcPr>
          <w:p w14:paraId="5D556B9E" w14:textId="77777777" w:rsidR="00F208CE" w:rsidRDefault="00513E84">
            <w:pPr>
              <w:pStyle w:val="P68B1DB1-Normal7"/>
              <w:spacing w:after="0" w:line="240" w:lineRule="auto"/>
              <w:jc w:val="center"/>
              <w:rPr>
                <w:rFonts w:eastAsia="Times New Roman" w:cs="Times New Roman"/>
                <w:noProof/>
                <w:color w:val="006100"/>
              </w:rPr>
            </w:pPr>
            <w:r>
              <w:rPr>
                <w:noProof/>
              </w:rPr>
              <w:t>Unidad de medida</w:t>
            </w:r>
          </w:p>
        </w:tc>
        <w:tc>
          <w:tcPr>
            <w:tcW w:w="709" w:type="dxa"/>
            <w:shd w:val="clear" w:color="auto" w:fill="BDD7EE"/>
            <w:vAlign w:val="center"/>
          </w:tcPr>
          <w:p w14:paraId="310E6D0F" w14:textId="77777777" w:rsidR="00F208CE" w:rsidRDefault="00513E84">
            <w:pPr>
              <w:pStyle w:val="P68B1DB1-Normal7"/>
              <w:spacing w:after="0" w:line="240" w:lineRule="auto"/>
              <w:jc w:val="center"/>
              <w:rPr>
                <w:rFonts w:eastAsia="Times New Roman" w:cs="Times New Roman"/>
                <w:noProof/>
                <w:color w:val="006100"/>
              </w:rPr>
            </w:pPr>
            <w:r>
              <w:rPr>
                <w:noProof/>
              </w:rPr>
              <w:t>Basal</w:t>
            </w:r>
          </w:p>
        </w:tc>
        <w:tc>
          <w:tcPr>
            <w:tcW w:w="850" w:type="dxa"/>
            <w:shd w:val="clear" w:color="auto" w:fill="BDD7EE"/>
            <w:vAlign w:val="center"/>
          </w:tcPr>
          <w:p w14:paraId="117A9811" w14:textId="77777777" w:rsidR="00F208CE" w:rsidRDefault="00513E84">
            <w:pPr>
              <w:pStyle w:val="P68B1DB1-Normal7"/>
              <w:spacing w:after="0" w:line="240" w:lineRule="auto"/>
              <w:jc w:val="center"/>
              <w:rPr>
                <w:rFonts w:eastAsia="Times New Roman" w:cs="Times New Roman"/>
                <w:noProof/>
              </w:rPr>
            </w:pPr>
            <w:r>
              <w:rPr>
                <w:noProof/>
              </w:rPr>
              <w:t>Meta</w:t>
            </w:r>
          </w:p>
        </w:tc>
        <w:tc>
          <w:tcPr>
            <w:tcW w:w="709" w:type="dxa"/>
            <w:shd w:val="clear" w:color="auto" w:fill="BDD7EE"/>
            <w:vAlign w:val="center"/>
          </w:tcPr>
          <w:p w14:paraId="27287FD2" w14:textId="77777777" w:rsidR="00F208CE" w:rsidRDefault="00513E84">
            <w:pPr>
              <w:pStyle w:val="P68B1DB1-Normal7"/>
              <w:spacing w:after="0" w:line="240" w:lineRule="auto"/>
              <w:jc w:val="center"/>
              <w:rPr>
                <w:rFonts w:eastAsia="Times New Roman" w:cs="Times New Roman"/>
                <w:noProof/>
                <w:color w:val="006100"/>
              </w:rPr>
            </w:pPr>
            <w:r>
              <w:rPr>
                <w:noProof/>
              </w:rPr>
              <w:t>Trimestre</w:t>
            </w:r>
          </w:p>
        </w:tc>
        <w:tc>
          <w:tcPr>
            <w:tcW w:w="709" w:type="dxa"/>
            <w:shd w:val="clear" w:color="auto" w:fill="BDD7EE"/>
            <w:vAlign w:val="center"/>
          </w:tcPr>
          <w:p w14:paraId="57BC653E" w14:textId="77777777" w:rsidR="00F208CE" w:rsidRDefault="00513E84">
            <w:pPr>
              <w:pStyle w:val="P68B1DB1-Normal7"/>
              <w:spacing w:after="0" w:line="240" w:lineRule="auto"/>
              <w:jc w:val="center"/>
              <w:rPr>
                <w:rFonts w:cs="Times New Roman"/>
                <w:noProof/>
                <w:color w:val="006100"/>
              </w:rPr>
            </w:pPr>
            <w:r>
              <w:rPr>
                <w:noProof/>
              </w:rPr>
              <w:t>Año</w:t>
            </w:r>
          </w:p>
        </w:tc>
        <w:tc>
          <w:tcPr>
            <w:tcW w:w="4642" w:type="dxa"/>
            <w:vMerge/>
            <w:vAlign w:val="center"/>
          </w:tcPr>
          <w:p w14:paraId="7184E013" w14:textId="77777777" w:rsidR="00F208CE" w:rsidRDefault="00F208CE">
            <w:pPr>
              <w:rPr>
                <w:rFonts w:ascii="Times New Roman" w:eastAsia="Times New Roman" w:hAnsi="Times New Roman" w:cs="Times New Roman"/>
                <w:b/>
                <w:noProof/>
              </w:rPr>
            </w:pPr>
          </w:p>
        </w:tc>
      </w:tr>
      <w:tr w:rsidR="00F208CE" w14:paraId="00038EE2" w14:textId="7777777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C6EFCE"/>
            <w:vAlign w:val="center"/>
          </w:tcPr>
          <w:p w14:paraId="235DE256" w14:textId="77777777" w:rsidR="00F208CE" w:rsidRDefault="00513E84">
            <w:pPr>
              <w:pStyle w:val="P68B1DB1-Normal8"/>
              <w:spacing w:after="0" w:line="240" w:lineRule="auto"/>
              <w:jc w:val="center"/>
              <w:rPr>
                <w:rFonts w:cs="Times New Roman"/>
                <w:noProof/>
              </w:rPr>
            </w:pPr>
            <w:r>
              <w:rPr>
                <w:noProof/>
              </w:rPr>
              <w:t>226</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63C0BB48" w14:textId="77777777" w:rsidR="00F208CE" w:rsidRDefault="00513E84">
            <w:pPr>
              <w:pStyle w:val="P68B1DB1-Normal8"/>
              <w:spacing w:after="0" w:line="240" w:lineRule="auto"/>
              <w:rPr>
                <w:rFonts w:cs="Times New Roman"/>
                <w:noProof/>
              </w:rPr>
            </w:pPr>
            <w:r>
              <w:rPr>
                <w:noProof/>
              </w:rPr>
              <w:t>Columna vertebral para H2 (I-7.15)</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3DDA247" w14:textId="77777777" w:rsidR="00F208CE" w:rsidRDefault="00513E84">
            <w:pPr>
              <w:pStyle w:val="P68B1DB1-Normal8"/>
              <w:spacing w:after="0" w:line="240" w:lineRule="auto"/>
              <w:rPr>
                <w:rFonts w:cs="Times New Roman"/>
                <w:noProof/>
              </w:rPr>
            </w:pPr>
            <w:r>
              <w:rPr>
                <w:noProof/>
              </w:rPr>
              <w:t>M</w:t>
            </w:r>
          </w:p>
        </w:tc>
        <w:tc>
          <w:tcPr>
            <w:tcW w:w="1417" w:type="dxa"/>
            <w:tcBorders>
              <w:top w:val="single" w:sz="4" w:space="0" w:color="auto"/>
              <w:left w:val="single" w:sz="4" w:space="0" w:color="auto"/>
              <w:bottom w:val="single" w:sz="4" w:space="0" w:color="auto"/>
              <w:right w:val="single" w:sz="4" w:space="0" w:color="auto"/>
            </w:tcBorders>
            <w:shd w:val="clear" w:color="auto" w:fill="C6EFCE"/>
            <w:vAlign w:val="center"/>
          </w:tcPr>
          <w:p w14:paraId="18A777EE" w14:textId="77777777" w:rsidR="00F208CE" w:rsidRDefault="00513E84">
            <w:pPr>
              <w:pStyle w:val="P68B1DB1-Normal8"/>
              <w:spacing w:after="0" w:line="240" w:lineRule="auto"/>
              <w:rPr>
                <w:rFonts w:cs="Times New Roman"/>
                <w:noProof/>
              </w:rPr>
            </w:pPr>
            <w:r>
              <w:rPr>
                <w:noProof/>
              </w:rPr>
              <w:t>Adopción del plan de inversiones para la infraestructura troncal de Horizonte 2</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BB09BEE" w14:textId="73855E13" w:rsidR="00F208CE" w:rsidRDefault="00513E84">
            <w:pPr>
              <w:pStyle w:val="P68B1DB1-Normal8"/>
              <w:spacing w:after="0" w:line="240" w:lineRule="auto"/>
              <w:rPr>
                <w:rFonts w:cs="Times New Roman"/>
                <w:noProof/>
              </w:rPr>
            </w:pPr>
            <w:r>
              <w:rPr>
                <w:noProof/>
              </w:rPr>
              <w:t xml:space="preserve">Adopción </w:t>
            </w:r>
            <w:r>
              <w:rPr>
                <w:noProof/>
              </w:rPr>
              <w:t>del plan de inversiones «Backbone for H2» por parte del Gobierno Federal</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715AFBAF" w14:textId="77777777" w:rsidR="00F208CE" w:rsidRDefault="00F208CE">
            <w:pPr>
              <w:spacing w:after="0"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4A765D16" w14:textId="77777777" w:rsidR="00F208CE" w:rsidRDefault="00F208CE">
            <w:pPr>
              <w:spacing w:after="0" w:line="240" w:lineRule="auto"/>
              <w:rPr>
                <w:rFonts w:ascii="Times New Roman" w:eastAsia="Times New Roman" w:hAnsi="Times New Roman" w:cs="Times New Roman"/>
                <w:noProof/>
                <w:color w:val="006100"/>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9DE0037" w14:textId="77777777" w:rsidR="00F208CE" w:rsidRDefault="00F208CE">
            <w:pPr>
              <w:spacing w:after="0" w:line="240" w:lineRule="auto"/>
              <w:rPr>
                <w:rFonts w:ascii="Times New Roman" w:eastAsia="Times New Roman" w:hAnsi="Times New Roman" w:cs="Times New Roman"/>
                <w:noProof/>
                <w:color w:val="006100"/>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14BB150D" w14:textId="77777777" w:rsidR="00F208CE" w:rsidRDefault="00513E84">
            <w:pPr>
              <w:pStyle w:val="P68B1DB1-Normal8"/>
              <w:spacing w:after="0" w:line="240" w:lineRule="auto"/>
              <w:jc w:val="center"/>
              <w:rPr>
                <w:rFonts w:cs="Times New Roman"/>
                <w:noProof/>
              </w:rPr>
            </w:pPr>
            <w:r>
              <w:rPr>
                <w:noProof/>
              </w:rPr>
              <w:t>TERCER TRIMESTRE 4</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82349BE" w14:textId="15EF6E45" w:rsidR="00F208CE" w:rsidRDefault="00513E84">
            <w:pPr>
              <w:pStyle w:val="P68B1DB1-Normal8"/>
              <w:spacing w:after="0" w:line="240" w:lineRule="auto"/>
              <w:jc w:val="center"/>
              <w:rPr>
                <w:rFonts w:cs="Times New Roman"/>
                <w:noProof/>
                <w:color w:val="4472C4" w:themeColor="accent1"/>
              </w:rPr>
            </w:pPr>
            <w:r>
              <w:rPr>
                <w:noProof/>
              </w:rPr>
              <w:t>2023</w:t>
            </w:r>
          </w:p>
        </w:tc>
        <w:tc>
          <w:tcPr>
            <w:tcW w:w="4642" w:type="dxa"/>
            <w:tcBorders>
              <w:top w:val="single" w:sz="4" w:space="0" w:color="auto"/>
              <w:left w:val="single" w:sz="4" w:space="0" w:color="auto"/>
              <w:bottom w:val="single" w:sz="4" w:space="0" w:color="auto"/>
              <w:right w:val="single" w:sz="4" w:space="0" w:color="auto"/>
            </w:tcBorders>
            <w:shd w:val="clear" w:color="auto" w:fill="C6EFCE"/>
            <w:vAlign w:val="center"/>
          </w:tcPr>
          <w:p w14:paraId="2CD0FCCE" w14:textId="77777777" w:rsidR="00F208CE" w:rsidRDefault="00513E84">
            <w:pPr>
              <w:pStyle w:val="P68B1DB1-Default31"/>
              <w:rPr>
                <w:rFonts w:eastAsia="Times New Roman"/>
                <w:noProof/>
              </w:rPr>
            </w:pPr>
            <w:r>
              <w:rPr>
                <w:noProof/>
              </w:rPr>
              <w:t xml:space="preserve">Adopción por el Gobierno Federal del plan de inversión «Backbone for H2» para desarrollar las primeras agrupaciones de proyectos troncales de H2, previa </w:t>
            </w:r>
            <w:r>
              <w:rPr>
                <w:noProof/>
              </w:rPr>
              <w:t>consulta al organismo regulador competente (CREG).</w:t>
            </w:r>
          </w:p>
          <w:p w14:paraId="687F2B32" w14:textId="77777777" w:rsidR="00F208CE" w:rsidRDefault="00513E84">
            <w:pPr>
              <w:pStyle w:val="P68B1DB1-Default31"/>
              <w:rPr>
                <w:rFonts w:eastAsia="Times New Roman"/>
                <w:noProof/>
              </w:rPr>
            </w:pPr>
            <w:r>
              <w:rPr>
                <w:noProof/>
              </w:rPr>
              <w:t xml:space="preserve">El plan de inversión contendrá una propuesta de selección de proyectos que cumpla las siguientes condiciones </w:t>
            </w:r>
            <w:r>
              <w:rPr>
                <w:i/>
                <w:noProof/>
              </w:rPr>
              <w:t>(condiciones DNSH)</w:t>
            </w:r>
            <w:r>
              <w:rPr>
                <w:noProof/>
              </w:rPr>
              <w:t>:</w:t>
            </w:r>
          </w:p>
          <w:p w14:paraId="081E82AF" w14:textId="77777777" w:rsidR="00F208CE" w:rsidRDefault="00513E84">
            <w:pPr>
              <w:pStyle w:val="P68B1DB1-Default31"/>
              <w:rPr>
                <w:rFonts w:eastAsia="Times New Roman"/>
                <w:noProof/>
              </w:rPr>
            </w:pPr>
            <w:r>
              <w:rPr>
                <w:noProof/>
              </w:rPr>
              <w:t>1. Construcción o explotación de nuevas redes de transporte dedicadas al hid</w:t>
            </w:r>
            <w:r>
              <w:rPr>
                <w:noProof/>
              </w:rPr>
              <w:t>rógeno (dentro de este punto también se incluirá la expansión de los gasoductos de hidrógeno específicos existentes y los cambios introducidos en estos gasoductos para garantizar más puntos de conexión y una metodología de acceso abierto);</w:t>
            </w:r>
          </w:p>
          <w:p w14:paraId="71A91E7D" w14:textId="1588179E" w:rsidR="00F208CE" w:rsidRDefault="00513E84">
            <w:pPr>
              <w:pStyle w:val="P68B1DB1-Default31"/>
              <w:rPr>
                <w:rFonts w:eastAsia="Times New Roman"/>
                <w:noProof/>
              </w:rPr>
            </w:pPr>
            <w:r>
              <w:rPr>
                <w:noProof/>
              </w:rPr>
              <w:t>2. Conversión/re</w:t>
            </w:r>
            <w:r>
              <w:rPr>
                <w:noProof/>
              </w:rPr>
              <w:t>conversión de las redes de gas natural existentes al 100 % de hidrógeno.</w:t>
            </w:r>
          </w:p>
        </w:tc>
      </w:tr>
      <w:tr w:rsidR="00F208CE" w14:paraId="00C1037A" w14:textId="7777777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C6EFCE"/>
            <w:vAlign w:val="center"/>
          </w:tcPr>
          <w:p w14:paraId="238D361E" w14:textId="77777777" w:rsidR="00F208CE" w:rsidRDefault="00513E84">
            <w:pPr>
              <w:pStyle w:val="P68B1DB1-Normal8"/>
              <w:spacing w:after="0" w:line="240" w:lineRule="auto"/>
              <w:jc w:val="center"/>
              <w:rPr>
                <w:rFonts w:cs="Times New Roman"/>
                <w:noProof/>
              </w:rPr>
            </w:pPr>
            <w:r>
              <w:rPr>
                <w:noProof/>
              </w:rPr>
              <w:t>227</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7B61D159" w14:textId="77777777" w:rsidR="00F208CE" w:rsidRDefault="00513E84">
            <w:pPr>
              <w:pStyle w:val="P68B1DB1-Normal8"/>
              <w:spacing w:after="0" w:line="240" w:lineRule="auto"/>
              <w:rPr>
                <w:rFonts w:cs="Times New Roman"/>
                <w:noProof/>
              </w:rPr>
            </w:pPr>
            <w:r>
              <w:rPr>
                <w:noProof/>
              </w:rPr>
              <w:t>Columna vertebral para H2 (I-7.15)</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2A930B0" w14:textId="77777777" w:rsidR="00F208CE" w:rsidRDefault="00513E84">
            <w:pPr>
              <w:pStyle w:val="P68B1DB1-Normal8"/>
              <w:spacing w:after="0" w:line="240" w:lineRule="auto"/>
              <w:rPr>
                <w:rFonts w:cs="Times New Roman"/>
                <w:noProof/>
              </w:rPr>
            </w:pPr>
            <w:r>
              <w:rPr>
                <w:noProof/>
              </w:rPr>
              <w:t>T</w:t>
            </w:r>
          </w:p>
        </w:tc>
        <w:tc>
          <w:tcPr>
            <w:tcW w:w="1417" w:type="dxa"/>
            <w:tcBorders>
              <w:top w:val="single" w:sz="4" w:space="0" w:color="auto"/>
              <w:left w:val="single" w:sz="4" w:space="0" w:color="auto"/>
              <w:bottom w:val="single" w:sz="4" w:space="0" w:color="auto"/>
              <w:right w:val="single" w:sz="4" w:space="0" w:color="auto"/>
            </w:tcBorders>
            <w:shd w:val="clear" w:color="auto" w:fill="C6EFCE"/>
            <w:vAlign w:val="center"/>
          </w:tcPr>
          <w:p w14:paraId="5FBDC101" w14:textId="77777777" w:rsidR="00F208CE" w:rsidRDefault="00513E84">
            <w:pPr>
              <w:pStyle w:val="P68B1DB1-Normal8"/>
              <w:spacing w:after="0" w:line="240" w:lineRule="auto"/>
              <w:rPr>
                <w:rFonts w:cs="Times New Roman"/>
                <w:noProof/>
              </w:rPr>
            </w:pPr>
            <w:r>
              <w:rPr>
                <w:noProof/>
              </w:rPr>
              <w:t>Construcción y explotación de 150 km de gasoducto para H2</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DA220F4" w14:textId="77777777" w:rsidR="00F208CE" w:rsidRDefault="00F208CE">
            <w:pPr>
              <w:spacing w:after="0" w:line="240" w:lineRule="auto"/>
              <w:rPr>
                <w:rFonts w:ascii="Times New Roman" w:hAnsi="Times New Roman" w:cs="Times New Roman"/>
                <w:noProof/>
                <w:color w:val="006100"/>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1FD6DF19" w14:textId="77777777" w:rsidR="00F208CE" w:rsidRDefault="00513E84">
            <w:pPr>
              <w:pStyle w:val="P68B1DB1-Normal8"/>
              <w:spacing w:after="0" w:line="240" w:lineRule="auto"/>
              <w:rPr>
                <w:rFonts w:eastAsia="Times New Roman" w:cs="Times New Roman"/>
                <w:noProof/>
              </w:rPr>
            </w:pPr>
            <w:r>
              <w:rPr>
                <w:noProof/>
              </w:rPr>
              <w:t>km</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11398D3D" w14:textId="77777777" w:rsidR="00F208CE" w:rsidRDefault="00513E84">
            <w:pPr>
              <w:pStyle w:val="P68B1DB1-Normal8"/>
              <w:spacing w:after="0" w:line="240" w:lineRule="auto"/>
              <w:rPr>
                <w:rFonts w:eastAsia="Times New Roman" w:cs="Times New Roman"/>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7EC17C1" w14:textId="77777777" w:rsidR="00F208CE" w:rsidRDefault="00513E84">
            <w:pPr>
              <w:pStyle w:val="P68B1DB1-Normal8"/>
              <w:spacing w:after="0" w:line="240" w:lineRule="auto"/>
              <w:rPr>
                <w:rFonts w:eastAsia="Times New Roman" w:cs="Times New Roman"/>
                <w:noProof/>
              </w:rPr>
            </w:pPr>
            <w:r>
              <w:rPr>
                <w:noProof/>
              </w:rPr>
              <w:t>150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7582299" w14:textId="77777777" w:rsidR="00F208CE" w:rsidRDefault="00513E84">
            <w:pPr>
              <w:pStyle w:val="P68B1DB1-Normal8"/>
              <w:spacing w:after="0" w:line="240" w:lineRule="auto"/>
              <w:jc w:val="center"/>
              <w:rPr>
                <w:rFonts w:cs="Times New Roman"/>
                <w:noProof/>
              </w:rPr>
            </w:pPr>
            <w:r>
              <w:rPr>
                <w:noProof/>
              </w:rPr>
              <w:t>TERCER TRIMESTRE 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3B343F78" w14:textId="77777777" w:rsidR="00F208CE" w:rsidRDefault="00513E84">
            <w:pPr>
              <w:pStyle w:val="P68B1DB1-Normal8"/>
              <w:spacing w:after="0" w:line="240" w:lineRule="auto"/>
              <w:jc w:val="center"/>
              <w:rPr>
                <w:rFonts w:cs="Times New Roman"/>
                <w:noProof/>
                <w:color w:val="4472C4" w:themeColor="accent1"/>
              </w:rPr>
            </w:pPr>
            <w:r>
              <w:rPr>
                <w:noProof/>
              </w:rPr>
              <w:t>2026</w:t>
            </w:r>
          </w:p>
        </w:tc>
        <w:tc>
          <w:tcPr>
            <w:tcW w:w="4642" w:type="dxa"/>
            <w:tcBorders>
              <w:top w:val="single" w:sz="4" w:space="0" w:color="auto"/>
              <w:left w:val="single" w:sz="4" w:space="0" w:color="auto"/>
              <w:bottom w:val="single" w:sz="4" w:space="0" w:color="auto"/>
              <w:right w:val="single" w:sz="4" w:space="0" w:color="auto"/>
            </w:tcBorders>
            <w:shd w:val="clear" w:color="auto" w:fill="C6EFCE"/>
            <w:vAlign w:val="center"/>
          </w:tcPr>
          <w:p w14:paraId="5E73AA0C" w14:textId="77777777" w:rsidR="00F208CE" w:rsidRDefault="00513E84">
            <w:pPr>
              <w:pStyle w:val="P68B1DB1-Default31"/>
              <w:rPr>
                <w:rFonts w:eastAsia="Times New Roman"/>
                <w:noProof/>
              </w:rPr>
            </w:pPr>
            <w:r>
              <w:rPr>
                <w:noProof/>
              </w:rPr>
              <w:t xml:space="preserve">Construcción y explotación de 150 km de </w:t>
            </w:r>
            <w:r>
              <w:rPr>
                <w:noProof/>
              </w:rPr>
              <w:t>gasoductos para H2 (o realizados mediante la reorientación de tuberías utilizadas hasta ahora para el transporte de otros gases).</w:t>
            </w:r>
          </w:p>
          <w:p w14:paraId="164F64D4" w14:textId="77777777" w:rsidR="00F208CE" w:rsidRDefault="00513E84">
            <w:pPr>
              <w:pStyle w:val="P68B1DB1-Default31"/>
              <w:rPr>
                <w:rFonts w:eastAsia="Times New Roman"/>
                <w:noProof/>
              </w:rPr>
            </w:pPr>
            <w:r>
              <w:rPr>
                <w:noProof/>
              </w:rPr>
              <w:t xml:space="preserve">Deberán cumplirse las siguientes condiciones </w:t>
            </w:r>
            <w:r>
              <w:rPr>
                <w:i/>
                <w:noProof/>
              </w:rPr>
              <w:t>(condiciones DNSH)</w:t>
            </w:r>
            <w:r>
              <w:rPr>
                <w:noProof/>
              </w:rPr>
              <w:t xml:space="preserve">: </w:t>
            </w:r>
          </w:p>
          <w:p w14:paraId="7EDBE404" w14:textId="7A06D263" w:rsidR="00F208CE" w:rsidRDefault="00513E84">
            <w:pPr>
              <w:pStyle w:val="P68B1DB1-Default31"/>
              <w:rPr>
                <w:rFonts w:eastAsia="Times New Roman"/>
                <w:noProof/>
              </w:rPr>
            </w:pPr>
            <w:r>
              <w:rPr>
                <w:noProof/>
              </w:rPr>
              <w:t xml:space="preserve">1. Construcción o explotación de nuevas redes de transporte </w:t>
            </w:r>
            <w:r>
              <w:rPr>
                <w:noProof/>
              </w:rPr>
              <w:t xml:space="preserve">dedicadas al hidrógeno (dentro de este punto también se incluirá la expansión de los gasoductos de hidrógeno específicos existentes y los cambios introducidos en estos gasoductos para garantizar más puntos de conexión y una metodología de acceso abierto); </w:t>
            </w:r>
          </w:p>
          <w:p w14:paraId="54C766D6" w14:textId="429957D0" w:rsidR="00F208CE" w:rsidRDefault="00513E84">
            <w:pPr>
              <w:pStyle w:val="P68B1DB1-Default31"/>
              <w:rPr>
                <w:rFonts w:eastAsia="Times New Roman"/>
                <w:noProof/>
              </w:rPr>
            </w:pPr>
            <w:r>
              <w:rPr>
                <w:noProof/>
              </w:rPr>
              <w:t>2. Conversión/reconversión de las redes de gas natural existentes al 100 % de hidrógeno.</w:t>
            </w:r>
          </w:p>
        </w:tc>
      </w:tr>
    </w:tbl>
    <w:p w14:paraId="07AF09BC" w14:textId="77777777" w:rsidR="00F208CE" w:rsidRDefault="00F208CE">
      <w:pPr>
        <w:pStyle w:val="TitreComposante"/>
        <w:jc w:val="both"/>
        <w:rPr>
          <w:noProof/>
        </w:rPr>
        <w:sectPr w:rsidR="00F208CE" w:rsidSect="007F56C3">
          <w:headerReference w:type="default" r:id="rId196"/>
          <w:footerReference w:type="default" r:id="rId197"/>
          <w:pgSz w:w="16838" w:h="11906" w:orient="landscape"/>
          <w:pgMar w:top="1417" w:right="1417" w:bottom="1417" w:left="1417" w:header="708" w:footer="708" w:gutter="0"/>
          <w:cols w:space="708"/>
          <w:docGrid w:linePitch="360"/>
        </w:sectPr>
      </w:pPr>
    </w:p>
    <w:p w14:paraId="61151D6E" w14:textId="1048C900" w:rsidR="00F208CE" w:rsidRDefault="00513E84">
      <w:pPr>
        <w:pStyle w:val="ManualHeading1"/>
        <w:spacing w:before="120"/>
        <w:ind w:left="0" w:hanging="130"/>
        <w:rPr>
          <w:noProof/>
        </w:rPr>
      </w:pPr>
      <w:r>
        <w:rPr>
          <w:noProof/>
        </w:rPr>
        <w:t xml:space="preserve">T. </w:t>
      </w:r>
      <w:r>
        <w:rPr>
          <w:caps/>
          <w:smallCaps w:val="0"/>
          <w:noProof/>
        </w:rPr>
        <w:t>COMPONENTE</w:t>
      </w:r>
      <w:r>
        <w:rPr>
          <w:noProof/>
        </w:rPr>
        <w:t xml:space="preserve"> 7.3: Energías renovables</w:t>
      </w:r>
    </w:p>
    <w:p w14:paraId="0216E9C8" w14:textId="77777777" w:rsidR="00F208CE" w:rsidRDefault="00513E84">
      <w:pPr>
        <w:pStyle w:val="P68B1DB1-Normal1"/>
        <w:spacing w:before="120" w:after="120" w:line="240" w:lineRule="auto"/>
        <w:jc w:val="both"/>
        <w:rPr>
          <w:rFonts w:eastAsia="Times New Roman" w:cs="Times New Roman"/>
          <w:noProof/>
        </w:rPr>
      </w:pPr>
      <w:r>
        <w:rPr>
          <w:noProof/>
        </w:rPr>
        <w:t>El objetivo de este componente es reducir la dependencia de los combustibles fósiles apoyando la producción de electricidad a partir de fuentes renovables, garantizando una mayor interconexión y flexibilidad del sistema eléctrico, así como acelerando la in</w:t>
      </w:r>
      <w:r>
        <w:rPr>
          <w:noProof/>
        </w:rPr>
        <w:t>tegración de las fuentes de energía renovables. En particular, las medidas en el marco de este componente apoyarán la capacidad de generación de energía renovable mediante inversiones en energía eólica marina y solar en particular, y mediante la reforma de</w:t>
      </w:r>
      <w:r>
        <w:rPr>
          <w:noProof/>
        </w:rPr>
        <w:t>l marco regulador para estimular la instalación de turbinas eólicas y paneles fotovoltaicos y acortar el tiempo de los procedimientos judiciales relacionados con proyectos de transición energética.</w:t>
      </w:r>
    </w:p>
    <w:p w14:paraId="44134D29" w14:textId="77777777" w:rsidR="00F208CE" w:rsidRDefault="00513E84">
      <w:pPr>
        <w:pStyle w:val="P68B1DB1-Normal1"/>
        <w:spacing w:before="120" w:after="120" w:line="240" w:lineRule="auto"/>
        <w:jc w:val="both"/>
        <w:rPr>
          <w:rFonts w:cs="Times New Roman"/>
          <w:noProof/>
        </w:rPr>
      </w:pPr>
      <w:r>
        <w:rPr>
          <w:noProof/>
        </w:rPr>
        <w:t>El componente contribuye a abordar las recomendaciones esp</w:t>
      </w:r>
      <w:r>
        <w:rPr>
          <w:noProof/>
        </w:rPr>
        <w:t xml:space="preserve">ecíficas por país n.º 2022.4 y n.º 2023.4, y pide a Bélgica que reduzca la dependencia general de los combustibles fósiles </w:t>
      </w:r>
      <w:r>
        <w:rPr>
          <w:i/>
          <w:noProof/>
        </w:rPr>
        <w:t>«acelerando el despliegue de las energías renovables y la infraestructura de red conexa mediante una mayor racionalización de los pro</w:t>
      </w:r>
      <w:r>
        <w:rPr>
          <w:i/>
          <w:noProof/>
        </w:rPr>
        <w:t>cedimientos de concesión de permisos, en particular reduciendo la duración de los procedimientos de recurso, y adoptando marcos jurídicos para seguir impulsando las inversiones en instalaciones de energías renovables y facilitar el uso compartido de energí</w:t>
      </w:r>
      <w:r>
        <w:rPr>
          <w:i/>
          <w:noProof/>
        </w:rPr>
        <w:t>a».</w:t>
      </w:r>
    </w:p>
    <w:p w14:paraId="3383FDE2" w14:textId="77777777" w:rsidR="00F208CE" w:rsidRDefault="00513E84">
      <w:pPr>
        <w:pStyle w:val="P68B1DB1-Normal1"/>
        <w:spacing w:before="120" w:after="120" w:line="240" w:lineRule="auto"/>
        <w:jc w:val="both"/>
        <w:rPr>
          <w:rFonts w:cs="Times New Roman"/>
          <w:noProof/>
        </w:rPr>
      </w:pPr>
      <w:r>
        <w:rPr>
          <w:noProof/>
        </w:rPr>
        <w:t>Se espera que ninguna medida de este componente perjudique significativamente a los objetivos medioambientales en el sentido del artículo 17 del Reglamento (UE) 2020/852, teniendo en cuenta la descripción de las medidas y las medidas atenuantes estable</w:t>
      </w:r>
      <w:r>
        <w:rPr>
          <w:noProof/>
        </w:rPr>
        <w:t>cidas en el plan de recuperación y resiliencia de conformidad con las orientaciones técnicas de DNSH (2021/C58/01).</w:t>
      </w:r>
    </w:p>
    <w:p w14:paraId="69AF855D" w14:textId="2806A056" w:rsidR="00F208CE" w:rsidRDefault="00513E84">
      <w:pPr>
        <w:pStyle w:val="P68B1DB1-Text132"/>
        <w:ind w:left="0"/>
        <w:rPr>
          <w:rFonts w:eastAsia="Times New Roman"/>
          <w:noProof/>
        </w:rPr>
      </w:pPr>
      <w:r>
        <w:rPr>
          <w:noProof/>
        </w:rPr>
        <w:t>T.1. Descripción de las reformas e inversiones para la ayuda financiera no reembolsable</w:t>
      </w:r>
    </w:p>
    <w:p w14:paraId="0D9C3ED1" w14:textId="77777777" w:rsidR="00F208CE" w:rsidRDefault="00513E84">
      <w:pPr>
        <w:pStyle w:val="P68B1DB1-Text12"/>
        <w:ind w:left="0"/>
        <w:rPr>
          <w:rFonts w:eastAsia="Times New Roman"/>
          <w:noProof/>
        </w:rPr>
      </w:pPr>
      <w:r>
        <w:rPr>
          <w:noProof/>
        </w:rPr>
        <w:t>Reforma R-7.02: «Reforma de los procedimientos de re</w:t>
      </w:r>
      <w:r>
        <w:rPr>
          <w:noProof/>
        </w:rPr>
        <w:t>curso del Consejo de Estado Federal»</w:t>
      </w:r>
    </w:p>
    <w:p w14:paraId="3E229F55" w14:textId="77777777" w:rsidR="00F208CE" w:rsidRDefault="00513E84">
      <w:pPr>
        <w:pStyle w:val="Text1"/>
        <w:ind w:left="0"/>
        <w:rPr>
          <w:rFonts w:eastAsia="Times New Roman"/>
          <w:noProof/>
          <w:shd w:val="clear" w:color="auto" w:fill="E6E6E6"/>
        </w:rPr>
      </w:pPr>
      <w:r>
        <w:rPr>
          <w:noProof/>
          <w:color w:val="000000" w:themeColor="text1"/>
        </w:rPr>
        <w:t xml:space="preserve">Esta reforma del Consejo de Estado consiste en (1) reducir el tiempo necesario para tramitar los procedimientos de recurso </w:t>
      </w:r>
      <w:r>
        <w:rPr>
          <w:noProof/>
        </w:rPr>
        <w:t xml:space="preserve">relativos a las decisiones sobre inversiones energéticas y proyectos de energías renovables (en </w:t>
      </w:r>
      <w:r>
        <w:rPr>
          <w:noProof/>
        </w:rPr>
        <w:t>la medida en que el Consejo de Estado es el órgano competente</w:t>
      </w:r>
      <w:r>
        <w:rPr>
          <w:rFonts w:ascii="Calibri" w:hAnsi="Calibri"/>
          <w:noProof/>
          <w:sz w:val="22"/>
        </w:rPr>
        <w:t>)</w:t>
      </w:r>
      <w:r>
        <w:rPr>
          <w:noProof/>
        </w:rPr>
        <w:t>, (2) conceder prioridad al tratamiento de los expedientes de transición energética. Esta medida tiene por objeto aumentar la cuota y acelerar el despliegue de energías renovables en Bélgica med</w:t>
      </w:r>
      <w:r>
        <w:rPr>
          <w:noProof/>
        </w:rPr>
        <w:t xml:space="preserve">iante la eliminación de los cuellos de botella administrativos relacionados con los procedimientos de recurso en el proceso de ejecución de las inversiones en energías renovables. La implementación de la medida estará terminada a más tardar el 30 </w:t>
      </w:r>
      <w:r>
        <w:rPr>
          <w:noProof/>
          <w:color w:val="000000" w:themeColor="text1"/>
        </w:rPr>
        <w:t xml:space="preserve">de junio </w:t>
      </w:r>
      <w:r>
        <w:rPr>
          <w:noProof/>
          <w:color w:val="000000" w:themeColor="text1"/>
        </w:rPr>
        <w:t>de 2024.</w:t>
      </w:r>
    </w:p>
    <w:p w14:paraId="51475DB0" w14:textId="77777777" w:rsidR="00F208CE" w:rsidRDefault="00513E84">
      <w:pPr>
        <w:pStyle w:val="P68B1DB1-Text19"/>
        <w:ind w:left="0"/>
        <w:rPr>
          <w:rFonts w:eastAsia="Times New Roman"/>
          <w:noProof/>
        </w:rPr>
      </w:pPr>
      <w:r>
        <w:rPr>
          <w:noProof/>
        </w:rPr>
        <w:t>Reforma R-7.03: «Obligación de los grandes consumidores» de la Región Flamenca</w:t>
      </w:r>
    </w:p>
    <w:p w14:paraId="39E212A9" w14:textId="77777777" w:rsidR="00F208CE" w:rsidRDefault="00513E84">
      <w:pPr>
        <w:pStyle w:val="Text1"/>
        <w:ind w:left="0"/>
        <w:rPr>
          <w:rFonts w:eastAsia="Times New Roman"/>
          <w:noProof/>
          <w:color w:val="000000" w:themeColor="text1"/>
        </w:rPr>
      </w:pPr>
      <w:r>
        <w:rPr>
          <w:noProof/>
        </w:rPr>
        <w:t>Esta reforma introduce la obligación de instalar paneles solares fotovoltaicos para edificios privados situados en Flandes que estén conectados a puntos de salida de el</w:t>
      </w:r>
      <w:r>
        <w:rPr>
          <w:noProof/>
        </w:rPr>
        <w:t>ectricidad en los que, a partir del año natural 2021, se produzca una salida de más de 1 GWh al año y los edificios de organizaciones públicas situadas en Flandes que estén conectados a puntos de retirada de electricidad cuando, a partir del año civil 2021</w:t>
      </w:r>
      <w:r>
        <w:rPr>
          <w:noProof/>
        </w:rPr>
        <w:t xml:space="preserve">, se produzca una salida de más de 250 MWh al año. La implementación de la medida estará terminada a más tardar el 30 de junio de </w:t>
      </w:r>
      <w:r>
        <w:rPr>
          <w:noProof/>
          <w:color w:val="000000" w:themeColor="text1"/>
        </w:rPr>
        <w:t>2023.</w:t>
      </w:r>
    </w:p>
    <w:p w14:paraId="30F2C28D" w14:textId="77777777" w:rsidR="00F208CE" w:rsidRDefault="00513E84">
      <w:pPr>
        <w:pStyle w:val="P68B1DB1-Text19"/>
        <w:ind w:left="0"/>
        <w:rPr>
          <w:rFonts w:eastAsia="Times New Roman"/>
          <w:noProof/>
        </w:rPr>
      </w:pPr>
      <w:r>
        <w:rPr>
          <w:noProof/>
        </w:rPr>
        <w:t>Reforma R-7.04: «Acelerar la transición energética» de la Región Valona</w:t>
      </w:r>
    </w:p>
    <w:p w14:paraId="6C1E56F0" w14:textId="0D02C65A" w:rsidR="00F208CE" w:rsidRDefault="00513E84">
      <w:pPr>
        <w:pStyle w:val="P68B1DB1-Normal1"/>
        <w:spacing w:before="120" w:after="120" w:line="240" w:lineRule="auto"/>
        <w:jc w:val="both"/>
        <w:rPr>
          <w:rFonts w:eastAsia="Times New Roman" w:cs="Times New Roman"/>
          <w:noProof/>
        </w:rPr>
      </w:pPr>
      <w:r>
        <w:rPr>
          <w:noProof/>
          <w:color w:val="000000" w:themeColor="text1"/>
        </w:rPr>
        <w:t>Esta reforma consiste en acortar los procedimien</w:t>
      </w:r>
      <w:r>
        <w:rPr>
          <w:noProof/>
          <w:color w:val="000000" w:themeColor="text1"/>
        </w:rPr>
        <w:t xml:space="preserve">tos de concesión de permisos para proyectos de energías renovables y, de manera más general, en facilitar el desarrollo de dichos proyectos mediante: </w:t>
      </w:r>
      <w:r>
        <w:rPr>
          <w:noProof/>
        </w:rPr>
        <w:t>(1) reforma de la Ley de Conservación de la Naturaleza, (2) revisión del marco de referencia eólico de 201</w:t>
      </w:r>
      <w:r>
        <w:rPr>
          <w:noProof/>
        </w:rPr>
        <w:t xml:space="preserve">3, (3) revisión del marco de desarrollo y concesión de permisos para las energías renovables, (4) prohibición del carbón y el gasóleo para calefacción y agua caliente sanitaria en los edificios. La implementación de la medida estará terminada a más tardar </w:t>
      </w:r>
      <w:r>
        <w:rPr>
          <w:noProof/>
        </w:rPr>
        <w:t>el 30 de junio de 2025.</w:t>
      </w:r>
    </w:p>
    <w:p w14:paraId="38C9FD73" w14:textId="77777777" w:rsidR="00F208CE" w:rsidRDefault="00513E84">
      <w:pPr>
        <w:pStyle w:val="P68B1DB1-Normal19"/>
        <w:rPr>
          <w:rFonts w:ascii="Times New Roman" w:hAnsi="Times New Roman" w:cs="Times New Roman"/>
          <w:noProof/>
          <w:sz w:val="24"/>
        </w:rPr>
      </w:pPr>
      <w:r>
        <w:rPr>
          <w:noProof/>
        </w:rPr>
        <w:br w:type="page"/>
      </w:r>
    </w:p>
    <w:p w14:paraId="62FA2C79" w14:textId="6E2266AD" w:rsidR="00F208CE" w:rsidRDefault="00513E84">
      <w:pPr>
        <w:pStyle w:val="P68B1DB1-Text19"/>
        <w:ind w:left="0"/>
        <w:rPr>
          <w:noProof/>
        </w:rPr>
      </w:pPr>
      <w:r>
        <w:rPr>
          <w:noProof/>
        </w:rPr>
        <w:t>Inversión I-7.16: «Solar flotante» del Estado Federal</w:t>
      </w:r>
    </w:p>
    <w:p w14:paraId="3288FE64" w14:textId="147653F5" w:rsidR="00F208CE" w:rsidRDefault="00513E84">
      <w:pPr>
        <w:pStyle w:val="P68B1DB1-Normal1"/>
        <w:spacing w:before="120" w:after="120" w:line="240" w:lineRule="auto"/>
        <w:jc w:val="both"/>
        <w:rPr>
          <w:rFonts w:eastAsia="Times New Roman" w:cs="Times New Roman"/>
          <w:noProof/>
        </w:rPr>
      </w:pPr>
      <w:r>
        <w:rPr>
          <w:noProof/>
        </w:rPr>
        <w:t>Esta inversión consiste en impulsar la viabilidad técnica, económica y financiera de los paneles solares flotantes en el mar del Norte y aumentar el nivel de preparación tecnol</w:t>
      </w:r>
      <w:r>
        <w:rPr>
          <w:noProof/>
        </w:rPr>
        <w:t>ógica de dicha tecnología de cuatro a siete (a escala de nueve niveles) y, en consecuencia, conducirá a la instalación y puesta en funcionamiento de un demostrador de paneles solares flotantes a escala completa instalado y operativo con una capacidad de en</w:t>
      </w:r>
      <w:r>
        <w:rPr>
          <w:noProof/>
        </w:rPr>
        <w:t>tre 1 y 5 MW. La implementación de la medida estará terminada a más tardar el 31 de diciembre de 2025.</w:t>
      </w:r>
    </w:p>
    <w:p w14:paraId="4C941366" w14:textId="77777777" w:rsidR="00F208CE" w:rsidRDefault="00513E84">
      <w:pPr>
        <w:pStyle w:val="P68B1DB1-Text19"/>
        <w:ind w:left="0"/>
        <w:rPr>
          <w:noProof/>
        </w:rPr>
      </w:pPr>
      <w:r>
        <w:rPr>
          <w:noProof/>
        </w:rPr>
        <w:t>Inversión I- 7.17: «Optimización de la distribución de energía» de la Región Valona</w:t>
      </w:r>
    </w:p>
    <w:p w14:paraId="67B91E6C" w14:textId="77777777" w:rsidR="00F208CE" w:rsidRDefault="00513E84">
      <w:pPr>
        <w:pStyle w:val="Text1"/>
        <w:ind w:left="0"/>
        <w:rPr>
          <w:noProof/>
        </w:rPr>
      </w:pPr>
      <w:r>
        <w:rPr>
          <w:noProof/>
        </w:rPr>
        <w:t>Esta inversión consiste en conceder subvenciones a los dos principale</w:t>
      </w:r>
      <w:r>
        <w:rPr>
          <w:noProof/>
        </w:rPr>
        <w:t>s operadores de redes eléctricas de la región valona (ORES y RESA) para hacer que las redes sean más inteligentes y aplicar el refuerzo de la red. Las subvenciones concedidas a cada uno de los operadores serán proporcionales a su participación en el número</w:t>
      </w:r>
      <w:r>
        <w:rPr>
          <w:noProof/>
        </w:rPr>
        <w:t xml:space="preserve"> total de usuarios de la red. La implementación de la medida estará terminada a más tardar el 30 de junio de 2026.</w:t>
      </w:r>
    </w:p>
    <w:p w14:paraId="43D1046E" w14:textId="77777777" w:rsidR="00F208CE" w:rsidRDefault="00513E84">
      <w:pPr>
        <w:pStyle w:val="P68B1DB1-Text19"/>
        <w:ind w:left="0"/>
        <w:rPr>
          <w:noProof/>
        </w:rPr>
      </w:pPr>
      <w:r>
        <w:rPr>
          <w:noProof/>
        </w:rPr>
        <w:t>Inversión I-7.18: «Iniciativas innovadoras de producción de energías renovables» de la Región Flamenca</w:t>
      </w:r>
    </w:p>
    <w:p w14:paraId="44A3B8B7" w14:textId="4B2A343E" w:rsidR="00F208CE" w:rsidRDefault="00513E84">
      <w:pPr>
        <w:pStyle w:val="Text1"/>
        <w:ind w:left="0"/>
        <w:rPr>
          <w:noProof/>
        </w:rPr>
      </w:pPr>
      <w:r>
        <w:rPr>
          <w:noProof/>
        </w:rPr>
        <w:t>Esta medida consiste en conceder subve</w:t>
      </w:r>
      <w:r>
        <w:rPr>
          <w:noProof/>
        </w:rPr>
        <w:t>nciones a empresas que inviertan en actividades de investigación y desarrollo relacionadas con la producción de tecnologías innovadoras en el ámbito de la energía solar (células fotovoltaicas, sistemas solares térmicos, almacenamiento de energía e incorpor</w:t>
      </w:r>
      <w:r>
        <w:rPr>
          <w:noProof/>
        </w:rPr>
        <w:t>ación a redes energéticas (eléctricas o térmicas)), así como a empresas que invierten en la electrificación de infraestructuras portuarias en Flandes (electricidad en puerto). A tal fin, se pondrá en marcha una convocatoria de proyectos dirigida a proyecto</w:t>
      </w:r>
      <w:r>
        <w:rPr>
          <w:noProof/>
        </w:rPr>
        <w:t xml:space="preserve">s en estos dos ámbitos. </w:t>
      </w:r>
      <w:r>
        <w:rPr>
          <w:noProof/>
          <w:color w:val="000000" w:themeColor="text1"/>
        </w:rPr>
        <w:t xml:space="preserve">La implementación de la </w:t>
      </w:r>
      <w:r>
        <w:rPr>
          <w:noProof/>
        </w:rPr>
        <w:t xml:space="preserve">medida </w:t>
      </w:r>
      <w:r>
        <w:rPr>
          <w:noProof/>
          <w:color w:val="000000" w:themeColor="text1"/>
        </w:rPr>
        <w:t>estará terminada a más tardar el 30 de junio de 2026.</w:t>
      </w:r>
    </w:p>
    <w:p w14:paraId="57F22CA1" w14:textId="77777777" w:rsidR="00F208CE" w:rsidRDefault="00513E84">
      <w:pPr>
        <w:pStyle w:val="P68B1DB1-Text19"/>
        <w:ind w:left="0"/>
        <w:rPr>
          <w:noProof/>
        </w:rPr>
      </w:pPr>
      <w:r>
        <w:rPr>
          <w:noProof/>
        </w:rPr>
        <w:t>Inversión I-7.19: «Eliminar los obstáculos a las energías renovables» del Estado Federal</w:t>
      </w:r>
    </w:p>
    <w:p w14:paraId="14D67994" w14:textId="77777777" w:rsidR="00F208CE" w:rsidRDefault="00513E84">
      <w:pPr>
        <w:spacing w:before="120" w:after="120" w:line="240" w:lineRule="auto"/>
        <w:jc w:val="both"/>
        <w:rPr>
          <w:rFonts w:ascii="Times New Roman" w:hAnsi="Times New Roman" w:cs="Times New Roman"/>
          <w:noProof/>
          <w:sz w:val="24"/>
        </w:rPr>
        <w:sectPr w:rsidR="00F208CE" w:rsidSect="00F14B5D">
          <w:headerReference w:type="even" r:id="rId198"/>
          <w:headerReference w:type="default" r:id="rId199"/>
          <w:footerReference w:type="even" r:id="rId200"/>
          <w:footerReference w:type="default" r:id="rId201"/>
          <w:headerReference w:type="first" r:id="rId202"/>
          <w:footerReference w:type="first" r:id="rId203"/>
          <w:pgSz w:w="11907" w:h="16839"/>
          <w:pgMar w:top="1134" w:right="1134" w:bottom="1134" w:left="1134" w:header="567" w:footer="567" w:gutter="0"/>
          <w:cols w:space="720"/>
          <w:docGrid w:linePitch="360"/>
        </w:sectPr>
      </w:pPr>
      <w:r>
        <w:rPr>
          <w:rStyle w:val="normaltextrun"/>
          <w:rFonts w:ascii="Times New Roman" w:hAnsi="Times New Roman"/>
          <w:noProof/>
          <w:sz w:val="24"/>
        </w:rPr>
        <w:t>Esta medida tiene por objeto la reducción de las restricciones en la vecindad de los aeropuertos (por ejemplo, la distancia a los radares, las restricciones de altura, la superficie y la ubicación de las zonas de exclusión) impuestas</w:t>
      </w:r>
      <w:r>
        <w:rPr>
          <w:rStyle w:val="normaltextrun"/>
          <w:rFonts w:ascii="Times New Roman" w:hAnsi="Times New Roman"/>
          <w:noProof/>
          <w:sz w:val="24"/>
        </w:rPr>
        <w:t xml:space="preserve"> por los servicios de control del tráfico aéreo a la construcción de turbinas eólicas, con vistas a aumentar la proporción y acelerar el despliegue de energías renovables. Esta medida consiste en racionalizar los sistemas de navegación aérea, introducir nu</w:t>
      </w:r>
      <w:r>
        <w:rPr>
          <w:rStyle w:val="normaltextrun"/>
          <w:rFonts w:ascii="Times New Roman" w:hAnsi="Times New Roman"/>
          <w:noProof/>
          <w:sz w:val="24"/>
        </w:rPr>
        <w:t>evas tecnologías y optimizar los procedimientos operativos, lo que contribuirá a reducir las zonas de protección alrededor de los aeropuertos, liberando así espacio adicional para la construcción de nuevos parques eólicos, aumentando así la cuota y acelera</w:t>
      </w:r>
      <w:r>
        <w:rPr>
          <w:rStyle w:val="normaltextrun"/>
          <w:rFonts w:ascii="Times New Roman" w:hAnsi="Times New Roman"/>
          <w:noProof/>
          <w:sz w:val="24"/>
        </w:rPr>
        <w:t>ndo el despliegue de las energías renovables. La implementación de la medida estará terminada a más tardar el 30 de junio de 2026.</w:t>
      </w:r>
    </w:p>
    <w:p w14:paraId="0A876634" w14:textId="16C15092" w:rsidR="00F208CE" w:rsidRDefault="00513E84">
      <w:pPr>
        <w:pStyle w:val="P68B1DB1-Jalonsetcibles28"/>
        <w:spacing w:before="120" w:after="120" w:line="240" w:lineRule="auto"/>
        <w:rPr>
          <w:rFonts w:eastAsia="Times New Roman"/>
          <w:noProof/>
        </w:rPr>
      </w:pPr>
      <w:r>
        <w:rPr>
          <w:noProof/>
        </w:rPr>
        <w:t>T.2 Hechos, objetivos, indicadores y calendario para el seguimiento y la ejecución de la ayuda financiera no reembolsable</w:t>
      </w:r>
    </w:p>
    <w:tbl>
      <w:tblPr>
        <w:tblStyle w:val="TableGrid"/>
        <w:tblW w:w="14175" w:type="dxa"/>
        <w:tblLayout w:type="fixed"/>
        <w:tblLook w:val="06A0" w:firstRow="1" w:lastRow="0" w:firstColumn="1" w:lastColumn="0" w:noHBand="1" w:noVBand="1"/>
      </w:tblPr>
      <w:tblGrid>
        <w:gridCol w:w="704"/>
        <w:gridCol w:w="1571"/>
        <w:gridCol w:w="555"/>
        <w:gridCol w:w="1560"/>
        <w:gridCol w:w="1842"/>
        <w:gridCol w:w="993"/>
        <w:gridCol w:w="992"/>
        <w:gridCol w:w="709"/>
        <w:gridCol w:w="992"/>
        <w:gridCol w:w="709"/>
        <w:gridCol w:w="3548"/>
      </w:tblGrid>
      <w:tr w:rsidR="00F208CE" w14:paraId="673E67A3" w14:textId="77777777">
        <w:trPr>
          <w:trHeight w:val="720"/>
          <w:tblHeader/>
        </w:trPr>
        <w:tc>
          <w:tcPr>
            <w:tcW w:w="704" w:type="dxa"/>
            <w:vMerge w:val="restart"/>
            <w:shd w:val="clear" w:color="auto" w:fill="BDD7EE"/>
            <w:vAlign w:val="center"/>
          </w:tcPr>
          <w:p w14:paraId="4FD54FB8" w14:textId="25B2BCA3" w:rsidR="00F208CE" w:rsidRDefault="00513E84">
            <w:pPr>
              <w:pStyle w:val="P68B1DB1-Normal7"/>
              <w:jc w:val="both"/>
              <w:rPr>
                <w:rFonts w:eastAsia="Times New Roman"/>
                <w:noProof/>
              </w:rPr>
            </w:pPr>
            <w:r>
              <w:rPr>
                <w:noProof/>
              </w:rPr>
              <w:t>Cód</w:t>
            </w:r>
            <w:r>
              <w:rPr>
                <w:noProof/>
              </w:rPr>
              <w:t>igo N.B.:</w:t>
            </w:r>
          </w:p>
        </w:tc>
        <w:tc>
          <w:tcPr>
            <w:tcW w:w="1571" w:type="dxa"/>
            <w:vMerge w:val="restart"/>
            <w:shd w:val="clear" w:color="auto" w:fill="BDD7EE"/>
            <w:vAlign w:val="center"/>
          </w:tcPr>
          <w:p w14:paraId="45601ABD" w14:textId="77777777" w:rsidR="00F208CE" w:rsidRDefault="00513E84">
            <w:pPr>
              <w:pStyle w:val="P68B1DB1-Normal7"/>
              <w:jc w:val="both"/>
              <w:rPr>
                <w:rFonts w:eastAsia="Times New Roman"/>
                <w:noProof/>
              </w:rPr>
            </w:pPr>
            <w:r>
              <w:rPr>
                <w:noProof/>
              </w:rPr>
              <w:t>Medida relacionada (reforma o inversión)</w:t>
            </w:r>
          </w:p>
        </w:tc>
        <w:tc>
          <w:tcPr>
            <w:tcW w:w="555" w:type="dxa"/>
            <w:vMerge w:val="restart"/>
            <w:shd w:val="clear" w:color="auto" w:fill="BDD7EE"/>
            <w:vAlign w:val="center"/>
          </w:tcPr>
          <w:p w14:paraId="12EE96C9" w14:textId="77777777" w:rsidR="00F208CE" w:rsidRDefault="00513E84">
            <w:pPr>
              <w:pStyle w:val="P68B1DB1-Normal7"/>
              <w:jc w:val="both"/>
              <w:rPr>
                <w:rFonts w:eastAsia="Times New Roman"/>
                <w:noProof/>
              </w:rPr>
            </w:pPr>
            <w:r>
              <w:rPr>
                <w:noProof/>
              </w:rPr>
              <w:t>M/T</w:t>
            </w:r>
          </w:p>
        </w:tc>
        <w:tc>
          <w:tcPr>
            <w:tcW w:w="1560" w:type="dxa"/>
            <w:vMerge w:val="restart"/>
            <w:shd w:val="clear" w:color="auto" w:fill="BDD7EE"/>
            <w:vAlign w:val="center"/>
          </w:tcPr>
          <w:p w14:paraId="661B537E" w14:textId="77777777" w:rsidR="00F208CE" w:rsidRDefault="00513E84">
            <w:pPr>
              <w:pStyle w:val="P68B1DB1-Normal7"/>
              <w:jc w:val="center"/>
              <w:rPr>
                <w:rFonts w:eastAsia="Times New Roman"/>
                <w:noProof/>
              </w:rPr>
            </w:pPr>
            <w:r>
              <w:rPr>
                <w:noProof/>
              </w:rPr>
              <w:t>Nombre</w:t>
            </w:r>
          </w:p>
        </w:tc>
        <w:tc>
          <w:tcPr>
            <w:tcW w:w="1842" w:type="dxa"/>
            <w:vMerge w:val="restart"/>
            <w:shd w:val="clear" w:color="auto" w:fill="BDD7EE"/>
            <w:vAlign w:val="center"/>
          </w:tcPr>
          <w:p w14:paraId="415EE4A3" w14:textId="77777777" w:rsidR="00F208CE" w:rsidRDefault="00513E84">
            <w:pPr>
              <w:pStyle w:val="P68B1DB1-Normal7"/>
              <w:jc w:val="center"/>
              <w:rPr>
                <w:rFonts w:eastAsia="Times New Roman"/>
                <w:noProof/>
              </w:rPr>
            </w:pPr>
            <w:r>
              <w:rPr>
                <w:noProof/>
              </w:rPr>
              <w:t>Indicadores cualitativos</w:t>
            </w:r>
          </w:p>
          <w:p w14:paraId="70760F36" w14:textId="77777777" w:rsidR="00F208CE" w:rsidRDefault="00513E84">
            <w:pPr>
              <w:pStyle w:val="P68B1DB1-Normal7"/>
              <w:jc w:val="center"/>
              <w:rPr>
                <w:rFonts w:eastAsia="Times New Roman"/>
                <w:noProof/>
              </w:rPr>
            </w:pPr>
            <w:r>
              <w:rPr>
                <w:noProof/>
              </w:rPr>
              <w:t>(para hitos)</w:t>
            </w:r>
          </w:p>
        </w:tc>
        <w:tc>
          <w:tcPr>
            <w:tcW w:w="2694" w:type="dxa"/>
            <w:gridSpan w:val="3"/>
            <w:shd w:val="clear" w:color="auto" w:fill="BDD7EE"/>
            <w:vAlign w:val="center"/>
          </w:tcPr>
          <w:p w14:paraId="7C328E30" w14:textId="77777777" w:rsidR="00F208CE" w:rsidRDefault="00513E84">
            <w:pPr>
              <w:pStyle w:val="P68B1DB1-Normal7"/>
              <w:jc w:val="center"/>
              <w:rPr>
                <w:rFonts w:eastAsia="Times New Roman"/>
                <w:noProof/>
              </w:rPr>
            </w:pPr>
            <w:r>
              <w:rPr>
                <w:noProof/>
              </w:rPr>
              <w:t>Indicadores cuantitativos</w:t>
            </w:r>
          </w:p>
          <w:p w14:paraId="3A85C624" w14:textId="77777777" w:rsidR="00F208CE" w:rsidRDefault="00513E84">
            <w:pPr>
              <w:pStyle w:val="P68B1DB1-Normal7"/>
              <w:jc w:val="center"/>
              <w:rPr>
                <w:rFonts w:eastAsia="Times New Roman"/>
                <w:noProof/>
              </w:rPr>
            </w:pPr>
            <w:r>
              <w:rPr>
                <w:noProof/>
              </w:rPr>
              <w:t>(para los objetivos)</w:t>
            </w:r>
          </w:p>
        </w:tc>
        <w:tc>
          <w:tcPr>
            <w:tcW w:w="1701" w:type="dxa"/>
            <w:gridSpan w:val="2"/>
            <w:shd w:val="clear" w:color="auto" w:fill="BDD7EE"/>
            <w:vAlign w:val="center"/>
          </w:tcPr>
          <w:p w14:paraId="390F32EA" w14:textId="77777777" w:rsidR="00F208CE" w:rsidRDefault="00513E84">
            <w:pPr>
              <w:pStyle w:val="P68B1DB1-Normal7"/>
              <w:jc w:val="center"/>
              <w:rPr>
                <w:rFonts w:eastAsia="Times New Roman"/>
                <w:noProof/>
              </w:rPr>
            </w:pPr>
            <w:r>
              <w:rPr>
                <w:noProof/>
              </w:rPr>
              <w:t>Calendario indicativo de finalización</w:t>
            </w:r>
          </w:p>
        </w:tc>
        <w:tc>
          <w:tcPr>
            <w:tcW w:w="3548" w:type="dxa"/>
            <w:vMerge w:val="restart"/>
            <w:shd w:val="clear" w:color="auto" w:fill="BDD7EE"/>
            <w:vAlign w:val="center"/>
          </w:tcPr>
          <w:p w14:paraId="1720FAB3" w14:textId="77777777" w:rsidR="00F208CE" w:rsidRDefault="00513E84">
            <w:pPr>
              <w:pStyle w:val="P68B1DB1-Normal7"/>
              <w:jc w:val="center"/>
              <w:rPr>
                <w:rFonts w:eastAsia="Times New Roman"/>
                <w:noProof/>
              </w:rPr>
            </w:pPr>
            <w:r>
              <w:rPr>
                <w:noProof/>
              </w:rPr>
              <w:t>Descripción de cada hito y objetivo</w:t>
            </w:r>
          </w:p>
        </w:tc>
      </w:tr>
      <w:tr w:rsidR="00F208CE" w14:paraId="25EE97B4" w14:textId="77777777">
        <w:trPr>
          <w:trHeight w:val="378"/>
        </w:trPr>
        <w:tc>
          <w:tcPr>
            <w:tcW w:w="704" w:type="dxa"/>
            <w:vMerge/>
            <w:vAlign w:val="center"/>
          </w:tcPr>
          <w:p w14:paraId="601AC469" w14:textId="77777777" w:rsidR="00F208CE" w:rsidRDefault="00F208CE">
            <w:pPr>
              <w:rPr>
                <w:rFonts w:ascii="Times New Roman" w:eastAsia="Times New Roman" w:hAnsi="Times New Roman"/>
                <w:b/>
                <w:noProof/>
              </w:rPr>
            </w:pPr>
          </w:p>
        </w:tc>
        <w:tc>
          <w:tcPr>
            <w:tcW w:w="1571" w:type="dxa"/>
            <w:vMerge/>
            <w:vAlign w:val="center"/>
          </w:tcPr>
          <w:p w14:paraId="7DEDD512" w14:textId="77777777" w:rsidR="00F208CE" w:rsidRDefault="00F208CE">
            <w:pPr>
              <w:rPr>
                <w:rFonts w:ascii="Times New Roman" w:eastAsia="Times New Roman" w:hAnsi="Times New Roman"/>
                <w:b/>
                <w:noProof/>
              </w:rPr>
            </w:pPr>
          </w:p>
        </w:tc>
        <w:tc>
          <w:tcPr>
            <w:tcW w:w="555" w:type="dxa"/>
            <w:vMerge/>
            <w:vAlign w:val="center"/>
          </w:tcPr>
          <w:p w14:paraId="28140715" w14:textId="77777777" w:rsidR="00F208CE" w:rsidRDefault="00F208CE">
            <w:pPr>
              <w:rPr>
                <w:rFonts w:ascii="Times New Roman" w:eastAsia="Times New Roman" w:hAnsi="Times New Roman"/>
                <w:b/>
                <w:noProof/>
              </w:rPr>
            </w:pPr>
          </w:p>
        </w:tc>
        <w:tc>
          <w:tcPr>
            <w:tcW w:w="1560" w:type="dxa"/>
            <w:vMerge/>
            <w:vAlign w:val="center"/>
          </w:tcPr>
          <w:p w14:paraId="236067B4" w14:textId="77777777" w:rsidR="00F208CE" w:rsidRDefault="00F208CE">
            <w:pPr>
              <w:rPr>
                <w:rFonts w:ascii="Times New Roman" w:eastAsia="Times New Roman" w:hAnsi="Times New Roman"/>
                <w:b/>
                <w:noProof/>
              </w:rPr>
            </w:pPr>
          </w:p>
        </w:tc>
        <w:tc>
          <w:tcPr>
            <w:tcW w:w="1842" w:type="dxa"/>
            <w:vMerge/>
            <w:vAlign w:val="center"/>
          </w:tcPr>
          <w:p w14:paraId="44772B46" w14:textId="77777777" w:rsidR="00F208CE" w:rsidRDefault="00F208CE">
            <w:pPr>
              <w:rPr>
                <w:rFonts w:ascii="Times New Roman" w:eastAsia="Times New Roman" w:hAnsi="Times New Roman"/>
                <w:b/>
                <w:noProof/>
              </w:rPr>
            </w:pPr>
          </w:p>
        </w:tc>
        <w:tc>
          <w:tcPr>
            <w:tcW w:w="993" w:type="dxa"/>
            <w:shd w:val="clear" w:color="auto" w:fill="BDD7EE"/>
            <w:vAlign w:val="center"/>
          </w:tcPr>
          <w:p w14:paraId="2AC3EFD4" w14:textId="77777777" w:rsidR="00F208CE" w:rsidRDefault="00513E84">
            <w:pPr>
              <w:pStyle w:val="P68B1DB1-Normal7"/>
              <w:jc w:val="center"/>
              <w:rPr>
                <w:rFonts w:eastAsia="Times New Roman"/>
                <w:noProof/>
              </w:rPr>
            </w:pPr>
            <w:r>
              <w:rPr>
                <w:noProof/>
              </w:rPr>
              <w:t>Unidad de medida</w:t>
            </w:r>
          </w:p>
        </w:tc>
        <w:tc>
          <w:tcPr>
            <w:tcW w:w="992" w:type="dxa"/>
            <w:shd w:val="clear" w:color="auto" w:fill="BDD7EE"/>
            <w:vAlign w:val="center"/>
          </w:tcPr>
          <w:p w14:paraId="39D451DC" w14:textId="77777777" w:rsidR="00F208CE" w:rsidRDefault="00513E84">
            <w:pPr>
              <w:pStyle w:val="P68B1DB1-Normal7"/>
              <w:jc w:val="both"/>
              <w:rPr>
                <w:rFonts w:eastAsia="Times New Roman"/>
                <w:noProof/>
              </w:rPr>
            </w:pPr>
            <w:r>
              <w:rPr>
                <w:noProof/>
              </w:rPr>
              <w:t>Basal</w:t>
            </w:r>
          </w:p>
        </w:tc>
        <w:tc>
          <w:tcPr>
            <w:tcW w:w="709" w:type="dxa"/>
            <w:shd w:val="clear" w:color="auto" w:fill="BDD7EE"/>
            <w:vAlign w:val="center"/>
          </w:tcPr>
          <w:p w14:paraId="21554774" w14:textId="77777777" w:rsidR="00F208CE" w:rsidRDefault="00513E84">
            <w:pPr>
              <w:pStyle w:val="P68B1DB1-Normal7"/>
              <w:jc w:val="both"/>
              <w:rPr>
                <w:rFonts w:eastAsia="Times New Roman"/>
                <w:noProof/>
              </w:rPr>
            </w:pPr>
            <w:r>
              <w:rPr>
                <w:noProof/>
              </w:rPr>
              <w:t>Meta</w:t>
            </w:r>
          </w:p>
        </w:tc>
        <w:tc>
          <w:tcPr>
            <w:tcW w:w="992" w:type="dxa"/>
            <w:shd w:val="clear" w:color="auto" w:fill="BDD7EE"/>
            <w:vAlign w:val="center"/>
          </w:tcPr>
          <w:p w14:paraId="5FA30182" w14:textId="77777777" w:rsidR="00F208CE" w:rsidRDefault="00513E84">
            <w:pPr>
              <w:pStyle w:val="P68B1DB1-Normal7"/>
              <w:jc w:val="both"/>
              <w:rPr>
                <w:rFonts w:eastAsia="Times New Roman"/>
                <w:noProof/>
              </w:rPr>
            </w:pPr>
            <w:r>
              <w:rPr>
                <w:noProof/>
              </w:rPr>
              <w:t>Trimestre</w:t>
            </w:r>
          </w:p>
        </w:tc>
        <w:tc>
          <w:tcPr>
            <w:tcW w:w="709" w:type="dxa"/>
            <w:shd w:val="clear" w:color="auto" w:fill="BDD7EE"/>
            <w:vAlign w:val="center"/>
          </w:tcPr>
          <w:p w14:paraId="0B7DC64D" w14:textId="77777777" w:rsidR="00F208CE" w:rsidRDefault="00513E84">
            <w:pPr>
              <w:pStyle w:val="P68B1DB1-Normal7"/>
              <w:jc w:val="both"/>
              <w:rPr>
                <w:rFonts w:eastAsia="Times New Roman"/>
                <w:noProof/>
              </w:rPr>
            </w:pPr>
            <w:r>
              <w:rPr>
                <w:noProof/>
              </w:rPr>
              <w:t>Año</w:t>
            </w:r>
          </w:p>
        </w:tc>
        <w:tc>
          <w:tcPr>
            <w:tcW w:w="3548" w:type="dxa"/>
            <w:vMerge/>
            <w:vAlign w:val="center"/>
          </w:tcPr>
          <w:p w14:paraId="732D24ED" w14:textId="77777777" w:rsidR="00F208CE" w:rsidRDefault="00F208CE">
            <w:pPr>
              <w:rPr>
                <w:rFonts w:ascii="Times New Roman" w:eastAsia="Times New Roman" w:hAnsi="Times New Roman"/>
                <w:b/>
                <w:noProof/>
              </w:rPr>
            </w:pPr>
          </w:p>
        </w:tc>
      </w:tr>
      <w:tr w:rsidR="00F208CE" w14:paraId="615E3649" w14:textId="77777777">
        <w:trPr>
          <w:trHeight w:val="300"/>
        </w:trPr>
        <w:tc>
          <w:tcPr>
            <w:tcW w:w="704" w:type="dxa"/>
            <w:shd w:val="clear" w:color="auto" w:fill="C6EFCE"/>
            <w:vAlign w:val="center"/>
          </w:tcPr>
          <w:p w14:paraId="4D3E94C1" w14:textId="77777777" w:rsidR="00F208CE" w:rsidRDefault="00513E84">
            <w:pPr>
              <w:pStyle w:val="P68B1DB1-Normal8"/>
              <w:jc w:val="center"/>
              <w:rPr>
                <w:rFonts w:eastAsia="Times New Roman"/>
                <w:noProof/>
              </w:rPr>
            </w:pPr>
            <w:r>
              <w:rPr>
                <w:noProof/>
              </w:rPr>
              <w:t>228</w:t>
            </w:r>
          </w:p>
        </w:tc>
        <w:tc>
          <w:tcPr>
            <w:tcW w:w="1571" w:type="dxa"/>
            <w:shd w:val="clear" w:color="auto" w:fill="C6EFCE"/>
            <w:vAlign w:val="center"/>
          </w:tcPr>
          <w:p w14:paraId="74DD8B13" w14:textId="77777777" w:rsidR="00F208CE" w:rsidRDefault="00513E84">
            <w:pPr>
              <w:pStyle w:val="P68B1DB1-Normal8"/>
              <w:rPr>
                <w:rFonts w:eastAsia="Times New Roman"/>
                <w:noProof/>
              </w:rPr>
            </w:pPr>
            <w:r>
              <w:rPr>
                <w:noProof/>
              </w:rPr>
              <w:t>Procedimiento de recurso ante el Consejo de Estado (R-7.02)</w:t>
            </w:r>
          </w:p>
        </w:tc>
        <w:tc>
          <w:tcPr>
            <w:tcW w:w="555" w:type="dxa"/>
            <w:shd w:val="clear" w:color="auto" w:fill="C6EFCE"/>
            <w:vAlign w:val="center"/>
          </w:tcPr>
          <w:p w14:paraId="722D455F"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4DCB35E3" w14:textId="77777777" w:rsidR="00F208CE" w:rsidRDefault="00513E84">
            <w:pPr>
              <w:pStyle w:val="P68B1DB1-Normal8"/>
              <w:spacing w:line="259" w:lineRule="auto"/>
              <w:rPr>
                <w:rFonts w:eastAsia="Times New Roman"/>
                <w:noProof/>
              </w:rPr>
            </w:pPr>
            <w:r>
              <w:rPr>
                <w:noProof/>
              </w:rPr>
              <w:t xml:space="preserve">Entrada en vigor de la legislación </w:t>
            </w:r>
          </w:p>
        </w:tc>
        <w:tc>
          <w:tcPr>
            <w:tcW w:w="1842" w:type="dxa"/>
            <w:shd w:val="clear" w:color="auto" w:fill="C6EFCE"/>
            <w:vAlign w:val="center"/>
          </w:tcPr>
          <w:p w14:paraId="07DF205B" w14:textId="607937B0" w:rsidR="00F208CE" w:rsidRDefault="00513E84">
            <w:pPr>
              <w:pStyle w:val="P68B1DB1-Normal8"/>
              <w:spacing w:line="259" w:lineRule="auto"/>
              <w:rPr>
                <w:rFonts w:eastAsia="Times New Roman"/>
                <w:noProof/>
              </w:rPr>
            </w:pPr>
            <w:r>
              <w:rPr>
                <w:noProof/>
              </w:rPr>
              <w:t xml:space="preserve">Disposición de la ley que indica la entrada en vigor de la ley por la que se acortan los procedimientos para la obtención de permisos de </w:t>
            </w:r>
            <w:r>
              <w:rPr>
                <w:noProof/>
              </w:rPr>
              <w:t>energías renovables</w:t>
            </w:r>
          </w:p>
        </w:tc>
        <w:tc>
          <w:tcPr>
            <w:tcW w:w="993" w:type="dxa"/>
            <w:shd w:val="clear" w:color="auto" w:fill="C6EFCE"/>
            <w:vAlign w:val="center"/>
          </w:tcPr>
          <w:p w14:paraId="15E90333"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272C8196"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71742AF6"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10A1068C"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0C84E0FC" w14:textId="77777777" w:rsidR="00F208CE" w:rsidRDefault="00513E84">
            <w:pPr>
              <w:pStyle w:val="P68B1DB1-Normal8"/>
              <w:jc w:val="center"/>
              <w:rPr>
                <w:rFonts w:eastAsia="Times New Roman"/>
                <w:noProof/>
              </w:rPr>
            </w:pPr>
            <w:r>
              <w:rPr>
                <w:noProof/>
              </w:rPr>
              <w:t>2024</w:t>
            </w:r>
          </w:p>
        </w:tc>
        <w:tc>
          <w:tcPr>
            <w:tcW w:w="3548" w:type="dxa"/>
            <w:shd w:val="clear" w:color="auto" w:fill="C6EFCE"/>
            <w:vAlign w:val="center"/>
          </w:tcPr>
          <w:p w14:paraId="60B7D8E5" w14:textId="08CE34BB" w:rsidR="00F208CE" w:rsidRDefault="00513E84">
            <w:pPr>
              <w:pStyle w:val="P68B1DB1-Normal8"/>
              <w:widowControl w:val="0"/>
              <w:spacing w:after="120"/>
              <w:rPr>
                <w:rFonts w:eastAsia="Times New Roman"/>
                <w:noProof/>
              </w:rPr>
            </w:pPr>
            <w:r>
              <w:rPr>
                <w:noProof/>
              </w:rPr>
              <w:t xml:space="preserve">(1) Entrada en vigor de la Ley de reforma de los procedimientos de recurso contra las resoluciones relativas a instalaciones de energías renovables e inversiones energéticas ante la Sala de lo </w:t>
            </w:r>
            <w:r>
              <w:rPr>
                <w:noProof/>
              </w:rPr>
              <w:t>Contencioso-Administrativo del Consejo de Estado.</w:t>
            </w:r>
          </w:p>
          <w:p w14:paraId="504625DA" w14:textId="77777777" w:rsidR="00F208CE" w:rsidRDefault="00513E84">
            <w:pPr>
              <w:pStyle w:val="P68B1DB1-Normal8"/>
              <w:widowControl w:val="0"/>
              <w:rPr>
                <w:rFonts w:eastAsia="Times New Roman"/>
                <w:noProof/>
              </w:rPr>
            </w:pPr>
            <w:r>
              <w:rPr>
                <w:noProof/>
              </w:rPr>
              <w:t xml:space="preserve">Esta ley tiene por objeto acortar los procedimientos de obtención de permisos de energías renovables, mediante: </w:t>
            </w:r>
          </w:p>
          <w:p w14:paraId="2E26F3CA" w14:textId="77777777" w:rsidR="00F208CE" w:rsidRDefault="00513E84">
            <w:pPr>
              <w:pStyle w:val="P68B1DB1-ListParagraph10"/>
              <w:widowControl w:val="0"/>
              <w:numPr>
                <w:ilvl w:val="0"/>
                <w:numId w:val="39"/>
              </w:numPr>
              <w:rPr>
                <w:rFonts w:eastAsia="Times New Roman"/>
                <w:noProof/>
              </w:rPr>
            </w:pPr>
            <w:r>
              <w:rPr>
                <w:noProof/>
              </w:rPr>
              <w:t xml:space="preserve">la supresión de la orden de intervención provisional, </w:t>
            </w:r>
          </w:p>
          <w:p w14:paraId="27634CD3" w14:textId="77777777" w:rsidR="00F208CE" w:rsidRDefault="00513E84">
            <w:pPr>
              <w:pStyle w:val="P68B1DB1-ListParagraph10"/>
              <w:widowControl w:val="0"/>
              <w:numPr>
                <w:ilvl w:val="0"/>
                <w:numId w:val="39"/>
              </w:numPr>
              <w:rPr>
                <w:rFonts w:eastAsia="Times New Roman"/>
                <w:noProof/>
              </w:rPr>
            </w:pPr>
            <w:r>
              <w:rPr>
                <w:noProof/>
              </w:rPr>
              <w:t>limitar a 6 meses el plazo para que la</w:t>
            </w:r>
            <w:r>
              <w:rPr>
                <w:noProof/>
              </w:rPr>
              <w:t xml:space="preserve"> auditora presente su informe sobre el caso,</w:t>
            </w:r>
          </w:p>
          <w:p w14:paraId="2786F639" w14:textId="77777777" w:rsidR="00F208CE" w:rsidRDefault="00513E84">
            <w:pPr>
              <w:pStyle w:val="P68B1DB1-ListParagraph10"/>
              <w:widowControl w:val="0"/>
              <w:numPr>
                <w:ilvl w:val="0"/>
                <w:numId w:val="39"/>
              </w:numPr>
              <w:rPr>
                <w:rFonts w:eastAsia="Times New Roman"/>
                <w:noProof/>
              </w:rPr>
            </w:pPr>
            <w:r>
              <w:rPr>
                <w:noProof/>
              </w:rPr>
              <w:t xml:space="preserve">modificar los procedimientos de suspensión, </w:t>
            </w:r>
          </w:p>
          <w:p w14:paraId="7FA0ABB0" w14:textId="77777777" w:rsidR="00F208CE" w:rsidRDefault="00513E84">
            <w:pPr>
              <w:pStyle w:val="P68B1DB1-ListParagraph10"/>
              <w:widowControl w:val="0"/>
              <w:numPr>
                <w:ilvl w:val="0"/>
                <w:numId w:val="39"/>
              </w:numPr>
              <w:rPr>
                <w:rFonts w:eastAsia="Times New Roman"/>
                <w:noProof/>
              </w:rPr>
            </w:pPr>
            <w:r>
              <w:rPr>
                <w:noProof/>
              </w:rPr>
              <w:t xml:space="preserve">dar prioridad a los casos de transición energética, </w:t>
            </w:r>
          </w:p>
          <w:p w14:paraId="51E78DFA" w14:textId="77777777" w:rsidR="00F208CE" w:rsidRDefault="00513E84">
            <w:pPr>
              <w:pStyle w:val="P68B1DB1-ListParagraph10"/>
              <w:widowControl w:val="0"/>
              <w:numPr>
                <w:ilvl w:val="0"/>
                <w:numId w:val="39"/>
              </w:numPr>
              <w:rPr>
                <w:rFonts w:eastAsia="Times New Roman"/>
                <w:noProof/>
              </w:rPr>
            </w:pPr>
            <w:r>
              <w:rPr>
                <w:noProof/>
              </w:rPr>
              <w:t xml:space="preserve">reducir el tiempo necesario para tramitar los procedimientos ante la Sección de lo Contencioso-Administrativo y </w:t>
            </w:r>
          </w:p>
          <w:p w14:paraId="3B3E8038" w14:textId="77777777" w:rsidR="00F208CE" w:rsidRDefault="00513E84">
            <w:pPr>
              <w:pStyle w:val="P68B1DB1-ListParagraph10"/>
              <w:widowControl w:val="0"/>
              <w:numPr>
                <w:ilvl w:val="0"/>
                <w:numId w:val="39"/>
              </w:numPr>
              <w:spacing w:after="120"/>
              <w:ind w:left="714" w:hanging="357"/>
              <w:contextualSpacing w:val="0"/>
              <w:rPr>
                <w:rFonts w:eastAsia="Times New Roman"/>
                <w:noProof/>
              </w:rPr>
            </w:pPr>
            <w:r>
              <w:rPr>
                <w:noProof/>
              </w:rPr>
              <w:t>reducir a un máximo de 18 meses el tiempo necesario para tramitar un recurso ordinario de anulación, salvo si se produce un incidente procesal.</w:t>
            </w:r>
          </w:p>
          <w:p w14:paraId="40FF4958" w14:textId="77777777" w:rsidR="00F208CE" w:rsidRDefault="00513E84">
            <w:pPr>
              <w:pStyle w:val="P68B1DB1-Normal8"/>
              <w:widowControl w:val="0"/>
              <w:rPr>
                <w:rFonts w:eastAsia="Times New Roman"/>
                <w:noProof/>
              </w:rPr>
            </w:pPr>
            <w:r>
              <w:rPr>
                <w:noProof/>
              </w:rPr>
              <w:t>(2) Entrada en vigor del Real Decreto que</w:t>
            </w:r>
          </w:p>
          <w:p w14:paraId="1CAD7A5B" w14:textId="77777777" w:rsidR="00F208CE" w:rsidRDefault="00513E84">
            <w:pPr>
              <w:pStyle w:val="P68B1DB1-ListParagraph10"/>
              <w:widowControl w:val="0"/>
              <w:numPr>
                <w:ilvl w:val="0"/>
                <w:numId w:val="38"/>
              </w:numPr>
              <w:rPr>
                <w:rFonts w:eastAsia="Times New Roman"/>
                <w:noProof/>
              </w:rPr>
            </w:pPr>
            <w:r>
              <w:rPr>
                <w:noProof/>
              </w:rPr>
              <w:t>da prioridad a los recursos relativos al despliegue de las energías re</w:t>
            </w:r>
            <w:r>
              <w:rPr>
                <w:noProof/>
              </w:rPr>
              <w:t xml:space="preserve">novables y a los expedientes de transición energética; </w:t>
            </w:r>
          </w:p>
          <w:p w14:paraId="463BB02D" w14:textId="77777777" w:rsidR="00F208CE" w:rsidRDefault="00513E84">
            <w:pPr>
              <w:pStyle w:val="P68B1DB1-ListParagraph10"/>
              <w:widowControl w:val="0"/>
              <w:numPr>
                <w:ilvl w:val="0"/>
                <w:numId w:val="38"/>
              </w:numPr>
              <w:ind w:left="714" w:hanging="357"/>
              <w:rPr>
                <w:rFonts w:eastAsia="Times New Roman"/>
                <w:noProof/>
              </w:rPr>
            </w:pPr>
            <w:r>
              <w:rPr>
                <w:noProof/>
              </w:rPr>
              <w:t>establece claramente las opciones prioritarias para la tramitación de casos, la organización interna y el refuerzo de cámaras o secciones para garantizar un tratamiento más rápido de los procedimiento</w:t>
            </w:r>
            <w:r>
              <w:rPr>
                <w:noProof/>
              </w:rPr>
              <w:t xml:space="preserve">s para tratar los casos de transición energética, </w:t>
            </w:r>
          </w:p>
          <w:p w14:paraId="7AE2943F" w14:textId="77777777" w:rsidR="00F208CE" w:rsidRDefault="00513E84">
            <w:pPr>
              <w:pStyle w:val="P68B1DB1-ListParagraph10"/>
              <w:widowControl w:val="0"/>
              <w:numPr>
                <w:ilvl w:val="0"/>
                <w:numId w:val="38"/>
              </w:numPr>
              <w:ind w:left="714" w:hanging="357"/>
              <w:rPr>
                <w:rFonts w:eastAsia="Times New Roman"/>
                <w:noProof/>
              </w:rPr>
            </w:pPr>
            <w:r>
              <w:rPr>
                <w:noProof/>
              </w:rPr>
              <w:t>reduce el tiempo necesario para tramitar los recursos en estos casos a 15 meses (excepto en caso de incidentes procesales).</w:t>
            </w:r>
          </w:p>
        </w:tc>
      </w:tr>
      <w:tr w:rsidR="00F208CE" w14:paraId="3DD9AA8C" w14:textId="77777777">
        <w:trPr>
          <w:trHeight w:val="660"/>
        </w:trPr>
        <w:tc>
          <w:tcPr>
            <w:tcW w:w="704" w:type="dxa"/>
            <w:shd w:val="clear" w:color="auto" w:fill="C6EFCE"/>
            <w:vAlign w:val="center"/>
          </w:tcPr>
          <w:p w14:paraId="76558308" w14:textId="77777777" w:rsidR="00F208CE" w:rsidRDefault="00513E84">
            <w:pPr>
              <w:pStyle w:val="P68B1DB1-Normal8"/>
              <w:jc w:val="center"/>
              <w:rPr>
                <w:rFonts w:eastAsia="Times New Roman"/>
                <w:noProof/>
              </w:rPr>
            </w:pPr>
            <w:r>
              <w:rPr>
                <w:noProof/>
              </w:rPr>
              <w:t>229</w:t>
            </w:r>
          </w:p>
        </w:tc>
        <w:tc>
          <w:tcPr>
            <w:tcW w:w="1571" w:type="dxa"/>
            <w:shd w:val="clear" w:color="auto" w:fill="C6EFCE"/>
            <w:vAlign w:val="center"/>
          </w:tcPr>
          <w:p w14:paraId="4990B50E" w14:textId="77777777" w:rsidR="00F208CE" w:rsidRDefault="00513E84">
            <w:pPr>
              <w:pStyle w:val="P68B1DB1-Normal8"/>
              <w:rPr>
                <w:rFonts w:eastAsia="Times New Roman"/>
                <w:noProof/>
              </w:rPr>
            </w:pPr>
            <w:r>
              <w:rPr>
                <w:noProof/>
              </w:rPr>
              <w:t>Obligación de los grandes consumidores (R-7.03)</w:t>
            </w:r>
          </w:p>
        </w:tc>
        <w:tc>
          <w:tcPr>
            <w:tcW w:w="555" w:type="dxa"/>
            <w:shd w:val="clear" w:color="auto" w:fill="C6EFCE"/>
            <w:vAlign w:val="center"/>
          </w:tcPr>
          <w:p w14:paraId="4F7EAA55"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49596D53" w14:textId="77777777" w:rsidR="00F208CE" w:rsidRDefault="00513E84">
            <w:pPr>
              <w:pStyle w:val="P68B1DB1-Normal8"/>
              <w:rPr>
                <w:rFonts w:eastAsia="Times New Roman"/>
                <w:noProof/>
              </w:rPr>
            </w:pPr>
            <w:r>
              <w:rPr>
                <w:noProof/>
              </w:rPr>
              <w:t xml:space="preserve">Entrada en vigor de la </w:t>
            </w:r>
            <w:r>
              <w:rPr>
                <w:noProof/>
              </w:rPr>
              <w:t>legislación</w:t>
            </w:r>
          </w:p>
        </w:tc>
        <w:tc>
          <w:tcPr>
            <w:tcW w:w="1842" w:type="dxa"/>
            <w:shd w:val="clear" w:color="auto" w:fill="C6EFCE"/>
            <w:vAlign w:val="center"/>
          </w:tcPr>
          <w:p w14:paraId="06C3D8F4" w14:textId="77777777" w:rsidR="00F208CE" w:rsidRDefault="00513E84">
            <w:pPr>
              <w:pStyle w:val="P68B1DB1-Normal8"/>
              <w:spacing w:line="259" w:lineRule="auto"/>
              <w:rPr>
                <w:rFonts w:eastAsia="Times New Roman"/>
                <w:noProof/>
              </w:rPr>
            </w:pPr>
            <w:r>
              <w:rPr>
                <w:noProof/>
              </w:rPr>
              <w:t>Disposición del acto jurídico que indica la entrada en vigor de disposiciones que introducen la obligación de instalar paneles solares para determinados edificios</w:t>
            </w:r>
          </w:p>
        </w:tc>
        <w:tc>
          <w:tcPr>
            <w:tcW w:w="993" w:type="dxa"/>
            <w:shd w:val="clear" w:color="auto" w:fill="C6EFCE"/>
            <w:vAlign w:val="center"/>
          </w:tcPr>
          <w:p w14:paraId="2266CD47"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5CDDDEF4"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46BF1F64"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2D24169F"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5C849CB0" w14:textId="7963B61B" w:rsidR="00F208CE" w:rsidRDefault="00513E84">
            <w:pPr>
              <w:pStyle w:val="P68B1DB1-Normal8"/>
              <w:jc w:val="center"/>
              <w:rPr>
                <w:rFonts w:eastAsia="Times New Roman"/>
                <w:noProof/>
              </w:rPr>
            </w:pPr>
            <w:r>
              <w:rPr>
                <w:noProof/>
              </w:rPr>
              <w:t>2023</w:t>
            </w:r>
          </w:p>
        </w:tc>
        <w:tc>
          <w:tcPr>
            <w:tcW w:w="3548" w:type="dxa"/>
            <w:shd w:val="clear" w:color="auto" w:fill="C6EFCE"/>
            <w:vAlign w:val="center"/>
          </w:tcPr>
          <w:p w14:paraId="667BFE5A" w14:textId="77777777" w:rsidR="00F208CE" w:rsidRDefault="00513E84">
            <w:pPr>
              <w:pStyle w:val="P68B1DB1-Normal13"/>
              <w:rPr>
                <w:rFonts w:eastAsia="Times New Roman"/>
                <w:noProof/>
                <w:color w:val="006100"/>
              </w:rPr>
            </w:pPr>
            <w:r>
              <w:rPr>
                <w:noProof/>
                <w:color w:val="006100"/>
              </w:rPr>
              <w:t xml:space="preserve">Entrada en vigor del Decreto por el que se establece </w:t>
            </w:r>
            <w:r>
              <w:rPr>
                <w:noProof/>
                <w:color w:val="006100"/>
              </w:rPr>
              <w:t xml:space="preserve">la obligación de instalar paneles solares fotovoltaicos para: (1) edificios situados en Flandes conectados a puntos de retirada de electricidad en los que, a partir del año natural 2021, se produzca una salida de más de 1 GWh al año y (2) los edificios de </w:t>
            </w:r>
            <w:r>
              <w:rPr>
                <w:noProof/>
                <w:color w:val="006100"/>
              </w:rPr>
              <w:t>organismos públicos situados en Flandes que estén conectados a puntos de salida de electricidad en los que, a partir del año natural 2021, se produzca una salida de más de 250 MWh al año.</w:t>
            </w:r>
          </w:p>
        </w:tc>
      </w:tr>
      <w:tr w:rsidR="00F208CE" w14:paraId="1E7A4249" w14:textId="77777777">
        <w:trPr>
          <w:trHeight w:val="660"/>
        </w:trPr>
        <w:tc>
          <w:tcPr>
            <w:tcW w:w="704" w:type="dxa"/>
            <w:shd w:val="clear" w:color="auto" w:fill="C6EFCE"/>
            <w:vAlign w:val="center"/>
          </w:tcPr>
          <w:p w14:paraId="62708D41" w14:textId="77777777" w:rsidR="00F208CE" w:rsidRDefault="00513E84">
            <w:pPr>
              <w:pStyle w:val="P68B1DB1-Normal8"/>
              <w:jc w:val="center"/>
              <w:rPr>
                <w:rFonts w:eastAsia="Times New Roman"/>
                <w:noProof/>
              </w:rPr>
            </w:pPr>
            <w:r>
              <w:rPr>
                <w:noProof/>
              </w:rPr>
              <w:t>230</w:t>
            </w:r>
          </w:p>
        </w:tc>
        <w:tc>
          <w:tcPr>
            <w:tcW w:w="1571" w:type="dxa"/>
            <w:shd w:val="clear" w:color="auto" w:fill="C6EFCE"/>
            <w:vAlign w:val="center"/>
          </w:tcPr>
          <w:p w14:paraId="12E7F2FF" w14:textId="77777777" w:rsidR="00F208CE" w:rsidRDefault="00513E84">
            <w:pPr>
              <w:pStyle w:val="P68B1DB1-Normal8"/>
              <w:rPr>
                <w:rFonts w:eastAsia="Times New Roman"/>
                <w:noProof/>
              </w:rPr>
            </w:pPr>
            <w:r>
              <w:rPr>
                <w:noProof/>
              </w:rPr>
              <w:t>Aceleración de la transición energética (R-7.04)</w:t>
            </w:r>
          </w:p>
        </w:tc>
        <w:tc>
          <w:tcPr>
            <w:tcW w:w="555" w:type="dxa"/>
            <w:shd w:val="clear" w:color="auto" w:fill="C6EFCE"/>
            <w:vAlign w:val="center"/>
          </w:tcPr>
          <w:p w14:paraId="6761E831"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32158B8D" w14:textId="77777777" w:rsidR="00F208CE" w:rsidRDefault="00513E84">
            <w:pPr>
              <w:pStyle w:val="P68B1DB1-Normal8"/>
              <w:rPr>
                <w:rFonts w:eastAsia="Times New Roman"/>
                <w:noProof/>
              </w:rPr>
            </w:pPr>
            <w:r>
              <w:rPr>
                <w:noProof/>
              </w:rPr>
              <w:t xml:space="preserve">Entrada en </w:t>
            </w:r>
            <w:r>
              <w:rPr>
                <w:noProof/>
              </w:rPr>
              <w:t>vigor de la legislación</w:t>
            </w:r>
          </w:p>
        </w:tc>
        <w:tc>
          <w:tcPr>
            <w:tcW w:w="1842" w:type="dxa"/>
            <w:shd w:val="clear" w:color="auto" w:fill="C6EFCE"/>
            <w:vAlign w:val="center"/>
          </w:tcPr>
          <w:p w14:paraId="7F975B56" w14:textId="2BB904D5" w:rsidR="00F208CE" w:rsidRDefault="00513E84">
            <w:pPr>
              <w:pStyle w:val="P68B1DB1-Normal8"/>
              <w:rPr>
                <w:rFonts w:eastAsia="Times New Roman"/>
                <w:noProof/>
              </w:rPr>
            </w:pPr>
            <w:r>
              <w:rPr>
                <w:noProof/>
              </w:rPr>
              <w:t>Disposición de la ley que indica la entrada en vigor de las disposiciones por las que se revisan la Ley de conservación de la naturaleza y el marco de referencia de la energía eólica revisado</w:t>
            </w:r>
          </w:p>
        </w:tc>
        <w:tc>
          <w:tcPr>
            <w:tcW w:w="993" w:type="dxa"/>
            <w:shd w:val="clear" w:color="auto" w:fill="C6EFCE"/>
            <w:vAlign w:val="center"/>
          </w:tcPr>
          <w:p w14:paraId="6C97FE81"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1E0B9C44"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3E76AADB"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69855857" w14:textId="77777777" w:rsidR="00F208CE" w:rsidRDefault="00513E84">
            <w:pPr>
              <w:pStyle w:val="P68B1DB1-Normal8"/>
              <w:jc w:val="center"/>
              <w:rPr>
                <w:rFonts w:eastAsia="Times New Roman"/>
                <w:noProof/>
              </w:rPr>
            </w:pPr>
            <w:r>
              <w:rPr>
                <w:noProof/>
              </w:rPr>
              <w:t>TERCER TRIMESTRE 4</w:t>
            </w:r>
          </w:p>
        </w:tc>
        <w:tc>
          <w:tcPr>
            <w:tcW w:w="709" w:type="dxa"/>
            <w:shd w:val="clear" w:color="auto" w:fill="C6EFCE"/>
            <w:vAlign w:val="center"/>
          </w:tcPr>
          <w:p w14:paraId="3B9AF811" w14:textId="77777777" w:rsidR="00F208CE" w:rsidRDefault="00513E84">
            <w:pPr>
              <w:pStyle w:val="P68B1DB1-Normal8"/>
              <w:jc w:val="center"/>
              <w:rPr>
                <w:rFonts w:eastAsia="Times New Roman"/>
                <w:noProof/>
              </w:rPr>
            </w:pPr>
            <w:r>
              <w:rPr>
                <w:noProof/>
              </w:rPr>
              <w:t>2024</w:t>
            </w:r>
          </w:p>
        </w:tc>
        <w:tc>
          <w:tcPr>
            <w:tcW w:w="3548" w:type="dxa"/>
            <w:shd w:val="clear" w:color="auto" w:fill="C6EFCE"/>
            <w:vAlign w:val="center"/>
          </w:tcPr>
          <w:p w14:paraId="432B84AF" w14:textId="77777777" w:rsidR="00F208CE" w:rsidRDefault="00513E84">
            <w:pPr>
              <w:pStyle w:val="P68B1DB1-Normal8"/>
              <w:spacing w:after="120"/>
              <w:rPr>
                <w:rFonts w:eastAsia="Times New Roman"/>
                <w:noProof/>
              </w:rPr>
            </w:pPr>
            <w:r>
              <w:rPr>
                <w:noProof/>
              </w:rPr>
              <w:t>(1) Entrada en vigor de la reforma de la Ley de Conservación de la Naturaleza, que simplifica los procedimientos de evaluación del impacto de los proyectos de instalaciones de generación de electricidad a partir de fuentes renovables en la biodiversidad en</w:t>
            </w:r>
            <w:r>
              <w:rPr>
                <w:noProof/>
              </w:rPr>
              <w:t xml:space="preserve"> zonas que se definirán como «zonas de aceleración renovable».</w:t>
            </w:r>
          </w:p>
          <w:p w14:paraId="778E059D" w14:textId="3BAB6A5A" w:rsidR="00F208CE" w:rsidRDefault="00513E84">
            <w:pPr>
              <w:pStyle w:val="P68B1DB1-paragraph33"/>
              <w:spacing w:before="0" w:beforeAutospacing="0" w:after="120" w:afterAutospacing="0"/>
              <w:jc w:val="both"/>
              <w:textAlignment w:val="baseline"/>
              <w:rPr>
                <w:noProof/>
              </w:rPr>
            </w:pPr>
            <w:r>
              <w:rPr>
                <w:noProof/>
              </w:rPr>
              <w:t>(</w:t>
            </w:r>
            <w:r>
              <w:rPr>
                <w:noProof/>
                <w:sz w:val="22"/>
              </w:rPr>
              <w:t>2) Entrada en vigor del marco de referencia de la energía eólica revisado, con vistas a consagrar el interés público superior en las energías renovables; adaptar la distancia de los mástiles a</w:t>
            </w:r>
            <w:r>
              <w:rPr>
                <w:noProof/>
                <w:sz w:val="22"/>
              </w:rPr>
              <w:t xml:space="preserve"> los hábitats, modulando la obligación de instalar un número mínimo de mástiles; adaptar las ambiciones de las instalaciones de energías renovables a las mejores tecnologías disponibles.</w:t>
            </w:r>
          </w:p>
        </w:tc>
      </w:tr>
      <w:tr w:rsidR="00F208CE" w14:paraId="549466D9" w14:textId="77777777">
        <w:trPr>
          <w:trHeight w:val="3420"/>
        </w:trPr>
        <w:tc>
          <w:tcPr>
            <w:tcW w:w="704" w:type="dxa"/>
            <w:shd w:val="clear" w:color="auto" w:fill="C6EFCE"/>
            <w:vAlign w:val="center"/>
          </w:tcPr>
          <w:p w14:paraId="534DB3E0" w14:textId="77777777" w:rsidR="00F208CE" w:rsidRDefault="00513E84">
            <w:pPr>
              <w:pStyle w:val="P68B1DB1-Normal8"/>
              <w:jc w:val="center"/>
              <w:rPr>
                <w:rFonts w:eastAsia="Times New Roman"/>
                <w:noProof/>
              </w:rPr>
            </w:pPr>
            <w:r>
              <w:rPr>
                <w:noProof/>
              </w:rPr>
              <w:t>231</w:t>
            </w:r>
          </w:p>
        </w:tc>
        <w:tc>
          <w:tcPr>
            <w:tcW w:w="1571" w:type="dxa"/>
            <w:shd w:val="clear" w:color="auto" w:fill="C6EFCE"/>
            <w:vAlign w:val="center"/>
          </w:tcPr>
          <w:p w14:paraId="66FA6B8B" w14:textId="77777777" w:rsidR="00F208CE" w:rsidRDefault="00513E84">
            <w:pPr>
              <w:pStyle w:val="P68B1DB1-Normal8"/>
              <w:rPr>
                <w:rFonts w:eastAsia="Times New Roman"/>
                <w:noProof/>
              </w:rPr>
            </w:pPr>
            <w:r>
              <w:rPr>
                <w:noProof/>
              </w:rPr>
              <w:t>Aceleración de la transición energética (R-7.04)</w:t>
            </w:r>
          </w:p>
        </w:tc>
        <w:tc>
          <w:tcPr>
            <w:tcW w:w="555" w:type="dxa"/>
            <w:shd w:val="clear" w:color="auto" w:fill="C6EFCE"/>
            <w:vAlign w:val="center"/>
          </w:tcPr>
          <w:p w14:paraId="2FFCA52A"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0A5904CB" w14:textId="77777777" w:rsidR="00F208CE" w:rsidRDefault="00513E84">
            <w:pPr>
              <w:pStyle w:val="P68B1DB1-Normal8"/>
              <w:rPr>
                <w:rFonts w:eastAsia="Times New Roman"/>
                <w:noProof/>
              </w:rPr>
            </w:pPr>
            <w:r>
              <w:rPr>
                <w:noProof/>
              </w:rPr>
              <w:t xml:space="preserve">Entrada en </w:t>
            </w:r>
            <w:r>
              <w:rPr>
                <w:noProof/>
              </w:rPr>
              <w:t>vigor de la legislación</w:t>
            </w:r>
          </w:p>
        </w:tc>
        <w:tc>
          <w:tcPr>
            <w:tcW w:w="1842" w:type="dxa"/>
            <w:shd w:val="clear" w:color="auto" w:fill="C6EFCE"/>
            <w:vAlign w:val="center"/>
          </w:tcPr>
          <w:p w14:paraId="14198CA2" w14:textId="084084FA" w:rsidR="00F208CE" w:rsidRDefault="00513E84">
            <w:pPr>
              <w:pStyle w:val="P68B1DB1-Normal8"/>
              <w:rPr>
                <w:rFonts w:eastAsia="Times New Roman"/>
                <w:noProof/>
              </w:rPr>
            </w:pPr>
            <w:r>
              <w:rPr>
                <w:noProof/>
              </w:rPr>
              <w:t>Disposición de la ley que indica la entrada en vigor de disposiciones que prohíben el carbón y el fuelóleo para calefacción</w:t>
            </w:r>
          </w:p>
        </w:tc>
        <w:tc>
          <w:tcPr>
            <w:tcW w:w="993" w:type="dxa"/>
            <w:shd w:val="clear" w:color="auto" w:fill="C6EFCE"/>
            <w:vAlign w:val="center"/>
          </w:tcPr>
          <w:p w14:paraId="3334CEC3"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0BECD341"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177111DF"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67C766C2"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67BE1D01" w14:textId="77777777" w:rsidR="00F208CE" w:rsidRDefault="00513E84">
            <w:pPr>
              <w:pStyle w:val="P68B1DB1-Normal8"/>
              <w:jc w:val="center"/>
              <w:rPr>
                <w:rFonts w:eastAsia="Times New Roman"/>
                <w:noProof/>
              </w:rPr>
            </w:pPr>
            <w:r>
              <w:rPr>
                <w:noProof/>
              </w:rPr>
              <w:t>2025</w:t>
            </w:r>
          </w:p>
        </w:tc>
        <w:tc>
          <w:tcPr>
            <w:tcW w:w="3548" w:type="dxa"/>
            <w:shd w:val="clear" w:color="auto" w:fill="C6EFCE"/>
            <w:vAlign w:val="center"/>
          </w:tcPr>
          <w:p w14:paraId="036BAB39" w14:textId="7FF4E522" w:rsidR="00F208CE" w:rsidRDefault="00513E84">
            <w:pPr>
              <w:pStyle w:val="P68B1DB1-Normal8"/>
              <w:rPr>
                <w:rFonts w:eastAsia="Times New Roman"/>
                <w:noProof/>
              </w:rPr>
            </w:pPr>
            <w:r>
              <w:rPr>
                <w:noProof/>
              </w:rPr>
              <w:t xml:space="preserve">Entrada en vigor de la revisión del decreto del Gobierno valón relativo a la </w:t>
            </w:r>
            <w:r>
              <w:rPr>
                <w:noProof/>
              </w:rPr>
              <w:t>eficiencia energética de los edificios, que prohíbe el carbón y el fuelóleo para calefacción y agua caliente sanitaria en los edificios nuevos a partir del 1 de marzo de 2025 y en los edificios existentes a partir del 1 de enero de 2026.</w:t>
            </w:r>
          </w:p>
        </w:tc>
      </w:tr>
      <w:tr w:rsidR="00F208CE" w14:paraId="3BBFDF7C" w14:textId="77777777">
        <w:trPr>
          <w:trHeight w:val="660"/>
        </w:trPr>
        <w:tc>
          <w:tcPr>
            <w:tcW w:w="704" w:type="dxa"/>
            <w:shd w:val="clear" w:color="auto" w:fill="C6EFCE"/>
            <w:vAlign w:val="center"/>
          </w:tcPr>
          <w:p w14:paraId="5C3A7510" w14:textId="77777777" w:rsidR="00F208CE" w:rsidRDefault="00513E84">
            <w:pPr>
              <w:pStyle w:val="P68B1DB1-Normal8"/>
              <w:jc w:val="center"/>
              <w:rPr>
                <w:rFonts w:eastAsia="Times New Roman"/>
                <w:noProof/>
              </w:rPr>
            </w:pPr>
            <w:r>
              <w:rPr>
                <w:noProof/>
              </w:rPr>
              <w:t>232</w:t>
            </w:r>
          </w:p>
        </w:tc>
        <w:tc>
          <w:tcPr>
            <w:tcW w:w="1571" w:type="dxa"/>
            <w:shd w:val="clear" w:color="auto" w:fill="C6EFCE"/>
            <w:vAlign w:val="center"/>
          </w:tcPr>
          <w:p w14:paraId="49A9C5AC" w14:textId="77777777" w:rsidR="00F208CE" w:rsidRDefault="00513E84">
            <w:pPr>
              <w:pStyle w:val="P68B1DB1-Normal8"/>
              <w:rPr>
                <w:rFonts w:eastAsia="Times New Roman"/>
                <w:noProof/>
              </w:rPr>
            </w:pPr>
            <w:r>
              <w:rPr>
                <w:noProof/>
              </w:rPr>
              <w:t xml:space="preserve">Solar </w:t>
            </w:r>
            <w:r>
              <w:rPr>
                <w:noProof/>
              </w:rPr>
              <w:t>flotante (I-7.16)</w:t>
            </w:r>
          </w:p>
        </w:tc>
        <w:tc>
          <w:tcPr>
            <w:tcW w:w="555" w:type="dxa"/>
            <w:shd w:val="clear" w:color="auto" w:fill="C6EFCE"/>
            <w:vAlign w:val="center"/>
          </w:tcPr>
          <w:p w14:paraId="11112FAE"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5B5ED1AB" w14:textId="77777777" w:rsidR="00F208CE" w:rsidRDefault="00513E84">
            <w:pPr>
              <w:pStyle w:val="P68B1DB1-Normal8"/>
              <w:rPr>
                <w:rFonts w:eastAsia="Times New Roman"/>
                <w:noProof/>
              </w:rPr>
            </w:pPr>
            <w:r>
              <w:rPr>
                <w:noProof/>
              </w:rPr>
              <w:t>Demostrador a escala completa operativo</w:t>
            </w:r>
          </w:p>
        </w:tc>
        <w:tc>
          <w:tcPr>
            <w:tcW w:w="1842" w:type="dxa"/>
            <w:shd w:val="clear" w:color="auto" w:fill="C6EFCE"/>
            <w:vAlign w:val="center"/>
          </w:tcPr>
          <w:p w14:paraId="5F9E7472" w14:textId="77777777" w:rsidR="00F208CE" w:rsidRDefault="00513E84">
            <w:pPr>
              <w:pStyle w:val="P68B1DB1-Normal8"/>
              <w:rPr>
                <w:rFonts w:eastAsia="Times New Roman"/>
                <w:noProof/>
              </w:rPr>
            </w:pPr>
            <w:r>
              <w:rPr>
                <w:noProof/>
              </w:rPr>
              <w:t>Instalación y puesta en funcionamiento</w:t>
            </w:r>
          </w:p>
        </w:tc>
        <w:tc>
          <w:tcPr>
            <w:tcW w:w="993" w:type="dxa"/>
            <w:shd w:val="clear" w:color="auto" w:fill="C6EFCE"/>
            <w:vAlign w:val="center"/>
          </w:tcPr>
          <w:p w14:paraId="5CE625C2"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04437658"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2B1FD2E8"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7EEAC5F3" w14:textId="77777777" w:rsidR="00F208CE" w:rsidRDefault="00513E84">
            <w:pPr>
              <w:pStyle w:val="P68B1DB1-Normal8"/>
              <w:jc w:val="center"/>
              <w:rPr>
                <w:rFonts w:eastAsia="Times New Roman"/>
                <w:noProof/>
              </w:rPr>
            </w:pPr>
            <w:r>
              <w:rPr>
                <w:noProof/>
              </w:rPr>
              <w:t>TERCER TRIMESTRE 4</w:t>
            </w:r>
          </w:p>
        </w:tc>
        <w:tc>
          <w:tcPr>
            <w:tcW w:w="709" w:type="dxa"/>
            <w:shd w:val="clear" w:color="auto" w:fill="C6EFCE"/>
            <w:vAlign w:val="center"/>
          </w:tcPr>
          <w:p w14:paraId="0FB8F9E9" w14:textId="77777777" w:rsidR="00F208CE" w:rsidRDefault="00513E84">
            <w:pPr>
              <w:pStyle w:val="P68B1DB1-Normal8"/>
              <w:jc w:val="center"/>
              <w:rPr>
                <w:rFonts w:eastAsia="Times New Roman"/>
                <w:noProof/>
              </w:rPr>
            </w:pPr>
            <w:r>
              <w:rPr>
                <w:noProof/>
              </w:rPr>
              <w:t>2025</w:t>
            </w:r>
          </w:p>
        </w:tc>
        <w:tc>
          <w:tcPr>
            <w:tcW w:w="3548" w:type="dxa"/>
            <w:shd w:val="clear" w:color="auto" w:fill="C6EFCE"/>
            <w:vAlign w:val="center"/>
          </w:tcPr>
          <w:p w14:paraId="46581239" w14:textId="77777777" w:rsidR="00F208CE" w:rsidRDefault="00513E84">
            <w:pPr>
              <w:pStyle w:val="P68B1DB1-Normal8"/>
              <w:rPr>
                <w:rFonts w:eastAsia="Times New Roman"/>
                <w:noProof/>
              </w:rPr>
            </w:pPr>
            <w:r>
              <w:rPr>
                <w:noProof/>
              </w:rPr>
              <w:t>Demostrador de paneles solares flotantes a escala completa instalado y operativo con una capacidad de entre 1 y 5 MW.</w:t>
            </w:r>
          </w:p>
        </w:tc>
      </w:tr>
      <w:tr w:rsidR="00F208CE" w14:paraId="40DE8D49" w14:textId="77777777">
        <w:trPr>
          <w:trHeight w:val="660"/>
        </w:trPr>
        <w:tc>
          <w:tcPr>
            <w:tcW w:w="704" w:type="dxa"/>
            <w:shd w:val="clear" w:color="auto" w:fill="C6EFCE"/>
            <w:vAlign w:val="center"/>
          </w:tcPr>
          <w:p w14:paraId="4AED7C86" w14:textId="77777777" w:rsidR="00F208CE" w:rsidRDefault="00513E84">
            <w:pPr>
              <w:pStyle w:val="P68B1DB1-Normal8"/>
              <w:jc w:val="center"/>
              <w:rPr>
                <w:rFonts w:eastAsia="Times New Roman"/>
                <w:noProof/>
              </w:rPr>
            </w:pPr>
            <w:r>
              <w:rPr>
                <w:noProof/>
              </w:rPr>
              <w:t>233</w:t>
            </w:r>
          </w:p>
        </w:tc>
        <w:tc>
          <w:tcPr>
            <w:tcW w:w="1571" w:type="dxa"/>
            <w:shd w:val="clear" w:color="auto" w:fill="C6EFCE"/>
            <w:vAlign w:val="center"/>
          </w:tcPr>
          <w:p w14:paraId="13CF10C7" w14:textId="77777777" w:rsidR="00F208CE" w:rsidRDefault="00513E84">
            <w:pPr>
              <w:pStyle w:val="P68B1DB1-Normal8"/>
              <w:rPr>
                <w:rFonts w:eastAsia="Times New Roman"/>
                <w:noProof/>
              </w:rPr>
            </w:pPr>
            <w:r>
              <w:rPr>
                <w:noProof/>
              </w:rPr>
              <w:t>Optimización de la distribución de energía (I-7.17)</w:t>
            </w:r>
          </w:p>
        </w:tc>
        <w:tc>
          <w:tcPr>
            <w:tcW w:w="555" w:type="dxa"/>
            <w:shd w:val="clear" w:color="auto" w:fill="C6EFCE"/>
            <w:vAlign w:val="center"/>
          </w:tcPr>
          <w:p w14:paraId="09C34B95"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243749D4" w14:textId="77777777" w:rsidR="00F208CE" w:rsidRDefault="00513E84">
            <w:pPr>
              <w:pStyle w:val="P68B1DB1-Normal8"/>
              <w:spacing w:line="259" w:lineRule="auto"/>
              <w:rPr>
                <w:rFonts w:eastAsia="Times New Roman"/>
                <w:noProof/>
              </w:rPr>
            </w:pPr>
            <w:r>
              <w:rPr>
                <w:noProof/>
              </w:rPr>
              <w:t>Concesión de subvenciones a los dos principales operadores de redes eléctricas de la Región Valona</w:t>
            </w:r>
          </w:p>
        </w:tc>
        <w:tc>
          <w:tcPr>
            <w:tcW w:w="1842" w:type="dxa"/>
            <w:shd w:val="clear" w:color="auto" w:fill="C6EFCE"/>
            <w:vAlign w:val="center"/>
          </w:tcPr>
          <w:p w14:paraId="7818146B" w14:textId="77777777" w:rsidR="00F208CE" w:rsidRDefault="00513E84">
            <w:pPr>
              <w:pStyle w:val="P68B1DB1-Normal8"/>
              <w:spacing w:line="259" w:lineRule="auto"/>
              <w:rPr>
                <w:rFonts w:eastAsia="Times New Roman"/>
                <w:noProof/>
              </w:rPr>
            </w:pPr>
            <w:r>
              <w:rPr>
                <w:noProof/>
              </w:rPr>
              <w:t>Notificación escrita de las subvenciones concedidas por el Gobierno valón</w:t>
            </w:r>
          </w:p>
        </w:tc>
        <w:tc>
          <w:tcPr>
            <w:tcW w:w="993" w:type="dxa"/>
            <w:shd w:val="clear" w:color="auto" w:fill="C6EFCE"/>
            <w:vAlign w:val="center"/>
          </w:tcPr>
          <w:p w14:paraId="4ED434DF"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3DFD2D59"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34C17D1C"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7DE96379" w14:textId="4E71A6E0" w:rsidR="00F208CE" w:rsidRDefault="00513E84">
            <w:pPr>
              <w:pStyle w:val="P68B1DB1-Normal8"/>
              <w:jc w:val="center"/>
              <w:rPr>
                <w:rFonts w:eastAsia="Times New Roman"/>
                <w:noProof/>
              </w:rPr>
            </w:pPr>
            <w:r>
              <w:rPr>
                <w:noProof/>
              </w:rPr>
              <w:t>TERCER TRIMESTRE 1</w:t>
            </w:r>
          </w:p>
        </w:tc>
        <w:tc>
          <w:tcPr>
            <w:tcW w:w="709" w:type="dxa"/>
            <w:shd w:val="clear" w:color="auto" w:fill="C6EFCE"/>
            <w:vAlign w:val="center"/>
          </w:tcPr>
          <w:p w14:paraId="7D9A2405" w14:textId="4077C3DD" w:rsidR="00F208CE" w:rsidRDefault="00513E84">
            <w:pPr>
              <w:pStyle w:val="P68B1DB1-Normal8"/>
              <w:jc w:val="center"/>
              <w:rPr>
                <w:rFonts w:eastAsia="Times New Roman"/>
                <w:noProof/>
              </w:rPr>
            </w:pPr>
            <w:r>
              <w:rPr>
                <w:noProof/>
              </w:rPr>
              <w:t>2024</w:t>
            </w:r>
          </w:p>
        </w:tc>
        <w:tc>
          <w:tcPr>
            <w:tcW w:w="3548" w:type="dxa"/>
            <w:shd w:val="clear" w:color="auto" w:fill="C6EFCE"/>
            <w:vAlign w:val="center"/>
          </w:tcPr>
          <w:p w14:paraId="1D64D8D1" w14:textId="73292CD6" w:rsidR="00F208CE" w:rsidRDefault="00513E84">
            <w:pPr>
              <w:pStyle w:val="P68B1DB1-Text134"/>
              <w:ind w:left="0"/>
              <w:jc w:val="left"/>
              <w:rPr>
                <w:rFonts w:eastAsia="Times New Roman"/>
                <w:noProof/>
              </w:rPr>
            </w:pPr>
            <w:r>
              <w:rPr>
                <w:noProof/>
                <w:sz w:val="22"/>
              </w:rPr>
              <w:t>Concesión de subvenciones a</w:t>
            </w:r>
            <w:r>
              <w:rPr>
                <w:noProof/>
              </w:rPr>
              <w:t xml:space="preserve"> </w:t>
            </w:r>
            <w:r>
              <w:rPr>
                <w:noProof/>
                <w:sz w:val="22"/>
              </w:rPr>
              <w:t>los dos principales operadores de redes eléctricas de la Región Valona (proporcionales a su cuota en el número total de usuarios de la red) con vistas a la instalación de contadores inteligentes, el despliegue de soluciones info</w:t>
            </w:r>
            <w:r>
              <w:rPr>
                <w:noProof/>
                <w:sz w:val="22"/>
              </w:rPr>
              <w:t>rmáticas para la gestión de redes inteligentes o la ejecución de inversiones en el refuerzo de la red.</w:t>
            </w:r>
          </w:p>
        </w:tc>
      </w:tr>
      <w:tr w:rsidR="00F208CE" w14:paraId="05691A8F" w14:textId="77777777">
        <w:trPr>
          <w:trHeight w:val="660"/>
        </w:trPr>
        <w:tc>
          <w:tcPr>
            <w:tcW w:w="704" w:type="dxa"/>
            <w:shd w:val="clear" w:color="auto" w:fill="C6EFCE"/>
            <w:vAlign w:val="center"/>
          </w:tcPr>
          <w:p w14:paraId="34DF0EAC" w14:textId="77777777" w:rsidR="00F208CE" w:rsidRDefault="00513E84">
            <w:pPr>
              <w:pStyle w:val="P68B1DB1-Normal8"/>
              <w:jc w:val="center"/>
              <w:rPr>
                <w:rFonts w:eastAsia="Times New Roman"/>
                <w:noProof/>
              </w:rPr>
            </w:pPr>
            <w:r>
              <w:rPr>
                <w:noProof/>
              </w:rPr>
              <w:t>234</w:t>
            </w:r>
          </w:p>
        </w:tc>
        <w:tc>
          <w:tcPr>
            <w:tcW w:w="1571" w:type="dxa"/>
            <w:shd w:val="clear" w:color="auto" w:fill="C6EFCE"/>
            <w:vAlign w:val="center"/>
          </w:tcPr>
          <w:p w14:paraId="6C42BE90" w14:textId="77777777" w:rsidR="00F208CE" w:rsidRDefault="00513E84">
            <w:pPr>
              <w:pStyle w:val="P68B1DB1-Normal8"/>
              <w:rPr>
                <w:rFonts w:eastAsia="Times New Roman"/>
                <w:noProof/>
              </w:rPr>
            </w:pPr>
            <w:r>
              <w:rPr>
                <w:noProof/>
              </w:rPr>
              <w:t>Optimización de la distribución de energía (I-7.17)</w:t>
            </w:r>
          </w:p>
        </w:tc>
        <w:tc>
          <w:tcPr>
            <w:tcW w:w="555" w:type="dxa"/>
            <w:shd w:val="clear" w:color="auto" w:fill="C6EFCE"/>
            <w:vAlign w:val="center"/>
          </w:tcPr>
          <w:p w14:paraId="57959199" w14:textId="77777777" w:rsidR="00F208CE" w:rsidRDefault="00513E84">
            <w:pPr>
              <w:pStyle w:val="P68B1DB1-Normal8"/>
              <w:spacing w:line="259" w:lineRule="auto"/>
              <w:rPr>
                <w:rFonts w:eastAsia="Times New Roman"/>
                <w:noProof/>
              </w:rPr>
            </w:pPr>
            <w:r>
              <w:rPr>
                <w:noProof/>
              </w:rPr>
              <w:t>M</w:t>
            </w:r>
          </w:p>
        </w:tc>
        <w:tc>
          <w:tcPr>
            <w:tcW w:w="1560" w:type="dxa"/>
            <w:shd w:val="clear" w:color="auto" w:fill="C6EFCE"/>
            <w:vAlign w:val="center"/>
          </w:tcPr>
          <w:p w14:paraId="1FFF7B04" w14:textId="77777777" w:rsidR="00F208CE" w:rsidRDefault="00513E84">
            <w:pPr>
              <w:pStyle w:val="P68B1DB1-Normal8"/>
              <w:rPr>
                <w:rFonts w:eastAsia="Times New Roman"/>
                <w:noProof/>
              </w:rPr>
            </w:pPr>
            <w:r>
              <w:rPr>
                <w:noProof/>
              </w:rPr>
              <w:t>Finalización de los proyectos</w:t>
            </w:r>
          </w:p>
        </w:tc>
        <w:tc>
          <w:tcPr>
            <w:tcW w:w="1842" w:type="dxa"/>
            <w:shd w:val="clear" w:color="auto" w:fill="C6EFCE"/>
            <w:vAlign w:val="center"/>
          </w:tcPr>
          <w:p w14:paraId="271F1987" w14:textId="77777777" w:rsidR="00F208CE" w:rsidRDefault="00513E84">
            <w:pPr>
              <w:pStyle w:val="P68B1DB1-Normal8"/>
              <w:rPr>
                <w:rFonts w:eastAsia="Times New Roman"/>
                <w:noProof/>
              </w:rPr>
            </w:pPr>
            <w:r>
              <w:rPr>
                <w:noProof/>
              </w:rPr>
              <w:t>Informe final del proyecto aprobado</w:t>
            </w:r>
          </w:p>
        </w:tc>
        <w:tc>
          <w:tcPr>
            <w:tcW w:w="993" w:type="dxa"/>
            <w:shd w:val="clear" w:color="auto" w:fill="C6EFCE"/>
            <w:vAlign w:val="center"/>
          </w:tcPr>
          <w:p w14:paraId="6F23180C" w14:textId="77777777" w:rsidR="00F208CE" w:rsidRDefault="00F208CE">
            <w:pPr>
              <w:widowControl w:val="0"/>
              <w:rPr>
                <w:rFonts w:ascii="Times New Roman" w:eastAsia="Times New Roman" w:hAnsi="Times New Roman"/>
                <w:noProof/>
                <w:color w:val="006100"/>
                <w:highlight w:val="yellow"/>
              </w:rPr>
            </w:pPr>
          </w:p>
        </w:tc>
        <w:tc>
          <w:tcPr>
            <w:tcW w:w="992" w:type="dxa"/>
            <w:shd w:val="clear" w:color="auto" w:fill="C6EFCE"/>
            <w:vAlign w:val="center"/>
          </w:tcPr>
          <w:p w14:paraId="305E738E"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3283D758"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06E90CC2"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359B3463" w14:textId="77777777" w:rsidR="00F208CE" w:rsidRDefault="00513E84">
            <w:pPr>
              <w:pStyle w:val="P68B1DB1-Normal8"/>
              <w:jc w:val="center"/>
              <w:rPr>
                <w:rFonts w:eastAsia="Times New Roman"/>
                <w:noProof/>
              </w:rPr>
            </w:pPr>
            <w:r>
              <w:rPr>
                <w:noProof/>
              </w:rPr>
              <w:t>2026</w:t>
            </w:r>
          </w:p>
        </w:tc>
        <w:tc>
          <w:tcPr>
            <w:tcW w:w="3548" w:type="dxa"/>
            <w:shd w:val="clear" w:color="auto" w:fill="C6EFCE"/>
            <w:vAlign w:val="center"/>
          </w:tcPr>
          <w:p w14:paraId="1E357F80" w14:textId="0725433C" w:rsidR="00F208CE" w:rsidRDefault="00513E84">
            <w:pPr>
              <w:pStyle w:val="P68B1DB1-Normal8"/>
              <w:rPr>
                <w:noProof/>
              </w:rPr>
            </w:pPr>
            <w:r>
              <w:rPr>
                <w:noProof/>
              </w:rPr>
              <w:t>Se ha completado la instalación de contadores inteligentes, así como el despliegue de soluciones informáticas para la gestión de redes inteligentes o las inversiones de refuerzo de la red con al menos 68 400 000 EUR.</w:t>
            </w:r>
          </w:p>
        </w:tc>
      </w:tr>
      <w:tr w:rsidR="00F208CE" w14:paraId="57945C49" w14:textId="77777777">
        <w:trPr>
          <w:trHeight w:val="660"/>
        </w:trPr>
        <w:tc>
          <w:tcPr>
            <w:tcW w:w="704" w:type="dxa"/>
            <w:shd w:val="clear" w:color="auto" w:fill="C6EFCE"/>
            <w:vAlign w:val="center"/>
          </w:tcPr>
          <w:p w14:paraId="2C2C973F" w14:textId="77777777" w:rsidR="00F208CE" w:rsidRDefault="00513E84">
            <w:pPr>
              <w:pStyle w:val="P68B1DB1-Normal8"/>
              <w:jc w:val="center"/>
              <w:rPr>
                <w:rFonts w:eastAsia="Times New Roman"/>
                <w:noProof/>
              </w:rPr>
            </w:pPr>
            <w:r>
              <w:rPr>
                <w:noProof/>
              </w:rPr>
              <w:t>235</w:t>
            </w:r>
          </w:p>
        </w:tc>
        <w:tc>
          <w:tcPr>
            <w:tcW w:w="1571" w:type="dxa"/>
            <w:shd w:val="clear" w:color="auto" w:fill="C6EFCE"/>
            <w:vAlign w:val="center"/>
          </w:tcPr>
          <w:p w14:paraId="45B327AD" w14:textId="77777777" w:rsidR="00F208CE" w:rsidRDefault="00513E84">
            <w:pPr>
              <w:pStyle w:val="P68B1DB1-Normal8"/>
              <w:rPr>
                <w:rFonts w:eastAsia="Times New Roman"/>
                <w:noProof/>
              </w:rPr>
            </w:pPr>
            <w:r>
              <w:rPr>
                <w:noProof/>
              </w:rPr>
              <w:t xml:space="preserve">Convocatoria de iniciativas </w:t>
            </w:r>
            <w:r>
              <w:rPr>
                <w:noProof/>
              </w:rPr>
              <w:t>innovadoras de producción de energías renovables (I-7.18)</w:t>
            </w:r>
          </w:p>
        </w:tc>
        <w:tc>
          <w:tcPr>
            <w:tcW w:w="555" w:type="dxa"/>
            <w:shd w:val="clear" w:color="auto" w:fill="C6EFCE"/>
            <w:vAlign w:val="center"/>
          </w:tcPr>
          <w:p w14:paraId="0505DEE2"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4D443F12" w14:textId="2E36F1FD" w:rsidR="00F208CE" w:rsidRDefault="00513E84">
            <w:pPr>
              <w:pStyle w:val="P68B1DB1-Normal8"/>
              <w:rPr>
                <w:rFonts w:eastAsia="Times New Roman"/>
                <w:noProof/>
              </w:rPr>
            </w:pPr>
            <w:r>
              <w:rPr>
                <w:noProof/>
              </w:rPr>
              <w:t>Adjudicación de contratos en el marco de las convocatorias de proyectos</w:t>
            </w:r>
          </w:p>
        </w:tc>
        <w:tc>
          <w:tcPr>
            <w:tcW w:w="1842" w:type="dxa"/>
            <w:shd w:val="clear" w:color="auto" w:fill="C6EFCE"/>
            <w:vAlign w:val="center"/>
          </w:tcPr>
          <w:p w14:paraId="4E346D81" w14:textId="130FAD09" w:rsidR="00F208CE" w:rsidRDefault="00513E84">
            <w:pPr>
              <w:pStyle w:val="P68B1DB1-Normal8"/>
              <w:rPr>
                <w:rFonts w:eastAsia="Times New Roman"/>
                <w:noProof/>
              </w:rPr>
            </w:pPr>
            <w:r>
              <w:rPr>
                <w:noProof/>
              </w:rPr>
              <w:t>Notificación escrita de la adjudicación de contratos a los candidatos seleccionados</w:t>
            </w:r>
          </w:p>
        </w:tc>
        <w:tc>
          <w:tcPr>
            <w:tcW w:w="993" w:type="dxa"/>
            <w:shd w:val="clear" w:color="auto" w:fill="C6EFCE"/>
            <w:vAlign w:val="center"/>
          </w:tcPr>
          <w:p w14:paraId="4C59D125"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2CB945C5"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5AB65B6D"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20DE3BAB"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08A3C526" w14:textId="77777777" w:rsidR="00F208CE" w:rsidRDefault="00513E84">
            <w:pPr>
              <w:pStyle w:val="P68B1DB1-Normal8"/>
              <w:jc w:val="center"/>
              <w:rPr>
                <w:rFonts w:eastAsia="Times New Roman"/>
                <w:noProof/>
              </w:rPr>
            </w:pPr>
            <w:r>
              <w:rPr>
                <w:noProof/>
              </w:rPr>
              <w:t>2024</w:t>
            </w:r>
          </w:p>
        </w:tc>
        <w:tc>
          <w:tcPr>
            <w:tcW w:w="3548" w:type="dxa"/>
            <w:shd w:val="clear" w:color="auto" w:fill="C6EFCE"/>
            <w:vAlign w:val="center"/>
          </w:tcPr>
          <w:p w14:paraId="0DCEF4DC" w14:textId="77777777" w:rsidR="00F208CE" w:rsidRDefault="00513E84">
            <w:pPr>
              <w:pStyle w:val="P68B1DB1-Normal8"/>
              <w:rPr>
                <w:rFonts w:eastAsia="Times New Roman"/>
                <w:noProof/>
              </w:rPr>
            </w:pPr>
            <w:r>
              <w:rPr>
                <w:noProof/>
              </w:rPr>
              <w:t xml:space="preserve">Adjudicación </w:t>
            </w:r>
            <w:r>
              <w:rPr>
                <w:noProof/>
              </w:rPr>
              <w:t>de contratos para los proyectos destinados a inversiones en energía terrestre y I + D para iniciativas de producción de energía solar, seleccionados a través de una convocatoria de proyectos.</w:t>
            </w:r>
          </w:p>
        </w:tc>
      </w:tr>
      <w:tr w:rsidR="00F208CE" w14:paraId="6D2481C6" w14:textId="77777777">
        <w:trPr>
          <w:trHeight w:val="660"/>
        </w:trPr>
        <w:tc>
          <w:tcPr>
            <w:tcW w:w="704" w:type="dxa"/>
            <w:shd w:val="clear" w:color="auto" w:fill="C6EFCE"/>
            <w:vAlign w:val="center"/>
          </w:tcPr>
          <w:p w14:paraId="71A5377B" w14:textId="77777777" w:rsidR="00F208CE" w:rsidRDefault="00513E84">
            <w:pPr>
              <w:pStyle w:val="P68B1DB1-Normal8"/>
              <w:jc w:val="center"/>
              <w:rPr>
                <w:rFonts w:eastAsia="Times New Roman"/>
                <w:noProof/>
              </w:rPr>
            </w:pPr>
            <w:r>
              <w:rPr>
                <w:noProof/>
              </w:rPr>
              <w:t>236</w:t>
            </w:r>
          </w:p>
        </w:tc>
        <w:tc>
          <w:tcPr>
            <w:tcW w:w="1571" w:type="dxa"/>
            <w:shd w:val="clear" w:color="auto" w:fill="C6EFCE"/>
            <w:vAlign w:val="center"/>
          </w:tcPr>
          <w:p w14:paraId="6A4E5727" w14:textId="77777777" w:rsidR="00F208CE" w:rsidRDefault="00513E84">
            <w:pPr>
              <w:pStyle w:val="P68B1DB1-Normal8"/>
              <w:rPr>
                <w:rFonts w:eastAsia="Times New Roman"/>
                <w:noProof/>
              </w:rPr>
            </w:pPr>
            <w:r>
              <w:rPr>
                <w:noProof/>
              </w:rPr>
              <w:t xml:space="preserve">Convocatoria de iniciativas innovadoras de producción de </w:t>
            </w:r>
            <w:r>
              <w:rPr>
                <w:noProof/>
              </w:rPr>
              <w:t>energías renovables (I-7.18)</w:t>
            </w:r>
          </w:p>
        </w:tc>
        <w:tc>
          <w:tcPr>
            <w:tcW w:w="555" w:type="dxa"/>
            <w:shd w:val="clear" w:color="auto" w:fill="C6EFCE"/>
            <w:vAlign w:val="center"/>
          </w:tcPr>
          <w:p w14:paraId="5A725B8B"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702EBE4E" w14:textId="77777777" w:rsidR="00F208CE" w:rsidRDefault="00513E84">
            <w:pPr>
              <w:pStyle w:val="P68B1DB1-Normal8"/>
              <w:rPr>
                <w:rFonts w:eastAsia="Times New Roman"/>
                <w:noProof/>
              </w:rPr>
            </w:pPr>
            <w:r>
              <w:rPr>
                <w:noProof/>
              </w:rPr>
              <w:t xml:space="preserve">Finalización de los proyectos </w:t>
            </w:r>
          </w:p>
        </w:tc>
        <w:tc>
          <w:tcPr>
            <w:tcW w:w="1842" w:type="dxa"/>
            <w:shd w:val="clear" w:color="auto" w:fill="C6EFCE"/>
            <w:vAlign w:val="center"/>
          </w:tcPr>
          <w:p w14:paraId="4C47BC3B" w14:textId="77777777" w:rsidR="00F208CE" w:rsidRDefault="00513E84">
            <w:pPr>
              <w:pStyle w:val="P68B1DB1-Normal8"/>
              <w:rPr>
                <w:rFonts w:eastAsia="Times New Roman"/>
                <w:noProof/>
              </w:rPr>
            </w:pPr>
            <w:r>
              <w:rPr>
                <w:noProof/>
              </w:rPr>
              <w:t>Proyectos seleccionados finalizados y operativos</w:t>
            </w:r>
          </w:p>
        </w:tc>
        <w:tc>
          <w:tcPr>
            <w:tcW w:w="993" w:type="dxa"/>
            <w:shd w:val="clear" w:color="auto" w:fill="C6EFCE"/>
            <w:vAlign w:val="center"/>
          </w:tcPr>
          <w:p w14:paraId="770D140C"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4BC710C9"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2EDBD5BF"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42A3DB5A"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2322D2CE" w14:textId="77777777" w:rsidR="00F208CE" w:rsidRDefault="00513E84">
            <w:pPr>
              <w:pStyle w:val="P68B1DB1-Normal8"/>
              <w:jc w:val="center"/>
              <w:rPr>
                <w:rFonts w:eastAsia="Times New Roman"/>
                <w:noProof/>
              </w:rPr>
            </w:pPr>
            <w:r>
              <w:rPr>
                <w:noProof/>
              </w:rPr>
              <w:t>2026</w:t>
            </w:r>
          </w:p>
        </w:tc>
        <w:tc>
          <w:tcPr>
            <w:tcW w:w="3548" w:type="dxa"/>
            <w:shd w:val="clear" w:color="auto" w:fill="C6EFCE"/>
            <w:vAlign w:val="center"/>
          </w:tcPr>
          <w:p w14:paraId="09FDEAC7" w14:textId="77777777" w:rsidR="00F208CE" w:rsidRDefault="00513E84">
            <w:pPr>
              <w:pStyle w:val="P68B1DB1-Normal8"/>
              <w:rPr>
                <w:rFonts w:eastAsia="Times New Roman"/>
                <w:noProof/>
              </w:rPr>
            </w:pPr>
            <w:r>
              <w:rPr>
                <w:noProof/>
              </w:rPr>
              <w:t xml:space="preserve">Se han completado los proyectos seleccionados a través de una convocatoria de proyectos y las inversiones </w:t>
            </w:r>
            <w:r>
              <w:rPr>
                <w:noProof/>
              </w:rPr>
              <w:t>correspondientes en energía terrestre y en I + D para iniciativas de producción de energía solar.</w:t>
            </w:r>
          </w:p>
        </w:tc>
      </w:tr>
      <w:tr w:rsidR="00F208CE" w14:paraId="7218BA4D" w14:textId="77777777">
        <w:trPr>
          <w:trHeight w:val="660"/>
        </w:trPr>
        <w:tc>
          <w:tcPr>
            <w:tcW w:w="704" w:type="dxa"/>
            <w:shd w:val="clear" w:color="auto" w:fill="C6EFCE"/>
            <w:vAlign w:val="center"/>
          </w:tcPr>
          <w:p w14:paraId="2C936C96" w14:textId="77777777" w:rsidR="00F208CE" w:rsidRDefault="00513E84">
            <w:pPr>
              <w:pStyle w:val="P68B1DB1-Normal8"/>
              <w:jc w:val="center"/>
              <w:rPr>
                <w:rFonts w:eastAsia="Times New Roman"/>
                <w:noProof/>
              </w:rPr>
            </w:pPr>
            <w:r>
              <w:rPr>
                <w:noProof/>
              </w:rPr>
              <w:t>237</w:t>
            </w:r>
          </w:p>
        </w:tc>
        <w:tc>
          <w:tcPr>
            <w:tcW w:w="1571" w:type="dxa"/>
            <w:shd w:val="clear" w:color="auto" w:fill="C6EFCE"/>
            <w:vAlign w:val="center"/>
          </w:tcPr>
          <w:p w14:paraId="2EB98073" w14:textId="77777777" w:rsidR="00F208CE" w:rsidRDefault="00513E84">
            <w:pPr>
              <w:pStyle w:val="P68B1DB1-Normal8"/>
              <w:rPr>
                <w:rFonts w:eastAsia="Times New Roman"/>
                <w:noProof/>
              </w:rPr>
            </w:pPr>
            <w:r>
              <w:rPr>
                <w:noProof/>
              </w:rPr>
              <w:t>Eliminar los obstáculos a las energías renovables (I-7.19)</w:t>
            </w:r>
          </w:p>
        </w:tc>
        <w:tc>
          <w:tcPr>
            <w:tcW w:w="555" w:type="dxa"/>
            <w:shd w:val="clear" w:color="auto" w:fill="C6EFCE"/>
            <w:vAlign w:val="center"/>
          </w:tcPr>
          <w:p w14:paraId="1D8179F8"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0B30EFCC" w14:textId="77777777" w:rsidR="00F208CE" w:rsidRDefault="00513E84">
            <w:pPr>
              <w:pStyle w:val="P68B1DB1-Normal8"/>
              <w:rPr>
                <w:rFonts w:eastAsia="Times New Roman"/>
                <w:noProof/>
              </w:rPr>
            </w:pPr>
            <w:r>
              <w:rPr>
                <w:noProof/>
              </w:rPr>
              <w:t xml:space="preserve">Finalización de los proyectos </w:t>
            </w:r>
          </w:p>
        </w:tc>
        <w:tc>
          <w:tcPr>
            <w:tcW w:w="1842" w:type="dxa"/>
            <w:shd w:val="clear" w:color="auto" w:fill="C6EFCE"/>
            <w:vAlign w:val="center"/>
          </w:tcPr>
          <w:p w14:paraId="6F6C0A45" w14:textId="77777777" w:rsidR="00F208CE" w:rsidRDefault="00513E84">
            <w:pPr>
              <w:pStyle w:val="P68B1DB1-Normal8"/>
              <w:rPr>
                <w:rFonts w:eastAsia="Times New Roman"/>
                <w:noProof/>
              </w:rPr>
            </w:pPr>
            <w:r>
              <w:rPr>
                <w:noProof/>
              </w:rPr>
              <w:t>Finalización de proyectos por Skeyes y Defensa</w:t>
            </w:r>
          </w:p>
        </w:tc>
        <w:tc>
          <w:tcPr>
            <w:tcW w:w="993" w:type="dxa"/>
            <w:shd w:val="clear" w:color="auto" w:fill="C6EFCE"/>
            <w:vAlign w:val="center"/>
          </w:tcPr>
          <w:p w14:paraId="1ED2FCDE"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1F3B979C"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4C33EFAC"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7F7E7591" w14:textId="77777777" w:rsidR="00F208CE" w:rsidRDefault="00513E84">
            <w:pPr>
              <w:pStyle w:val="P68B1DB1-Normal8"/>
              <w:jc w:val="center"/>
              <w:rPr>
                <w:rFonts w:eastAsia="Times New Roman"/>
                <w:noProof/>
              </w:rPr>
            </w:pPr>
            <w:r>
              <w:rPr>
                <w:noProof/>
              </w:rPr>
              <w:t xml:space="preserve">TERCER </w:t>
            </w:r>
            <w:r>
              <w:rPr>
                <w:noProof/>
              </w:rPr>
              <w:t>TRIMESTRE 2</w:t>
            </w:r>
          </w:p>
        </w:tc>
        <w:tc>
          <w:tcPr>
            <w:tcW w:w="709" w:type="dxa"/>
            <w:shd w:val="clear" w:color="auto" w:fill="C6EFCE"/>
            <w:vAlign w:val="center"/>
          </w:tcPr>
          <w:p w14:paraId="317144F2" w14:textId="77777777" w:rsidR="00F208CE" w:rsidRDefault="00513E84">
            <w:pPr>
              <w:pStyle w:val="P68B1DB1-Normal8"/>
              <w:jc w:val="center"/>
              <w:rPr>
                <w:rFonts w:eastAsia="Times New Roman"/>
                <w:noProof/>
              </w:rPr>
            </w:pPr>
            <w:r>
              <w:rPr>
                <w:noProof/>
              </w:rPr>
              <w:t>2026</w:t>
            </w:r>
          </w:p>
        </w:tc>
        <w:tc>
          <w:tcPr>
            <w:tcW w:w="3548" w:type="dxa"/>
            <w:shd w:val="clear" w:color="auto" w:fill="C6EFCE"/>
            <w:vAlign w:val="center"/>
          </w:tcPr>
          <w:p w14:paraId="616EC8C3" w14:textId="77777777" w:rsidR="00F208CE" w:rsidRDefault="00513E84">
            <w:pPr>
              <w:pStyle w:val="P68B1DB1-Normal35"/>
              <w:spacing w:line="259" w:lineRule="auto"/>
              <w:rPr>
                <w:rFonts w:ascii="Times New Roman" w:eastAsia="Times New Roman" w:hAnsi="Times New Roman"/>
                <w:noProof/>
              </w:rPr>
            </w:pPr>
            <w:r>
              <w:rPr>
                <w:rFonts w:ascii="Times New Roman" w:hAnsi="Times New Roman"/>
                <w:noProof/>
              </w:rPr>
              <w:t>Adquisición e instalación de radares de banda X de 4 por parte de la Defensa y la nueva tecnología de vigilancia — 40 unidades de multilateración de área amplia (MMA) por</w:t>
            </w:r>
            <w:r>
              <w:rPr>
                <w:noProof/>
              </w:rPr>
              <w:t>Skeye.</w:t>
            </w:r>
          </w:p>
        </w:tc>
      </w:tr>
      <w:tr w:rsidR="00F208CE" w14:paraId="151A7410" w14:textId="77777777">
        <w:trPr>
          <w:trHeight w:val="660"/>
        </w:trPr>
        <w:tc>
          <w:tcPr>
            <w:tcW w:w="704" w:type="dxa"/>
            <w:shd w:val="clear" w:color="auto" w:fill="C6EFCE"/>
            <w:vAlign w:val="center"/>
          </w:tcPr>
          <w:p w14:paraId="39B01788" w14:textId="77777777" w:rsidR="00F208CE" w:rsidRDefault="00513E84">
            <w:pPr>
              <w:pStyle w:val="P68B1DB1-Normal8"/>
              <w:jc w:val="center"/>
              <w:rPr>
                <w:rFonts w:eastAsia="Times New Roman"/>
                <w:noProof/>
              </w:rPr>
            </w:pPr>
            <w:r>
              <w:rPr>
                <w:noProof/>
              </w:rPr>
              <w:t>238</w:t>
            </w:r>
          </w:p>
        </w:tc>
        <w:tc>
          <w:tcPr>
            <w:tcW w:w="1571" w:type="dxa"/>
            <w:shd w:val="clear" w:color="auto" w:fill="C6EFCE"/>
            <w:vAlign w:val="center"/>
          </w:tcPr>
          <w:p w14:paraId="3383841D" w14:textId="77777777" w:rsidR="00F208CE" w:rsidRDefault="00513E84">
            <w:pPr>
              <w:pStyle w:val="P68B1DB1-Normal8"/>
              <w:rPr>
                <w:rFonts w:eastAsia="Times New Roman"/>
                <w:noProof/>
              </w:rPr>
            </w:pPr>
            <w:r>
              <w:rPr>
                <w:noProof/>
              </w:rPr>
              <w:t xml:space="preserve">Eliminar los obstáculos a las energías renovables </w:t>
            </w:r>
            <w:r>
              <w:rPr>
                <w:noProof/>
              </w:rPr>
              <w:t>(I-7.19)</w:t>
            </w:r>
          </w:p>
        </w:tc>
        <w:tc>
          <w:tcPr>
            <w:tcW w:w="555" w:type="dxa"/>
            <w:shd w:val="clear" w:color="auto" w:fill="C6EFCE"/>
            <w:vAlign w:val="center"/>
          </w:tcPr>
          <w:p w14:paraId="57701FDB" w14:textId="77777777" w:rsidR="00F208CE" w:rsidRDefault="00513E84">
            <w:pPr>
              <w:pStyle w:val="P68B1DB1-Normal8"/>
              <w:rPr>
                <w:rFonts w:eastAsia="Times New Roman"/>
                <w:noProof/>
              </w:rPr>
            </w:pPr>
            <w:r>
              <w:rPr>
                <w:noProof/>
              </w:rPr>
              <w:t>M</w:t>
            </w:r>
          </w:p>
        </w:tc>
        <w:tc>
          <w:tcPr>
            <w:tcW w:w="1560" w:type="dxa"/>
            <w:shd w:val="clear" w:color="auto" w:fill="C6EFCE"/>
            <w:vAlign w:val="center"/>
          </w:tcPr>
          <w:p w14:paraId="0382EDCD" w14:textId="77777777" w:rsidR="00F208CE" w:rsidRDefault="00513E84">
            <w:pPr>
              <w:pStyle w:val="P68B1DB1-Normal8"/>
              <w:rPr>
                <w:rFonts w:eastAsia="Times New Roman"/>
                <w:noProof/>
              </w:rPr>
            </w:pPr>
            <w:r>
              <w:rPr>
                <w:noProof/>
              </w:rPr>
              <w:t>Entrada en vigor del Reglamento</w:t>
            </w:r>
          </w:p>
        </w:tc>
        <w:tc>
          <w:tcPr>
            <w:tcW w:w="1842" w:type="dxa"/>
            <w:shd w:val="clear" w:color="auto" w:fill="C6EFCE"/>
            <w:vAlign w:val="center"/>
          </w:tcPr>
          <w:p w14:paraId="50E991C3" w14:textId="66695AE1" w:rsidR="00F208CE" w:rsidRDefault="00513E84">
            <w:pPr>
              <w:pStyle w:val="P68B1DB1-Normal8"/>
              <w:rPr>
                <w:rFonts w:eastAsia="Times New Roman"/>
                <w:noProof/>
              </w:rPr>
            </w:pPr>
            <w:r>
              <w:rPr>
                <w:noProof/>
              </w:rPr>
              <w:t>Disposición legal que indica la entrada en vigor del Reglamento</w:t>
            </w:r>
          </w:p>
        </w:tc>
        <w:tc>
          <w:tcPr>
            <w:tcW w:w="993" w:type="dxa"/>
            <w:shd w:val="clear" w:color="auto" w:fill="C6EFCE"/>
            <w:vAlign w:val="center"/>
          </w:tcPr>
          <w:p w14:paraId="2B89B9D6"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5DAB11F8" w14:textId="77777777" w:rsidR="00F208CE" w:rsidRDefault="00F208CE">
            <w:pPr>
              <w:rPr>
                <w:rFonts w:ascii="Times New Roman" w:eastAsia="Times New Roman" w:hAnsi="Times New Roman"/>
                <w:noProof/>
                <w:color w:val="006100"/>
              </w:rPr>
            </w:pPr>
          </w:p>
        </w:tc>
        <w:tc>
          <w:tcPr>
            <w:tcW w:w="709" w:type="dxa"/>
            <w:shd w:val="clear" w:color="auto" w:fill="C6EFCE"/>
            <w:vAlign w:val="center"/>
          </w:tcPr>
          <w:p w14:paraId="06DD3F06" w14:textId="77777777" w:rsidR="00F208CE" w:rsidRDefault="00F208CE">
            <w:pPr>
              <w:rPr>
                <w:rFonts w:ascii="Times New Roman" w:eastAsia="Times New Roman" w:hAnsi="Times New Roman"/>
                <w:noProof/>
                <w:color w:val="006100"/>
              </w:rPr>
            </w:pPr>
          </w:p>
        </w:tc>
        <w:tc>
          <w:tcPr>
            <w:tcW w:w="992" w:type="dxa"/>
            <w:shd w:val="clear" w:color="auto" w:fill="C6EFCE"/>
            <w:vAlign w:val="center"/>
          </w:tcPr>
          <w:p w14:paraId="70C77A2E" w14:textId="77777777" w:rsidR="00F208CE" w:rsidRDefault="00513E84">
            <w:pPr>
              <w:pStyle w:val="P68B1DB1-Normal8"/>
              <w:jc w:val="center"/>
              <w:rPr>
                <w:rFonts w:eastAsia="Times New Roman"/>
                <w:noProof/>
              </w:rPr>
            </w:pPr>
            <w:r>
              <w:rPr>
                <w:noProof/>
              </w:rPr>
              <w:t>TERCER TRIMESTRE 2</w:t>
            </w:r>
          </w:p>
        </w:tc>
        <w:tc>
          <w:tcPr>
            <w:tcW w:w="709" w:type="dxa"/>
            <w:shd w:val="clear" w:color="auto" w:fill="C6EFCE"/>
            <w:vAlign w:val="center"/>
          </w:tcPr>
          <w:p w14:paraId="2FA72EF9" w14:textId="77777777" w:rsidR="00F208CE" w:rsidRDefault="00513E84">
            <w:pPr>
              <w:pStyle w:val="P68B1DB1-Normal8"/>
              <w:jc w:val="center"/>
              <w:rPr>
                <w:rFonts w:eastAsia="Times New Roman"/>
                <w:noProof/>
              </w:rPr>
            </w:pPr>
            <w:r>
              <w:rPr>
                <w:noProof/>
              </w:rPr>
              <w:t>2026</w:t>
            </w:r>
          </w:p>
        </w:tc>
        <w:tc>
          <w:tcPr>
            <w:tcW w:w="3548" w:type="dxa"/>
            <w:shd w:val="clear" w:color="auto" w:fill="C6EFCE"/>
            <w:vAlign w:val="center"/>
          </w:tcPr>
          <w:p w14:paraId="3BC1CE77" w14:textId="77777777" w:rsidR="00F208CE" w:rsidRDefault="00513E84">
            <w:pPr>
              <w:pStyle w:val="P68B1DB1-Normal8"/>
              <w:rPr>
                <w:rFonts w:eastAsia="Times New Roman"/>
                <w:noProof/>
                <w:color w:val="000000" w:themeColor="text1"/>
              </w:rPr>
            </w:pPr>
            <w:r>
              <w:rPr>
                <w:noProof/>
              </w:rPr>
              <w:t xml:space="preserve">Entrada en vigor del nuevo Reglamento por el que se reducen las restricciones del control del tráfico aéreo civil y </w:t>
            </w:r>
            <w:r>
              <w:rPr>
                <w:noProof/>
              </w:rPr>
              <w:t>militar en torno a los aeropuertos a la construcción de turbinas eólicas.</w:t>
            </w:r>
          </w:p>
        </w:tc>
      </w:tr>
    </w:tbl>
    <w:p w14:paraId="32E35292" w14:textId="77777777" w:rsidR="00F208CE" w:rsidRDefault="00F208CE">
      <w:pPr>
        <w:pStyle w:val="Text1"/>
        <w:rPr>
          <w:noProof/>
        </w:rPr>
      </w:pPr>
    </w:p>
    <w:p w14:paraId="55E36CD3" w14:textId="77777777" w:rsidR="00F208CE" w:rsidRDefault="00F208CE">
      <w:pPr>
        <w:pStyle w:val="Text1"/>
        <w:ind w:left="0"/>
        <w:rPr>
          <w:noProof/>
        </w:rPr>
        <w:sectPr w:rsidR="00F208CE" w:rsidSect="007F56C3">
          <w:headerReference w:type="default" r:id="rId204"/>
          <w:footerReference w:type="default" r:id="rId205"/>
          <w:pgSz w:w="16839" w:h="11907" w:orient="landscape"/>
          <w:pgMar w:top="1134" w:right="1134" w:bottom="1134" w:left="1134" w:header="567" w:footer="567" w:gutter="0"/>
          <w:cols w:space="720"/>
          <w:docGrid w:linePitch="360"/>
        </w:sectPr>
      </w:pPr>
    </w:p>
    <w:p w14:paraId="10D2C6ED" w14:textId="5A3B7E08" w:rsidR="00F208CE" w:rsidRDefault="00513E84">
      <w:pPr>
        <w:pStyle w:val="P68B1DB1-Jalonsetcibles28"/>
        <w:spacing w:before="120" w:after="120" w:line="240" w:lineRule="auto"/>
        <w:rPr>
          <w:rFonts w:eastAsia="Times New Roman"/>
          <w:noProof/>
        </w:rPr>
      </w:pPr>
      <w:r>
        <w:rPr>
          <w:noProof/>
        </w:rPr>
        <w:t>T.3. Descripción de las reformas e inversiones que pueden acogerse a las ayudas en forma de préstamo</w:t>
      </w:r>
    </w:p>
    <w:p w14:paraId="012637A3" w14:textId="0B7EF26E" w:rsidR="00F208CE" w:rsidRDefault="00513E84">
      <w:pPr>
        <w:pStyle w:val="P68B1DB1-Jalonsetcibles29"/>
        <w:spacing w:before="120" w:after="120" w:line="240" w:lineRule="auto"/>
        <w:jc w:val="both"/>
        <w:rPr>
          <w:rFonts w:eastAsia="Times New Roman"/>
          <w:noProof/>
        </w:rPr>
      </w:pPr>
      <w:r>
        <w:rPr>
          <w:noProof/>
        </w:rPr>
        <w:t xml:space="preserve">Inversión I-7.20: </w:t>
      </w:r>
      <w:r>
        <w:rPr>
          <w:noProof/>
        </w:rPr>
        <w:t>«Isla de energía en alta mar» del Estado Federal</w:t>
      </w:r>
    </w:p>
    <w:p w14:paraId="173B5E15" w14:textId="77777777" w:rsidR="00F208CE" w:rsidRDefault="00513E84">
      <w:pPr>
        <w:pStyle w:val="P68B1DB1-Jalonsetcibles27"/>
        <w:spacing w:before="120" w:after="120" w:line="240" w:lineRule="auto"/>
        <w:jc w:val="both"/>
        <w:rPr>
          <w:rFonts w:eastAsia="Times New Roman"/>
          <w:noProof/>
          <w:color w:val="auto"/>
        </w:rPr>
        <w:sectPr w:rsidR="00F208CE" w:rsidSect="004440D4">
          <w:headerReference w:type="even" r:id="rId206"/>
          <w:headerReference w:type="default" r:id="rId207"/>
          <w:footerReference w:type="even" r:id="rId208"/>
          <w:footerReference w:type="default" r:id="rId209"/>
          <w:headerReference w:type="first" r:id="rId210"/>
          <w:footerReference w:type="first" r:id="rId211"/>
          <w:pgSz w:w="11907" w:h="16839"/>
          <w:pgMar w:top="1134" w:right="1134" w:bottom="1134" w:left="1134" w:header="567" w:footer="567" w:gutter="0"/>
          <w:cols w:space="720"/>
          <w:docGrid w:linePitch="360"/>
        </w:sectPr>
      </w:pPr>
      <w:r>
        <w:rPr>
          <w:noProof/>
          <w:color w:val="000000" w:themeColor="text1"/>
        </w:rPr>
        <w:t>Esta medida de inversión tiene por objeto desarrollar un centro de energía marina («isla energética») en la parte belga del mar del Norte. La reali</w:t>
      </w:r>
      <w:r>
        <w:rPr>
          <w:noProof/>
          <w:color w:val="000000" w:themeColor="text1"/>
        </w:rPr>
        <w:t>zación de este centro energético tiene dos objetivos principales. En primer lugar, permitirá la conexión de al menos 3,15 GW de futura energía eólica marina a la red eléctrica terrestre. En segundo lugar, facilitará la integración y la importación de más e</w:t>
      </w:r>
      <w:r>
        <w:rPr>
          <w:noProof/>
          <w:color w:val="000000" w:themeColor="text1"/>
        </w:rPr>
        <w:t xml:space="preserve">nergías renovables en el mar del Norte y sus alrededores, conectándose con otros países o regiones. </w:t>
      </w:r>
      <w:r>
        <w:rPr>
          <w:noProof/>
          <w:color w:val="auto"/>
        </w:rPr>
        <w:t>La implementación de la medida estará terminada a más tardar el 30 de junio de 2026.</w:t>
      </w:r>
    </w:p>
    <w:p w14:paraId="5103BB75" w14:textId="77777777" w:rsidR="00F208CE" w:rsidRDefault="00513E84">
      <w:pPr>
        <w:pStyle w:val="P68B1DB1-Jalonsetcibles28"/>
        <w:spacing w:before="120" w:after="120" w:line="240" w:lineRule="auto"/>
        <w:jc w:val="both"/>
        <w:rPr>
          <w:rFonts w:eastAsia="Times New Roman"/>
          <w:noProof/>
        </w:rPr>
      </w:pPr>
      <w:r>
        <w:rPr>
          <w:noProof/>
        </w:rPr>
        <w:t>T.4. Hitos, objetivos, indicadores y calendario de seguimiento y ejecuc</w:t>
      </w:r>
      <w:r>
        <w:rPr>
          <w:noProof/>
        </w:rPr>
        <w:t>ión relativos a las ayudas en forma de préstamo</w:t>
      </w:r>
    </w:p>
    <w:tbl>
      <w:tblPr>
        <w:tblW w:w="14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22"/>
        <w:gridCol w:w="756"/>
        <w:gridCol w:w="1557"/>
        <w:gridCol w:w="1680"/>
        <w:gridCol w:w="1080"/>
        <w:gridCol w:w="1080"/>
        <w:gridCol w:w="720"/>
        <w:gridCol w:w="1080"/>
        <w:gridCol w:w="835"/>
        <w:gridCol w:w="3719"/>
      </w:tblGrid>
      <w:tr w:rsidR="00F208CE" w14:paraId="7DC3C9D6" w14:textId="77777777">
        <w:trPr>
          <w:trHeight w:val="915"/>
        </w:trPr>
        <w:tc>
          <w:tcPr>
            <w:tcW w:w="713" w:type="dxa"/>
            <w:vMerge w:val="restart"/>
            <w:shd w:val="clear" w:color="auto" w:fill="BDD7EE"/>
            <w:tcMar>
              <w:left w:w="108" w:type="dxa"/>
              <w:right w:w="108" w:type="dxa"/>
            </w:tcMar>
            <w:vAlign w:val="center"/>
          </w:tcPr>
          <w:p w14:paraId="15AC2CC4" w14:textId="44A78C78" w:rsidR="00F208CE" w:rsidRDefault="00513E84">
            <w:pPr>
              <w:spacing w:after="0"/>
              <w:jc w:val="center"/>
              <w:rPr>
                <w:rFonts w:ascii="Times New Roman" w:hAnsi="Times New Roman" w:cs="Times New Roman"/>
                <w:noProof/>
              </w:rPr>
            </w:pPr>
            <w:r>
              <w:rPr>
                <w:noProof/>
              </w:rPr>
              <w:tab/>
            </w:r>
            <w:r>
              <w:rPr>
                <w:rFonts w:ascii="Times New Roman" w:hAnsi="Times New Roman"/>
                <w:b/>
                <w:noProof/>
                <w:color w:val="000000" w:themeColor="text1"/>
              </w:rPr>
              <w:t>Código Nota:</w:t>
            </w:r>
          </w:p>
        </w:tc>
        <w:tc>
          <w:tcPr>
            <w:tcW w:w="1522" w:type="dxa"/>
            <w:vMerge w:val="restart"/>
            <w:shd w:val="clear" w:color="auto" w:fill="BDD7EE"/>
            <w:tcMar>
              <w:left w:w="108" w:type="dxa"/>
              <w:right w:w="108" w:type="dxa"/>
            </w:tcMar>
            <w:vAlign w:val="center"/>
          </w:tcPr>
          <w:p w14:paraId="093E2011" w14:textId="77777777" w:rsidR="00F208CE" w:rsidRDefault="00513E84">
            <w:pPr>
              <w:pStyle w:val="P68B1DB1-Normal36"/>
              <w:spacing w:after="0"/>
              <w:jc w:val="center"/>
              <w:rPr>
                <w:rFonts w:cs="Times New Roman"/>
                <w:noProof/>
              </w:rPr>
            </w:pPr>
            <w:r>
              <w:rPr>
                <w:noProof/>
              </w:rPr>
              <w:t>Medida relacionada (reforma o inversión)</w:t>
            </w:r>
          </w:p>
        </w:tc>
        <w:tc>
          <w:tcPr>
            <w:tcW w:w="756" w:type="dxa"/>
            <w:vMerge w:val="restart"/>
            <w:shd w:val="clear" w:color="auto" w:fill="BDD7EE"/>
            <w:tcMar>
              <w:left w:w="108" w:type="dxa"/>
              <w:right w:w="108" w:type="dxa"/>
            </w:tcMar>
            <w:vAlign w:val="center"/>
          </w:tcPr>
          <w:p w14:paraId="2F60DCE1" w14:textId="77777777" w:rsidR="00F208CE" w:rsidRDefault="00513E84">
            <w:pPr>
              <w:pStyle w:val="P68B1DB1-Normal36"/>
              <w:spacing w:after="0"/>
              <w:jc w:val="center"/>
              <w:rPr>
                <w:rFonts w:cs="Times New Roman"/>
                <w:noProof/>
              </w:rPr>
            </w:pPr>
            <w:r>
              <w:rPr>
                <w:noProof/>
              </w:rPr>
              <w:t>M/T</w:t>
            </w:r>
          </w:p>
        </w:tc>
        <w:tc>
          <w:tcPr>
            <w:tcW w:w="1557" w:type="dxa"/>
            <w:vMerge w:val="restart"/>
            <w:shd w:val="clear" w:color="auto" w:fill="BDD7EE"/>
            <w:tcMar>
              <w:left w:w="108" w:type="dxa"/>
              <w:right w:w="108" w:type="dxa"/>
            </w:tcMar>
            <w:vAlign w:val="center"/>
          </w:tcPr>
          <w:p w14:paraId="32068020" w14:textId="77777777" w:rsidR="00F208CE" w:rsidRDefault="00513E84">
            <w:pPr>
              <w:pStyle w:val="P68B1DB1-Normal36"/>
              <w:spacing w:after="0"/>
              <w:jc w:val="center"/>
              <w:rPr>
                <w:rFonts w:cs="Times New Roman"/>
                <w:noProof/>
              </w:rPr>
            </w:pPr>
            <w:r>
              <w:rPr>
                <w:noProof/>
              </w:rPr>
              <w:t>Nombre</w:t>
            </w:r>
          </w:p>
        </w:tc>
        <w:tc>
          <w:tcPr>
            <w:tcW w:w="1680" w:type="dxa"/>
            <w:vMerge w:val="restart"/>
            <w:shd w:val="clear" w:color="auto" w:fill="BDD7EE"/>
            <w:tcMar>
              <w:left w:w="108" w:type="dxa"/>
              <w:right w:w="108" w:type="dxa"/>
            </w:tcMar>
            <w:vAlign w:val="center"/>
          </w:tcPr>
          <w:p w14:paraId="3E6E240A" w14:textId="77777777" w:rsidR="00F208CE" w:rsidRDefault="00513E84">
            <w:pPr>
              <w:spacing w:after="0"/>
              <w:jc w:val="center"/>
              <w:rPr>
                <w:rFonts w:ascii="Times New Roman" w:eastAsia="Times New Roman" w:hAnsi="Times New Roman" w:cs="Times New Roman"/>
                <w:b/>
                <w:noProof/>
                <w:color w:val="000000" w:themeColor="text1"/>
              </w:rPr>
            </w:pPr>
            <w:r>
              <w:rPr>
                <w:rFonts w:ascii="Times New Roman" w:hAnsi="Times New Roman"/>
                <w:b/>
                <w:noProof/>
                <w:color w:val="000000" w:themeColor="text1"/>
              </w:rPr>
              <w:t>Indicadores cualitativos</w:t>
            </w:r>
            <w:r>
              <w:rPr>
                <w:noProof/>
              </w:rPr>
              <w:t xml:space="preserve">  </w:t>
            </w:r>
            <w:r>
              <w:rPr>
                <w:noProof/>
              </w:rPr>
              <w:br/>
            </w:r>
            <w:r>
              <w:rPr>
                <w:rFonts w:ascii="Times New Roman" w:hAnsi="Times New Roman"/>
                <w:b/>
                <w:noProof/>
                <w:color w:val="000000" w:themeColor="text1"/>
              </w:rPr>
              <w:t>(para el hito)</w:t>
            </w:r>
          </w:p>
        </w:tc>
        <w:tc>
          <w:tcPr>
            <w:tcW w:w="2880" w:type="dxa"/>
            <w:gridSpan w:val="3"/>
            <w:shd w:val="clear" w:color="auto" w:fill="BDD7EE"/>
            <w:tcMar>
              <w:left w:w="108" w:type="dxa"/>
              <w:right w:w="108" w:type="dxa"/>
            </w:tcMar>
            <w:vAlign w:val="center"/>
          </w:tcPr>
          <w:p w14:paraId="22697A5D" w14:textId="77777777" w:rsidR="00F208CE" w:rsidRDefault="00513E84">
            <w:pPr>
              <w:spacing w:after="0"/>
              <w:jc w:val="center"/>
              <w:rPr>
                <w:rFonts w:ascii="Times New Roman" w:hAnsi="Times New Roman" w:cs="Times New Roman"/>
                <w:noProof/>
              </w:rPr>
            </w:pPr>
            <w:r>
              <w:rPr>
                <w:rFonts w:ascii="Times New Roman" w:hAnsi="Times New Roman"/>
                <w:b/>
                <w:noProof/>
                <w:color w:val="000000" w:themeColor="text1"/>
              </w:rPr>
              <w:t>Indicadores cuantitativos</w:t>
            </w:r>
            <w:r>
              <w:rPr>
                <w:noProof/>
              </w:rPr>
              <w:t xml:space="preserve">  </w:t>
            </w:r>
            <w:r>
              <w:rPr>
                <w:noProof/>
              </w:rPr>
              <w:br/>
            </w:r>
            <w:r>
              <w:rPr>
                <w:rFonts w:ascii="Times New Roman" w:hAnsi="Times New Roman"/>
                <w:b/>
                <w:noProof/>
                <w:color w:val="000000" w:themeColor="text1"/>
              </w:rPr>
              <w:t>(para los objetivos)</w:t>
            </w:r>
          </w:p>
        </w:tc>
        <w:tc>
          <w:tcPr>
            <w:tcW w:w="1915" w:type="dxa"/>
            <w:gridSpan w:val="2"/>
            <w:shd w:val="clear" w:color="auto" w:fill="BDD7EE"/>
            <w:tcMar>
              <w:left w:w="108" w:type="dxa"/>
              <w:right w:w="108" w:type="dxa"/>
            </w:tcMar>
            <w:vAlign w:val="center"/>
          </w:tcPr>
          <w:p w14:paraId="4387F663" w14:textId="77777777" w:rsidR="00F208CE" w:rsidRDefault="00513E84">
            <w:pPr>
              <w:pStyle w:val="P68B1DB1-Normal36"/>
              <w:spacing w:line="257" w:lineRule="auto"/>
              <w:jc w:val="center"/>
              <w:rPr>
                <w:rFonts w:cs="Times New Roman"/>
                <w:noProof/>
              </w:rPr>
            </w:pPr>
            <w:r>
              <w:rPr>
                <w:noProof/>
              </w:rPr>
              <w:t>Calendario indicativo de finalización</w:t>
            </w:r>
          </w:p>
        </w:tc>
        <w:tc>
          <w:tcPr>
            <w:tcW w:w="3719" w:type="dxa"/>
            <w:vMerge w:val="restart"/>
            <w:shd w:val="clear" w:color="auto" w:fill="BDD7EE"/>
            <w:tcMar>
              <w:left w:w="108" w:type="dxa"/>
              <w:right w:w="108" w:type="dxa"/>
            </w:tcMar>
            <w:vAlign w:val="center"/>
          </w:tcPr>
          <w:p w14:paraId="5203FB12" w14:textId="77777777" w:rsidR="00F208CE" w:rsidRDefault="00513E84">
            <w:pPr>
              <w:pStyle w:val="P68B1DB1-Normal36"/>
              <w:spacing w:line="257" w:lineRule="auto"/>
              <w:jc w:val="center"/>
              <w:rPr>
                <w:rFonts w:cs="Times New Roman"/>
                <w:noProof/>
              </w:rPr>
            </w:pPr>
            <w:r>
              <w:rPr>
                <w:noProof/>
              </w:rPr>
              <w:t xml:space="preserve">Descripción </w:t>
            </w:r>
            <w:r>
              <w:rPr>
                <w:noProof/>
              </w:rPr>
              <w:t>de cada hito y objetivo</w:t>
            </w:r>
          </w:p>
        </w:tc>
      </w:tr>
      <w:tr w:rsidR="00F208CE" w14:paraId="2452897B" w14:textId="77777777">
        <w:trPr>
          <w:trHeight w:val="150"/>
        </w:trPr>
        <w:tc>
          <w:tcPr>
            <w:tcW w:w="713" w:type="dxa"/>
            <w:vMerge/>
            <w:vAlign w:val="center"/>
          </w:tcPr>
          <w:p w14:paraId="5B2310F3" w14:textId="77777777" w:rsidR="00F208CE" w:rsidRDefault="00F208CE">
            <w:pPr>
              <w:rPr>
                <w:rFonts w:ascii="Times New Roman" w:hAnsi="Times New Roman" w:cs="Times New Roman"/>
                <w:noProof/>
              </w:rPr>
            </w:pPr>
          </w:p>
        </w:tc>
        <w:tc>
          <w:tcPr>
            <w:tcW w:w="1522" w:type="dxa"/>
            <w:vMerge/>
            <w:vAlign w:val="center"/>
          </w:tcPr>
          <w:p w14:paraId="6B4E1E01" w14:textId="77777777" w:rsidR="00F208CE" w:rsidRDefault="00F208CE">
            <w:pPr>
              <w:rPr>
                <w:rFonts w:ascii="Times New Roman" w:hAnsi="Times New Roman" w:cs="Times New Roman"/>
                <w:noProof/>
              </w:rPr>
            </w:pPr>
          </w:p>
        </w:tc>
        <w:tc>
          <w:tcPr>
            <w:tcW w:w="756" w:type="dxa"/>
            <w:vMerge/>
            <w:vAlign w:val="center"/>
          </w:tcPr>
          <w:p w14:paraId="2EE20380" w14:textId="77777777" w:rsidR="00F208CE" w:rsidRDefault="00F208CE">
            <w:pPr>
              <w:rPr>
                <w:rFonts w:ascii="Times New Roman" w:hAnsi="Times New Roman" w:cs="Times New Roman"/>
                <w:noProof/>
              </w:rPr>
            </w:pPr>
          </w:p>
        </w:tc>
        <w:tc>
          <w:tcPr>
            <w:tcW w:w="1557" w:type="dxa"/>
            <w:vMerge/>
            <w:vAlign w:val="center"/>
          </w:tcPr>
          <w:p w14:paraId="2FAD1826" w14:textId="77777777" w:rsidR="00F208CE" w:rsidRDefault="00F208CE">
            <w:pPr>
              <w:rPr>
                <w:rFonts w:ascii="Times New Roman" w:hAnsi="Times New Roman" w:cs="Times New Roman"/>
                <w:noProof/>
              </w:rPr>
            </w:pPr>
          </w:p>
        </w:tc>
        <w:tc>
          <w:tcPr>
            <w:tcW w:w="1680" w:type="dxa"/>
            <w:vMerge/>
            <w:vAlign w:val="center"/>
          </w:tcPr>
          <w:p w14:paraId="1E842AB2" w14:textId="77777777" w:rsidR="00F208CE" w:rsidRDefault="00F208CE">
            <w:pPr>
              <w:rPr>
                <w:rFonts w:ascii="Times New Roman" w:hAnsi="Times New Roman" w:cs="Times New Roman"/>
                <w:noProof/>
              </w:rPr>
            </w:pPr>
          </w:p>
        </w:tc>
        <w:tc>
          <w:tcPr>
            <w:tcW w:w="1080" w:type="dxa"/>
            <w:shd w:val="clear" w:color="auto" w:fill="BDD7EE"/>
            <w:tcMar>
              <w:left w:w="108" w:type="dxa"/>
              <w:right w:w="108" w:type="dxa"/>
            </w:tcMar>
            <w:vAlign w:val="center"/>
          </w:tcPr>
          <w:p w14:paraId="4F66ADAE" w14:textId="77777777" w:rsidR="00F208CE" w:rsidRDefault="00513E84">
            <w:pPr>
              <w:pStyle w:val="P68B1DB1-Normal36"/>
              <w:spacing w:after="0"/>
              <w:jc w:val="center"/>
              <w:rPr>
                <w:rFonts w:cs="Times New Roman"/>
                <w:noProof/>
              </w:rPr>
            </w:pPr>
            <w:r>
              <w:rPr>
                <w:noProof/>
              </w:rPr>
              <w:t>Unidad de medida</w:t>
            </w:r>
          </w:p>
        </w:tc>
        <w:tc>
          <w:tcPr>
            <w:tcW w:w="1080" w:type="dxa"/>
            <w:shd w:val="clear" w:color="auto" w:fill="BDD7EE"/>
            <w:tcMar>
              <w:left w:w="108" w:type="dxa"/>
              <w:right w:w="108" w:type="dxa"/>
            </w:tcMar>
            <w:vAlign w:val="center"/>
          </w:tcPr>
          <w:p w14:paraId="3121BCD6" w14:textId="77777777" w:rsidR="00F208CE" w:rsidRDefault="00513E84">
            <w:pPr>
              <w:pStyle w:val="P68B1DB1-Normal36"/>
              <w:spacing w:after="0"/>
              <w:jc w:val="center"/>
              <w:rPr>
                <w:rFonts w:cs="Times New Roman"/>
                <w:noProof/>
              </w:rPr>
            </w:pPr>
            <w:r>
              <w:rPr>
                <w:noProof/>
              </w:rPr>
              <w:t>Basal</w:t>
            </w:r>
          </w:p>
        </w:tc>
        <w:tc>
          <w:tcPr>
            <w:tcW w:w="720" w:type="dxa"/>
            <w:shd w:val="clear" w:color="auto" w:fill="BDD7EE"/>
            <w:tcMar>
              <w:left w:w="108" w:type="dxa"/>
              <w:right w:w="108" w:type="dxa"/>
            </w:tcMar>
            <w:vAlign w:val="center"/>
          </w:tcPr>
          <w:p w14:paraId="7656224C" w14:textId="77777777" w:rsidR="00F208CE" w:rsidRDefault="00513E84">
            <w:pPr>
              <w:pStyle w:val="P68B1DB1-Normal36"/>
              <w:spacing w:after="0"/>
              <w:jc w:val="center"/>
              <w:rPr>
                <w:rFonts w:cs="Times New Roman"/>
                <w:noProof/>
              </w:rPr>
            </w:pPr>
            <w:r>
              <w:rPr>
                <w:noProof/>
              </w:rPr>
              <w:t>Meta</w:t>
            </w:r>
          </w:p>
        </w:tc>
        <w:tc>
          <w:tcPr>
            <w:tcW w:w="1080" w:type="dxa"/>
            <w:shd w:val="clear" w:color="auto" w:fill="BDD7EE"/>
            <w:tcMar>
              <w:left w:w="108" w:type="dxa"/>
              <w:right w:w="108" w:type="dxa"/>
            </w:tcMar>
            <w:vAlign w:val="center"/>
          </w:tcPr>
          <w:p w14:paraId="616EC587" w14:textId="77777777" w:rsidR="00F208CE" w:rsidRDefault="00513E84">
            <w:pPr>
              <w:pStyle w:val="P68B1DB1-Normal36"/>
              <w:spacing w:after="0"/>
              <w:jc w:val="center"/>
              <w:rPr>
                <w:rFonts w:cs="Times New Roman"/>
                <w:noProof/>
              </w:rPr>
            </w:pPr>
            <w:r>
              <w:rPr>
                <w:noProof/>
              </w:rPr>
              <w:t>Trimestre</w:t>
            </w:r>
          </w:p>
        </w:tc>
        <w:tc>
          <w:tcPr>
            <w:tcW w:w="835" w:type="dxa"/>
            <w:shd w:val="clear" w:color="auto" w:fill="BDD7EE"/>
            <w:tcMar>
              <w:left w:w="108" w:type="dxa"/>
              <w:right w:w="108" w:type="dxa"/>
            </w:tcMar>
            <w:vAlign w:val="center"/>
          </w:tcPr>
          <w:p w14:paraId="719CB910" w14:textId="77777777" w:rsidR="00F208CE" w:rsidRDefault="00513E84">
            <w:pPr>
              <w:pStyle w:val="P68B1DB1-Normal36"/>
              <w:spacing w:after="0"/>
              <w:jc w:val="center"/>
              <w:rPr>
                <w:rFonts w:cs="Times New Roman"/>
                <w:noProof/>
              </w:rPr>
            </w:pPr>
            <w:r>
              <w:rPr>
                <w:noProof/>
              </w:rPr>
              <w:t>Año</w:t>
            </w:r>
          </w:p>
        </w:tc>
        <w:tc>
          <w:tcPr>
            <w:tcW w:w="3719" w:type="dxa"/>
            <w:vMerge/>
            <w:vAlign w:val="center"/>
          </w:tcPr>
          <w:p w14:paraId="24747FAB" w14:textId="77777777" w:rsidR="00F208CE" w:rsidRDefault="00F208CE">
            <w:pPr>
              <w:rPr>
                <w:rFonts w:ascii="Times New Roman" w:hAnsi="Times New Roman" w:cs="Times New Roman"/>
                <w:noProof/>
              </w:rPr>
            </w:pPr>
          </w:p>
        </w:tc>
      </w:tr>
      <w:tr w:rsidR="00F208CE" w14:paraId="5825DBBC" w14:textId="77777777">
        <w:trPr>
          <w:trHeight w:val="300"/>
        </w:trPr>
        <w:tc>
          <w:tcPr>
            <w:tcW w:w="713" w:type="dxa"/>
            <w:shd w:val="clear" w:color="auto" w:fill="C6EFCE"/>
            <w:tcMar>
              <w:left w:w="108" w:type="dxa"/>
              <w:right w:w="108" w:type="dxa"/>
            </w:tcMar>
            <w:vAlign w:val="center"/>
          </w:tcPr>
          <w:p w14:paraId="0D70FCAB" w14:textId="77777777" w:rsidR="00F208CE" w:rsidRDefault="00513E84">
            <w:pPr>
              <w:pStyle w:val="P68B1DB1-Normal8"/>
              <w:spacing w:after="0"/>
              <w:jc w:val="center"/>
              <w:rPr>
                <w:rFonts w:cs="Times New Roman"/>
                <w:noProof/>
              </w:rPr>
            </w:pPr>
            <w:r>
              <w:rPr>
                <w:noProof/>
              </w:rPr>
              <w:t>239</w:t>
            </w:r>
          </w:p>
        </w:tc>
        <w:tc>
          <w:tcPr>
            <w:tcW w:w="1522" w:type="dxa"/>
            <w:shd w:val="clear" w:color="auto" w:fill="C6EFCE"/>
            <w:tcMar>
              <w:left w:w="108" w:type="dxa"/>
              <w:right w:w="108" w:type="dxa"/>
            </w:tcMar>
            <w:vAlign w:val="center"/>
          </w:tcPr>
          <w:p w14:paraId="4299DC73" w14:textId="77777777" w:rsidR="00F208CE" w:rsidRDefault="00513E84">
            <w:pPr>
              <w:pStyle w:val="P68B1DB1-Normal8"/>
              <w:spacing w:after="0"/>
              <w:rPr>
                <w:rFonts w:cs="Times New Roman"/>
                <w:noProof/>
              </w:rPr>
            </w:pPr>
            <w:r>
              <w:rPr>
                <w:noProof/>
              </w:rPr>
              <w:t>Isla de energía en alta mar (I-7.20)</w:t>
            </w:r>
          </w:p>
        </w:tc>
        <w:tc>
          <w:tcPr>
            <w:tcW w:w="756" w:type="dxa"/>
            <w:shd w:val="clear" w:color="auto" w:fill="C6EFCE"/>
            <w:tcMar>
              <w:left w:w="108" w:type="dxa"/>
              <w:right w:w="108" w:type="dxa"/>
            </w:tcMar>
            <w:vAlign w:val="center"/>
          </w:tcPr>
          <w:p w14:paraId="23AB07B0" w14:textId="77777777" w:rsidR="00F208CE" w:rsidRDefault="00513E84">
            <w:pPr>
              <w:pStyle w:val="P68B1DB1-Normal8"/>
              <w:spacing w:after="0"/>
              <w:jc w:val="center"/>
              <w:rPr>
                <w:rFonts w:cs="Times New Roman"/>
                <w:noProof/>
              </w:rPr>
            </w:pPr>
            <w:r>
              <w:rPr>
                <w:noProof/>
              </w:rPr>
              <w:t>M</w:t>
            </w:r>
          </w:p>
        </w:tc>
        <w:tc>
          <w:tcPr>
            <w:tcW w:w="1557" w:type="dxa"/>
            <w:shd w:val="clear" w:color="auto" w:fill="C6EFCE"/>
            <w:tcMar>
              <w:left w:w="108" w:type="dxa"/>
              <w:right w:w="108" w:type="dxa"/>
            </w:tcMar>
            <w:vAlign w:val="center"/>
          </w:tcPr>
          <w:p w14:paraId="7352B198" w14:textId="77777777" w:rsidR="00F208CE" w:rsidRDefault="00513E84">
            <w:pPr>
              <w:pStyle w:val="P68B1DB1-Normal8"/>
              <w:spacing w:after="0"/>
              <w:rPr>
                <w:rFonts w:cs="Times New Roman"/>
                <w:noProof/>
              </w:rPr>
            </w:pPr>
            <w:r>
              <w:rPr>
                <w:noProof/>
              </w:rPr>
              <w:t>Finalización de los estudios sobre piensos y medio ambiente</w:t>
            </w:r>
          </w:p>
        </w:tc>
        <w:tc>
          <w:tcPr>
            <w:tcW w:w="1680" w:type="dxa"/>
            <w:shd w:val="clear" w:color="auto" w:fill="C6EFCE"/>
            <w:tcMar>
              <w:left w:w="108" w:type="dxa"/>
              <w:right w:w="108" w:type="dxa"/>
            </w:tcMar>
            <w:vAlign w:val="center"/>
          </w:tcPr>
          <w:p w14:paraId="4673F912" w14:textId="77777777" w:rsidR="00F208CE" w:rsidRDefault="00513E84">
            <w:pPr>
              <w:pStyle w:val="P68B1DB1-Normal8"/>
              <w:spacing w:after="0"/>
              <w:rPr>
                <w:rFonts w:cs="Times New Roman"/>
                <w:noProof/>
              </w:rPr>
            </w:pPr>
            <w:r>
              <w:rPr>
                <w:noProof/>
              </w:rPr>
              <w:t>Publicación de estudios sobre piensos y medio ambiente</w:t>
            </w:r>
          </w:p>
        </w:tc>
        <w:tc>
          <w:tcPr>
            <w:tcW w:w="1080" w:type="dxa"/>
            <w:shd w:val="clear" w:color="auto" w:fill="C6EFCE"/>
            <w:tcMar>
              <w:left w:w="108" w:type="dxa"/>
              <w:right w:w="108" w:type="dxa"/>
            </w:tcMar>
            <w:vAlign w:val="center"/>
          </w:tcPr>
          <w:p w14:paraId="6A271442" w14:textId="77777777" w:rsidR="00F208CE" w:rsidRDefault="00F208CE">
            <w:pPr>
              <w:spacing w:after="0"/>
              <w:rPr>
                <w:rFonts w:ascii="Times New Roman" w:hAnsi="Times New Roman" w:cs="Times New Roman"/>
                <w:noProof/>
              </w:rPr>
            </w:pPr>
          </w:p>
        </w:tc>
        <w:tc>
          <w:tcPr>
            <w:tcW w:w="1080" w:type="dxa"/>
            <w:shd w:val="clear" w:color="auto" w:fill="C6EFCE"/>
            <w:tcMar>
              <w:left w:w="108" w:type="dxa"/>
              <w:right w:w="108" w:type="dxa"/>
            </w:tcMar>
            <w:vAlign w:val="center"/>
          </w:tcPr>
          <w:p w14:paraId="78411751" w14:textId="77777777" w:rsidR="00F208CE" w:rsidRDefault="00F208CE">
            <w:pPr>
              <w:spacing w:after="0"/>
              <w:rPr>
                <w:rFonts w:ascii="Times New Roman" w:hAnsi="Times New Roman" w:cs="Times New Roman"/>
                <w:noProof/>
              </w:rPr>
            </w:pPr>
          </w:p>
        </w:tc>
        <w:tc>
          <w:tcPr>
            <w:tcW w:w="720" w:type="dxa"/>
            <w:shd w:val="clear" w:color="auto" w:fill="C6EFCE"/>
            <w:tcMar>
              <w:left w:w="108" w:type="dxa"/>
              <w:right w:w="108" w:type="dxa"/>
            </w:tcMar>
            <w:vAlign w:val="center"/>
          </w:tcPr>
          <w:p w14:paraId="74287B7A" w14:textId="77777777" w:rsidR="00F208CE" w:rsidRDefault="00F208CE">
            <w:pPr>
              <w:spacing w:after="0"/>
              <w:rPr>
                <w:rFonts w:ascii="Times New Roman" w:hAnsi="Times New Roman" w:cs="Times New Roman"/>
                <w:noProof/>
              </w:rPr>
            </w:pPr>
          </w:p>
        </w:tc>
        <w:tc>
          <w:tcPr>
            <w:tcW w:w="1080" w:type="dxa"/>
            <w:shd w:val="clear" w:color="auto" w:fill="C6EFCE"/>
            <w:tcMar>
              <w:left w:w="108" w:type="dxa"/>
              <w:right w:w="108" w:type="dxa"/>
            </w:tcMar>
            <w:vAlign w:val="center"/>
          </w:tcPr>
          <w:p w14:paraId="5015FDAB" w14:textId="77777777" w:rsidR="00F208CE" w:rsidRDefault="00513E84">
            <w:pPr>
              <w:pStyle w:val="P68B1DB1-Normal8"/>
              <w:spacing w:after="0"/>
              <w:jc w:val="center"/>
              <w:rPr>
                <w:rFonts w:eastAsia="Times New Roman" w:cs="Times New Roman"/>
                <w:noProof/>
              </w:rPr>
            </w:pPr>
            <w:r>
              <w:rPr>
                <w:noProof/>
              </w:rPr>
              <w:t>TERCER TRIMESTRE 4</w:t>
            </w:r>
          </w:p>
        </w:tc>
        <w:tc>
          <w:tcPr>
            <w:tcW w:w="835" w:type="dxa"/>
            <w:shd w:val="clear" w:color="auto" w:fill="C6EFCE"/>
            <w:tcMar>
              <w:left w:w="108" w:type="dxa"/>
              <w:right w:w="108" w:type="dxa"/>
            </w:tcMar>
            <w:vAlign w:val="center"/>
          </w:tcPr>
          <w:p w14:paraId="76B156D2" w14:textId="77777777" w:rsidR="00F208CE" w:rsidRDefault="00513E84">
            <w:pPr>
              <w:pStyle w:val="P68B1DB1-Normal8"/>
              <w:spacing w:after="0"/>
              <w:jc w:val="center"/>
              <w:rPr>
                <w:rFonts w:eastAsia="Times New Roman" w:cs="Times New Roman"/>
                <w:noProof/>
              </w:rPr>
            </w:pPr>
            <w:r>
              <w:rPr>
                <w:noProof/>
              </w:rPr>
              <w:t>2022</w:t>
            </w:r>
          </w:p>
        </w:tc>
        <w:tc>
          <w:tcPr>
            <w:tcW w:w="3719" w:type="dxa"/>
            <w:shd w:val="clear" w:color="auto" w:fill="C6EFCE"/>
            <w:tcMar>
              <w:left w:w="108" w:type="dxa"/>
              <w:right w:w="108" w:type="dxa"/>
            </w:tcMar>
            <w:vAlign w:val="center"/>
          </w:tcPr>
          <w:p w14:paraId="0C5C9DFE" w14:textId="229F539D" w:rsidR="00F208CE" w:rsidRDefault="00513E84">
            <w:pPr>
              <w:pStyle w:val="P68B1DB1-Normal8"/>
              <w:spacing w:after="0"/>
              <w:rPr>
                <w:rFonts w:eastAsia="Times New Roman" w:cs="Times New Roman"/>
                <w:noProof/>
              </w:rPr>
            </w:pPr>
            <w:r>
              <w:rPr>
                <w:noProof/>
              </w:rPr>
              <w:t xml:space="preserve">Finalización de los estudios de ingeniería FEED (Front-end Engineering design) y medioambientales para la medida «isla energética en alta mar». </w:t>
            </w:r>
          </w:p>
        </w:tc>
      </w:tr>
      <w:tr w:rsidR="00F208CE" w14:paraId="419E0569" w14:textId="77777777">
        <w:trPr>
          <w:trHeight w:val="300"/>
        </w:trPr>
        <w:tc>
          <w:tcPr>
            <w:tcW w:w="713" w:type="dxa"/>
            <w:shd w:val="clear" w:color="auto" w:fill="C6EFCE"/>
            <w:tcMar>
              <w:left w:w="108" w:type="dxa"/>
              <w:right w:w="108" w:type="dxa"/>
            </w:tcMar>
            <w:vAlign w:val="center"/>
          </w:tcPr>
          <w:p w14:paraId="3F6B998F" w14:textId="77777777" w:rsidR="00F208CE" w:rsidRDefault="00513E84">
            <w:pPr>
              <w:pStyle w:val="P68B1DB1-Normal8"/>
              <w:spacing w:after="0"/>
              <w:jc w:val="center"/>
              <w:rPr>
                <w:rFonts w:eastAsia="Times New Roman" w:cs="Times New Roman"/>
                <w:noProof/>
              </w:rPr>
            </w:pPr>
            <w:r>
              <w:rPr>
                <w:noProof/>
              </w:rPr>
              <w:t>240</w:t>
            </w:r>
          </w:p>
        </w:tc>
        <w:tc>
          <w:tcPr>
            <w:tcW w:w="1522" w:type="dxa"/>
            <w:shd w:val="clear" w:color="auto" w:fill="C6EFCE"/>
            <w:tcMar>
              <w:left w:w="108" w:type="dxa"/>
              <w:right w:w="108" w:type="dxa"/>
            </w:tcMar>
            <w:vAlign w:val="center"/>
          </w:tcPr>
          <w:p w14:paraId="1DEEC9C2" w14:textId="77777777" w:rsidR="00F208CE" w:rsidRDefault="00513E84">
            <w:pPr>
              <w:pStyle w:val="P68B1DB1-Normal8"/>
              <w:spacing w:after="0"/>
              <w:rPr>
                <w:rFonts w:cs="Times New Roman"/>
                <w:noProof/>
              </w:rPr>
            </w:pPr>
            <w:r>
              <w:rPr>
                <w:noProof/>
              </w:rPr>
              <w:t>Isla de energía en alta mar (I-1.7.20)</w:t>
            </w:r>
          </w:p>
        </w:tc>
        <w:tc>
          <w:tcPr>
            <w:tcW w:w="756" w:type="dxa"/>
            <w:shd w:val="clear" w:color="auto" w:fill="C6EFCE"/>
            <w:tcMar>
              <w:left w:w="108" w:type="dxa"/>
              <w:right w:w="108" w:type="dxa"/>
            </w:tcMar>
            <w:vAlign w:val="center"/>
          </w:tcPr>
          <w:p w14:paraId="6CBEE3E7" w14:textId="77777777" w:rsidR="00F208CE" w:rsidRDefault="00513E84">
            <w:pPr>
              <w:pStyle w:val="P68B1DB1-Normal8"/>
              <w:spacing w:after="0"/>
              <w:jc w:val="center"/>
              <w:rPr>
                <w:rFonts w:cs="Times New Roman"/>
                <w:noProof/>
              </w:rPr>
            </w:pPr>
            <w:r>
              <w:rPr>
                <w:noProof/>
              </w:rPr>
              <w:t>M</w:t>
            </w:r>
          </w:p>
        </w:tc>
        <w:tc>
          <w:tcPr>
            <w:tcW w:w="1557" w:type="dxa"/>
            <w:shd w:val="clear" w:color="auto" w:fill="C6EFCE"/>
            <w:tcMar>
              <w:left w:w="108" w:type="dxa"/>
              <w:right w:w="108" w:type="dxa"/>
            </w:tcMar>
            <w:vAlign w:val="center"/>
          </w:tcPr>
          <w:p w14:paraId="7239F93F" w14:textId="77777777" w:rsidR="00F208CE" w:rsidRDefault="00513E84">
            <w:pPr>
              <w:pStyle w:val="P68B1DB1-Normal8"/>
              <w:spacing w:after="0"/>
              <w:rPr>
                <w:rFonts w:eastAsia="Times New Roman" w:cs="Times New Roman"/>
                <w:noProof/>
              </w:rPr>
            </w:pPr>
            <w:r>
              <w:rPr>
                <w:noProof/>
              </w:rPr>
              <w:t xml:space="preserve">Obtención de permisos medioambientales para la isla </w:t>
            </w:r>
            <w:r>
              <w:rPr>
                <w:noProof/>
              </w:rPr>
              <w:t>energética</w:t>
            </w:r>
          </w:p>
        </w:tc>
        <w:tc>
          <w:tcPr>
            <w:tcW w:w="1680" w:type="dxa"/>
            <w:shd w:val="clear" w:color="auto" w:fill="C6EFCE"/>
            <w:tcMar>
              <w:left w:w="108" w:type="dxa"/>
              <w:right w:w="108" w:type="dxa"/>
            </w:tcMar>
            <w:vAlign w:val="center"/>
          </w:tcPr>
          <w:p w14:paraId="351BC81E" w14:textId="77777777" w:rsidR="00F208CE" w:rsidRDefault="00513E84">
            <w:pPr>
              <w:pStyle w:val="P68B1DB1-Normal8"/>
              <w:spacing w:after="0"/>
              <w:rPr>
                <w:rFonts w:eastAsia="Times New Roman" w:cs="Times New Roman"/>
                <w:noProof/>
              </w:rPr>
            </w:pPr>
            <w:r>
              <w:rPr>
                <w:noProof/>
              </w:rPr>
              <w:t>Obtención de permisos medioambientales para la isla energética</w:t>
            </w:r>
          </w:p>
        </w:tc>
        <w:tc>
          <w:tcPr>
            <w:tcW w:w="1080" w:type="dxa"/>
            <w:shd w:val="clear" w:color="auto" w:fill="C6EFCE"/>
            <w:tcMar>
              <w:left w:w="108" w:type="dxa"/>
              <w:right w:w="108" w:type="dxa"/>
            </w:tcMar>
            <w:vAlign w:val="center"/>
          </w:tcPr>
          <w:p w14:paraId="05D905D6" w14:textId="77777777" w:rsidR="00F208CE" w:rsidRDefault="00F208CE">
            <w:pPr>
              <w:spacing w:after="0"/>
              <w:rPr>
                <w:rFonts w:ascii="Times New Roman" w:hAnsi="Times New Roman" w:cs="Times New Roman"/>
                <w:noProof/>
              </w:rPr>
            </w:pPr>
          </w:p>
        </w:tc>
        <w:tc>
          <w:tcPr>
            <w:tcW w:w="1080" w:type="dxa"/>
            <w:shd w:val="clear" w:color="auto" w:fill="C6EFCE"/>
            <w:tcMar>
              <w:left w:w="108" w:type="dxa"/>
              <w:right w:w="108" w:type="dxa"/>
            </w:tcMar>
            <w:vAlign w:val="center"/>
          </w:tcPr>
          <w:p w14:paraId="71C19B89" w14:textId="77777777" w:rsidR="00F208CE" w:rsidRDefault="00F208CE">
            <w:pPr>
              <w:spacing w:after="0"/>
              <w:rPr>
                <w:rFonts w:ascii="Times New Roman" w:hAnsi="Times New Roman" w:cs="Times New Roman"/>
                <w:noProof/>
              </w:rPr>
            </w:pPr>
          </w:p>
        </w:tc>
        <w:tc>
          <w:tcPr>
            <w:tcW w:w="720" w:type="dxa"/>
            <w:shd w:val="clear" w:color="auto" w:fill="C6EFCE"/>
            <w:tcMar>
              <w:left w:w="108" w:type="dxa"/>
              <w:right w:w="108" w:type="dxa"/>
            </w:tcMar>
            <w:vAlign w:val="center"/>
          </w:tcPr>
          <w:p w14:paraId="2B78CAD6" w14:textId="77777777" w:rsidR="00F208CE" w:rsidRDefault="00F208CE">
            <w:pPr>
              <w:spacing w:after="0"/>
              <w:rPr>
                <w:rFonts w:ascii="Times New Roman" w:hAnsi="Times New Roman" w:cs="Times New Roman"/>
                <w:noProof/>
              </w:rPr>
            </w:pPr>
          </w:p>
        </w:tc>
        <w:tc>
          <w:tcPr>
            <w:tcW w:w="1080" w:type="dxa"/>
            <w:shd w:val="clear" w:color="auto" w:fill="C6EFCE"/>
            <w:tcMar>
              <w:left w:w="108" w:type="dxa"/>
              <w:right w:w="108" w:type="dxa"/>
            </w:tcMar>
            <w:vAlign w:val="center"/>
          </w:tcPr>
          <w:p w14:paraId="540A3527" w14:textId="77777777" w:rsidR="00F208CE" w:rsidRDefault="00513E84">
            <w:pPr>
              <w:pStyle w:val="P68B1DB1-Normal8"/>
              <w:spacing w:after="0"/>
              <w:jc w:val="center"/>
              <w:rPr>
                <w:rFonts w:eastAsia="Times New Roman" w:cs="Times New Roman"/>
                <w:noProof/>
              </w:rPr>
            </w:pPr>
            <w:r>
              <w:rPr>
                <w:noProof/>
              </w:rPr>
              <w:t>TERCER TRIMESTRE 3</w:t>
            </w:r>
          </w:p>
        </w:tc>
        <w:tc>
          <w:tcPr>
            <w:tcW w:w="835" w:type="dxa"/>
            <w:shd w:val="clear" w:color="auto" w:fill="C6EFCE"/>
            <w:tcMar>
              <w:left w:w="108" w:type="dxa"/>
              <w:right w:w="108" w:type="dxa"/>
            </w:tcMar>
            <w:vAlign w:val="center"/>
          </w:tcPr>
          <w:p w14:paraId="26A608F6" w14:textId="77777777" w:rsidR="00F208CE" w:rsidRDefault="00513E84">
            <w:pPr>
              <w:pStyle w:val="P68B1DB1-Normal8"/>
              <w:spacing w:after="0"/>
              <w:jc w:val="center"/>
              <w:rPr>
                <w:rFonts w:eastAsia="Times New Roman" w:cs="Times New Roman"/>
                <w:noProof/>
              </w:rPr>
            </w:pPr>
            <w:r>
              <w:rPr>
                <w:noProof/>
              </w:rPr>
              <w:t>2023</w:t>
            </w:r>
          </w:p>
        </w:tc>
        <w:tc>
          <w:tcPr>
            <w:tcW w:w="3719" w:type="dxa"/>
            <w:shd w:val="clear" w:color="auto" w:fill="C6EFCE"/>
            <w:tcMar>
              <w:left w:w="108" w:type="dxa"/>
              <w:right w:w="108" w:type="dxa"/>
            </w:tcMar>
            <w:vAlign w:val="center"/>
          </w:tcPr>
          <w:p w14:paraId="4AB29F81" w14:textId="77777777" w:rsidR="00F208CE" w:rsidRDefault="00513E84">
            <w:pPr>
              <w:pStyle w:val="P68B1DB1-Normal8"/>
              <w:spacing w:after="0"/>
              <w:rPr>
                <w:rFonts w:eastAsia="Times New Roman" w:cs="Times New Roman"/>
                <w:noProof/>
              </w:rPr>
            </w:pPr>
            <w:r>
              <w:rPr>
                <w:noProof/>
              </w:rPr>
              <w:t>Permisos medioambientales obtenidos por el gestor de la red de transporte para una isla energética en el Mar del Norte, que comprenden cinco hectáreas de s</w:t>
            </w:r>
            <w:r>
              <w:rPr>
                <w:noProof/>
              </w:rPr>
              <w:t>uperficie útil y permisos medioambientales para el despliegue de cables de conexión en alta mar entre la costa y la isla energética.</w:t>
            </w:r>
          </w:p>
        </w:tc>
      </w:tr>
      <w:tr w:rsidR="00F208CE" w14:paraId="59616321" w14:textId="77777777">
        <w:trPr>
          <w:trHeight w:val="300"/>
        </w:trPr>
        <w:tc>
          <w:tcPr>
            <w:tcW w:w="713" w:type="dxa"/>
            <w:shd w:val="clear" w:color="auto" w:fill="C6EFCE"/>
            <w:tcMar>
              <w:left w:w="108" w:type="dxa"/>
              <w:right w:w="108" w:type="dxa"/>
            </w:tcMar>
            <w:vAlign w:val="center"/>
          </w:tcPr>
          <w:p w14:paraId="6642560C" w14:textId="77777777" w:rsidR="00F208CE" w:rsidRDefault="00513E84">
            <w:pPr>
              <w:pStyle w:val="P68B1DB1-Normal8"/>
              <w:spacing w:after="0"/>
              <w:jc w:val="center"/>
              <w:rPr>
                <w:rFonts w:cs="Times New Roman"/>
                <w:noProof/>
              </w:rPr>
            </w:pPr>
            <w:r>
              <w:rPr>
                <w:noProof/>
              </w:rPr>
              <w:t>241</w:t>
            </w:r>
          </w:p>
        </w:tc>
        <w:tc>
          <w:tcPr>
            <w:tcW w:w="1522" w:type="dxa"/>
            <w:shd w:val="clear" w:color="auto" w:fill="C6EFCE"/>
            <w:tcMar>
              <w:left w:w="108" w:type="dxa"/>
              <w:right w:w="108" w:type="dxa"/>
            </w:tcMar>
            <w:vAlign w:val="center"/>
          </w:tcPr>
          <w:p w14:paraId="19EC0073" w14:textId="77777777" w:rsidR="00F208CE" w:rsidRDefault="00513E84">
            <w:pPr>
              <w:pStyle w:val="P68B1DB1-Normal8"/>
              <w:spacing w:after="0"/>
              <w:rPr>
                <w:rFonts w:cs="Times New Roman"/>
                <w:noProof/>
              </w:rPr>
            </w:pPr>
            <w:r>
              <w:rPr>
                <w:noProof/>
              </w:rPr>
              <w:t>Isla de energía en alta mar (I-7.20)</w:t>
            </w:r>
          </w:p>
        </w:tc>
        <w:tc>
          <w:tcPr>
            <w:tcW w:w="756" w:type="dxa"/>
            <w:shd w:val="clear" w:color="auto" w:fill="C6EFCE"/>
            <w:tcMar>
              <w:left w:w="108" w:type="dxa"/>
              <w:right w:w="108" w:type="dxa"/>
            </w:tcMar>
            <w:vAlign w:val="center"/>
          </w:tcPr>
          <w:p w14:paraId="0DD9F972" w14:textId="77777777" w:rsidR="00F208CE" w:rsidRDefault="00513E84">
            <w:pPr>
              <w:pStyle w:val="P68B1DB1-Normal8"/>
              <w:spacing w:after="0"/>
              <w:jc w:val="center"/>
              <w:rPr>
                <w:rFonts w:cs="Times New Roman"/>
                <w:noProof/>
              </w:rPr>
            </w:pPr>
            <w:r>
              <w:rPr>
                <w:noProof/>
              </w:rPr>
              <w:t>M</w:t>
            </w:r>
          </w:p>
        </w:tc>
        <w:tc>
          <w:tcPr>
            <w:tcW w:w="1557" w:type="dxa"/>
            <w:shd w:val="clear" w:color="auto" w:fill="C6EFCE"/>
            <w:tcMar>
              <w:left w:w="108" w:type="dxa"/>
              <w:right w:w="108" w:type="dxa"/>
            </w:tcMar>
            <w:vAlign w:val="center"/>
          </w:tcPr>
          <w:p w14:paraId="7E4350B1" w14:textId="77777777" w:rsidR="00F208CE" w:rsidRDefault="00513E84">
            <w:pPr>
              <w:pStyle w:val="P68B1DB1-Normal8"/>
              <w:spacing w:after="0"/>
              <w:rPr>
                <w:rFonts w:cs="Times New Roman"/>
                <w:noProof/>
              </w:rPr>
            </w:pPr>
            <w:r>
              <w:rPr>
                <w:noProof/>
              </w:rPr>
              <w:t>Finalización de las obras relacionadas con la isla energética</w:t>
            </w:r>
          </w:p>
        </w:tc>
        <w:tc>
          <w:tcPr>
            <w:tcW w:w="1680" w:type="dxa"/>
            <w:shd w:val="clear" w:color="auto" w:fill="C6EFCE"/>
            <w:tcMar>
              <w:left w:w="108" w:type="dxa"/>
              <w:right w:w="108" w:type="dxa"/>
            </w:tcMar>
            <w:vAlign w:val="center"/>
          </w:tcPr>
          <w:p w14:paraId="777BA509" w14:textId="77777777" w:rsidR="00F208CE" w:rsidRDefault="00513E84">
            <w:pPr>
              <w:pStyle w:val="P68B1DB1-Normal8"/>
              <w:spacing w:after="0"/>
              <w:rPr>
                <w:rFonts w:cs="Times New Roman"/>
                <w:noProof/>
              </w:rPr>
            </w:pPr>
            <w:r>
              <w:rPr>
                <w:noProof/>
              </w:rPr>
              <w:t>Conclusión de las</w:t>
            </w:r>
            <w:r>
              <w:rPr>
                <w:noProof/>
              </w:rPr>
              <w:t xml:space="preserve"> obras</w:t>
            </w:r>
          </w:p>
        </w:tc>
        <w:tc>
          <w:tcPr>
            <w:tcW w:w="1080" w:type="dxa"/>
            <w:shd w:val="clear" w:color="auto" w:fill="C6EFCE"/>
            <w:tcMar>
              <w:left w:w="108" w:type="dxa"/>
              <w:right w:w="108" w:type="dxa"/>
            </w:tcMar>
            <w:vAlign w:val="center"/>
          </w:tcPr>
          <w:p w14:paraId="5D774B85" w14:textId="77777777" w:rsidR="00F208CE" w:rsidRDefault="00F208CE">
            <w:pPr>
              <w:spacing w:after="0"/>
              <w:rPr>
                <w:rFonts w:ascii="Times New Roman" w:hAnsi="Times New Roman" w:cs="Times New Roman"/>
                <w:noProof/>
              </w:rPr>
            </w:pPr>
          </w:p>
        </w:tc>
        <w:tc>
          <w:tcPr>
            <w:tcW w:w="1080" w:type="dxa"/>
            <w:shd w:val="clear" w:color="auto" w:fill="C6EFCE"/>
            <w:tcMar>
              <w:left w:w="108" w:type="dxa"/>
              <w:right w:w="108" w:type="dxa"/>
            </w:tcMar>
            <w:vAlign w:val="center"/>
          </w:tcPr>
          <w:p w14:paraId="449913E5" w14:textId="77777777" w:rsidR="00F208CE" w:rsidRDefault="00F208CE">
            <w:pPr>
              <w:spacing w:after="0"/>
              <w:rPr>
                <w:rFonts w:ascii="Times New Roman" w:hAnsi="Times New Roman" w:cs="Times New Roman"/>
                <w:noProof/>
              </w:rPr>
            </w:pPr>
          </w:p>
        </w:tc>
        <w:tc>
          <w:tcPr>
            <w:tcW w:w="720" w:type="dxa"/>
            <w:shd w:val="clear" w:color="auto" w:fill="C6EFCE"/>
            <w:tcMar>
              <w:left w:w="108" w:type="dxa"/>
              <w:right w:w="108" w:type="dxa"/>
            </w:tcMar>
            <w:vAlign w:val="center"/>
          </w:tcPr>
          <w:p w14:paraId="3F9D0538" w14:textId="77777777" w:rsidR="00F208CE" w:rsidRDefault="00F208CE">
            <w:pPr>
              <w:spacing w:after="0"/>
              <w:rPr>
                <w:rFonts w:ascii="Times New Roman" w:hAnsi="Times New Roman" w:cs="Times New Roman"/>
                <w:noProof/>
              </w:rPr>
            </w:pPr>
          </w:p>
        </w:tc>
        <w:tc>
          <w:tcPr>
            <w:tcW w:w="1080" w:type="dxa"/>
            <w:shd w:val="clear" w:color="auto" w:fill="C6EFCE"/>
            <w:tcMar>
              <w:left w:w="108" w:type="dxa"/>
              <w:right w:w="108" w:type="dxa"/>
            </w:tcMar>
            <w:vAlign w:val="center"/>
          </w:tcPr>
          <w:p w14:paraId="05DE04B2" w14:textId="77777777" w:rsidR="00F208CE" w:rsidRDefault="00513E84">
            <w:pPr>
              <w:pStyle w:val="P68B1DB1-Normal8"/>
              <w:spacing w:after="0"/>
              <w:jc w:val="center"/>
              <w:rPr>
                <w:rFonts w:eastAsia="Times New Roman" w:cs="Times New Roman"/>
                <w:noProof/>
              </w:rPr>
            </w:pPr>
            <w:r>
              <w:rPr>
                <w:noProof/>
              </w:rPr>
              <w:t>TERCER TRIMESTRE 2</w:t>
            </w:r>
          </w:p>
        </w:tc>
        <w:tc>
          <w:tcPr>
            <w:tcW w:w="835" w:type="dxa"/>
            <w:shd w:val="clear" w:color="auto" w:fill="C6EFCE"/>
            <w:tcMar>
              <w:left w:w="108" w:type="dxa"/>
              <w:right w:w="108" w:type="dxa"/>
            </w:tcMar>
            <w:vAlign w:val="center"/>
          </w:tcPr>
          <w:p w14:paraId="3166E1DA" w14:textId="77777777" w:rsidR="00F208CE" w:rsidRDefault="00513E84">
            <w:pPr>
              <w:pStyle w:val="P68B1DB1-Normal8"/>
              <w:spacing w:after="0"/>
              <w:jc w:val="center"/>
              <w:rPr>
                <w:rFonts w:eastAsia="Times New Roman" w:cs="Times New Roman"/>
                <w:noProof/>
              </w:rPr>
            </w:pPr>
            <w:r>
              <w:rPr>
                <w:noProof/>
              </w:rPr>
              <w:t>2026</w:t>
            </w:r>
          </w:p>
        </w:tc>
        <w:tc>
          <w:tcPr>
            <w:tcW w:w="3719" w:type="dxa"/>
            <w:shd w:val="clear" w:color="auto" w:fill="C6EFCE"/>
            <w:tcMar>
              <w:left w:w="108" w:type="dxa"/>
              <w:right w:w="108" w:type="dxa"/>
            </w:tcMar>
            <w:vAlign w:val="center"/>
          </w:tcPr>
          <w:p w14:paraId="52F34315" w14:textId="77777777" w:rsidR="00F208CE" w:rsidRDefault="00513E84">
            <w:pPr>
              <w:pStyle w:val="P68B1DB1-Normal8"/>
              <w:spacing w:after="0"/>
              <w:rPr>
                <w:rFonts w:eastAsia="Times New Roman" w:cs="Times New Roman"/>
                <w:noProof/>
              </w:rPr>
            </w:pPr>
            <w:r>
              <w:rPr>
                <w:noProof/>
              </w:rPr>
              <w:t>Finalización de las obras relacionadas con la isla energética, con cinco hectáreas de superficie útil y listas para cables de conexión en alta mar entre la costa y la isla energética. Isla permitirá el futuro enlace de int</w:t>
            </w:r>
            <w:r>
              <w:rPr>
                <w:noProof/>
              </w:rPr>
              <w:t>erconexión con otro u otros países.</w:t>
            </w:r>
          </w:p>
        </w:tc>
      </w:tr>
    </w:tbl>
    <w:p w14:paraId="0824D56A" w14:textId="77777777" w:rsidR="00F208CE" w:rsidRDefault="00F208CE">
      <w:pPr>
        <w:rPr>
          <w:noProof/>
        </w:rPr>
      </w:pPr>
    </w:p>
    <w:p w14:paraId="081BF09E" w14:textId="77777777" w:rsidR="00F208CE" w:rsidRDefault="00F208CE">
      <w:pPr>
        <w:rPr>
          <w:noProof/>
        </w:rPr>
        <w:sectPr w:rsidR="00F208CE" w:rsidSect="007F56C3">
          <w:headerReference w:type="default" r:id="rId212"/>
          <w:footerReference w:type="default" r:id="rId213"/>
          <w:pgSz w:w="16839" w:h="11907" w:orient="landscape"/>
          <w:pgMar w:top="1134" w:right="1134" w:bottom="1134" w:left="1134" w:header="567" w:footer="567" w:gutter="0"/>
          <w:cols w:space="720"/>
          <w:docGrid w:linePitch="360"/>
        </w:sectPr>
      </w:pPr>
    </w:p>
    <w:p w14:paraId="32EA9E36" w14:textId="48432DAC" w:rsidR="00F208CE" w:rsidRDefault="00513E84">
      <w:pPr>
        <w:pStyle w:val="ManualHeading1"/>
        <w:spacing w:before="120"/>
        <w:ind w:left="0" w:hanging="130"/>
        <w:rPr>
          <w:smallCaps w:val="0"/>
          <w:noProof/>
        </w:rPr>
      </w:pPr>
      <w:r>
        <w:rPr>
          <w:noProof/>
        </w:rPr>
        <w:t>U. COMPONENTE 7.4: Movilidad</w:t>
      </w:r>
    </w:p>
    <w:p w14:paraId="6DC45C06" w14:textId="77777777" w:rsidR="00F208CE" w:rsidRDefault="00513E84">
      <w:pPr>
        <w:pStyle w:val="P68B1DB1-Normal1"/>
        <w:spacing w:before="120" w:after="120" w:line="240" w:lineRule="auto"/>
        <w:jc w:val="both"/>
        <w:rPr>
          <w:rFonts w:cs="Times New Roman"/>
          <w:noProof/>
        </w:rPr>
      </w:pPr>
      <w:r>
        <w:rPr>
          <w:noProof/>
        </w:rPr>
        <w:t>Las medidas propuestas en el marco de este componente del plan belga de recuperación y resiliencia tienen por objeto apoyar el transporte por carretera de bajas emisiones y apoyar el cambio modal invirtiendo en el ferrocarril.</w:t>
      </w:r>
    </w:p>
    <w:p w14:paraId="210B4D4A" w14:textId="77777777" w:rsidR="00F208CE" w:rsidRDefault="00513E84">
      <w:pPr>
        <w:pStyle w:val="P68B1DB1-Normal1"/>
        <w:spacing w:before="120" w:after="120" w:line="240" w:lineRule="auto"/>
        <w:jc w:val="both"/>
        <w:rPr>
          <w:rFonts w:eastAsia="Times New Roman" w:cs="Times New Roman"/>
          <w:noProof/>
        </w:rPr>
      </w:pPr>
      <w:r>
        <w:rPr>
          <w:noProof/>
        </w:rPr>
        <w:t>El componente contribuye a ab</w:t>
      </w:r>
      <w:r>
        <w:rPr>
          <w:noProof/>
        </w:rPr>
        <w:t xml:space="preserve">ordar las recomendaciones específicas por país n.º 2022.4 y n.º 2023.4 para </w:t>
      </w:r>
      <w:r>
        <w:rPr>
          <w:i/>
          <w:noProof/>
        </w:rPr>
        <w:t>reducir la dependencia general de los combustibles fósiles promoviendo el uso y el suministro del transporte público, así como la movilidad blanda</w:t>
      </w:r>
      <w:r>
        <w:rPr>
          <w:noProof/>
        </w:rPr>
        <w:t>.</w:t>
      </w:r>
    </w:p>
    <w:p w14:paraId="49A0D424" w14:textId="77777777" w:rsidR="00F208CE" w:rsidRDefault="00513E84">
      <w:pPr>
        <w:pStyle w:val="P68B1DB1-Normal1"/>
        <w:spacing w:before="120" w:after="120" w:line="240" w:lineRule="auto"/>
        <w:jc w:val="both"/>
        <w:rPr>
          <w:rFonts w:cs="Times New Roman"/>
          <w:noProof/>
        </w:rPr>
      </w:pPr>
      <w:r>
        <w:rPr>
          <w:noProof/>
        </w:rPr>
        <w:t xml:space="preserve">Se espera que ninguna medida de </w:t>
      </w:r>
      <w:r>
        <w:rPr>
          <w:noProof/>
        </w:rPr>
        <w:t>este componente perjudique significativamente a los objetivos medioambientales en el sentido del artículo 17 del Reglamento (UE) 2020/852, teniendo en cuenta la descripción de las medidas y las medidas atenuantes establecidas en el plan de recuperación y r</w:t>
      </w:r>
      <w:r>
        <w:rPr>
          <w:noProof/>
        </w:rPr>
        <w:t>esiliencia de conformidad con las orientaciones técnicas de DNSH (2021/C58/01).</w:t>
      </w:r>
    </w:p>
    <w:p w14:paraId="39F75520" w14:textId="31E1C216" w:rsidR="00F208CE" w:rsidRDefault="00513E84">
      <w:pPr>
        <w:pStyle w:val="P68B1DB1-Jalonsetcibles25"/>
        <w:spacing w:before="120" w:after="120" w:line="240" w:lineRule="auto"/>
        <w:rPr>
          <w:rFonts w:eastAsia="Times New Roman"/>
          <w:noProof/>
        </w:rPr>
      </w:pPr>
      <w:r>
        <w:rPr>
          <w:noProof/>
        </w:rPr>
        <w:t>U.1. Descripción de las reformas e inversiones para la ayuda financiera no reembolsable</w:t>
      </w:r>
    </w:p>
    <w:p w14:paraId="6089839D" w14:textId="75180DFB" w:rsidR="00F208CE" w:rsidRDefault="00513E84">
      <w:pPr>
        <w:pStyle w:val="P68B1DB1-Jalonsetcibles22"/>
        <w:spacing w:before="120" w:after="120" w:line="240" w:lineRule="auto"/>
        <w:rPr>
          <w:noProof/>
        </w:rPr>
      </w:pPr>
      <w:r>
        <w:rPr>
          <w:noProof/>
        </w:rPr>
        <w:t>Inversión I-7.21: «Ecologización de la flota de autobuses — RBC» de la Región de Brusela</w:t>
      </w:r>
      <w:r>
        <w:rPr>
          <w:noProof/>
        </w:rPr>
        <w:t>s-Capital</w:t>
      </w:r>
    </w:p>
    <w:p w14:paraId="168B19D2" w14:textId="7A849E2A" w:rsidR="00F208CE" w:rsidRDefault="00513E84">
      <w:pPr>
        <w:pStyle w:val="P68B1DB1-Jalonsetcibles23"/>
        <w:spacing w:before="120" w:after="120" w:line="240" w:lineRule="auto"/>
        <w:jc w:val="both"/>
        <w:rPr>
          <w:noProof/>
        </w:rPr>
      </w:pPr>
      <w:r>
        <w:rPr>
          <w:noProof/>
        </w:rPr>
        <w:t>Esta medida formaba parte de la inversión I-3.17: «Ecologización de la flota de autobuses — RBC»</w:t>
      </w:r>
      <w:r>
        <w:rPr>
          <w:i/>
          <w:noProof/>
        </w:rPr>
        <w:t xml:space="preserve">, </w:t>
      </w:r>
      <w:r>
        <w:rPr>
          <w:noProof/>
        </w:rPr>
        <w:t>en el marco del componente 3.3: Ecologización del transporte por carretera. La medida consiste en la adquisición de autobuses eléctricos adicionales</w:t>
      </w:r>
      <w:r>
        <w:rPr>
          <w:noProof/>
        </w:rPr>
        <w:t>: 23 M3 articulados de piso bajo y 24 autobuses eléctricos estándar. La implementación de la medida estará terminada a más tardar el 30 de junio de 2026.</w:t>
      </w:r>
    </w:p>
    <w:p w14:paraId="716A4376" w14:textId="13DCED87" w:rsidR="00F208CE" w:rsidRDefault="00513E84">
      <w:pPr>
        <w:pStyle w:val="P68B1DB1-Jalonsetcibles22"/>
        <w:spacing w:before="120" w:after="120" w:line="240" w:lineRule="auto"/>
        <w:rPr>
          <w:noProof/>
        </w:rPr>
      </w:pPr>
      <w:r>
        <w:rPr>
          <w:noProof/>
        </w:rPr>
        <w:t>Inversión I-7.22: «Estaciones de recarga — FED» del Estado Federal</w:t>
      </w:r>
    </w:p>
    <w:p w14:paraId="14AAEC39" w14:textId="66BCD301" w:rsidR="00F208CE" w:rsidRDefault="00513E84">
      <w:pPr>
        <w:pStyle w:val="P68B1DB1-Jalonsetcibles37"/>
        <w:spacing w:before="120" w:after="120" w:line="240" w:lineRule="auto"/>
        <w:jc w:val="both"/>
        <w:rPr>
          <w:b w:val="0"/>
          <w:noProof/>
          <w:color w:val="auto"/>
        </w:rPr>
      </w:pPr>
      <w:r>
        <w:rPr>
          <w:b w:val="0"/>
          <w:noProof/>
          <w:color w:val="auto"/>
        </w:rPr>
        <w:t>Esta medida formaba parte de la inv</w:t>
      </w:r>
      <w:r>
        <w:rPr>
          <w:b w:val="0"/>
          <w:noProof/>
          <w:color w:val="auto"/>
        </w:rPr>
        <w:t>ersión I-3.18: «Estaciones de recarga — FED»</w:t>
      </w:r>
      <w:r>
        <w:rPr>
          <w:b w:val="0"/>
          <w:i/>
          <w:noProof/>
          <w:color w:val="auto"/>
        </w:rPr>
        <w:t xml:space="preserve">, </w:t>
      </w:r>
      <w:r>
        <w:rPr>
          <w:b w:val="0"/>
          <w:noProof/>
          <w:color w:val="auto"/>
        </w:rPr>
        <w:t>en el marco del componente 3.3: Ecologización del transporte por carretera. La inversión permitirá el despliegue de 1</w:t>
      </w:r>
      <w:r>
        <w:rPr>
          <w:noProof/>
        </w:rPr>
        <w:t xml:space="preserve"> </w:t>
      </w:r>
      <w:r>
        <w:rPr>
          <w:b w:val="0"/>
          <w:noProof/>
          <w:color w:val="auto"/>
        </w:rPr>
        <w:t xml:space="preserve">832 estaciones de recarga bidireccionales para vehículos eléctricos, tras la revisión del </w:t>
      </w:r>
      <w:r>
        <w:rPr>
          <w:b w:val="0"/>
          <w:noProof/>
          <w:color w:val="auto"/>
        </w:rPr>
        <w:t>incentivo fiscal mencionado en la inversión I-3-18 «Estaciones de recarga — FED» para incluir la deducibilidad de los costes de estas estaciones de recarga bidireccionales. La implementación de la medida estará terminada a más tardar el 30 de junio de 2026</w:t>
      </w:r>
      <w:r>
        <w:rPr>
          <w:b w:val="0"/>
          <w:noProof/>
          <w:color w:val="auto"/>
        </w:rPr>
        <w:t>.</w:t>
      </w:r>
    </w:p>
    <w:p w14:paraId="7C34FEFA" w14:textId="77777777" w:rsidR="00F208CE" w:rsidRDefault="00513E84">
      <w:pPr>
        <w:pStyle w:val="P68B1DB1-Normal11"/>
        <w:spacing w:before="120" w:after="120" w:line="240" w:lineRule="auto"/>
        <w:rPr>
          <w:rFonts w:eastAsia="Yu Gothic" w:cs="Times New Roman"/>
          <w:noProof/>
        </w:rPr>
      </w:pPr>
      <w:r>
        <w:rPr>
          <w:noProof/>
        </w:rPr>
        <w:t>Inversión I-7.23: «Iluminación pública LED» de la Región Flamenca</w:t>
      </w:r>
    </w:p>
    <w:p w14:paraId="1826A679" w14:textId="63465F73" w:rsidR="00F208CE" w:rsidRDefault="00513E84">
      <w:pPr>
        <w:pStyle w:val="P68B1DB1-Normal1"/>
        <w:spacing w:before="120" w:after="120" w:line="240" w:lineRule="auto"/>
        <w:jc w:val="both"/>
        <w:rPr>
          <w:rFonts w:eastAsia="Yu Gothic" w:cs="Times New Roman"/>
          <w:noProof/>
        </w:rPr>
      </w:pPr>
      <w:r>
        <w:rPr>
          <w:noProof/>
        </w:rPr>
        <w:t>Esta inversión consiste en sustituir las antiguas luminarias (equipadas con lámparas de sodio de alta y baja presión) por luminarias LED en autopistas y túneles de la Región Flamenca. Esta</w:t>
      </w:r>
      <w:r>
        <w:rPr>
          <w:noProof/>
        </w:rPr>
        <w:t xml:space="preserve"> inversión incluye la instalación de 18 500 luminarias LED en las autopistas y 4 250 de luminarias LED en cinco túneles. La implementación de la medida estará terminada a más tardar el 30 de junio de 2026.</w:t>
      </w:r>
    </w:p>
    <w:p w14:paraId="1DCD27EE" w14:textId="77777777" w:rsidR="00F208CE" w:rsidRDefault="00513E84">
      <w:pPr>
        <w:pStyle w:val="P68B1DB1-Jalonsetcibles22"/>
        <w:spacing w:before="120" w:after="120" w:line="240" w:lineRule="auto"/>
        <w:rPr>
          <w:noProof/>
        </w:rPr>
      </w:pPr>
      <w:r>
        <w:rPr>
          <w:noProof/>
        </w:rPr>
        <w:t>Inversión I-7.24: «Ferrocarril — red eficiente» de</w:t>
      </w:r>
      <w:r>
        <w:rPr>
          <w:noProof/>
        </w:rPr>
        <w:t>l Estado Federal</w:t>
      </w:r>
    </w:p>
    <w:p w14:paraId="3508A664" w14:textId="0FD0EF6E" w:rsidR="00F208CE" w:rsidRDefault="00513E84">
      <w:pPr>
        <w:pStyle w:val="P68B1DB1-TitreComposante38"/>
        <w:spacing w:before="120" w:after="120" w:line="240" w:lineRule="auto"/>
        <w:jc w:val="both"/>
        <w:rPr>
          <w:noProof/>
        </w:rPr>
        <w:sectPr w:rsidR="00F208CE" w:rsidSect="004440D4">
          <w:headerReference w:type="even" r:id="rId214"/>
          <w:headerReference w:type="default" r:id="rId215"/>
          <w:footerReference w:type="even" r:id="rId216"/>
          <w:footerReference w:type="default" r:id="rId217"/>
          <w:headerReference w:type="first" r:id="rId218"/>
          <w:footerReference w:type="first" r:id="rId219"/>
          <w:pgSz w:w="11907" w:h="16839"/>
          <w:pgMar w:top="1134" w:right="1134" w:bottom="1134" w:left="1134" w:header="567" w:footer="567" w:gutter="0"/>
          <w:cols w:space="720"/>
          <w:docGrid w:linePitch="360"/>
        </w:sectPr>
      </w:pPr>
      <w:r>
        <w:rPr>
          <w:noProof/>
        </w:rPr>
        <w:t>Esta medida formaba parte de la inversión I-3.10: «Ferrocarril — red eficiente» del Estado Federal</w:t>
      </w:r>
      <w:r>
        <w:rPr>
          <w:i/>
          <w:noProof/>
        </w:rPr>
        <w:t>,</w:t>
      </w:r>
      <w:r>
        <w:rPr>
          <w:noProof/>
        </w:rPr>
        <w:t xml:space="preserve"> en el marco del componente 3.2: Transferencia modal. La medida consiste en la electrificación de la línea ferroviaria 11. La ejecución de la medida estará terminada a más tardar el 30 de junio de 2026.</w:t>
      </w:r>
    </w:p>
    <w:p w14:paraId="22602378" w14:textId="77E7B9D4" w:rsidR="00F208CE" w:rsidRDefault="00513E84">
      <w:pPr>
        <w:pStyle w:val="P68B1DB1-Jalonsetcibles28"/>
        <w:spacing w:before="120" w:after="120" w:line="240" w:lineRule="auto"/>
        <w:rPr>
          <w:rFonts w:eastAsia="Times New Roman"/>
          <w:noProof/>
        </w:rPr>
      </w:pPr>
      <w:r>
        <w:rPr>
          <w:noProof/>
        </w:rPr>
        <w:t xml:space="preserve">U.2 Hechos, objetivos, indicadores y calendario para </w:t>
      </w:r>
      <w:r>
        <w:rPr>
          <w:noProof/>
        </w:rPr>
        <w:t>el seguimiento y la ejecución de la ayuda financiera no reembolsable</w:t>
      </w: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993"/>
        <w:gridCol w:w="1559"/>
        <w:gridCol w:w="1276"/>
        <w:gridCol w:w="992"/>
        <w:gridCol w:w="992"/>
        <w:gridCol w:w="851"/>
        <w:gridCol w:w="992"/>
        <w:gridCol w:w="709"/>
        <w:gridCol w:w="4932"/>
      </w:tblGrid>
      <w:tr w:rsidR="00F208CE" w14:paraId="6F90191A" w14:textId="77777777">
        <w:trPr>
          <w:trHeight w:val="927"/>
        </w:trPr>
        <w:tc>
          <w:tcPr>
            <w:tcW w:w="710" w:type="dxa"/>
            <w:vMerge w:val="restart"/>
            <w:shd w:val="clear" w:color="auto" w:fill="BDD7EE"/>
            <w:vAlign w:val="center"/>
            <w:hideMark/>
          </w:tcPr>
          <w:p w14:paraId="772DB75A" w14:textId="77777777" w:rsidR="00F208CE" w:rsidRDefault="00513E84">
            <w:pPr>
              <w:pStyle w:val="P68B1DB1-Normal7"/>
              <w:spacing w:after="0"/>
              <w:jc w:val="center"/>
              <w:rPr>
                <w:rFonts w:eastAsia="Times New Roman" w:cs="Times New Roman"/>
                <w:noProof/>
              </w:rPr>
            </w:pPr>
            <w:r>
              <w:rPr>
                <w:noProof/>
              </w:rPr>
              <w:t>Código N.B.:</w:t>
            </w:r>
          </w:p>
        </w:tc>
        <w:tc>
          <w:tcPr>
            <w:tcW w:w="1417" w:type="dxa"/>
            <w:vMerge w:val="restart"/>
            <w:shd w:val="clear" w:color="auto" w:fill="BDD7EE"/>
            <w:vAlign w:val="center"/>
            <w:hideMark/>
          </w:tcPr>
          <w:p w14:paraId="2FDFDDE6" w14:textId="77777777" w:rsidR="00F208CE" w:rsidRDefault="00513E84">
            <w:pPr>
              <w:pStyle w:val="P68B1DB1-Normal7"/>
              <w:spacing w:after="0"/>
              <w:jc w:val="center"/>
              <w:rPr>
                <w:rFonts w:eastAsia="Times New Roman" w:cs="Times New Roman"/>
                <w:noProof/>
              </w:rPr>
            </w:pPr>
            <w:r>
              <w:rPr>
                <w:noProof/>
              </w:rPr>
              <w:t>Medida relacionada (reforma o inversión)</w:t>
            </w:r>
          </w:p>
        </w:tc>
        <w:tc>
          <w:tcPr>
            <w:tcW w:w="993" w:type="dxa"/>
            <w:vMerge w:val="restart"/>
            <w:shd w:val="clear" w:color="auto" w:fill="BDD7EE"/>
            <w:vAlign w:val="center"/>
            <w:hideMark/>
          </w:tcPr>
          <w:p w14:paraId="3A50911A" w14:textId="77777777" w:rsidR="00F208CE" w:rsidRDefault="00513E84">
            <w:pPr>
              <w:pStyle w:val="P68B1DB1-Normal7"/>
              <w:spacing w:after="0"/>
              <w:jc w:val="center"/>
              <w:rPr>
                <w:rFonts w:eastAsia="Times New Roman" w:cs="Times New Roman"/>
                <w:noProof/>
              </w:rPr>
            </w:pPr>
            <w:r>
              <w:rPr>
                <w:noProof/>
              </w:rPr>
              <w:t>M/T</w:t>
            </w:r>
          </w:p>
        </w:tc>
        <w:tc>
          <w:tcPr>
            <w:tcW w:w="1559" w:type="dxa"/>
            <w:vMerge w:val="restart"/>
            <w:shd w:val="clear" w:color="auto" w:fill="BDD7EE"/>
            <w:vAlign w:val="center"/>
            <w:hideMark/>
          </w:tcPr>
          <w:p w14:paraId="3FDB7666" w14:textId="77777777" w:rsidR="00F208CE" w:rsidRDefault="00513E84">
            <w:pPr>
              <w:pStyle w:val="P68B1DB1-Normal7"/>
              <w:spacing w:after="0"/>
              <w:jc w:val="center"/>
              <w:rPr>
                <w:rFonts w:eastAsia="Times New Roman" w:cs="Times New Roman"/>
                <w:noProof/>
              </w:rPr>
            </w:pPr>
            <w:r>
              <w:rPr>
                <w:noProof/>
              </w:rPr>
              <w:t>Nombre</w:t>
            </w:r>
          </w:p>
        </w:tc>
        <w:tc>
          <w:tcPr>
            <w:tcW w:w="1276" w:type="dxa"/>
            <w:vMerge w:val="restart"/>
            <w:shd w:val="clear" w:color="auto" w:fill="BDD7EE"/>
            <w:vAlign w:val="center"/>
            <w:hideMark/>
          </w:tcPr>
          <w:p w14:paraId="615A0CBB"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cualitativos</w:t>
            </w:r>
            <w:r>
              <w:rPr>
                <w:noProof/>
              </w:rPr>
              <w:t xml:space="preserve">  </w:t>
            </w:r>
            <w:r>
              <w:rPr>
                <w:noProof/>
              </w:rPr>
              <w:br/>
            </w:r>
            <w:r>
              <w:rPr>
                <w:rFonts w:ascii="Times New Roman" w:hAnsi="Times New Roman"/>
                <w:b/>
                <w:noProof/>
                <w:sz w:val="20"/>
              </w:rPr>
              <w:t>(para hitos)</w:t>
            </w:r>
          </w:p>
        </w:tc>
        <w:tc>
          <w:tcPr>
            <w:tcW w:w="2835" w:type="dxa"/>
            <w:gridSpan w:val="3"/>
            <w:shd w:val="clear" w:color="auto" w:fill="BDD7EE"/>
            <w:vAlign w:val="center"/>
            <w:hideMark/>
          </w:tcPr>
          <w:p w14:paraId="56A74E6E" w14:textId="77777777" w:rsidR="00F208CE" w:rsidRDefault="00513E84">
            <w:pPr>
              <w:spacing w:after="0"/>
              <w:jc w:val="center"/>
              <w:rPr>
                <w:rFonts w:ascii="Times New Roman" w:eastAsia="Times New Roman" w:hAnsi="Times New Roman" w:cs="Times New Roman"/>
                <w:b/>
                <w:noProof/>
                <w:sz w:val="20"/>
              </w:rPr>
            </w:pPr>
            <w:r>
              <w:rPr>
                <w:rFonts w:ascii="Times New Roman" w:hAnsi="Times New Roman"/>
                <w:b/>
                <w:noProof/>
                <w:sz w:val="20"/>
              </w:rPr>
              <w:t>Indicadores cuantitativos</w:t>
            </w:r>
            <w:r>
              <w:rPr>
                <w:noProof/>
              </w:rPr>
              <w:t xml:space="preserve">  </w:t>
            </w:r>
            <w:r>
              <w:rPr>
                <w:noProof/>
              </w:rPr>
              <w:br/>
            </w:r>
            <w:r>
              <w:rPr>
                <w:rFonts w:ascii="Times New Roman" w:hAnsi="Times New Roman"/>
                <w:b/>
                <w:noProof/>
                <w:sz w:val="20"/>
              </w:rPr>
              <w:t>(para los objetivos)</w:t>
            </w:r>
          </w:p>
        </w:tc>
        <w:tc>
          <w:tcPr>
            <w:tcW w:w="1701" w:type="dxa"/>
            <w:gridSpan w:val="2"/>
            <w:shd w:val="clear" w:color="auto" w:fill="BDD7EE"/>
            <w:vAlign w:val="center"/>
            <w:hideMark/>
          </w:tcPr>
          <w:p w14:paraId="6B78AC66" w14:textId="77777777" w:rsidR="00F208CE" w:rsidRDefault="00513E84">
            <w:pPr>
              <w:pStyle w:val="P68B1DB1-Normal7"/>
              <w:spacing w:after="0"/>
              <w:jc w:val="center"/>
              <w:rPr>
                <w:rFonts w:eastAsia="Times New Roman" w:cs="Times New Roman"/>
                <w:noProof/>
              </w:rPr>
            </w:pPr>
            <w:r>
              <w:rPr>
                <w:noProof/>
              </w:rPr>
              <w:t>Calendario indicativo de finaliza</w:t>
            </w:r>
            <w:r>
              <w:rPr>
                <w:noProof/>
              </w:rPr>
              <w:t xml:space="preserve">ción </w:t>
            </w:r>
          </w:p>
        </w:tc>
        <w:tc>
          <w:tcPr>
            <w:tcW w:w="4932" w:type="dxa"/>
            <w:vMerge w:val="restart"/>
            <w:shd w:val="clear" w:color="auto" w:fill="BDD7EE"/>
            <w:vAlign w:val="center"/>
            <w:hideMark/>
          </w:tcPr>
          <w:p w14:paraId="0F7AA81D" w14:textId="77777777" w:rsidR="00F208CE" w:rsidRDefault="00513E84">
            <w:pPr>
              <w:pStyle w:val="P68B1DB1-Normal7"/>
              <w:spacing w:after="0"/>
              <w:jc w:val="center"/>
              <w:rPr>
                <w:rFonts w:eastAsia="Times New Roman" w:cs="Times New Roman"/>
                <w:noProof/>
              </w:rPr>
            </w:pPr>
            <w:r>
              <w:rPr>
                <w:noProof/>
              </w:rPr>
              <w:t>Descripción de cada hito y objetivo</w:t>
            </w:r>
          </w:p>
        </w:tc>
      </w:tr>
      <w:tr w:rsidR="00F208CE" w14:paraId="409C4F16" w14:textId="77777777">
        <w:trPr>
          <w:trHeight w:val="410"/>
        </w:trPr>
        <w:tc>
          <w:tcPr>
            <w:tcW w:w="710" w:type="dxa"/>
            <w:vMerge/>
            <w:vAlign w:val="center"/>
            <w:hideMark/>
          </w:tcPr>
          <w:p w14:paraId="061FFFF9" w14:textId="77777777" w:rsidR="00F208CE" w:rsidRDefault="00F208CE">
            <w:pPr>
              <w:spacing w:after="0"/>
              <w:rPr>
                <w:rFonts w:ascii="Times New Roman" w:eastAsia="Times New Roman" w:hAnsi="Times New Roman" w:cs="Times New Roman"/>
                <w:b/>
                <w:noProof/>
              </w:rPr>
            </w:pPr>
          </w:p>
        </w:tc>
        <w:tc>
          <w:tcPr>
            <w:tcW w:w="1417" w:type="dxa"/>
            <w:vMerge/>
            <w:vAlign w:val="center"/>
            <w:hideMark/>
          </w:tcPr>
          <w:p w14:paraId="14AB9AF2" w14:textId="77777777" w:rsidR="00F208CE" w:rsidRDefault="00F208CE">
            <w:pPr>
              <w:spacing w:after="0"/>
              <w:rPr>
                <w:rFonts w:ascii="Times New Roman" w:eastAsia="Times New Roman" w:hAnsi="Times New Roman" w:cs="Times New Roman"/>
                <w:b/>
                <w:noProof/>
              </w:rPr>
            </w:pPr>
          </w:p>
        </w:tc>
        <w:tc>
          <w:tcPr>
            <w:tcW w:w="993" w:type="dxa"/>
            <w:vMerge/>
            <w:vAlign w:val="center"/>
            <w:hideMark/>
          </w:tcPr>
          <w:p w14:paraId="16640531" w14:textId="77777777" w:rsidR="00F208CE" w:rsidRDefault="00F208CE">
            <w:pPr>
              <w:spacing w:after="0"/>
              <w:rPr>
                <w:rFonts w:ascii="Times New Roman" w:eastAsia="Times New Roman" w:hAnsi="Times New Roman" w:cs="Times New Roman"/>
                <w:b/>
                <w:noProof/>
              </w:rPr>
            </w:pPr>
          </w:p>
        </w:tc>
        <w:tc>
          <w:tcPr>
            <w:tcW w:w="1559" w:type="dxa"/>
            <w:vMerge/>
            <w:vAlign w:val="center"/>
            <w:hideMark/>
          </w:tcPr>
          <w:p w14:paraId="1627E306" w14:textId="77777777" w:rsidR="00F208CE" w:rsidRDefault="00F208CE">
            <w:pPr>
              <w:spacing w:after="0"/>
              <w:rPr>
                <w:rFonts w:ascii="Times New Roman" w:eastAsia="Times New Roman" w:hAnsi="Times New Roman" w:cs="Times New Roman"/>
                <w:b/>
                <w:noProof/>
              </w:rPr>
            </w:pPr>
          </w:p>
        </w:tc>
        <w:tc>
          <w:tcPr>
            <w:tcW w:w="1276" w:type="dxa"/>
            <w:vMerge/>
            <w:vAlign w:val="center"/>
            <w:hideMark/>
          </w:tcPr>
          <w:p w14:paraId="133D15D4" w14:textId="77777777" w:rsidR="00F208CE" w:rsidRDefault="00F208CE">
            <w:pPr>
              <w:spacing w:after="0"/>
              <w:rPr>
                <w:rFonts w:ascii="Times New Roman" w:eastAsia="Times New Roman" w:hAnsi="Times New Roman" w:cs="Times New Roman"/>
                <w:b/>
                <w:noProof/>
              </w:rPr>
            </w:pPr>
          </w:p>
        </w:tc>
        <w:tc>
          <w:tcPr>
            <w:tcW w:w="992" w:type="dxa"/>
            <w:shd w:val="clear" w:color="auto" w:fill="BDD7EE"/>
            <w:vAlign w:val="center"/>
            <w:hideMark/>
          </w:tcPr>
          <w:p w14:paraId="297B25C8" w14:textId="77777777" w:rsidR="00F208CE" w:rsidRDefault="00513E84">
            <w:pPr>
              <w:pStyle w:val="P68B1DB1-Normal7"/>
              <w:spacing w:after="0"/>
              <w:jc w:val="center"/>
              <w:rPr>
                <w:rFonts w:eastAsia="Times New Roman" w:cs="Times New Roman"/>
                <w:noProof/>
              </w:rPr>
            </w:pPr>
            <w:r>
              <w:rPr>
                <w:noProof/>
              </w:rPr>
              <w:t>Unidad de medida</w:t>
            </w:r>
          </w:p>
        </w:tc>
        <w:tc>
          <w:tcPr>
            <w:tcW w:w="992" w:type="dxa"/>
            <w:shd w:val="clear" w:color="auto" w:fill="BDD7EE"/>
            <w:vAlign w:val="center"/>
            <w:hideMark/>
          </w:tcPr>
          <w:p w14:paraId="7465333C" w14:textId="77777777" w:rsidR="00F208CE" w:rsidRDefault="00513E84">
            <w:pPr>
              <w:pStyle w:val="P68B1DB1-Normal7"/>
              <w:spacing w:after="0"/>
              <w:jc w:val="center"/>
              <w:rPr>
                <w:rFonts w:eastAsia="Times New Roman" w:cs="Times New Roman"/>
                <w:noProof/>
              </w:rPr>
            </w:pPr>
            <w:r>
              <w:rPr>
                <w:noProof/>
              </w:rPr>
              <w:t xml:space="preserve">Basal </w:t>
            </w:r>
          </w:p>
        </w:tc>
        <w:tc>
          <w:tcPr>
            <w:tcW w:w="851" w:type="dxa"/>
            <w:shd w:val="clear" w:color="auto" w:fill="BDD7EE"/>
            <w:vAlign w:val="center"/>
            <w:hideMark/>
          </w:tcPr>
          <w:p w14:paraId="696B6CDF" w14:textId="77777777" w:rsidR="00F208CE" w:rsidRDefault="00513E84">
            <w:pPr>
              <w:pStyle w:val="P68B1DB1-Normal7"/>
              <w:spacing w:after="0"/>
              <w:jc w:val="center"/>
              <w:rPr>
                <w:rFonts w:eastAsia="Times New Roman" w:cs="Times New Roman"/>
                <w:noProof/>
              </w:rPr>
            </w:pPr>
            <w:r>
              <w:rPr>
                <w:noProof/>
              </w:rPr>
              <w:t xml:space="preserve">Meta </w:t>
            </w:r>
          </w:p>
        </w:tc>
        <w:tc>
          <w:tcPr>
            <w:tcW w:w="992" w:type="dxa"/>
            <w:shd w:val="clear" w:color="auto" w:fill="BDD7EE"/>
            <w:vAlign w:val="center"/>
            <w:hideMark/>
          </w:tcPr>
          <w:p w14:paraId="593C8C63" w14:textId="77777777" w:rsidR="00F208CE" w:rsidRDefault="00513E84">
            <w:pPr>
              <w:pStyle w:val="P68B1DB1-Normal7"/>
              <w:spacing w:after="0"/>
              <w:jc w:val="center"/>
              <w:rPr>
                <w:rFonts w:eastAsia="Times New Roman" w:cs="Times New Roman"/>
                <w:noProof/>
              </w:rPr>
            </w:pPr>
            <w:r>
              <w:rPr>
                <w:noProof/>
              </w:rPr>
              <w:t>Trimestre</w:t>
            </w:r>
          </w:p>
        </w:tc>
        <w:tc>
          <w:tcPr>
            <w:tcW w:w="709" w:type="dxa"/>
            <w:shd w:val="clear" w:color="auto" w:fill="BDD7EE"/>
            <w:vAlign w:val="center"/>
            <w:hideMark/>
          </w:tcPr>
          <w:p w14:paraId="02E2A8F4" w14:textId="77777777" w:rsidR="00F208CE" w:rsidRDefault="00513E84">
            <w:pPr>
              <w:pStyle w:val="P68B1DB1-Normal7"/>
              <w:spacing w:after="0"/>
              <w:jc w:val="center"/>
              <w:rPr>
                <w:rFonts w:eastAsia="Times New Roman" w:cs="Times New Roman"/>
                <w:noProof/>
              </w:rPr>
            </w:pPr>
            <w:r>
              <w:rPr>
                <w:noProof/>
              </w:rPr>
              <w:t>Año</w:t>
            </w:r>
          </w:p>
        </w:tc>
        <w:tc>
          <w:tcPr>
            <w:tcW w:w="4932" w:type="dxa"/>
            <w:vMerge/>
            <w:vAlign w:val="center"/>
            <w:hideMark/>
          </w:tcPr>
          <w:p w14:paraId="4C785D33" w14:textId="77777777" w:rsidR="00F208CE" w:rsidRDefault="00F208CE">
            <w:pPr>
              <w:spacing w:after="0"/>
              <w:rPr>
                <w:rFonts w:ascii="Times New Roman" w:eastAsia="Times New Roman" w:hAnsi="Times New Roman" w:cs="Times New Roman"/>
                <w:b/>
                <w:noProof/>
              </w:rPr>
            </w:pPr>
          </w:p>
        </w:tc>
      </w:tr>
      <w:tr w:rsidR="00F208CE" w14:paraId="3217907F" w14:textId="77777777">
        <w:trPr>
          <w:trHeight w:val="309"/>
        </w:trPr>
        <w:tc>
          <w:tcPr>
            <w:tcW w:w="710" w:type="dxa"/>
            <w:shd w:val="clear" w:color="auto" w:fill="C6EFCE"/>
            <w:noWrap/>
            <w:vAlign w:val="center"/>
          </w:tcPr>
          <w:p w14:paraId="4792DC81" w14:textId="77777777" w:rsidR="00F208CE" w:rsidRDefault="00513E84">
            <w:pPr>
              <w:pStyle w:val="P68B1DB1-Normal8"/>
              <w:spacing w:after="0" w:line="240" w:lineRule="auto"/>
              <w:jc w:val="center"/>
              <w:rPr>
                <w:rFonts w:eastAsia="Times New Roman" w:cs="Times New Roman"/>
                <w:noProof/>
              </w:rPr>
            </w:pPr>
            <w:r>
              <w:rPr>
                <w:noProof/>
              </w:rPr>
              <w:t>242</w:t>
            </w:r>
          </w:p>
        </w:tc>
        <w:tc>
          <w:tcPr>
            <w:tcW w:w="1417" w:type="dxa"/>
            <w:shd w:val="clear" w:color="auto" w:fill="C6EFCE"/>
            <w:noWrap/>
            <w:vAlign w:val="center"/>
          </w:tcPr>
          <w:p w14:paraId="68220EB6" w14:textId="491B8C2D" w:rsidR="00F208CE" w:rsidRDefault="00513E84">
            <w:pPr>
              <w:pStyle w:val="P68B1DB1-Normal8"/>
              <w:spacing w:after="0" w:line="240" w:lineRule="auto"/>
              <w:rPr>
                <w:rFonts w:eastAsia="Times New Roman" w:cs="Times New Roman"/>
                <w:noProof/>
              </w:rPr>
            </w:pPr>
            <w:r>
              <w:rPr>
                <w:noProof/>
              </w:rPr>
              <w:t>Ecologización de la flota de autobuses — BCR (I-7.21)</w:t>
            </w:r>
          </w:p>
        </w:tc>
        <w:tc>
          <w:tcPr>
            <w:tcW w:w="993" w:type="dxa"/>
            <w:shd w:val="clear" w:color="auto" w:fill="C6EFCE"/>
            <w:noWrap/>
            <w:vAlign w:val="center"/>
          </w:tcPr>
          <w:p w14:paraId="7D9B51C0" w14:textId="77777777" w:rsidR="00F208CE" w:rsidRDefault="00513E84">
            <w:pPr>
              <w:pStyle w:val="P68B1DB1-Normal8"/>
              <w:spacing w:after="0" w:line="240" w:lineRule="auto"/>
              <w:jc w:val="center"/>
              <w:rPr>
                <w:rFonts w:eastAsia="Times New Roman" w:cs="Times New Roman"/>
                <w:noProof/>
              </w:rPr>
            </w:pPr>
            <w:r>
              <w:rPr>
                <w:noProof/>
              </w:rPr>
              <w:t>T</w:t>
            </w:r>
          </w:p>
        </w:tc>
        <w:tc>
          <w:tcPr>
            <w:tcW w:w="1559" w:type="dxa"/>
            <w:shd w:val="clear" w:color="auto" w:fill="C6EFCE"/>
            <w:noWrap/>
            <w:vAlign w:val="center"/>
          </w:tcPr>
          <w:p w14:paraId="4A9C39B2" w14:textId="77777777" w:rsidR="00F208CE" w:rsidRDefault="00513E84">
            <w:pPr>
              <w:pStyle w:val="P68B1DB1-Normal8"/>
              <w:spacing w:after="0" w:line="240" w:lineRule="auto"/>
              <w:rPr>
                <w:rFonts w:eastAsia="Times New Roman" w:cs="Times New Roman"/>
                <w:noProof/>
              </w:rPr>
            </w:pPr>
            <w:r>
              <w:rPr>
                <w:noProof/>
              </w:rPr>
              <w:t>Autobuses eléctricos en servicio</w:t>
            </w:r>
          </w:p>
        </w:tc>
        <w:tc>
          <w:tcPr>
            <w:tcW w:w="1276" w:type="dxa"/>
            <w:shd w:val="clear" w:color="auto" w:fill="C6EFCE"/>
            <w:noWrap/>
            <w:vAlign w:val="center"/>
          </w:tcPr>
          <w:p w14:paraId="665E40BF" w14:textId="77777777" w:rsidR="00F208CE" w:rsidRDefault="00F208CE">
            <w:pPr>
              <w:spacing w:after="0" w:line="240" w:lineRule="auto"/>
              <w:rPr>
                <w:rFonts w:ascii="Times New Roman" w:eastAsia="Times New Roman" w:hAnsi="Times New Roman" w:cs="Times New Roman"/>
                <w:noProof/>
                <w:color w:val="006100"/>
              </w:rPr>
            </w:pPr>
          </w:p>
        </w:tc>
        <w:tc>
          <w:tcPr>
            <w:tcW w:w="992" w:type="dxa"/>
            <w:shd w:val="clear" w:color="auto" w:fill="C6EFCE"/>
            <w:noWrap/>
            <w:vAlign w:val="center"/>
          </w:tcPr>
          <w:p w14:paraId="48E6CC7B" w14:textId="77777777" w:rsidR="00F208CE" w:rsidRDefault="00513E84">
            <w:pPr>
              <w:pStyle w:val="P68B1DB1-Normal8"/>
              <w:spacing w:after="0" w:line="240" w:lineRule="auto"/>
              <w:rPr>
                <w:rFonts w:eastAsia="Times New Roman" w:cs="Times New Roman"/>
                <w:noProof/>
              </w:rPr>
            </w:pPr>
            <w:r>
              <w:rPr>
                <w:noProof/>
              </w:rPr>
              <w:t>Número</w:t>
            </w:r>
          </w:p>
        </w:tc>
        <w:tc>
          <w:tcPr>
            <w:tcW w:w="992" w:type="dxa"/>
            <w:shd w:val="clear" w:color="auto" w:fill="C6EFCE"/>
            <w:noWrap/>
            <w:vAlign w:val="center"/>
          </w:tcPr>
          <w:p w14:paraId="593F7681" w14:textId="149AEC63" w:rsidR="00F208CE" w:rsidRDefault="00513E84">
            <w:pPr>
              <w:pStyle w:val="P68B1DB1-Normal8"/>
              <w:spacing w:after="0" w:line="240" w:lineRule="auto"/>
              <w:jc w:val="center"/>
              <w:rPr>
                <w:rFonts w:eastAsia="Times New Roman" w:cs="Times New Roman"/>
                <w:noProof/>
              </w:rPr>
            </w:pPr>
            <w:r>
              <w:rPr>
                <w:noProof/>
              </w:rPr>
              <w:t>33</w:t>
            </w:r>
          </w:p>
        </w:tc>
        <w:tc>
          <w:tcPr>
            <w:tcW w:w="851" w:type="dxa"/>
            <w:shd w:val="clear" w:color="auto" w:fill="C6EFCE"/>
            <w:noWrap/>
            <w:vAlign w:val="center"/>
          </w:tcPr>
          <w:p w14:paraId="72B21B50" w14:textId="166B3C74" w:rsidR="00F208CE" w:rsidRDefault="00513E84">
            <w:pPr>
              <w:pStyle w:val="P68B1DB1-Normal8"/>
              <w:spacing w:after="0" w:line="240" w:lineRule="auto"/>
              <w:jc w:val="center"/>
              <w:rPr>
                <w:rFonts w:eastAsia="Times New Roman" w:cs="Times New Roman"/>
                <w:noProof/>
              </w:rPr>
            </w:pPr>
            <w:r>
              <w:rPr>
                <w:noProof/>
              </w:rPr>
              <w:t>80</w:t>
            </w:r>
          </w:p>
        </w:tc>
        <w:tc>
          <w:tcPr>
            <w:tcW w:w="992" w:type="dxa"/>
            <w:shd w:val="clear" w:color="auto" w:fill="C6EFCE"/>
            <w:noWrap/>
            <w:vAlign w:val="center"/>
          </w:tcPr>
          <w:p w14:paraId="35CEADD8" w14:textId="77777777" w:rsidR="00F208CE" w:rsidRDefault="00513E84">
            <w:pPr>
              <w:pStyle w:val="P68B1DB1-Normal8"/>
              <w:spacing w:after="0" w:line="240" w:lineRule="auto"/>
              <w:jc w:val="center"/>
              <w:rPr>
                <w:rFonts w:eastAsia="Times New Roman" w:cs="Times New Roman"/>
                <w:noProof/>
              </w:rPr>
            </w:pPr>
            <w:r>
              <w:rPr>
                <w:noProof/>
              </w:rPr>
              <w:t>TERCER TRIMESTRE 2</w:t>
            </w:r>
          </w:p>
        </w:tc>
        <w:tc>
          <w:tcPr>
            <w:tcW w:w="709" w:type="dxa"/>
            <w:shd w:val="clear" w:color="auto" w:fill="C6EFCE"/>
            <w:noWrap/>
            <w:vAlign w:val="center"/>
          </w:tcPr>
          <w:p w14:paraId="54F012F5" w14:textId="77777777" w:rsidR="00F208CE" w:rsidRDefault="00513E84">
            <w:pPr>
              <w:pStyle w:val="P68B1DB1-Normal8"/>
              <w:spacing w:after="0" w:line="240" w:lineRule="auto"/>
              <w:jc w:val="center"/>
              <w:rPr>
                <w:rFonts w:eastAsia="Times New Roman" w:cs="Times New Roman"/>
                <w:noProof/>
              </w:rPr>
            </w:pPr>
            <w:r>
              <w:rPr>
                <w:noProof/>
              </w:rPr>
              <w:t>2026</w:t>
            </w:r>
          </w:p>
        </w:tc>
        <w:tc>
          <w:tcPr>
            <w:tcW w:w="4932" w:type="dxa"/>
            <w:shd w:val="clear" w:color="auto" w:fill="C6EFCE"/>
            <w:noWrap/>
            <w:vAlign w:val="center"/>
          </w:tcPr>
          <w:p w14:paraId="19141287" w14:textId="284FCB69" w:rsidR="00F208CE" w:rsidRDefault="00513E84">
            <w:pPr>
              <w:pStyle w:val="P68B1DB1-Normal8"/>
              <w:spacing w:after="0" w:line="240" w:lineRule="auto"/>
              <w:rPr>
                <w:rFonts w:eastAsia="Times New Roman" w:cs="Times New Roman"/>
                <w:noProof/>
              </w:rPr>
            </w:pPr>
            <w:r>
              <w:rPr>
                <w:noProof/>
              </w:rPr>
              <w:t>Se entregan y ponen en servicio</w:t>
            </w:r>
            <w:r>
              <w:rPr>
                <w:noProof/>
              </w:rPr>
              <w:t xml:space="preserve"> 23 autobuses eléctricos articulados de piso bajo M3 y 24 autobuses eléctricos estándar.</w:t>
            </w:r>
          </w:p>
        </w:tc>
      </w:tr>
      <w:tr w:rsidR="00F208CE" w14:paraId="59246F35" w14:textId="77777777">
        <w:trPr>
          <w:trHeight w:val="309"/>
        </w:trPr>
        <w:tc>
          <w:tcPr>
            <w:tcW w:w="710" w:type="dxa"/>
            <w:shd w:val="clear" w:color="auto" w:fill="C6EFCE"/>
            <w:noWrap/>
            <w:vAlign w:val="center"/>
          </w:tcPr>
          <w:p w14:paraId="4D0F2E9A" w14:textId="77777777" w:rsidR="00F208CE" w:rsidRDefault="00513E84">
            <w:pPr>
              <w:pStyle w:val="P68B1DB1-Normal8"/>
              <w:spacing w:after="0" w:line="240" w:lineRule="auto"/>
              <w:jc w:val="center"/>
              <w:rPr>
                <w:rFonts w:eastAsia="Times New Roman" w:cs="Times New Roman"/>
                <w:noProof/>
              </w:rPr>
            </w:pPr>
            <w:r>
              <w:rPr>
                <w:noProof/>
              </w:rPr>
              <w:t>243</w:t>
            </w:r>
          </w:p>
        </w:tc>
        <w:tc>
          <w:tcPr>
            <w:tcW w:w="1417" w:type="dxa"/>
            <w:shd w:val="clear" w:color="auto" w:fill="C6EFCE"/>
            <w:noWrap/>
            <w:vAlign w:val="center"/>
          </w:tcPr>
          <w:p w14:paraId="5A7BBB4F" w14:textId="77777777" w:rsidR="00F208CE" w:rsidRDefault="00513E84">
            <w:pPr>
              <w:pStyle w:val="P68B1DB1-Normal8"/>
              <w:spacing w:after="0" w:line="240" w:lineRule="auto"/>
              <w:rPr>
                <w:rFonts w:eastAsia="Times New Roman" w:cs="Times New Roman"/>
                <w:noProof/>
              </w:rPr>
            </w:pPr>
            <w:r>
              <w:rPr>
                <w:noProof/>
              </w:rPr>
              <w:t>Estaciones de recarga — FED (I-7.22)</w:t>
            </w:r>
          </w:p>
        </w:tc>
        <w:tc>
          <w:tcPr>
            <w:tcW w:w="993" w:type="dxa"/>
            <w:shd w:val="clear" w:color="auto" w:fill="C6EFCE"/>
            <w:noWrap/>
            <w:vAlign w:val="center"/>
          </w:tcPr>
          <w:p w14:paraId="57CDBF15" w14:textId="55DB5C06" w:rsidR="00F208CE" w:rsidRDefault="00513E84">
            <w:pPr>
              <w:pStyle w:val="P68B1DB1-Normal8"/>
              <w:spacing w:after="0" w:line="240" w:lineRule="auto"/>
              <w:jc w:val="center"/>
              <w:rPr>
                <w:rFonts w:eastAsia="Times New Roman" w:cs="Times New Roman"/>
                <w:noProof/>
              </w:rPr>
            </w:pPr>
            <w:r>
              <w:rPr>
                <w:noProof/>
              </w:rPr>
              <w:t>T</w:t>
            </w:r>
          </w:p>
        </w:tc>
        <w:tc>
          <w:tcPr>
            <w:tcW w:w="1559" w:type="dxa"/>
            <w:shd w:val="clear" w:color="auto" w:fill="C6EFCE"/>
            <w:noWrap/>
            <w:vAlign w:val="center"/>
          </w:tcPr>
          <w:p w14:paraId="0B286C5D" w14:textId="77777777" w:rsidR="00F208CE" w:rsidRDefault="00513E84">
            <w:pPr>
              <w:pStyle w:val="P68B1DB1-Normal8"/>
              <w:spacing w:after="0" w:line="240" w:lineRule="auto"/>
              <w:rPr>
                <w:rFonts w:eastAsia="Times New Roman" w:cs="Times New Roman"/>
                <w:noProof/>
              </w:rPr>
            </w:pPr>
            <w:r>
              <w:rPr>
                <w:noProof/>
              </w:rPr>
              <w:t>Despliegue de estaciones de recarga bidireccionales</w:t>
            </w:r>
          </w:p>
        </w:tc>
        <w:tc>
          <w:tcPr>
            <w:tcW w:w="1276" w:type="dxa"/>
            <w:shd w:val="clear" w:color="auto" w:fill="C6EFCE"/>
            <w:noWrap/>
            <w:vAlign w:val="center"/>
          </w:tcPr>
          <w:p w14:paraId="28D1D632" w14:textId="77777777" w:rsidR="00F208CE" w:rsidRDefault="00F208CE">
            <w:pPr>
              <w:spacing w:after="0" w:line="240" w:lineRule="auto"/>
              <w:rPr>
                <w:rFonts w:ascii="Times New Roman" w:eastAsia="Times New Roman" w:hAnsi="Times New Roman" w:cs="Times New Roman"/>
                <w:noProof/>
                <w:color w:val="006100"/>
              </w:rPr>
            </w:pPr>
          </w:p>
        </w:tc>
        <w:tc>
          <w:tcPr>
            <w:tcW w:w="992" w:type="dxa"/>
            <w:shd w:val="clear" w:color="auto" w:fill="C6EFCE"/>
            <w:noWrap/>
            <w:vAlign w:val="center"/>
          </w:tcPr>
          <w:p w14:paraId="15130EAA" w14:textId="77777777" w:rsidR="00F208CE" w:rsidRDefault="00513E84">
            <w:pPr>
              <w:pStyle w:val="P68B1DB1-Normal8"/>
              <w:spacing w:after="0" w:line="240" w:lineRule="auto"/>
              <w:rPr>
                <w:rFonts w:eastAsia="Times New Roman" w:cs="Times New Roman"/>
                <w:noProof/>
              </w:rPr>
            </w:pPr>
            <w:r>
              <w:rPr>
                <w:noProof/>
              </w:rPr>
              <w:t>Número</w:t>
            </w:r>
          </w:p>
        </w:tc>
        <w:tc>
          <w:tcPr>
            <w:tcW w:w="992" w:type="dxa"/>
            <w:shd w:val="clear" w:color="auto" w:fill="C6EFCE"/>
            <w:noWrap/>
            <w:vAlign w:val="center"/>
          </w:tcPr>
          <w:p w14:paraId="172642B6" w14:textId="77777777" w:rsidR="00F208CE" w:rsidRDefault="00513E84">
            <w:pPr>
              <w:pStyle w:val="P68B1DB1-Normal8"/>
              <w:spacing w:after="0" w:line="240" w:lineRule="auto"/>
              <w:jc w:val="center"/>
              <w:rPr>
                <w:rFonts w:eastAsia="Times New Roman" w:cs="Times New Roman"/>
                <w:noProof/>
              </w:rPr>
            </w:pPr>
            <w:r>
              <w:rPr>
                <w:noProof/>
              </w:rPr>
              <w:t>0</w:t>
            </w:r>
          </w:p>
        </w:tc>
        <w:tc>
          <w:tcPr>
            <w:tcW w:w="851" w:type="dxa"/>
            <w:shd w:val="clear" w:color="auto" w:fill="C6EFCE"/>
            <w:noWrap/>
            <w:vAlign w:val="center"/>
          </w:tcPr>
          <w:p w14:paraId="31DA0760" w14:textId="4216060E" w:rsidR="00F208CE" w:rsidRDefault="00513E84">
            <w:pPr>
              <w:pStyle w:val="P68B1DB1-Normal8"/>
              <w:spacing w:after="0" w:line="240" w:lineRule="auto"/>
              <w:jc w:val="center"/>
              <w:rPr>
                <w:rFonts w:eastAsia="Times New Roman" w:cs="Times New Roman"/>
                <w:noProof/>
              </w:rPr>
            </w:pPr>
            <w:r>
              <w:rPr>
                <w:noProof/>
              </w:rPr>
              <w:t>1 832</w:t>
            </w:r>
          </w:p>
        </w:tc>
        <w:tc>
          <w:tcPr>
            <w:tcW w:w="992" w:type="dxa"/>
            <w:shd w:val="clear" w:color="auto" w:fill="C6EFCE"/>
            <w:noWrap/>
            <w:vAlign w:val="center"/>
          </w:tcPr>
          <w:p w14:paraId="1459BDC0" w14:textId="5FD5F456" w:rsidR="00F208CE" w:rsidRDefault="00513E84">
            <w:pPr>
              <w:pStyle w:val="P68B1DB1-Normal8"/>
              <w:spacing w:after="0" w:line="240" w:lineRule="auto"/>
              <w:jc w:val="center"/>
              <w:rPr>
                <w:rFonts w:eastAsia="Times New Roman" w:cs="Times New Roman"/>
                <w:noProof/>
              </w:rPr>
            </w:pPr>
            <w:r>
              <w:rPr>
                <w:noProof/>
              </w:rPr>
              <w:t>TERCER TRIMESTRE 2</w:t>
            </w:r>
          </w:p>
        </w:tc>
        <w:tc>
          <w:tcPr>
            <w:tcW w:w="709" w:type="dxa"/>
            <w:shd w:val="clear" w:color="auto" w:fill="C6EFCE"/>
            <w:noWrap/>
            <w:vAlign w:val="center"/>
          </w:tcPr>
          <w:p w14:paraId="51D13A5A" w14:textId="77777777" w:rsidR="00F208CE" w:rsidRDefault="00513E84">
            <w:pPr>
              <w:pStyle w:val="P68B1DB1-Normal8"/>
              <w:spacing w:after="0" w:line="240" w:lineRule="auto"/>
              <w:jc w:val="center"/>
              <w:rPr>
                <w:rFonts w:eastAsia="Times New Roman" w:cs="Times New Roman"/>
                <w:noProof/>
              </w:rPr>
            </w:pPr>
            <w:r>
              <w:rPr>
                <w:noProof/>
              </w:rPr>
              <w:t>2026</w:t>
            </w:r>
          </w:p>
        </w:tc>
        <w:tc>
          <w:tcPr>
            <w:tcW w:w="4932" w:type="dxa"/>
            <w:shd w:val="clear" w:color="auto" w:fill="C6EFCE"/>
            <w:noWrap/>
            <w:vAlign w:val="center"/>
          </w:tcPr>
          <w:p w14:paraId="62B87319" w14:textId="5DCD5DC8" w:rsidR="00F208CE" w:rsidRDefault="00513E84">
            <w:pPr>
              <w:pStyle w:val="P68B1DB1-Normal8"/>
              <w:spacing w:after="0" w:line="240" w:lineRule="auto"/>
              <w:rPr>
                <w:rFonts w:eastAsia="Times New Roman" w:cs="Times New Roman"/>
                <w:noProof/>
              </w:rPr>
            </w:pPr>
            <w:r>
              <w:rPr>
                <w:noProof/>
              </w:rPr>
              <w:t xml:space="preserve">Despliegue de 1 832 estaciones </w:t>
            </w:r>
            <w:r>
              <w:rPr>
                <w:noProof/>
              </w:rPr>
              <w:t>de recarga bidireccionales.</w:t>
            </w:r>
          </w:p>
        </w:tc>
      </w:tr>
      <w:tr w:rsidR="00F208CE" w14:paraId="35178A11" w14:textId="77777777">
        <w:trPr>
          <w:trHeight w:val="309"/>
        </w:trPr>
        <w:tc>
          <w:tcPr>
            <w:tcW w:w="710" w:type="dxa"/>
            <w:shd w:val="clear" w:color="auto" w:fill="C6EFCE"/>
            <w:noWrap/>
            <w:vAlign w:val="center"/>
          </w:tcPr>
          <w:p w14:paraId="65CB1806" w14:textId="77777777" w:rsidR="00F208CE" w:rsidRDefault="00513E84">
            <w:pPr>
              <w:pStyle w:val="P68B1DB1-Normal8"/>
              <w:spacing w:after="0" w:line="240" w:lineRule="auto"/>
              <w:jc w:val="center"/>
              <w:rPr>
                <w:rFonts w:eastAsia="Times New Roman" w:cs="Times New Roman"/>
                <w:noProof/>
              </w:rPr>
            </w:pPr>
            <w:r>
              <w:rPr>
                <w:noProof/>
              </w:rPr>
              <w:t>244</w:t>
            </w:r>
          </w:p>
        </w:tc>
        <w:tc>
          <w:tcPr>
            <w:tcW w:w="1417" w:type="dxa"/>
            <w:shd w:val="clear" w:color="auto" w:fill="C6EFCE"/>
            <w:noWrap/>
            <w:vAlign w:val="center"/>
          </w:tcPr>
          <w:p w14:paraId="3B657ADE" w14:textId="77777777" w:rsidR="00F208CE" w:rsidRDefault="00513E84">
            <w:pPr>
              <w:pStyle w:val="P68B1DB1-Normal8"/>
              <w:spacing w:after="0" w:line="240" w:lineRule="auto"/>
              <w:rPr>
                <w:rFonts w:eastAsia="Times New Roman" w:cs="Times New Roman"/>
                <w:noProof/>
              </w:rPr>
            </w:pPr>
            <w:r>
              <w:rPr>
                <w:noProof/>
              </w:rPr>
              <w:t>Iluminación pública LED — VLA (I-7.23)</w:t>
            </w:r>
          </w:p>
        </w:tc>
        <w:tc>
          <w:tcPr>
            <w:tcW w:w="993" w:type="dxa"/>
            <w:shd w:val="clear" w:color="auto" w:fill="C6EFCE"/>
            <w:noWrap/>
            <w:vAlign w:val="center"/>
          </w:tcPr>
          <w:p w14:paraId="3F276493" w14:textId="77777777" w:rsidR="00F208CE" w:rsidRDefault="00513E84">
            <w:pPr>
              <w:pStyle w:val="P68B1DB1-Normal8"/>
              <w:spacing w:after="0" w:line="240" w:lineRule="auto"/>
              <w:jc w:val="center"/>
              <w:rPr>
                <w:rFonts w:eastAsia="Times New Roman" w:cs="Times New Roman"/>
                <w:noProof/>
              </w:rPr>
            </w:pPr>
            <w:r>
              <w:rPr>
                <w:noProof/>
              </w:rPr>
              <w:t>T</w:t>
            </w:r>
          </w:p>
        </w:tc>
        <w:tc>
          <w:tcPr>
            <w:tcW w:w="1559" w:type="dxa"/>
            <w:shd w:val="clear" w:color="auto" w:fill="C6EFCE"/>
            <w:noWrap/>
            <w:vAlign w:val="center"/>
          </w:tcPr>
          <w:p w14:paraId="654A31A5" w14:textId="77777777" w:rsidR="00F208CE" w:rsidRDefault="00513E84">
            <w:pPr>
              <w:pStyle w:val="P68B1DB1-Normal8"/>
              <w:spacing w:after="0" w:line="240" w:lineRule="auto"/>
              <w:rPr>
                <w:rFonts w:eastAsia="Times New Roman" w:cs="Times New Roman"/>
                <w:noProof/>
              </w:rPr>
            </w:pPr>
            <w:r>
              <w:rPr>
                <w:noProof/>
              </w:rPr>
              <w:t>Iluminación LED instalada</w:t>
            </w:r>
          </w:p>
        </w:tc>
        <w:tc>
          <w:tcPr>
            <w:tcW w:w="1276" w:type="dxa"/>
            <w:shd w:val="clear" w:color="auto" w:fill="C6EFCE"/>
            <w:noWrap/>
            <w:vAlign w:val="center"/>
          </w:tcPr>
          <w:p w14:paraId="6A5F6367" w14:textId="77777777" w:rsidR="00F208CE" w:rsidRDefault="00F208CE">
            <w:pPr>
              <w:spacing w:after="0" w:line="240" w:lineRule="auto"/>
              <w:rPr>
                <w:rFonts w:ascii="Times New Roman" w:eastAsia="Times New Roman" w:hAnsi="Times New Roman" w:cs="Times New Roman"/>
                <w:noProof/>
                <w:color w:val="006100"/>
              </w:rPr>
            </w:pPr>
          </w:p>
        </w:tc>
        <w:tc>
          <w:tcPr>
            <w:tcW w:w="992" w:type="dxa"/>
            <w:shd w:val="clear" w:color="auto" w:fill="C6EFCE"/>
            <w:noWrap/>
            <w:vAlign w:val="center"/>
          </w:tcPr>
          <w:p w14:paraId="687545CD" w14:textId="77777777" w:rsidR="00F208CE" w:rsidRDefault="00513E84">
            <w:pPr>
              <w:pStyle w:val="P68B1DB1-Normal8"/>
              <w:spacing w:after="0" w:line="240" w:lineRule="auto"/>
              <w:rPr>
                <w:rFonts w:eastAsia="Times New Roman" w:cs="Times New Roman"/>
                <w:noProof/>
              </w:rPr>
            </w:pPr>
            <w:r>
              <w:rPr>
                <w:noProof/>
              </w:rPr>
              <w:t>Número</w:t>
            </w:r>
          </w:p>
        </w:tc>
        <w:tc>
          <w:tcPr>
            <w:tcW w:w="992" w:type="dxa"/>
            <w:shd w:val="clear" w:color="auto" w:fill="C6EFCE"/>
            <w:noWrap/>
            <w:vAlign w:val="center"/>
          </w:tcPr>
          <w:p w14:paraId="7603AC13" w14:textId="77777777" w:rsidR="00F208CE" w:rsidRDefault="00513E84">
            <w:pPr>
              <w:pStyle w:val="P68B1DB1-Normal8"/>
              <w:spacing w:after="0" w:line="240" w:lineRule="auto"/>
              <w:jc w:val="center"/>
              <w:rPr>
                <w:rFonts w:eastAsia="Times New Roman" w:cs="Times New Roman"/>
                <w:noProof/>
              </w:rPr>
            </w:pPr>
            <w:r>
              <w:rPr>
                <w:noProof/>
              </w:rPr>
              <w:t>0</w:t>
            </w:r>
          </w:p>
        </w:tc>
        <w:tc>
          <w:tcPr>
            <w:tcW w:w="851" w:type="dxa"/>
            <w:shd w:val="clear" w:color="auto" w:fill="C6EFCE"/>
            <w:noWrap/>
            <w:vAlign w:val="center"/>
          </w:tcPr>
          <w:p w14:paraId="05ED569B" w14:textId="45C786D7" w:rsidR="00F208CE" w:rsidRDefault="00513E84">
            <w:pPr>
              <w:pStyle w:val="P68B1DB1-Normal8"/>
              <w:spacing w:after="0" w:line="240" w:lineRule="auto"/>
              <w:jc w:val="center"/>
              <w:rPr>
                <w:rFonts w:eastAsia="Times New Roman" w:cs="Times New Roman"/>
                <w:noProof/>
              </w:rPr>
            </w:pPr>
            <w:r>
              <w:rPr>
                <w:noProof/>
              </w:rPr>
              <w:t>22 750</w:t>
            </w:r>
          </w:p>
        </w:tc>
        <w:tc>
          <w:tcPr>
            <w:tcW w:w="992" w:type="dxa"/>
            <w:shd w:val="clear" w:color="auto" w:fill="C6EFCE"/>
            <w:noWrap/>
            <w:vAlign w:val="center"/>
          </w:tcPr>
          <w:p w14:paraId="7D203BF7" w14:textId="77777777" w:rsidR="00F208CE" w:rsidRDefault="00513E84">
            <w:pPr>
              <w:pStyle w:val="P68B1DB1-Normal8"/>
              <w:spacing w:after="0" w:line="240" w:lineRule="auto"/>
              <w:jc w:val="center"/>
              <w:rPr>
                <w:rFonts w:eastAsia="Times New Roman" w:cs="Times New Roman"/>
                <w:noProof/>
              </w:rPr>
            </w:pPr>
            <w:r>
              <w:rPr>
                <w:noProof/>
              </w:rPr>
              <w:t>TERCER TRIMESTRE 2</w:t>
            </w:r>
          </w:p>
        </w:tc>
        <w:tc>
          <w:tcPr>
            <w:tcW w:w="709" w:type="dxa"/>
            <w:shd w:val="clear" w:color="auto" w:fill="C6EFCE"/>
            <w:noWrap/>
            <w:vAlign w:val="center"/>
          </w:tcPr>
          <w:p w14:paraId="58A973C1" w14:textId="77777777" w:rsidR="00F208CE" w:rsidRDefault="00513E84">
            <w:pPr>
              <w:pStyle w:val="P68B1DB1-Normal8"/>
              <w:spacing w:after="0" w:line="240" w:lineRule="auto"/>
              <w:jc w:val="center"/>
              <w:rPr>
                <w:rFonts w:eastAsia="Times New Roman" w:cs="Times New Roman"/>
                <w:noProof/>
              </w:rPr>
            </w:pPr>
            <w:r>
              <w:rPr>
                <w:noProof/>
              </w:rPr>
              <w:t>2026</w:t>
            </w:r>
          </w:p>
        </w:tc>
        <w:tc>
          <w:tcPr>
            <w:tcW w:w="4932" w:type="dxa"/>
            <w:shd w:val="clear" w:color="auto" w:fill="C6EFCE"/>
            <w:noWrap/>
            <w:vAlign w:val="center"/>
          </w:tcPr>
          <w:p w14:paraId="77CAAB38" w14:textId="4846645D" w:rsidR="00F208CE" w:rsidRDefault="00513E84">
            <w:pPr>
              <w:pStyle w:val="P68B1DB1-Normal8"/>
              <w:spacing w:after="0" w:line="240" w:lineRule="auto"/>
              <w:rPr>
                <w:rFonts w:eastAsia="Times New Roman" w:cs="Times New Roman"/>
                <w:noProof/>
              </w:rPr>
            </w:pPr>
            <w:r>
              <w:rPr>
                <w:noProof/>
              </w:rPr>
              <w:t>18 500 luminarias LED instaladas en autopistas y 4 250 lámparas LED instaladas en cinco túneles.</w:t>
            </w:r>
          </w:p>
        </w:tc>
      </w:tr>
      <w:tr w:rsidR="00F208CE" w14:paraId="526635AD" w14:textId="77777777">
        <w:trPr>
          <w:trHeight w:val="309"/>
        </w:trPr>
        <w:tc>
          <w:tcPr>
            <w:tcW w:w="710" w:type="dxa"/>
            <w:shd w:val="clear" w:color="auto" w:fill="C6EFCE"/>
            <w:noWrap/>
            <w:vAlign w:val="center"/>
          </w:tcPr>
          <w:p w14:paraId="6318786E" w14:textId="77777777" w:rsidR="00F208CE" w:rsidRDefault="00513E84">
            <w:pPr>
              <w:spacing w:after="0" w:line="240" w:lineRule="auto"/>
              <w:jc w:val="center"/>
              <w:rPr>
                <w:rFonts w:ascii="Times New Roman" w:eastAsia="Times New Roman" w:hAnsi="Times New Roman" w:cs="Times New Roman"/>
                <w:noProof/>
                <w:color w:val="006100"/>
              </w:rPr>
            </w:pPr>
            <w:r>
              <w:rPr>
                <w:rStyle w:val="normaltextrun"/>
                <w:rFonts w:ascii="Times New Roman" w:hAnsi="Times New Roman"/>
                <w:noProof/>
                <w:color w:val="006100"/>
              </w:rPr>
              <w:t>245</w:t>
            </w:r>
          </w:p>
        </w:tc>
        <w:tc>
          <w:tcPr>
            <w:tcW w:w="1417" w:type="dxa"/>
            <w:shd w:val="clear" w:color="auto" w:fill="C6EFCE"/>
            <w:noWrap/>
            <w:vAlign w:val="center"/>
          </w:tcPr>
          <w:p w14:paraId="3CD0EE06" w14:textId="77777777" w:rsidR="00F208CE" w:rsidRDefault="00513E84">
            <w:pPr>
              <w:spacing w:after="0" w:line="240" w:lineRule="auto"/>
              <w:rPr>
                <w:rFonts w:ascii="Times New Roman" w:eastAsia="Times New Roman" w:hAnsi="Times New Roman" w:cs="Times New Roman"/>
                <w:noProof/>
                <w:color w:val="006100"/>
              </w:rPr>
            </w:pPr>
            <w:r>
              <w:rPr>
                <w:rStyle w:val="normaltextrun"/>
                <w:rFonts w:ascii="Times New Roman" w:hAnsi="Times New Roman"/>
                <w:noProof/>
                <w:color w:val="006100"/>
              </w:rPr>
              <w:t xml:space="preserve">Red ferroviaria eficiente — FED (I-7.24) </w:t>
            </w:r>
          </w:p>
        </w:tc>
        <w:tc>
          <w:tcPr>
            <w:tcW w:w="993" w:type="dxa"/>
            <w:shd w:val="clear" w:color="auto" w:fill="C6EFCE"/>
            <w:noWrap/>
            <w:vAlign w:val="center"/>
          </w:tcPr>
          <w:p w14:paraId="364842C2" w14:textId="77777777" w:rsidR="00F208CE" w:rsidRDefault="00513E84">
            <w:pPr>
              <w:spacing w:after="0" w:line="240" w:lineRule="auto"/>
              <w:jc w:val="center"/>
              <w:rPr>
                <w:rFonts w:ascii="Times New Roman" w:eastAsia="Times New Roman" w:hAnsi="Times New Roman" w:cs="Times New Roman"/>
                <w:noProof/>
                <w:color w:val="006100"/>
              </w:rPr>
            </w:pPr>
            <w:r>
              <w:rPr>
                <w:rStyle w:val="normaltextrun"/>
                <w:rFonts w:ascii="Times New Roman" w:hAnsi="Times New Roman"/>
                <w:noProof/>
                <w:color w:val="006100"/>
              </w:rPr>
              <w:t>T</w:t>
            </w:r>
          </w:p>
        </w:tc>
        <w:tc>
          <w:tcPr>
            <w:tcW w:w="1559" w:type="dxa"/>
            <w:shd w:val="clear" w:color="auto" w:fill="C6EFCE"/>
            <w:noWrap/>
            <w:vAlign w:val="center"/>
          </w:tcPr>
          <w:p w14:paraId="0D35D982" w14:textId="77777777" w:rsidR="00F208CE" w:rsidRDefault="00513E84">
            <w:pPr>
              <w:spacing w:after="0" w:line="240" w:lineRule="auto"/>
              <w:rPr>
                <w:rFonts w:ascii="Times New Roman" w:eastAsia="Times New Roman" w:hAnsi="Times New Roman" w:cs="Times New Roman"/>
                <w:noProof/>
                <w:color w:val="006100"/>
              </w:rPr>
            </w:pPr>
            <w:r>
              <w:rPr>
                <w:rStyle w:val="normaltextrun"/>
                <w:rFonts w:ascii="Times New Roman" w:hAnsi="Times New Roman"/>
                <w:noProof/>
                <w:color w:val="006100"/>
              </w:rPr>
              <w:t>Electrificación de las líneas ferroviarias</w:t>
            </w:r>
          </w:p>
        </w:tc>
        <w:tc>
          <w:tcPr>
            <w:tcW w:w="1276" w:type="dxa"/>
            <w:shd w:val="clear" w:color="auto" w:fill="C6EFCE"/>
            <w:noWrap/>
            <w:vAlign w:val="center"/>
          </w:tcPr>
          <w:p w14:paraId="65E5F936" w14:textId="77777777" w:rsidR="00F208CE" w:rsidRDefault="00F208CE">
            <w:pPr>
              <w:spacing w:after="0" w:line="240" w:lineRule="auto"/>
              <w:rPr>
                <w:rFonts w:ascii="Times New Roman" w:eastAsia="Times New Roman" w:hAnsi="Times New Roman" w:cs="Times New Roman"/>
                <w:noProof/>
                <w:color w:val="006100"/>
              </w:rPr>
            </w:pPr>
          </w:p>
        </w:tc>
        <w:tc>
          <w:tcPr>
            <w:tcW w:w="992" w:type="dxa"/>
            <w:shd w:val="clear" w:color="auto" w:fill="C6EFCE"/>
            <w:noWrap/>
            <w:vAlign w:val="center"/>
          </w:tcPr>
          <w:p w14:paraId="4296742B" w14:textId="719D136B" w:rsidR="00F208CE" w:rsidRDefault="00513E84">
            <w:pPr>
              <w:spacing w:after="0" w:line="240" w:lineRule="auto"/>
              <w:rPr>
                <w:rFonts w:ascii="Times New Roman" w:eastAsia="Times New Roman" w:hAnsi="Times New Roman" w:cs="Times New Roman"/>
                <w:noProof/>
                <w:color w:val="006100"/>
              </w:rPr>
            </w:pPr>
            <w:r>
              <w:rPr>
                <w:rStyle w:val="normaltextrun"/>
                <w:rFonts w:ascii="Times New Roman" w:hAnsi="Times New Roman"/>
                <w:noProof/>
                <w:color w:val="006100"/>
              </w:rPr>
              <w:t>Número (o km)</w:t>
            </w:r>
          </w:p>
        </w:tc>
        <w:tc>
          <w:tcPr>
            <w:tcW w:w="992" w:type="dxa"/>
            <w:shd w:val="clear" w:color="auto" w:fill="C6EFCE"/>
            <w:noWrap/>
            <w:vAlign w:val="center"/>
          </w:tcPr>
          <w:p w14:paraId="20F37083" w14:textId="77777777" w:rsidR="00F208CE" w:rsidRDefault="00513E84">
            <w:pPr>
              <w:spacing w:after="0" w:line="240" w:lineRule="auto"/>
              <w:jc w:val="center"/>
              <w:rPr>
                <w:rFonts w:ascii="Times New Roman" w:eastAsia="Times New Roman" w:hAnsi="Times New Roman" w:cs="Times New Roman"/>
                <w:noProof/>
                <w:color w:val="006100"/>
              </w:rPr>
            </w:pPr>
            <w:r>
              <w:rPr>
                <w:rStyle w:val="normaltextrun"/>
                <w:rFonts w:ascii="Times New Roman" w:hAnsi="Times New Roman"/>
                <w:noProof/>
                <w:color w:val="006100"/>
              </w:rPr>
              <w:t>0</w:t>
            </w:r>
          </w:p>
        </w:tc>
        <w:tc>
          <w:tcPr>
            <w:tcW w:w="851" w:type="dxa"/>
            <w:shd w:val="clear" w:color="auto" w:fill="C6EFCE"/>
            <w:noWrap/>
            <w:vAlign w:val="center"/>
          </w:tcPr>
          <w:p w14:paraId="363011BB" w14:textId="03B95577" w:rsidR="00F208CE" w:rsidRDefault="00513E84">
            <w:pPr>
              <w:spacing w:after="0" w:line="240" w:lineRule="auto"/>
              <w:jc w:val="center"/>
              <w:rPr>
                <w:rFonts w:ascii="Times New Roman" w:eastAsia="Times New Roman" w:hAnsi="Times New Roman" w:cs="Times New Roman"/>
                <w:noProof/>
                <w:color w:val="006100"/>
              </w:rPr>
            </w:pPr>
            <w:r>
              <w:rPr>
                <w:rStyle w:val="normaltextrun"/>
                <w:rFonts w:ascii="Times New Roman" w:hAnsi="Times New Roman"/>
                <w:noProof/>
                <w:color w:val="006100"/>
              </w:rPr>
              <w:t>13</w:t>
            </w:r>
          </w:p>
        </w:tc>
        <w:tc>
          <w:tcPr>
            <w:tcW w:w="992" w:type="dxa"/>
            <w:shd w:val="clear" w:color="auto" w:fill="C6EFCE"/>
            <w:noWrap/>
            <w:vAlign w:val="center"/>
          </w:tcPr>
          <w:p w14:paraId="6D24F8FD" w14:textId="77777777" w:rsidR="00F208CE" w:rsidRDefault="00513E84">
            <w:pPr>
              <w:spacing w:after="0" w:line="240" w:lineRule="auto"/>
              <w:jc w:val="center"/>
              <w:rPr>
                <w:rFonts w:ascii="Times New Roman" w:eastAsia="Times New Roman" w:hAnsi="Times New Roman" w:cs="Times New Roman"/>
                <w:noProof/>
                <w:color w:val="006100"/>
              </w:rPr>
            </w:pPr>
            <w:r>
              <w:rPr>
                <w:rStyle w:val="normaltextrun"/>
                <w:rFonts w:ascii="Times New Roman" w:hAnsi="Times New Roman"/>
                <w:noProof/>
                <w:color w:val="006100"/>
              </w:rPr>
              <w:t>TERCER TRIMESTRE 2</w:t>
            </w:r>
          </w:p>
        </w:tc>
        <w:tc>
          <w:tcPr>
            <w:tcW w:w="709" w:type="dxa"/>
            <w:shd w:val="clear" w:color="auto" w:fill="C6EFCE"/>
            <w:noWrap/>
            <w:vAlign w:val="center"/>
          </w:tcPr>
          <w:p w14:paraId="3E70FBBE" w14:textId="77777777" w:rsidR="00F208CE" w:rsidRDefault="00513E84">
            <w:pPr>
              <w:spacing w:after="0" w:line="240" w:lineRule="auto"/>
              <w:jc w:val="center"/>
              <w:rPr>
                <w:rFonts w:ascii="Times New Roman" w:eastAsia="Times New Roman" w:hAnsi="Times New Roman" w:cs="Times New Roman"/>
                <w:noProof/>
                <w:color w:val="006100"/>
              </w:rPr>
            </w:pPr>
            <w:r>
              <w:rPr>
                <w:rStyle w:val="normaltextrun"/>
                <w:rFonts w:ascii="Times New Roman" w:hAnsi="Times New Roman"/>
                <w:noProof/>
                <w:color w:val="006100"/>
              </w:rPr>
              <w:t>2026</w:t>
            </w:r>
          </w:p>
        </w:tc>
        <w:tc>
          <w:tcPr>
            <w:tcW w:w="4932" w:type="dxa"/>
            <w:shd w:val="clear" w:color="auto" w:fill="C6EFCE"/>
            <w:noWrap/>
            <w:vAlign w:val="center"/>
          </w:tcPr>
          <w:p w14:paraId="0F768F5A" w14:textId="255A015C" w:rsidR="00F208CE" w:rsidRDefault="00513E84">
            <w:pPr>
              <w:spacing w:after="0" w:line="240" w:lineRule="auto"/>
              <w:rPr>
                <w:rFonts w:ascii="Times New Roman" w:eastAsia="Times New Roman" w:hAnsi="Times New Roman" w:cs="Times New Roman"/>
                <w:noProof/>
                <w:color w:val="006100"/>
              </w:rPr>
            </w:pPr>
            <w:r>
              <w:rPr>
                <w:rStyle w:val="normaltextrun"/>
                <w:rFonts w:ascii="Times New Roman" w:hAnsi="Times New Roman"/>
                <w:noProof/>
                <w:color w:val="006100"/>
              </w:rPr>
              <w:t>Se ha completado la electrificación de 13 km de ferrocarril (en ambas direcciones) en la línea 11.</w:t>
            </w:r>
          </w:p>
        </w:tc>
      </w:tr>
    </w:tbl>
    <w:p w14:paraId="362620B7" w14:textId="77777777" w:rsidR="00F208CE" w:rsidRDefault="00F208CE">
      <w:pPr>
        <w:rPr>
          <w:rFonts w:ascii="Times New Roman" w:eastAsia="Yu Gothic Light" w:hAnsi="Times New Roman" w:cs="Times New Roman"/>
          <w:b/>
          <w:noProof/>
          <w:sz w:val="24"/>
        </w:rPr>
      </w:pPr>
    </w:p>
    <w:p w14:paraId="798BAD8A" w14:textId="01443425" w:rsidR="00F208CE" w:rsidRDefault="00F208CE">
      <w:pPr>
        <w:pStyle w:val="Text1"/>
        <w:ind w:left="0"/>
        <w:rPr>
          <w:noProof/>
        </w:rPr>
        <w:sectPr w:rsidR="00F208CE" w:rsidSect="007F56C3">
          <w:headerReference w:type="default" r:id="rId220"/>
          <w:footerReference w:type="default" r:id="rId221"/>
          <w:pgSz w:w="16839" w:h="11907" w:orient="landscape"/>
          <w:pgMar w:top="1134" w:right="1134" w:bottom="1134" w:left="1134" w:header="567" w:footer="567" w:gutter="0"/>
          <w:cols w:space="720"/>
          <w:docGrid w:linePitch="360"/>
        </w:sectPr>
      </w:pPr>
    </w:p>
    <w:p w14:paraId="2A295511" w14:textId="1940B90A" w:rsidR="00F208CE" w:rsidRDefault="00F208CE">
      <w:pPr>
        <w:pStyle w:val="Text1"/>
        <w:ind w:left="0"/>
        <w:rPr>
          <w:noProof/>
        </w:rPr>
      </w:pPr>
    </w:p>
    <w:p w14:paraId="5EC3B7F8" w14:textId="300FA281" w:rsidR="00F208CE" w:rsidRDefault="00513E84">
      <w:pPr>
        <w:pStyle w:val="ManualHeading1"/>
        <w:spacing w:before="120"/>
        <w:ind w:left="0" w:hanging="130"/>
        <w:rPr>
          <w:smallCaps w:val="0"/>
          <w:noProof/>
        </w:rPr>
      </w:pPr>
      <w:r>
        <w:rPr>
          <w:noProof/>
        </w:rPr>
        <w:t xml:space="preserve">V. </w:t>
      </w:r>
      <w:r>
        <w:rPr>
          <w:caps/>
          <w:smallCaps w:val="0"/>
          <w:noProof/>
        </w:rPr>
        <w:t>AUDITORÍA Y CONTROL</w:t>
      </w:r>
    </w:p>
    <w:p w14:paraId="15759C15" w14:textId="30A75C13" w:rsidR="00F208CE" w:rsidRDefault="00513E84">
      <w:pPr>
        <w:pStyle w:val="Text1"/>
        <w:ind w:left="0"/>
        <w:rPr>
          <w:b/>
          <w:noProof/>
          <w:u w:val="single"/>
        </w:rPr>
      </w:pPr>
      <w:r>
        <w:rPr>
          <w:b/>
          <w:noProof/>
          <w:u w:val="single"/>
        </w:rPr>
        <w:t xml:space="preserve">V.1. </w:t>
      </w:r>
      <w:r>
        <w:rPr>
          <w:noProof/>
        </w:rPr>
        <w:t xml:space="preserve"> </w:t>
      </w:r>
      <w:r>
        <w:rPr>
          <w:b/>
          <w:noProof/>
          <w:u w:val="single"/>
        </w:rPr>
        <w:t>Descripción de las reformas e inversiones para la ayuda financiera no reembolsable</w:t>
      </w:r>
    </w:p>
    <w:p w14:paraId="5BF1A1A7" w14:textId="6BCD90AD" w:rsidR="00F208CE" w:rsidRDefault="00513E84">
      <w:pPr>
        <w:pStyle w:val="Text1"/>
        <w:ind w:left="0"/>
        <w:rPr>
          <w:noProof/>
        </w:rPr>
      </w:pPr>
      <w:r>
        <w:rPr>
          <w:noProof/>
        </w:rPr>
        <w:t>Antes de presentar la primera solicitud de pago, estará operativo un sistema de repositorios para registrar y</w:t>
      </w:r>
      <w:r>
        <w:rPr>
          <w:noProof/>
        </w:rPr>
        <w:t xml:space="preserve"> almacenar todos los datos pertinentes relacionados con la aplicación del plan de recuperación y resiliencia — la consecución de hitos y metas, datos sobre el destinatario final, contratistas, subcontratistas y titulares reales. Bélgica presentará un infor</w:t>
      </w:r>
      <w:r>
        <w:rPr>
          <w:noProof/>
        </w:rPr>
        <w:t>me de auditoría específico antes de la primera solicitud de pago que confirme la eficacia de las funcionalidades del sistema de repositorios.</w:t>
      </w:r>
    </w:p>
    <w:p w14:paraId="5FD35D35" w14:textId="562FCCB3" w:rsidR="00F208CE" w:rsidRDefault="00513E84">
      <w:pPr>
        <w:pStyle w:val="Text1"/>
        <w:ind w:left="0"/>
        <w:rPr>
          <w:noProof/>
        </w:rPr>
      </w:pPr>
      <w:r>
        <w:rPr>
          <w:noProof/>
        </w:rPr>
        <w:t>Además, también antes de presentar la primera solicitud de pago en el marco del Mecanismo de Recuperación y Resili</w:t>
      </w:r>
      <w:r>
        <w:rPr>
          <w:noProof/>
        </w:rPr>
        <w:t>encia, Bélgica garantizará la aplicación de disposiciones de coordinación adecuadas, incluidos controles cruzados, a nivel del organismo de coordinación a nivel interfederal, lo que permitirá evitar la doble financiación procedente del Mecanismo y de otros</w:t>
      </w:r>
      <w:r>
        <w:rPr>
          <w:noProof/>
        </w:rPr>
        <w:t xml:space="preserve"> programas de la Unión, de conformidad con el principio de buena gestión financiera.</w:t>
      </w:r>
    </w:p>
    <w:p w14:paraId="35291914" w14:textId="05AF5190" w:rsidR="00F208CE" w:rsidRDefault="00513E84">
      <w:pPr>
        <w:pStyle w:val="Text1"/>
        <w:ind w:left="0"/>
        <w:rPr>
          <w:noProof/>
        </w:rPr>
      </w:pPr>
      <w:r>
        <w:rPr>
          <w:noProof/>
        </w:rPr>
        <w:t>Con el fin de garantizar unos sistemas de control interno sólidos adecuados a la configuración específica de Bélgica, los organismos de coordinación, en colaboración con l</w:t>
      </w:r>
      <w:r>
        <w:rPr>
          <w:noProof/>
        </w:rPr>
        <w:t xml:space="preserve">os organismos de ejecución en caso necesario, adaptarán su manual de procedimientos en el que se describirá el sistema de gestión y control y darán instrucciones a los organismos de ejecución. Los manuales o documentos incluirán procedimientos relativos a </w:t>
      </w:r>
      <w:r>
        <w:rPr>
          <w:noProof/>
        </w:rPr>
        <w:t>la obtención de garantías para la firma de las declaraciones de gestión que acompañan a la solicitud de pago presentada a la Comisión.</w:t>
      </w:r>
    </w:p>
    <w:p w14:paraId="04B3ED0F" w14:textId="5A44E16F" w:rsidR="00F208CE" w:rsidRDefault="00513E84">
      <w:pPr>
        <w:pStyle w:val="Text1"/>
        <w:ind w:left="0"/>
        <w:rPr>
          <w:noProof/>
        </w:rPr>
      </w:pPr>
      <w:r>
        <w:rPr>
          <w:noProof/>
        </w:rPr>
        <w:t xml:space="preserve">Además, cuando se haya encomendado a la Inspección de Finanzas la responsabilidad de dichos controles, los organismos de </w:t>
      </w:r>
      <w:r>
        <w:rPr>
          <w:noProof/>
        </w:rPr>
        <w:t>coordinación adoptarán y enviarán una comunicación a la Inspección de Finanzas en relación con la verificación ex ante del cumplimiento de la legislación nacional y de la Unión y la protección de los intereses financieros de la Unión, que se llevará a cabo</w:t>
      </w:r>
      <w:r>
        <w:rPr>
          <w:noProof/>
        </w:rPr>
        <w:t xml:space="preserve"> de conformidad con el Reglamento (UE) 2021/241.</w:t>
      </w:r>
    </w:p>
    <w:p w14:paraId="059A154B" w14:textId="6E899A6F" w:rsidR="00F208CE" w:rsidRDefault="00513E84">
      <w:pPr>
        <w:pStyle w:val="Text1"/>
        <w:ind w:left="0"/>
        <w:rPr>
          <w:noProof/>
        </w:rPr>
      </w:pPr>
      <w:r>
        <w:rPr>
          <w:noProof/>
        </w:rPr>
        <w:t xml:space="preserve">Por último, los organismos de coordinación darán instrucciones a todos los organismos de ejecución en relación con la verificación ex ante del riesgo de conflicto de intereses en la ejecución de las medidas </w:t>
      </w:r>
      <w:r>
        <w:rPr>
          <w:noProof/>
        </w:rPr>
        <w:t>del MRR antes de la firma de los contratos o la concesión de subvenciones. Esto incluirá declaraciones obligatorias de ausencia de conflictos de intereses por parte de las personas implicadas en todas las fases de los procedimientos de selección tanto para</w:t>
      </w:r>
      <w:r>
        <w:rPr>
          <w:noProof/>
        </w:rPr>
        <w:t xml:space="preserve"> las licitaciones como para las convocatorias de proyectos, y, sobre la base del riesgo, el uso de una herramienta adecuada de evaluación de riesgos para llevar a cabo los controles de conflictos de intereses establecidos en las instrucciones.</w:t>
      </w:r>
    </w:p>
    <w:p w14:paraId="28E391C9" w14:textId="77777777" w:rsidR="00F208CE" w:rsidRDefault="00513E84">
      <w:pPr>
        <w:pStyle w:val="Text1"/>
        <w:ind w:left="0"/>
        <w:rPr>
          <w:rFonts w:eastAsia="Calibri"/>
          <w:noProof/>
        </w:rPr>
      </w:pPr>
      <w:r>
        <w:rPr>
          <w:noProof/>
        </w:rPr>
        <w:t>Los hitos 25</w:t>
      </w:r>
      <w:r>
        <w:rPr>
          <w:noProof/>
        </w:rPr>
        <w:t>0 y 251 en el marco de esta medida se cumplirán en el momento de la presentación de la siguiente solicitud de pago a la Comisión tras la adopción de la presente Decisión de Ejecución y serán un requisito previo para cualquier pago futuro.</w:t>
      </w:r>
    </w:p>
    <w:p w14:paraId="7C82D65E" w14:textId="77777777" w:rsidR="00F208CE" w:rsidRDefault="00513E84">
      <w:pPr>
        <w:pStyle w:val="Text1"/>
        <w:ind w:left="0"/>
        <w:rPr>
          <w:b/>
          <w:noProof/>
          <w:u w:val="single"/>
        </w:rPr>
      </w:pPr>
      <w:r>
        <w:rPr>
          <w:b/>
          <w:noProof/>
        </w:rPr>
        <w:t>V.</w:t>
      </w:r>
      <w:r>
        <w:rPr>
          <w:b/>
          <w:noProof/>
          <w:u w:val="single"/>
        </w:rPr>
        <w:t xml:space="preserve">2. </w:t>
      </w:r>
      <w:r>
        <w:rPr>
          <w:noProof/>
        </w:rPr>
        <w:t xml:space="preserve"> </w:t>
      </w:r>
      <w:r>
        <w:rPr>
          <w:b/>
          <w:noProof/>
          <w:u w:val="single"/>
        </w:rPr>
        <w:t>Hitos, meta</w:t>
      </w:r>
      <w:r>
        <w:rPr>
          <w:b/>
          <w:noProof/>
          <w:u w:val="single"/>
        </w:rPr>
        <w:t>s, indicadores y calendario para el seguimiento y la ejecución de la ayuda financiera no reembolsable</w:t>
      </w:r>
    </w:p>
    <w:p w14:paraId="6C430B4B" w14:textId="77777777" w:rsidR="00F208CE" w:rsidRDefault="00F208CE">
      <w:pPr>
        <w:pStyle w:val="Text1"/>
        <w:ind w:left="0"/>
        <w:rPr>
          <w:rFonts w:eastAsia="Calibri"/>
          <w:noProof/>
        </w:rPr>
      </w:pPr>
    </w:p>
    <w:p w14:paraId="41553298" w14:textId="77777777" w:rsidR="00F208CE" w:rsidRDefault="00F208CE">
      <w:pPr>
        <w:pStyle w:val="Text1"/>
        <w:ind w:left="0"/>
        <w:rPr>
          <w:rFonts w:eastAsia="Calibri"/>
          <w:noProof/>
        </w:rPr>
      </w:pPr>
    </w:p>
    <w:p w14:paraId="3B77F2CE" w14:textId="1859437E" w:rsidR="00F208CE" w:rsidRDefault="00F208CE">
      <w:pPr>
        <w:pStyle w:val="Text1"/>
        <w:ind w:left="0"/>
        <w:rPr>
          <w:rFonts w:eastAsia="Calibri"/>
          <w:noProof/>
        </w:rPr>
        <w:sectPr w:rsidR="00F208CE">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60"/>
        </w:sectPr>
      </w:pPr>
    </w:p>
    <w:tbl>
      <w:tblPr>
        <w:tblpPr w:leftFromText="141" w:rightFromText="141" w:vertAnchor="text" w:horzAnchor="margin" w:tblpXSpec="center" w:tblpY="293"/>
        <w:tblW w:w="15559" w:type="dxa"/>
        <w:shd w:val="clear" w:color="auto" w:fill="C6EFCE"/>
        <w:tblLayout w:type="fixed"/>
        <w:tblLook w:val="04A0" w:firstRow="1" w:lastRow="0" w:firstColumn="1" w:lastColumn="0" w:noHBand="0" w:noVBand="1"/>
      </w:tblPr>
      <w:tblGrid>
        <w:gridCol w:w="704"/>
        <w:gridCol w:w="1691"/>
        <w:gridCol w:w="435"/>
        <w:gridCol w:w="1701"/>
        <w:gridCol w:w="2184"/>
        <w:gridCol w:w="1080"/>
        <w:gridCol w:w="1080"/>
        <w:gridCol w:w="840"/>
        <w:gridCol w:w="1080"/>
        <w:gridCol w:w="1080"/>
        <w:gridCol w:w="3684"/>
      </w:tblGrid>
      <w:tr w:rsidR="00F208CE" w14:paraId="15A2CF49" w14:textId="77777777">
        <w:trPr>
          <w:trHeight w:val="927"/>
          <w:tblHeader/>
        </w:trPr>
        <w:tc>
          <w:tcPr>
            <w:tcW w:w="704" w:type="dxa"/>
            <w:vMerge w:val="restart"/>
            <w:tcBorders>
              <w:top w:val="single" w:sz="4" w:space="0" w:color="auto"/>
              <w:left w:val="single" w:sz="4" w:space="0" w:color="auto"/>
              <w:right w:val="single" w:sz="4" w:space="0" w:color="auto"/>
            </w:tcBorders>
            <w:shd w:val="clear" w:color="auto" w:fill="BDD7EE"/>
            <w:vAlign w:val="center"/>
            <w:hideMark/>
          </w:tcPr>
          <w:p w14:paraId="452C8D24" w14:textId="27D48710" w:rsidR="00F208CE" w:rsidRDefault="00513E84">
            <w:pPr>
              <w:pStyle w:val="P68B1DB1-Normal15"/>
              <w:spacing w:after="0"/>
              <w:jc w:val="center"/>
              <w:rPr>
                <w:rFonts w:eastAsia="Times New Roman" w:cs="Times New Roman"/>
                <w:noProof/>
              </w:rPr>
            </w:pPr>
            <w:r>
              <w:rPr>
                <w:noProof/>
              </w:rPr>
              <w:t>S. N.B.</w:t>
            </w:r>
          </w:p>
        </w:tc>
        <w:tc>
          <w:tcPr>
            <w:tcW w:w="1691" w:type="dxa"/>
            <w:vMerge w:val="restart"/>
            <w:tcBorders>
              <w:top w:val="single" w:sz="4" w:space="0" w:color="auto"/>
              <w:left w:val="single" w:sz="4" w:space="0" w:color="auto"/>
              <w:right w:val="single" w:sz="4" w:space="0" w:color="auto"/>
            </w:tcBorders>
            <w:shd w:val="clear" w:color="auto" w:fill="BDD7EE"/>
            <w:vAlign w:val="center"/>
            <w:hideMark/>
          </w:tcPr>
          <w:p w14:paraId="592F6615" w14:textId="77777777" w:rsidR="00F208CE" w:rsidRDefault="00513E84">
            <w:pPr>
              <w:pStyle w:val="P68B1DB1-Normal15"/>
              <w:spacing w:after="0"/>
              <w:jc w:val="center"/>
              <w:rPr>
                <w:rFonts w:eastAsia="Times New Roman" w:cs="Times New Roman"/>
                <w:noProof/>
              </w:rPr>
            </w:pPr>
            <w:r>
              <w:rPr>
                <w:noProof/>
              </w:rPr>
              <w:t>Medida relacionada (reforma o inversión)</w:t>
            </w:r>
          </w:p>
        </w:tc>
        <w:tc>
          <w:tcPr>
            <w:tcW w:w="435" w:type="dxa"/>
            <w:vMerge w:val="restart"/>
            <w:tcBorders>
              <w:top w:val="single" w:sz="4" w:space="0" w:color="auto"/>
              <w:left w:val="single" w:sz="4" w:space="0" w:color="auto"/>
              <w:right w:val="single" w:sz="4" w:space="0" w:color="auto"/>
            </w:tcBorders>
            <w:shd w:val="clear" w:color="auto" w:fill="BDD7EE"/>
            <w:vAlign w:val="center"/>
            <w:hideMark/>
          </w:tcPr>
          <w:p w14:paraId="0A6C22D3" w14:textId="05E4B016" w:rsidR="00F208CE" w:rsidRDefault="00513E84">
            <w:pPr>
              <w:pStyle w:val="P68B1DB1-Normal15"/>
              <w:spacing w:after="0"/>
              <w:jc w:val="center"/>
              <w:rPr>
                <w:rFonts w:eastAsia="Times New Roman" w:cs="Times New Roman"/>
                <w:noProof/>
              </w:rPr>
            </w:pPr>
            <w:r>
              <w:rPr>
                <w:noProof/>
              </w:rPr>
              <w:t>M/T</w:t>
            </w:r>
          </w:p>
        </w:tc>
        <w:tc>
          <w:tcPr>
            <w:tcW w:w="1701" w:type="dxa"/>
            <w:vMerge w:val="restart"/>
            <w:tcBorders>
              <w:top w:val="single" w:sz="4" w:space="0" w:color="auto"/>
              <w:left w:val="nil"/>
              <w:right w:val="single" w:sz="4" w:space="0" w:color="auto"/>
            </w:tcBorders>
            <w:shd w:val="clear" w:color="auto" w:fill="BDD7EE"/>
            <w:vAlign w:val="center"/>
            <w:hideMark/>
          </w:tcPr>
          <w:p w14:paraId="7180C168" w14:textId="77777777" w:rsidR="00F208CE" w:rsidRDefault="00513E84">
            <w:pPr>
              <w:pStyle w:val="P68B1DB1-Normal15"/>
              <w:spacing w:after="0"/>
              <w:jc w:val="center"/>
              <w:rPr>
                <w:rFonts w:eastAsia="Times New Roman" w:cs="Times New Roman"/>
                <w:noProof/>
              </w:rPr>
            </w:pPr>
            <w:r>
              <w:rPr>
                <w:noProof/>
              </w:rPr>
              <w:t>Nombre</w:t>
            </w:r>
          </w:p>
        </w:tc>
        <w:tc>
          <w:tcPr>
            <w:tcW w:w="2184" w:type="dxa"/>
            <w:vMerge w:val="restart"/>
            <w:tcBorders>
              <w:top w:val="single" w:sz="4" w:space="0" w:color="auto"/>
              <w:left w:val="single" w:sz="4" w:space="0" w:color="auto"/>
              <w:right w:val="single" w:sz="4" w:space="0" w:color="auto"/>
            </w:tcBorders>
            <w:shd w:val="clear" w:color="auto" w:fill="BDD7EE"/>
            <w:vAlign w:val="center"/>
            <w:hideMark/>
          </w:tcPr>
          <w:p w14:paraId="73889AEE"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cualitativos</w:t>
            </w:r>
            <w:r>
              <w:rPr>
                <w:noProof/>
              </w:rPr>
              <w:t xml:space="preserve">  </w:t>
            </w:r>
            <w:r>
              <w:rPr>
                <w:noProof/>
              </w:rPr>
              <w:br/>
            </w:r>
            <w:r>
              <w:rPr>
                <w:rFonts w:ascii="Times New Roman" w:hAnsi="Times New Roman"/>
                <w:b/>
                <w:noProof/>
              </w:rPr>
              <w:t xml:space="preserve">(para </w:t>
            </w:r>
            <w:r>
              <w:rPr>
                <w:rFonts w:ascii="Times New Roman" w:hAnsi="Times New Roman"/>
                <w:b/>
                <w:noProof/>
              </w:rPr>
              <w:t>hitos)</w:t>
            </w:r>
          </w:p>
        </w:tc>
        <w:tc>
          <w:tcPr>
            <w:tcW w:w="3000" w:type="dxa"/>
            <w:gridSpan w:val="3"/>
            <w:tcBorders>
              <w:top w:val="single" w:sz="4" w:space="0" w:color="auto"/>
              <w:left w:val="nil"/>
              <w:bottom w:val="single" w:sz="4" w:space="0" w:color="auto"/>
              <w:right w:val="single" w:sz="4" w:space="0" w:color="auto"/>
            </w:tcBorders>
            <w:shd w:val="clear" w:color="auto" w:fill="BDD7EE"/>
            <w:vAlign w:val="center"/>
            <w:hideMark/>
          </w:tcPr>
          <w:p w14:paraId="5AAC88E2" w14:textId="77777777" w:rsidR="00F208CE" w:rsidRDefault="00513E84">
            <w:pPr>
              <w:spacing w:after="0"/>
              <w:jc w:val="center"/>
              <w:rPr>
                <w:rFonts w:ascii="Times New Roman" w:eastAsia="Times New Roman" w:hAnsi="Times New Roman" w:cs="Times New Roman"/>
                <w:b/>
                <w:noProof/>
              </w:rPr>
            </w:pPr>
            <w:r>
              <w:rPr>
                <w:rFonts w:ascii="Times New Roman" w:hAnsi="Times New Roman"/>
                <w:b/>
                <w:noProof/>
              </w:rPr>
              <w:t>Indicadores cuantitativos</w:t>
            </w:r>
            <w:r>
              <w:rPr>
                <w:noProof/>
              </w:rPr>
              <w:t xml:space="preserve">  </w:t>
            </w:r>
            <w:r>
              <w:rPr>
                <w:noProof/>
              </w:rPr>
              <w:br/>
            </w:r>
            <w:r>
              <w:rPr>
                <w:rFonts w:ascii="Times New Roman" w:hAnsi="Times New Roman"/>
                <w:b/>
                <w:noProof/>
              </w:rPr>
              <w:t>(para los objetivos)</w:t>
            </w:r>
          </w:p>
        </w:tc>
        <w:tc>
          <w:tcPr>
            <w:tcW w:w="2160" w:type="dxa"/>
            <w:gridSpan w:val="2"/>
            <w:tcBorders>
              <w:top w:val="single" w:sz="4" w:space="0" w:color="auto"/>
              <w:left w:val="nil"/>
              <w:bottom w:val="single" w:sz="4" w:space="0" w:color="auto"/>
              <w:right w:val="single" w:sz="4" w:space="0" w:color="auto"/>
            </w:tcBorders>
            <w:shd w:val="clear" w:color="auto" w:fill="BDD7EE"/>
            <w:vAlign w:val="center"/>
            <w:hideMark/>
          </w:tcPr>
          <w:p w14:paraId="280C19A6" w14:textId="77777777" w:rsidR="00F208CE" w:rsidRDefault="00513E84">
            <w:pPr>
              <w:pStyle w:val="P68B1DB1-Normal15"/>
              <w:spacing w:after="0"/>
              <w:jc w:val="center"/>
              <w:rPr>
                <w:rFonts w:eastAsia="Times New Roman" w:cs="Times New Roman"/>
                <w:noProof/>
              </w:rPr>
            </w:pPr>
            <w:r>
              <w:rPr>
                <w:noProof/>
              </w:rPr>
              <w:t xml:space="preserve">Calendario indicativo de finalización </w:t>
            </w:r>
          </w:p>
        </w:tc>
        <w:tc>
          <w:tcPr>
            <w:tcW w:w="3684" w:type="dxa"/>
            <w:vMerge w:val="restart"/>
            <w:tcBorders>
              <w:top w:val="single" w:sz="4" w:space="0" w:color="auto"/>
              <w:left w:val="single" w:sz="4" w:space="0" w:color="auto"/>
              <w:right w:val="single" w:sz="4" w:space="0" w:color="auto"/>
            </w:tcBorders>
            <w:shd w:val="clear" w:color="auto" w:fill="BDD7EE"/>
            <w:vAlign w:val="center"/>
            <w:hideMark/>
          </w:tcPr>
          <w:p w14:paraId="7340BD15" w14:textId="77777777" w:rsidR="00F208CE" w:rsidRDefault="00513E84">
            <w:pPr>
              <w:pStyle w:val="P68B1DB1-Normal15"/>
              <w:spacing w:after="0"/>
              <w:jc w:val="center"/>
              <w:rPr>
                <w:rFonts w:eastAsia="Times New Roman" w:cs="Times New Roman"/>
                <w:noProof/>
              </w:rPr>
            </w:pPr>
            <w:r>
              <w:rPr>
                <w:noProof/>
              </w:rPr>
              <w:t>Descripción de cada hito y objetivo</w:t>
            </w:r>
          </w:p>
        </w:tc>
      </w:tr>
      <w:tr w:rsidR="00F208CE" w14:paraId="74A49CD7" w14:textId="77777777">
        <w:trPr>
          <w:trHeight w:val="1013"/>
        </w:trPr>
        <w:tc>
          <w:tcPr>
            <w:tcW w:w="704" w:type="dxa"/>
            <w:vMerge/>
            <w:tcBorders>
              <w:left w:val="single" w:sz="4" w:space="0" w:color="auto"/>
              <w:bottom w:val="single" w:sz="4" w:space="0" w:color="auto"/>
              <w:right w:val="single" w:sz="4" w:space="0" w:color="auto"/>
            </w:tcBorders>
            <w:shd w:val="clear" w:color="auto" w:fill="C6EFCE"/>
            <w:vAlign w:val="center"/>
            <w:hideMark/>
          </w:tcPr>
          <w:p w14:paraId="21F6D25A" w14:textId="77777777" w:rsidR="00F208CE" w:rsidRDefault="00F208CE">
            <w:pPr>
              <w:spacing w:after="0"/>
              <w:rPr>
                <w:rFonts w:ascii="Times New Roman" w:eastAsia="Times New Roman" w:hAnsi="Times New Roman" w:cs="Times New Roman"/>
                <w:b/>
                <w:noProof/>
              </w:rPr>
            </w:pPr>
          </w:p>
        </w:tc>
        <w:tc>
          <w:tcPr>
            <w:tcW w:w="1691" w:type="dxa"/>
            <w:vMerge/>
            <w:tcBorders>
              <w:left w:val="single" w:sz="4" w:space="0" w:color="auto"/>
              <w:bottom w:val="single" w:sz="4" w:space="0" w:color="auto"/>
              <w:right w:val="single" w:sz="4" w:space="0" w:color="auto"/>
            </w:tcBorders>
            <w:shd w:val="clear" w:color="auto" w:fill="C6EFCE"/>
            <w:vAlign w:val="center"/>
            <w:hideMark/>
          </w:tcPr>
          <w:p w14:paraId="14F08E54" w14:textId="77777777" w:rsidR="00F208CE" w:rsidRDefault="00F208CE">
            <w:pPr>
              <w:spacing w:after="0"/>
              <w:rPr>
                <w:rFonts w:ascii="Times New Roman" w:eastAsia="Times New Roman" w:hAnsi="Times New Roman" w:cs="Times New Roman"/>
                <w:b/>
                <w:noProof/>
              </w:rPr>
            </w:pPr>
          </w:p>
        </w:tc>
        <w:tc>
          <w:tcPr>
            <w:tcW w:w="435" w:type="dxa"/>
            <w:vMerge/>
            <w:tcBorders>
              <w:left w:val="single" w:sz="4" w:space="0" w:color="auto"/>
              <w:bottom w:val="single" w:sz="4" w:space="0" w:color="auto"/>
              <w:right w:val="single" w:sz="4" w:space="0" w:color="auto"/>
            </w:tcBorders>
            <w:shd w:val="clear" w:color="auto" w:fill="C6EFCE"/>
            <w:vAlign w:val="center"/>
            <w:hideMark/>
          </w:tcPr>
          <w:p w14:paraId="6B90F8DD" w14:textId="77777777" w:rsidR="00F208CE" w:rsidRDefault="00F208CE">
            <w:pPr>
              <w:spacing w:after="0"/>
              <w:rPr>
                <w:rFonts w:ascii="Times New Roman" w:eastAsia="Times New Roman" w:hAnsi="Times New Roman" w:cs="Times New Roman"/>
                <w:b/>
                <w:noProof/>
              </w:rPr>
            </w:pPr>
          </w:p>
        </w:tc>
        <w:tc>
          <w:tcPr>
            <w:tcW w:w="1701" w:type="dxa"/>
            <w:vMerge/>
            <w:tcBorders>
              <w:left w:val="nil"/>
              <w:bottom w:val="single" w:sz="4" w:space="0" w:color="auto"/>
              <w:right w:val="single" w:sz="4" w:space="0" w:color="auto"/>
            </w:tcBorders>
            <w:shd w:val="clear" w:color="auto" w:fill="C6EFCE"/>
            <w:vAlign w:val="center"/>
            <w:hideMark/>
          </w:tcPr>
          <w:p w14:paraId="33A83A03" w14:textId="77777777" w:rsidR="00F208CE" w:rsidRDefault="00F208CE">
            <w:pPr>
              <w:spacing w:after="0"/>
              <w:rPr>
                <w:rFonts w:ascii="Times New Roman" w:eastAsia="Times New Roman" w:hAnsi="Times New Roman" w:cs="Times New Roman"/>
                <w:b/>
                <w:noProof/>
              </w:rPr>
            </w:pPr>
          </w:p>
        </w:tc>
        <w:tc>
          <w:tcPr>
            <w:tcW w:w="2184" w:type="dxa"/>
            <w:vMerge/>
            <w:tcBorders>
              <w:left w:val="single" w:sz="4" w:space="0" w:color="auto"/>
              <w:bottom w:val="single" w:sz="4" w:space="0" w:color="auto"/>
              <w:right w:val="single" w:sz="4" w:space="0" w:color="auto"/>
            </w:tcBorders>
            <w:shd w:val="clear" w:color="auto" w:fill="C6EFCE"/>
            <w:vAlign w:val="center"/>
            <w:hideMark/>
          </w:tcPr>
          <w:p w14:paraId="57C64527" w14:textId="77777777" w:rsidR="00F208CE" w:rsidRDefault="00F208CE">
            <w:pPr>
              <w:spacing w:after="0"/>
              <w:rPr>
                <w:rFonts w:ascii="Times New Roman" w:eastAsia="Times New Roman" w:hAnsi="Times New Roman" w:cs="Times New Roman"/>
                <w:b/>
                <w:noProof/>
              </w:rPr>
            </w:pP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6C57CE9E" w14:textId="77777777" w:rsidR="00F208CE" w:rsidRDefault="00513E84">
            <w:pPr>
              <w:pStyle w:val="P68B1DB1-Normal15"/>
              <w:spacing w:after="0"/>
              <w:jc w:val="center"/>
              <w:rPr>
                <w:rFonts w:eastAsia="Times New Roman" w:cs="Times New Roman"/>
                <w:noProof/>
              </w:rPr>
            </w:pPr>
            <w:r>
              <w:rPr>
                <w:noProof/>
              </w:rPr>
              <w:t>Unidad de medida</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7F9E8159" w14:textId="77777777" w:rsidR="00F208CE" w:rsidRDefault="00513E84">
            <w:pPr>
              <w:pStyle w:val="P68B1DB1-Normal15"/>
              <w:spacing w:after="0"/>
              <w:jc w:val="center"/>
              <w:rPr>
                <w:rFonts w:eastAsia="Times New Roman" w:cs="Times New Roman"/>
                <w:noProof/>
              </w:rPr>
            </w:pPr>
            <w:r>
              <w:rPr>
                <w:noProof/>
              </w:rPr>
              <w:t xml:space="preserve">Basal </w:t>
            </w:r>
          </w:p>
        </w:tc>
        <w:tc>
          <w:tcPr>
            <w:tcW w:w="840" w:type="dxa"/>
            <w:tcBorders>
              <w:top w:val="single" w:sz="4" w:space="0" w:color="auto"/>
              <w:left w:val="nil"/>
              <w:bottom w:val="single" w:sz="4" w:space="0" w:color="auto"/>
              <w:right w:val="single" w:sz="4" w:space="0" w:color="auto"/>
            </w:tcBorders>
            <w:shd w:val="clear" w:color="auto" w:fill="BDD7EE"/>
            <w:vAlign w:val="center"/>
            <w:hideMark/>
          </w:tcPr>
          <w:p w14:paraId="7ED54091" w14:textId="77777777" w:rsidR="00F208CE" w:rsidRDefault="00513E84">
            <w:pPr>
              <w:pStyle w:val="P68B1DB1-Normal15"/>
              <w:spacing w:after="0"/>
              <w:jc w:val="center"/>
              <w:rPr>
                <w:rFonts w:eastAsia="Times New Roman" w:cs="Times New Roman"/>
                <w:noProof/>
              </w:rPr>
            </w:pPr>
            <w:r>
              <w:rPr>
                <w:noProof/>
              </w:rPr>
              <w:t xml:space="preserve">Meta </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561B0A03" w14:textId="77777777" w:rsidR="00F208CE" w:rsidRDefault="00513E84">
            <w:pPr>
              <w:pStyle w:val="P68B1DB1-Normal15"/>
              <w:spacing w:after="0"/>
              <w:jc w:val="center"/>
              <w:rPr>
                <w:rFonts w:eastAsia="Times New Roman" w:cs="Times New Roman"/>
                <w:noProof/>
              </w:rPr>
            </w:pPr>
            <w:r>
              <w:rPr>
                <w:noProof/>
              </w:rPr>
              <w:t>Trimestre</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665C015C" w14:textId="77777777" w:rsidR="00F208CE" w:rsidRDefault="00513E84">
            <w:pPr>
              <w:pStyle w:val="P68B1DB1-Normal15"/>
              <w:spacing w:after="0"/>
              <w:jc w:val="center"/>
              <w:rPr>
                <w:rFonts w:eastAsia="Times New Roman" w:cs="Times New Roman"/>
                <w:noProof/>
              </w:rPr>
            </w:pPr>
            <w:r>
              <w:rPr>
                <w:noProof/>
              </w:rPr>
              <w:t>Año</w:t>
            </w:r>
          </w:p>
        </w:tc>
        <w:tc>
          <w:tcPr>
            <w:tcW w:w="3684" w:type="dxa"/>
            <w:vMerge/>
            <w:tcBorders>
              <w:left w:val="single" w:sz="4" w:space="0" w:color="auto"/>
              <w:bottom w:val="single" w:sz="4" w:space="0" w:color="auto"/>
              <w:right w:val="single" w:sz="4" w:space="0" w:color="auto"/>
            </w:tcBorders>
            <w:shd w:val="clear" w:color="auto" w:fill="C6EFCE"/>
            <w:vAlign w:val="center"/>
            <w:hideMark/>
          </w:tcPr>
          <w:p w14:paraId="72AD1251" w14:textId="77777777" w:rsidR="00F208CE" w:rsidRDefault="00F208CE">
            <w:pPr>
              <w:spacing w:after="0"/>
              <w:rPr>
                <w:rFonts w:ascii="Times New Roman" w:eastAsia="Times New Roman" w:hAnsi="Times New Roman" w:cs="Times New Roman"/>
                <w:b/>
                <w:noProof/>
              </w:rPr>
            </w:pPr>
          </w:p>
        </w:tc>
      </w:tr>
      <w:tr w:rsidR="00F208CE" w14:paraId="51884D4C" w14:textId="77777777">
        <w:trPr>
          <w:trHeight w:val="309"/>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21E834" w14:textId="77777777" w:rsidR="00F208CE" w:rsidRDefault="00513E84">
            <w:pPr>
              <w:pStyle w:val="P68B1DB1-Normal8"/>
              <w:spacing w:after="0"/>
              <w:rPr>
                <w:rFonts w:eastAsia="Times New Roman" w:cs="Times New Roman"/>
                <w:noProof/>
              </w:rPr>
            </w:pPr>
            <w:r>
              <w:rPr>
                <w:noProof/>
              </w:rPr>
              <w:t>209</w:t>
            </w:r>
          </w:p>
        </w:tc>
        <w:tc>
          <w:tcPr>
            <w:tcW w:w="1691" w:type="dxa"/>
            <w:tcBorders>
              <w:top w:val="single" w:sz="4" w:space="0" w:color="auto"/>
              <w:left w:val="nil"/>
              <w:bottom w:val="single" w:sz="4" w:space="0" w:color="auto"/>
              <w:right w:val="single" w:sz="4" w:space="0" w:color="auto"/>
            </w:tcBorders>
            <w:shd w:val="clear" w:color="auto" w:fill="C6EFCE"/>
            <w:noWrap/>
            <w:vAlign w:val="center"/>
          </w:tcPr>
          <w:p w14:paraId="31D5F5B9" w14:textId="77777777" w:rsidR="00F208CE" w:rsidRDefault="00513E84">
            <w:pPr>
              <w:pStyle w:val="P68B1DB1-Normal8"/>
              <w:spacing w:after="0"/>
              <w:rPr>
                <w:rFonts w:eastAsia="Times New Roman" w:cs="Times New Roman"/>
                <w:noProof/>
              </w:rPr>
            </w:pPr>
            <w:r>
              <w:rPr>
                <w:noProof/>
              </w:rPr>
              <w:t>Seguimiento y aplicación del plan</w:t>
            </w:r>
          </w:p>
        </w:tc>
        <w:tc>
          <w:tcPr>
            <w:tcW w:w="435" w:type="dxa"/>
            <w:tcBorders>
              <w:top w:val="single" w:sz="4" w:space="0" w:color="auto"/>
              <w:left w:val="nil"/>
              <w:bottom w:val="single" w:sz="4" w:space="0" w:color="auto"/>
              <w:right w:val="single" w:sz="4" w:space="0" w:color="auto"/>
            </w:tcBorders>
            <w:shd w:val="clear" w:color="auto" w:fill="C6EFCE"/>
            <w:noWrap/>
            <w:vAlign w:val="center"/>
          </w:tcPr>
          <w:p w14:paraId="78408415" w14:textId="77777777"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E181D93" w14:textId="77777777" w:rsidR="00F208CE" w:rsidRDefault="00513E84">
            <w:pPr>
              <w:pStyle w:val="P68B1DB1-Normal8"/>
              <w:spacing w:after="0"/>
              <w:rPr>
                <w:rFonts w:eastAsia="Times New Roman" w:cs="Times New Roman"/>
                <w:noProof/>
              </w:rPr>
            </w:pPr>
            <w:r>
              <w:rPr>
                <w:noProof/>
              </w:rPr>
              <w:t xml:space="preserve">Sistema de repositorio para </w:t>
            </w:r>
            <w:r>
              <w:rPr>
                <w:noProof/>
              </w:rPr>
              <w:t>auditorías y controles: información para el seguimiento de la aplicación del DRR</w:t>
            </w:r>
          </w:p>
        </w:tc>
        <w:tc>
          <w:tcPr>
            <w:tcW w:w="2184" w:type="dxa"/>
            <w:tcBorders>
              <w:top w:val="single" w:sz="4" w:space="0" w:color="auto"/>
              <w:left w:val="nil"/>
              <w:bottom w:val="single" w:sz="4" w:space="0" w:color="auto"/>
              <w:right w:val="single" w:sz="4" w:space="0" w:color="auto"/>
            </w:tcBorders>
            <w:shd w:val="clear" w:color="auto" w:fill="C6EFCE"/>
            <w:noWrap/>
            <w:vAlign w:val="center"/>
          </w:tcPr>
          <w:p w14:paraId="5E338BA8" w14:textId="06C4E33E" w:rsidR="00F208CE" w:rsidRDefault="00513E84">
            <w:pPr>
              <w:pStyle w:val="P68B1DB1-Normal8"/>
              <w:spacing w:after="0"/>
              <w:rPr>
                <w:rFonts w:eastAsia="Times New Roman" w:cs="Times New Roman"/>
                <w:noProof/>
              </w:rPr>
            </w:pPr>
            <w:r>
              <w:rPr>
                <w:noProof/>
              </w:rPr>
              <w:t>Informe de auditoría que confirma las funcionalidades del sistema de repositorio</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A81A483"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A9138CA" w14:textId="77777777" w:rsidR="00F208CE" w:rsidRDefault="00F208CE">
            <w:pPr>
              <w:spacing w:after="0"/>
              <w:rPr>
                <w:rFonts w:ascii="Times New Roman" w:eastAsia="Times New Roman" w:hAnsi="Times New Roman" w:cs="Times New Roman"/>
                <w:noProof/>
                <w:color w:val="006100"/>
              </w:rPr>
            </w:pP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103C7953"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B0713C1" w14:textId="77777777" w:rsidR="00F208CE" w:rsidRDefault="00513E84">
            <w:pPr>
              <w:pStyle w:val="P68B1DB1-Normal8"/>
              <w:spacing w:after="0"/>
              <w:rPr>
                <w:rFonts w:eastAsia="Times New Roman" w:cs="Times New Roman"/>
                <w:noProof/>
              </w:rPr>
            </w:pPr>
            <w:r>
              <w:rPr>
                <w:noProof/>
              </w:rPr>
              <w:t>Antes de la primera solicitud de pago</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98DD291" w14:textId="77777777" w:rsidR="00F208CE" w:rsidRDefault="00513E84">
            <w:pPr>
              <w:pStyle w:val="P68B1DB1-Normal8"/>
              <w:spacing w:after="0"/>
              <w:rPr>
                <w:rFonts w:eastAsia="Times New Roman" w:cs="Times New Roman"/>
                <w:noProof/>
              </w:rPr>
            </w:pPr>
            <w:r>
              <w:rPr>
                <w:noProof/>
              </w:rPr>
              <w:t>Antes de la primera solicitud de pago</w:t>
            </w:r>
          </w:p>
        </w:tc>
        <w:tc>
          <w:tcPr>
            <w:tcW w:w="3684" w:type="dxa"/>
            <w:tcBorders>
              <w:top w:val="single" w:sz="4" w:space="0" w:color="auto"/>
              <w:left w:val="nil"/>
              <w:bottom w:val="single" w:sz="4" w:space="0" w:color="auto"/>
              <w:right w:val="single" w:sz="4" w:space="0" w:color="auto"/>
            </w:tcBorders>
            <w:shd w:val="clear" w:color="auto" w:fill="C6EFCE"/>
            <w:noWrap/>
            <w:vAlign w:val="center"/>
          </w:tcPr>
          <w:p w14:paraId="30D3DD78" w14:textId="77777777" w:rsidR="00F208CE" w:rsidRDefault="00513E84">
            <w:pPr>
              <w:pStyle w:val="P68B1DB1-Normal8"/>
              <w:spacing w:after="120"/>
              <w:rPr>
                <w:rFonts w:cs="Times New Roman"/>
                <w:noProof/>
              </w:rPr>
            </w:pPr>
            <w:r>
              <w:rPr>
                <w:noProof/>
              </w:rPr>
              <w:t xml:space="preserve">Se establecerá </w:t>
            </w:r>
            <w:r>
              <w:rPr>
                <w:noProof/>
              </w:rPr>
              <w:t>y estará operativo un sistema de repositorios para supervisar la aplicación del MRR.</w:t>
            </w:r>
          </w:p>
          <w:p w14:paraId="4AE4016F" w14:textId="0E0C7242" w:rsidR="00F208CE" w:rsidRDefault="00513E84">
            <w:pPr>
              <w:pStyle w:val="P68B1DB1-Normal8"/>
              <w:spacing w:after="0"/>
              <w:rPr>
                <w:rFonts w:cs="Times New Roman"/>
                <w:noProof/>
              </w:rPr>
            </w:pPr>
            <w:r>
              <w:rPr>
                <w:noProof/>
              </w:rPr>
              <w:t>El sistema incluirá, como mínimo, las siguientes funcionalidades:</w:t>
            </w:r>
          </w:p>
          <w:p w14:paraId="2817EC0C" w14:textId="77777777" w:rsidR="00F208CE" w:rsidRDefault="00513E84">
            <w:pPr>
              <w:pStyle w:val="P68B1DB1-Normal8"/>
              <w:spacing w:after="0"/>
              <w:rPr>
                <w:rFonts w:cs="Times New Roman"/>
                <w:noProof/>
              </w:rPr>
            </w:pPr>
            <w:r>
              <w:rPr>
                <w:noProof/>
              </w:rPr>
              <w:t>a) recopilación de datos y seguimiento de la consecución de los hitos y objetivos;</w:t>
            </w:r>
          </w:p>
          <w:p w14:paraId="38C75157" w14:textId="77777777" w:rsidR="00F208CE" w:rsidRDefault="00513E84">
            <w:pPr>
              <w:pStyle w:val="P68B1DB1-Normal13"/>
              <w:spacing w:after="0"/>
              <w:rPr>
                <w:rFonts w:eastAsia="Times New Roman" w:cs="Times New Roman"/>
                <w:noProof/>
                <w:color w:val="006100"/>
              </w:rPr>
            </w:pPr>
            <w:r>
              <w:rPr>
                <w:noProof/>
                <w:color w:val="006100"/>
              </w:rPr>
              <w:t>b)</w:t>
            </w:r>
            <w:r>
              <w:rPr>
                <w:noProof/>
              </w:rPr>
              <w:t xml:space="preserve"> </w:t>
            </w:r>
            <w:r>
              <w:rPr>
                <w:noProof/>
                <w:color w:val="006100"/>
              </w:rPr>
              <w:t>recopilar, almacena</w:t>
            </w:r>
            <w:r>
              <w:rPr>
                <w:noProof/>
                <w:color w:val="006100"/>
              </w:rPr>
              <w:t>r y garantizar el acceso a los datos exigidos por el artículo 22, apartado 2, letra d), incisos i) a iii), del Reglamento del</w:t>
            </w:r>
            <w:r>
              <w:rPr>
                <w:noProof/>
              </w:rPr>
              <w:t xml:space="preserve"> MRR.</w:t>
            </w:r>
          </w:p>
        </w:tc>
      </w:tr>
      <w:tr w:rsidR="00F208CE" w14:paraId="3C84D225" w14:textId="77777777">
        <w:trPr>
          <w:trHeight w:val="309"/>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0A3C84" w14:textId="77777777" w:rsidR="00F208CE" w:rsidRDefault="00513E84">
            <w:pPr>
              <w:pStyle w:val="P68B1DB1-Normal8"/>
              <w:spacing w:after="0"/>
              <w:rPr>
                <w:rFonts w:eastAsia="Times New Roman" w:cs="Times New Roman"/>
                <w:noProof/>
              </w:rPr>
            </w:pPr>
            <w:r>
              <w:rPr>
                <w:noProof/>
              </w:rPr>
              <w:t>210</w:t>
            </w:r>
          </w:p>
        </w:tc>
        <w:tc>
          <w:tcPr>
            <w:tcW w:w="1691" w:type="dxa"/>
            <w:tcBorders>
              <w:top w:val="single" w:sz="4" w:space="0" w:color="auto"/>
              <w:left w:val="nil"/>
              <w:bottom w:val="single" w:sz="4" w:space="0" w:color="auto"/>
              <w:right w:val="single" w:sz="4" w:space="0" w:color="auto"/>
            </w:tcBorders>
            <w:shd w:val="clear" w:color="auto" w:fill="C6EFCE"/>
            <w:noWrap/>
            <w:vAlign w:val="center"/>
          </w:tcPr>
          <w:p w14:paraId="24C080FA" w14:textId="77777777" w:rsidR="00F208CE" w:rsidRDefault="00513E84">
            <w:pPr>
              <w:pStyle w:val="P68B1DB1-Normal8"/>
              <w:spacing w:after="0"/>
              <w:rPr>
                <w:rFonts w:eastAsia="Times New Roman" w:cs="Times New Roman"/>
                <w:noProof/>
              </w:rPr>
            </w:pPr>
            <w:r>
              <w:rPr>
                <w:noProof/>
              </w:rPr>
              <w:t>Seguimiento y aplicación del plan</w:t>
            </w:r>
          </w:p>
        </w:tc>
        <w:tc>
          <w:tcPr>
            <w:tcW w:w="435" w:type="dxa"/>
            <w:tcBorders>
              <w:top w:val="single" w:sz="4" w:space="0" w:color="auto"/>
              <w:left w:val="nil"/>
              <w:bottom w:val="single" w:sz="4" w:space="0" w:color="auto"/>
              <w:right w:val="single" w:sz="4" w:space="0" w:color="auto"/>
            </w:tcBorders>
            <w:shd w:val="clear" w:color="auto" w:fill="C6EFCE"/>
            <w:noWrap/>
            <w:vAlign w:val="center"/>
          </w:tcPr>
          <w:p w14:paraId="0820B564" w14:textId="77777777"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9DB6424" w14:textId="77777777" w:rsidR="00F208CE" w:rsidRDefault="00513E84">
            <w:pPr>
              <w:pStyle w:val="P68B1DB1-Normal8"/>
              <w:spacing w:after="0"/>
              <w:rPr>
                <w:rFonts w:eastAsia="Times New Roman" w:cs="Times New Roman"/>
                <w:noProof/>
              </w:rPr>
            </w:pPr>
            <w:r>
              <w:rPr>
                <w:noProof/>
              </w:rPr>
              <w:t>Protección de los intereses financieros de la UE</w:t>
            </w:r>
          </w:p>
        </w:tc>
        <w:tc>
          <w:tcPr>
            <w:tcW w:w="2184" w:type="dxa"/>
            <w:tcBorders>
              <w:top w:val="single" w:sz="4" w:space="0" w:color="auto"/>
              <w:left w:val="nil"/>
              <w:bottom w:val="single" w:sz="4" w:space="0" w:color="auto"/>
              <w:right w:val="single" w:sz="4" w:space="0" w:color="auto"/>
            </w:tcBorders>
            <w:shd w:val="clear" w:color="auto" w:fill="C6EFCE"/>
            <w:noWrap/>
            <w:vAlign w:val="center"/>
          </w:tcPr>
          <w:p w14:paraId="209D965E" w14:textId="77777777" w:rsidR="00F208CE" w:rsidRDefault="00513E84">
            <w:pPr>
              <w:pStyle w:val="P68B1DB1-Normal8"/>
              <w:spacing w:after="0"/>
              <w:rPr>
                <w:rFonts w:eastAsia="Times New Roman" w:cs="Times New Roman"/>
                <w:noProof/>
              </w:rPr>
            </w:pPr>
            <w:r>
              <w:rPr>
                <w:noProof/>
              </w:rPr>
              <w:t>Aplicación de las disposiciones</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89E4D18"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4C006D5B" w14:textId="77777777" w:rsidR="00F208CE" w:rsidRDefault="00F208CE">
            <w:pPr>
              <w:spacing w:after="0"/>
              <w:rPr>
                <w:rFonts w:ascii="Times New Roman" w:eastAsia="Times New Roman" w:hAnsi="Times New Roman" w:cs="Times New Roman"/>
                <w:noProof/>
                <w:color w:val="006100"/>
              </w:rPr>
            </w:pP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47701B84"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32DC8087" w14:textId="77777777" w:rsidR="00F208CE" w:rsidRDefault="00513E84">
            <w:pPr>
              <w:pStyle w:val="P68B1DB1-Normal8"/>
              <w:spacing w:after="0"/>
              <w:rPr>
                <w:rFonts w:eastAsia="Times New Roman" w:cs="Times New Roman"/>
                <w:noProof/>
              </w:rPr>
            </w:pPr>
            <w:r>
              <w:rPr>
                <w:noProof/>
              </w:rPr>
              <w:t>Antes de la primera solicitud de pago</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03B9242" w14:textId="77777777" w:rsidR="00F208CE" w:rsidRDefault="00513E84">
            <w:pPr>
              <w:pStyle w:val="P68B1DB1-Normal8"/>
              <w:spacing w:after="0"/>
              <w:rPr>
                <w:rFonts w:eastAsia="Times New Roman" w:cs="Times New Roman"/>
                <w:noProof/>
              </w:rPr>
            </w:pPr>
            <w:r>
              <w:rPr>
                <w:noProof/>
              </w:rPr>
              <w:t>Antes de la primera solicitud de pago</w:t>
            </w:r>
          </w:p>
        </w:tc>
        <w:tc>
          <w:tcPr>
            <w:tcW w:w="3684" w:type="dxa"/>
            <w:tcBorders>
              <w:top w:val="single" w:sz="4" w:space="0" w:color="auto"/>
              <w:left w:val="nil"/>
              <w:bottom w:val="single" w:sz="4" w:space="0" w:color="auto"/>
              <w:right w:val="single" w:sz="4" w:space="0" w:color="auto"/>
            </w:tcBorders>
            <w:shd w:val="clear" w:color="auto" w:fill="C6EFCE"/>
            <w:noWrap/>
            <w:vAlign w:val="center"/>
          </w:tcPr>
          <w:p w14:paraId="1866D84D" w14:textId="66471B21" w:rsidR="00F208CE" w:rsidRDefault="00513E84">
            <w:pPr>
              <w:pStyle w:val="P68B1DB1-Normal8"/>
              <w:spacing w:after="0"/>
              <w:rPr>
                <w:rFonts w:eastAsia="Times New Roman" w:cs="Times New Roman"/>
                <w:noProof/>
              </w:rPr>
            </w:pPr>
            <w:r>
              <w:rPr>
                <w:noProof/>
              </w:rPr>
              <w:t>La aplicación de mecanismos de coordinación adecuados, incluidos controles cruzados, se establecerá a nivel del organismo de coordinación a nivel interfederal, lo que permitirá evi</w:t>
            </w:r>
            <w:r>
              <w:rPr>
                <w:noProof/>
              </w:rPr>
              <w:t>tar la doble financiación del instrumento y de otros programas de la Unión, de conformidad con el principio de buena gestión financiera.</w:t>
            </w:r>
          </w:p>
        </w:tc>
      </w:tr>
      <w:tr w:rsidR="00F208CE" w14:paraId="156E067D" w14:textId="77777777">
        <w:trPr>
          <w:trHeight w:val="309"/>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F08FF6" w14:textId="64C51F1C" w:rsidR="00F208CE" w:rsidRDefault="00513E84">
            <w:pPr>
              <w:pStyle w:val="P68B1DB1-Normal8"/>
              <w:spacing w:after="0"/>
              <w:rPr>
                <w:rFonts w:eastAsia="Times New Roman" w:cs="Times New Roman"/>
                <w:noProof/>
              </w:rPr>
            </w:pPr>
            <w:r>
              <w:rPr>
                <w:noProof/>
              </w:rPr>
              <w:t>250</w:t>
            </w:r>
          </w:p>
        </w:tc>
        <w:tc>
          <w:tcPr>
            <w:tcW w:w="1691" w:type="dxa"/>
            <w:tcBorders>
              <w:top w:val="single" w:sz="4" w:space="0" w:color="auto"/>
              <w:left w:val="nil"/>
              <w:bottom w:val="single" w:sz="4" w:space="0" w:color="auto"/>
              <w:right w:val="single" w:sz="4" w:space="0" w:color="auto"/>
            </w:tcBorders>
            <w:shd w:val="clear" w:color="auto" w:fill="C6EFCE"/>
            <w:noWrap/>
            <w:vAlign w:val="center"/>
          </w:tcPr>
          <w:p w14:paraId="2DCFA82F" w14:textId="2284924F" w:rsidR="00F208CE" w:rsidRDefault="00513E84">
            <w:pPr>
              <w:pStyle w:val="P68B1DB1-Normal8"/>
              <w:spacing w:after="0"/>
              <w:rPr>
                <w:rFonts w:eastAsia="Times New Roman" w:cs="Times New Roman"/>
                <w:noProof/>
              </w:rPr>
            </w:pPr>
            <w:r>
              <w:rPr>
                <w:noProof/>
              </w:rPr>
              <w:t>Seguimiento y aplicación del plan</w:t>
            </w:r>
          </w:p>
        </w:tc>
        <w:tc>
          <w:tcPr>
            <w:tcW w:w="435" w:type="dxa"/>
            <w:tcBorders>
              <w:top w:val="single" w:sz="4" w:space="0" w:color="auto"/>
              <w:left w:val="nil"/>
              <w:bottom w:val="single" w:sz="4" w:space="0" w:color="auto"/>
              <w:right w:val="single" w:sz="4" w:space="0" w:color="auto"/>
            </w:tcBorders>
            <w:shd w:val="clear" w:color="auto" w:fill="C6EFCE"/>
            <w:noWrap/>
            <w:vAlign w:val="center"/>
          </w:tcPr>
          <w:p w14:paraId="1273E86C" w14:textId="3FFB6090"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3A82671" w14:textId="071F108C" w:rsidR="00F208CE" w:rsidRDefault="00513E84">
            <w:pPr>
              <w:pStyle w:val="P68B1DB1-Normal8"/>
              <w:spacing w:after="0"/>
              <w:rPr>
                <w:rFonts w:eastAsia="Times New Roman" w:cs="Times New Roman"/>
                <w:noProof/>
              </w:rPr>
            </w:pPr>
            <w:r>
              <w:rPr>
                <w:noProof/>
              </w:rPr>
              <w:t xml:space="preserve">Adaptación del sistema de gestión y control del plan de recuperación y </w:t>
            </w:r>
            <w:r>
              <w:rPr>
                <w:noProof/>
              </w:rPr>
              <w:t>resiliencia</w:t>
            </w:r>
          </w:p>
        </w:tc>
        <w:tc>
          <w:tcPr>
            <w:tcW w:w="2184" w:type="dxa"/>
            <w:tcBorders>
              <w:top w:val="single" w:sz="4" w:space="0" w:color="auto"/>
              <w:left w:val="nil"/>
              <w:bottom w:val="single" w:sz="4" w:space="0" w:color="auto"/>
              <w:right w:val="single" w:sz="4" w:space="0" w:color="auto"/>
            </w:tcBorders>
            <w:shd w:val="clear" w:color="auto" w:fill="C6EFCE"/>
            <w:noWrap/>
            <w:vAlign w:val="center"/>
          </w:tcPr>
          <w:p w14:paraId="64D78129" w14:textId="32468167" w:rsidR="00F208CE" w:rsidRDefault="00513E84">
            <w:pPr>
              <w:pStyle w:val="P68B1DB1-Normal13"/>
              <w:spacing w:after="0"/>
              <w:rPr>
                <w:rFonts w:eastAsia="Times New Roman" w:cs="Times New Roman"/>
                <w:noProof/>
                <w:color w:val="C45911" w:themeColor="accent2" w:themeShade="BF"/>
              </w:rPr>
            </w:pPr>
            <w:r>
              <w:rPr>
                <w:noProof/>
                <w:color w:val="006100"/>
              </w:rPr>
              <w:t>Manual de procedimientos adaptado e instrucciones a los organismos de ejecución. Adopción y</w:t>
            </w:r>
            <w:r>
              <w:rPr>
                <w:noProof/>
                <w:color w:val="C45911" w:themeColor="accent2" w:themeShade="BF"/>
              </w:rPr>
              <w:t xml:space="preserve"> </w:t>
            </w:r>
            <w:r>
              <w:rPr>
                <w:noProof/>
                <w:color w:val="006100"/>
              </w:rPr>
              <w:t>envío de una comunicación a la Inspección de Finanzas, cuando proceda.</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3A82E001" w14:textId="77777777" w:rsidR="00F208CE" w:rsidRDefault="00F208CE">
            <w:pPr>
              <w:spacing w:after="0"/>
              <w:rPr>
                <w:rFonts w:ascii="Times New Roman" w:eastAsia="Times New Roman" w:hAnsi="Times New Roman" w:cs="Times New Roman"/>
                <w:noProof/>
                <w:color w:val="C45911" w:themeColor="accent2" w:themeShade="BF"/>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49D86599" w14:textId="77777777" w:rsidR="00F208CE" w:rsidRDefault="00F208CE">
            <w:pPr>
              <w:spacing w:after="0"/>
              <w:rPr>
                <w:rFonts w:ascii="Times New Roman" w:eastAsia="Times New Roman" w:hAnsi="Times New Roman" w:cs="Times New Roman"/>
                <w:noProof/>
                <w:color w:val="C45911" w:themeColor="accent2" w:themeShade="BF"/>
              </w:rPr>
            </w:pP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0DBE7341" w14:textId="77777777" w:rsidR="00F208CE" w:rsidRDefault="00F208CE">
            <w:pPr>
              <w:spacing w:after="0"/>
              <w:rPr>
                <w:rFonts w:ascii="Times New Roman" w:eastAsia="Times New Roman" w:hAnsi="Times New Roman" w:cs="Times New Roman"/>
                <w:noProof/>
                <w:color w:val="C45911" w:themeColor="accent2" w:themeShade="BF"/>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E5841D4" w14:textId="030DADDC" w:rsidR="00F208CE" w:rsidRDefault="00513E84">
            <w:pPr>
              <w:pStyle w:val="P68B1DB1-Normal8"/>
              <w:spacing w:after="0"/>
              <w:rPr>
                <w:rFonts w:eastAsia="Times New Roman" w:cs="Times New Roman"/>
                <w:noProof/>
              </w:rPr>
            </w:pPr>
            <w:r>
              <w:rPr>
                <w:noProof/>
              </w:rPr>
              <w:t>Antes de la segunda solicitud de pago</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7AE24B36" w14:textId="285FD573" w:rsidR="00F208CE" w:rsidRDefault="00513E84">
            <w:pPr>
              <w:pStyle w:val="P68B1DB1-Normal8"/>
              <w:spacing w:after="0"/>
              <w:rPr>
                <w:rFonts w:eastAsia="Times New Roman" w:cs="Times New Roman"/>
                <w:noProof/>
              </w:rPr>
            </w:pPr>
            <w:r>
              <w:rPr>
                <w:noProof/>
              </w:rPr>
              <w:t>Antes de la segunda solicitud de pago</w:t>
            </w:r>
          </w:p>
        </w:tc>
        <w:tc>
          <w:tcPr>
            <w:tcW w:w="3684" w:type="dxa"/>
            <w:tcBorders>
              <w:top w:val="single" w:sz="4" w:space="0" w:color="auto"/>
              <w:left w:val="nil"/>
              <w:bottom w:val="single" w:sz="4" w:space="0" w:color="auto"/>
              <w:right w:val="single" w:sz="4" w:space="0" w:color="auto"/>
            </w:tcBorders>
            <w:shd w:val="clear" w:color="auto" w:fill="C6EFCE"/>
            <w:noWrap/>
            <w:vAlign w:val="center"/>
          </w:tcPr>
          <w:p w14:paraId="14423FE2" w14:textId="16FA3587" w:rsidR="00F208CE" w:rsidRDefault="00513E84">
            <w:pPr>
              <w:pStyle w:val="P68B1DB1-Normal8"/>
              <w:spacing w:after="0"/>
              <w:rPr>
                <w:rFonts w:eastAsia="Times New Roman" w:cs="Times New Roman"/>
                <w:noProof/>
              </w:rPr>
            </w:pPr>
            <w:bookmarkStart w:id="8" w:name="_Hlk148685805"/>
            <w:r>
              <w:rPr>
                <w:noProof/>
              </w:rPr>
              <w:t>Los organismos de coordinación del plan belga de recuperación y resiliencia, en colaboración con los organismos de ejecución en caso necesario, adaptarán su manual de procedimientos o documentos en los que expongan su sistema de gestión y control y emitirá</w:t>
            </w:r>
            <w:r>
              <w:rPr>
                <w:noProof/>
              </w:rPr>
              <w:t xml:space="preserve">n las instrucciones correspondientes a los organismos de ejecución con el objetivo de reforzar el marco para prevenir, detectar y corregir cualquier irregularidad grave, como el fraude, los conflictos de intereses, la corrupción y la doble financiación. </w:t>
            </w:r>
            <w:bookmarkEnd w:id="8"/>
            <w:r>
              <w:rPr>
                <w:noProof/>
              </w:rPr>
              <w:t>El</w:t>
            </w:r>
            <w:r>
              <w:rPr>
                <w:noProof/>
              </w:rPr>
              <w:t xml:space="preserve"> manual de procedimientos actualizado y las instrucciones conexas incluirán, como mínimo:</w:t>
            </w:r>
          </w:p>
          <w:p w14:paraId="4C9980A4" w14:textId="1F894E4C" w:rsidR="00F208CE" w:rsidRDefault="00513E84">
            <w:pPr>
              <w:pStyle w:val="P68B1DB1-Normal8"/>
              <w:spacing w:after="0"/>
              <w:rPr>
                <w:rFonts w:eastAsia="Times New Roman" w:cs="Times New Roman"/>
                <w:noProof/>
              </w:rPr>
            </w:pPr>
            <w:r>
              <w:rPr>
                <w:noProof/>
              </w:rPr>
              <w:t xml:space="preserve">a) Disposiciones relativas a las estrategias y políticas de lucha contra el fraude y la corrupción en todos los organismos de ejecución, teniendo en cuenta todos los </w:t>
            </w:r>
            <w:r>
              <w:rPr>
                <w:noProof/>
              </w:rPr>
              <w:t xml:space="preserve">elementos expuestos en la nota orientativa sobre la evaluación del riesgo de fraude y las medidas antifraude eficaces y proporcionadas para los Fondos EIE 2014-2020; </w:t>
            </w:r>
          </w:p>
          <w:p w14:paraId="2344C57D" w14:textId="6CED3F7C" w:rsidR="00F208CE" w:rsidRDefault="00513E84">
            <w:pPr>
              <w:pStyle w:val="P68B1DB1-Normal8"/>
              <w:spacing w:after="0"/>
              <w:rPr>
                <w:rFonts w:eastAsia="Times New Roman" w:cs="Times New Roman"/>
                <w:noProof/>
              </w:rPr>
            </w:pPr>
            <w:r>
              <w:rPr>
                <w:noProof/>
              </w:rPr>
              <w:t>b) Procedimientos que garanticen que las personas que firman la declaración o declaracion</w:t>
            </w:r>
            <w:r>
              <w:rPr>
                <w:noProof/>
              </w:rPr>
              <w:t>es de gestión a la Comisión obtengan garantías sobre el cumplimiento satisfactorio de los hitos y objetivos establecidos en el PRR y de que los fondos se hayan gestionado de conformidad con todas las normas aplicables, en particular las relativas a la prev</w:t>
            </w:r>
            <w:r>
              <w:rPr>
                <w:noProof/>
              </w:rPr>
              <w:t>ención de conflictos de intereses, el fraude, la prevención de la corrupción y la doble financiación;</w:t>
            </w:r>
          </w:p>
          <w:p w14:paraId="37E8EE9E" w14:textId="0177C93A" w:rsidR="00F208CE" w:rsidRDefault="00513E84">
            <w:pPr>
              <w:pStyle w:val="P68B1DB1-Normal8"/>
              <w:spacing w:after="0"/>
              <w:rPr>
                <w:rFonts w:eastAsia="Times New Roman" w:cs="Times New Roman"/>
                <w:noProof/>
              </w:rPr>
            </w:pPr>
            <w:r>
              <w:rPr>
                <w:noProof/>
              </w:rPr>
              <w:t>c) Disposiciones que exijan canales funcionales internos y externos de denuncia de irregularidades en todos los órganos;</w:t>
            </w:r>
          </w:p>
          <w:p w14:paraId="7E16F178" w14:textId="2A2C0474" w:rsidR="00F208CE" w:rsidRDefault="00513E84">
            <w:pPr>
              <w:pStyle w:val="P68B1DB1-Normal8"/>
              <w:spacing w:after="0"/>
              <w:rPr>
                <w:rFonts w:eastAsia="Times New Roman" w:cs="Times New Roman"/>
                <w:noProof/>
              </w:rPr>
            </w:pPr>
            <w:r>
              <w:rPr>
                <w:noProof/>
              </w:rPr>
              <w:t>d) Disposiciones que exijan verif</w:t>
            </w:r>
            <w:r>
              <w:rPr>
                <w:noProof/>
              </w:rPr>
              <w:t xml:space="preserve">icaciones in situ por parte de los organismos de ejecución o del organismo coordinador (Región de Bruselas-Capital), prestando especial atención a la protección de los intereses financieros de la Unión; </w:t>
            </w:r>
          </w:p>
          <w:p w14:paraId="513A9323" w14:textId="4D68ED6C" w:rsidR="00F208CE" w:rsidRDefault="00513E84">
            <w:pPr>
              <w:pStyle w:val="P68B1DB1-Normal8"/>
              <w:spacing w:after="0"/>
              <w:rPr>
                <w:rFonts w:eastAsia="Times New Roman" w:cs="Times New Roman"/>
                <w:noProof/>
              </w:rPr>
            </w:pPr>
            <w:r>
              <w:rPr>
                <w:noProof/>
              </w:rPr>
              <w:t>e) Procedimientos relativos a la notificación de irr</w:t>
            </w:r>
            <w:r>
              <w:rPr>
                <w:noProof/>
              </w:rPr>
              <w:t xml:space="preserve">egularidades a la OLAF y a otras autoridades competentes en todos los organismos; </w:t>
            </w:r>
          </w:p>
          <w:p w14:paraId="4F2B7A02" w14:textId="50559766" w:rsidR="00F208CE" w:rsidRDefault="00513E84">
            <w:pPr>
              <w:pStyle w:val="P68B1DB1-Normal8"/>
              <w:spacing w:after="120"/>
              <w:rPr>
                <w:rFonts w:eastAsia="Times New Roman" w:cs="Times New Roman"/>
                <w:noProof/>
              </w:rPr>
            </w:pPr>
            <w:r>
              <w:rPr>
                <w:noProof/>
              </w:rPr>
              <w:t>f) Los procedimientos relativos a la verificación del cumplimiento de la legislación nacional y de la Unión, en particular en lo que se refiere a la contratación pública y l</w:t>
            </w:r>
            <w:r>
              <w:rPr>
                <w:noProof/>
              </w:rPr>
              <w:t>as ayudas estatales, en el seno de los organismos de ejecución.</w:t>
            </w:r>
          </w:p>
          <w:p w14:paraId="566C57B8" w14:textId="4316F683" w:rsidR="00F208CE" w:rsidRDefault="00513E84">
            <w:pPr>
              <w:pStyle w:val="P68B1DB1-Normal8"/>
              <w:spacing w:after="0"/>
              <w:rPr>
                <w:rFonts w:eastAsia="Times New Roman" w:cs="Times New Roman"/>
                <w:noProof/>
              </w:rPr>
            </w:pPr>
            <w:r>
              <w:rPr>
                <w:noProof/>
              </w:rPr>
              <w:t>Además, cuando se haya encomendado a la Inspección de Finanzas la responsabilidad de dichos controles, el organismo de coordinación pertinente adoptará y enviará una comunicación a la Inspecci</w:t>
            </w:r>
            <w:r>
              <w:rPr>
                <w:noProof/>
              </w:rPr>
              <w:t>ón de Finanzas en relación con las verificaciones ex ante del cumplimiento del Derecho de la Unión y nacional y de la protección de los intereses financieros de la Unión, que se llevarán a cabo de conformidad con el Reglamento (UE) 2021/241.</w:t>
            </w:r>
          </w:p>
        </w:tc>
      </w:tr>
      <w:tr w:rsidR="00F208CE" w14:paraId="2B14C96F" w14:textId="77777777">
        <w:trPr>
          <w:trHeight w:val="309"/>
        </w:trPr>
        <w:tc>
          <w:tcPr>
            <w:tcW w:w="7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E849E1" w14:textId="2DDF578B" w:rsidR="00F208CE" w:rsidRDefault="00513E84">
            <w:pPr>
              <w:pStyle w:val="P68B1DB1-Normal8"/>
              <w:spacing w:after="0"/>
              <w:rPr>
                <w:rFonts w:eastAsia="Times New Roman" w:cs="Times New Roman"/>
                <w:noProof/>
              </w:rPr>
            </w:pPr>
            <w:r>
              <w:rPr>
                <w:noProof/>
              </w:rPr>
              <w:t>251</w:t>
            </w:r>
          </w:p>
        </w:tc>
        <w:tc>
          <w:tcPr>
            <w:tcW w:w="1691" w:type="dxa"/>
            <w:tcBorders>
              <w:top w:val="single" w:sz="4" w:space="0" w:color="auto"/>
              <w:left w:val="nil"/>
              <w:bottom w:val="single" w:sz="4" w:space="0" w:color="auto"/>
              <w:right w:val="single" w:sz="4" w:space="0" w:color="auto"/>
            </w:tcBorders>
            <w:shd w:val="clear" w:color="auto" w:fill="C6EFCE"/>
            <w:noWrap/>
            <w:vAlign w:val="center"/>
          </w:tcPr>
          <w:p w14:paraId="32672F9B" w14:textId="73D183D1" w:rsidR="00F208CE" w:rsidRDefault="00513E84">
            <w:pPr>
              <w:pStyle w:val="P68B1DB1-Normal8"/>
              <w:spacing w:after="0"/>
              <w:rPr>
                <w:rFonts w:eastAsia="Times New Roman" w:cs="Times New Roman"/>
                <w:noProof/>
              </w:rPr>
            </w:pPr>
            <w:r>
              <w:rPr>
                <w:noProof/>
              </w:rPr>
              <w:t>Seguimiento y aplicación del plan</w:t>
            </w:r>
          </w:p>
        </w:tc>
        <w:tc>
          <w:tcPr>
            <w:tcW w:w="435" w:type="dxa"/>
            <w:tcBorders>
              <w:top w:val="single" w:sz="4" w:space="0" w:color="auto"/>
              <w:left w:val="nil"/>
              <w:bottom w:val="single" w:sz="4" w:space="0" w:color="auto"/>
              <w:right w:val="single" w:sz="4" w:space="0" w:color="auto"/>
            </w:tcBorders>
            <w:shd w:val="clear" w:color="auto" w:fill="C6EFCE"/>
            <w:noWrap/>
            <w:vAlign w:val="center"/>
          </w:tcPr>
          <w:p w14:paraId="3B9A293F" w14:textId="6FA9DA59" w:rsidR="00F208CE" w:rsidRDefault="00513E84">
            <w:pPr>
              <w:pStyle w:val="P68B1DB1-Normal8"/>
              <w:spacing w:after="0"/>
              <w:rPr>
                <w:rFonts w:eastAsia="Times New Roman" w:cs="Times New Roman"/>
                <w:noProof/>
              </w:rPr>
            </w:pPr>
            <w:r>
              <w:rPr>
                <w:noProof/>
              </w:rPr>
              <w:t>M</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42D2ADC" w14:textId="3252765B" w:rsidR="00F208CE" w:rsidRDefault="00513E84">
            <w:pPr>
              <w:pStyle w:val="P68B1DB1-Normal8"/>
              <w:spacing w:after="0"/>
              <w:rPr>
                <w:rFonts w:eastAsia="Times New Roman" w:cs="Times New Roman"/>
                <w:noProof/>
              </w:rPr>
            </w:pPr>
            <w:r>
              <w:rPr>
                <w:noProof/>
              </w:rPr>
              <w:t>Prevención, detección y disuasión de conflictos de intereses</w:t>
            </w:r>
          </w:p>
        </w:tc>
        <w:tc>
          <w:tcPr>
            <w:tcW w:w="2184" w:type="dxa"/>
            <w:tcBorders>
              <w:top w:val="single" w:sz="4" w:space="0" w:color="auto"/>
              <w:left w:val="nil"/>
              <w:bottom w:val="single" w:sz="4" w:space="0" w:color="auto"/>
              <w:right w:val="single" w:sz="4" w:space="0" w:color="auto"/>
            </w:tcBorders>
            <w:shd w:val="clear" w:color="auto" w:fill="C6EFCE"/>
            <w:noWrap/>
            <w:vAlign w:val="center"/>
          </w:tcPr>
          <w:p w14:paraId="73D1ECA5" w14:textId="525300E4" w:rsidR="00F208CE" w:rsidRDefault="00513E84">
            <w:pPr>
              <w:pStyle w:val="P68B1DB1-Normal8"/>
              <w:spacing w:after="0"/>
              <w:rPr>
                <w:rFonts w:eastAsia="Times New Roman" w:cs="Times New Roman"/>
                <w:noProof/>
              </w:rPr>
            </w:pPr>
            <w:r>
              <w:rPr>
                <w:noProof/>
              </w:rPr>
              <w:t>Instrucciones emitidas</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7707505"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10461D0E" w14:textId="77777777" w:rsidR="00F208CE" w:rsidRDefault="00F208CE">
            <w:pPr>
              <w:spacing w:after="0"/>
              <w:rPr>
                <w:rFonts w:ascii="Times New Roman" w:eastAsia="Times New Roman" w:hAnsi="Times New Roman" w:cs="Times New Roman"/>
                <w:noProof/>
                <w:color w:val="006100"/>
              </w:rPr>
            </w:pPr>
          </w:p>
        </w:tc>
        <w:tc>
          <w:tcPr>
            <w:tcW w:w="840" w:type="dxa"/>
            <w:tcBorders>
              <w:top w:val="single" w:sz="4" w:space="0" w:color="auto"/>
              <w:left w:val="nil"/>
              <w:bottom w:val="single" w:sz="4" w:space="0" w:color="auto"/>
              <w:right w:val="single" w:sz="4" w:space="0" w:color="auto"/>
            </w:tcBorders>
            <w:shd w:val="clear" w:color="auto" w:fill="C6EFCE"/>
            <w:noWrap/>
            <w:vAlign w:val="center"/>
          </w:tcPr>
          <w:p w14:paraId="6CD56C90" w14:textId="77777777" w:rsidR="00F208CE" w:rsidRDefault="00F208CE">
            <w:pPr>
              <w:spacing w:after="0"/>
              <w:rPr>
                <w:rFonts w:ascii="Times New Roman" w:eastAsia="Times New Roman" w:hAnsi="Times New Roman" w:cs="Times New Roman"/>
                <w:noProof/>
                <w:color w:val="006100"/>
              </w:rPr>
            </w:pP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52B2BF48" w14:textId="069F7D18" w:rsidR="00F208CE" w:rsidRDefault="00513E84">
            <w:pPr>
              <w:pStyle w:val="P68B1DB1-Normal8"/>
              <w:spacing w:after="0"/>
              <w:rPr>
                <w:rFonts w:eastAsia="Times New Roman" w:cs="Times New Roman"/>
                <w:noProof/>
              </w:rPr>
            </w:pPr>
            <w:r>
              <w:rPr>
                <w:noProof/>
              </w:rPr>
              <w:t>Antes de la segunda solicitud de pago</w:t>
            </w:r>
          </w:p>
        </w:tc>
        <w:tc>
          <w:tcPr>
            <w:tcW w:w="1080" w:type="dxa"/>
            <w:tcBorders>
              <w:top w:val="single" w:sz="4" w:space="0" w:color="auto"/>
              <w:left w:val="nil"/>
              <w:bottom w:val="single" w:sz="4" w:space="0" w:color="auto"/>
              <w:right w:val="single" w:sz="4" w:space="0" w:color="auto"/>
            </w:tcBorders>
            <w:shd w:val="clear" w:color="auto" w:fill="C6EFCE"/>
            <w:noWrap/>
            <w:vAlign w:val="center"/>
          </w:tcPr>
          <w:p w14:paraId="2E610772" w14:textId="003DDA98" w:rsidR="00F208CE" w:rsidRDefault="00513E84">
            <w:pPr>
              <w:pStyle w:val="P68B1DB1-Normal8"/>
              <w:spacing w:after="0"/>
              <w:rPr>
                <w:rFonts w:eastAsia="Times New Roman" w:cs="Times New Roman"/>
                <w:noProof/>
              </w:rPr>
            </w:pPr>
            <w:r>
              <w:rPr>
                <w:noProof/>
              </w:rPr>
              <w:t>Antes de la segunda solicitud de pago</w:t>
            </w:r>
          </w:p>
        </w:tc>
        <w:tc>
          <w:tcPr>
            <w:tcW w:w="3684" w:type="dxa"/>
            <w:tcBorders>
              <w:top w:val="single" w:sz="4" w:space="0" w:color="auto"/>
              <w:left w:val="nil"/>
              <w:bottom w:val="single" w:sz="4" w:space="0" w:color="auto"/>
              <w:right w:val="single" w:sz="4" w:space="0" w:color="auto"/>
            </w:tcBorders>
            <w:shd w:val="clear" w:color="auto" w:fill="C6EFCE"/>
            <w:noWrap/>
            <w:vAlign w:val="center"/>
          </w:tcPr>
          <w:p w14:paraId="5B677588" w14:textId="3D2F9391" w:rsidR="00F208CE" w:rsidRDefault="00513E84">
            <w:pPr>
              <w:pStyle w:val="P68B1DB1-Normal8"/>
              <w:spacing w:after="0"/>
              <w:rPr>
                <w:rFonts w:eastAsia="Times New Roman" w:cs="Times New Roman"/>
                <w:noProof/>
              </w:rPr>
            </w:pPr>
            <w:r>
              <w:rPr>
                <w:noProof/>
              </w:rPr>
              <w:t>Los organismos de coordinación del plan de recuperación y</w:t>
            </w:r>
            <w:r>
              <w:rPr>
                <w:noProof/>
              </w:rPr>
              <w:t xml:space="preserve"> resiliencia belga darán instrucciones a todos los organismos de ejecución en relación con las verificaciones ex ante antes de la firma del contrato o la concesión de la subvención del riesgo de conflicto de intereses en la ejecución de las medidas del MRR</w:t>
            </w:r>
            <w:r>
              <w:rPr>
                <w:noProof/>
              </w:rPr>
              <w:t>. Esto incluirá i) declaraciones obligatorias sobre la ausencia de conflictos de intereses por parte de las personas implicadas en todas las fases de los procedimientos de selección tanto para las licitaciones como para las convocatorias de proyectos, y ii</w:t>
            </w:r>
            <w:r>
              <w:rPr>
                <w:noProof/>
              </w:rPr>
              <w:t>) sobre la base del riesgo, el uso de una herramienta adecuada de puntuación de riesgos con vistas a llevar a cabo los controles de los conflictos de intereses descritos en las instrucciones. Las instrucciones definirán los conflictos de intereses de confo</w:t>
            </w:r>
            <w:r>
              <w:rPr>
                <w:noProof/>
              </w:rPr>
              <w:t>rmidad con el artículo 61 del Reglamento Financiero.</w:t>
            </w:r>
          </w:p>
        </w:tc>
      </w:tr>
    </w:tbl>
    <w:p w14:paraId="60CAE1F6" w14:textId="77777777" w:rsidR="00F208CE" w:rsidRDefault="00F208CE">
      <w:pPr>
        <w:pStyle w:val="Text1"/>
        <w:ind w:left="709"/>
        <w:rPr>
          <w:noProof/>
        </w:rPr>
      </w:pPr>
    </w:p>
    <w:p w14:paraId="624B84EA" w14:textId="77777777" w:rsidR="00F208CE" w:rsidRDefault="00F208CE">
      <w:pPr>
        <w:pStyle w:val="Text1"/>
        <w:ind w:left="709"/>
        <w:rPr>
          <w:noProof/>
        </w:rPr>
        <w:sectPr w:rsidR="00F208CE" w:rsidSect="00594BF3">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60"/>
        </w:sectPr>
      </w:pPr>
    </w:p>
    <w:p w14:paraId="59C51A1A" w14:textId="77777777" w:rsidR="00F208CE" w:rsidRDefault="00513E84">
      <w:pPr>
        <w:pStyle w:val="Heading1"/>
        <w:numPr>
          <w:ilvl w:val="0"/>
          <w:numId w:val="35"/>
        </w:numPr>
        <w:tabs>
          <w:tab w:val="clear" w:pos="850"/>
          <w:tab w:val="num" w:pos="1417"/>
        </w:tabs>
        <w:ind w:left="1417" w:hanging="567"/>
        <w:rPr>
          <w:noProof/>
        </w:rPr>
      </w:pPr>
      <w:r>
        <w:rPr>
          <w:noProof/>
        </w:rPr>
        <w:t>Coste total estimado del plan de recuperación y resiliencia</w:t>
      </w:r>
    </w:p>
    <w:p w14:paraId="798746DC" w14:textId="79C9F3EC" w:rsidR="00F208CE" w:rsidRDefault="00513E84">
      <w:pPr>
        <w:pStyle w:val="Text1"/>
        <w:ind w:left="0"/>
        <w:rPr>
          <w:noProof/>
        </w:rPr>
      </w:pPr>
      <w:r>
        <w:rPr>
          <w:noProof/>
        </w:rPr>
        <w:t xml:space="preserve">El coste total estimado del plan de recuperación y resiliencia modificado, </w:t>
      </w:r>
      <w:r>
        <w:rPr>
          <w:noProof/>
        </w:rPr>
        <w:t>incluido el capítulo de REPowerEU de Bélgica, asciende a 5 279 567 854 EUR.  El coste total estimado del capítulo REPowerEU es de 705 603 658 EUR. En particular, el coste total estimado de las medidas a que se refiere el artículo 21 quater, apartado 3, let</w:t>
      </w:r>
      <w:r>
        <w:rPr>
          <w:noProof/>
        </w:rPr>
        <w:t>ra a), del Reglamento (UE) 2023/435 es de 0 EUR, mientras que el coste de las demás medidas del capítulo de REPowerEU es de 705 603 658 EUR.</w:t>
      </w:r>
    </w:p>
    <w:p w14:paraId="55B669F2" w14:textId="77777777" w:rsidR="00F208CE" w:rsidRDefault="00F208CE">
      <w:pPr>
        <w:rPr>
          <w:rFonts w:ascii="Times New Roman" w:hAnsi="Times New Roman" w:cs="Times New Roman"/>
          <w:noProof/>
        </w:rPr>
      </w:pPr>
    </w:p>
    <w:p w14:paraId="520B44DA" w14:textId="77777777" w:rsidR="00F208CE" w:rsidRDefault="00513E84">
      <w:pPr>
        <w:pStyle w:val="Heading1"/>
        <w:tabs>
          <w:tab w:val="clear" w:pos="850"/>
        </w:tabs>
        <w:spacing w:before="120" w:after="240"/>
        <w:ind w:left="0" w:firstLine="0"/>
        <w:rPr>
          <w:noProof/>
        </w:rPr>
      </w:pPr>
      <w:r>
        <w:rPr>
          <w:noProof/>
        </w:rPr>
        <w:t xml:space="preserve">SECCIÓN 2: FINANCIACIÓN </w:t>
      </w:r>
    </w:p>
    <w:p w14:paraId="155D342B" w14:textId="2EFF5F13" w:rsidR="00F208CE" w:rsidRDefault="00513E84">
      <w:pPr>
        <w:pStyle w:val="ManualHeading2"/>
        <w:numPr>
          <w:ilvl w:val="0"/>
          <w:numId w:val="44"/>
        </w:numPr>
        <w:ind w:left="851" w:hanging="851"/>
        <w:rPr>
          <w:noProof/>
        </w:rPr>
      </w:pPr>
      <w:r>
        <w:rPr>
          <w:noProof/>
        </w:rPr>
        <w:t>Participación financiera</w:t>
      </w:r>
    </w:p>
    <w:p w14:paraId="33A70859" w14:textId="77777777" w:rsidR="00F208CE" w:rsidRDefault="00513E84">
      <w:pPr>
        <w:pStyle w:val="Text1"/>
        <w:spacing w:after="240"/>
        <w:ind w:left="851"/>
        <w:rPr>
          <w:noProof/>
        </w:rPr>
      </w:pPr>
      <w:r>
        <w:rPr>
          <w:noProof/>
        </w:rPr>
        <w:t>Los tramos a que se refiere el artículo 2, apartado 2, se organi</w:t>
      </w:r>
      <w:r>
        <w:rPr>
          <w:noProof/>
        </w:rPr>
        <w:t>zarán de la siguiente manera:</w:t>
      </w:r>
    </w:p>
    <w:p w14:paraId="2D990399" w14:textId="531FCE63" w:rsidR="00F208CE" w:rsidRDefault="00513E84">
      <w:pPr>
        <w:pStyle w:val="ManualNumPar1"/>
        <w:rPr>
          <w:noProof/>
        </w:rPr>
      </w:pPr>
      <w:r>
        <w:rPr>
          <w:noProof/>
        </w:rPr>
        <w:t>Primer tramo (ayudas no reembolsables):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851"/>
        <w:gridCol w:w="4427"/>
      </w:tblGrid>
      <w:tr w:rsidR="00F208CE" w14:paraId="12405036" w14:textId="77777777">
        <w:trPr>
          <w:trHeight w:val="300"/>
          <w:tblHeader/>
        </w:trPr>
        <w:tc>
          <w:tcPr>
            <w:tcW w:w="400" w:type="pct"/>
            <w:shd w:val="clear" w:color="auto" w:fill="BDD7EE"/>
            <w:noWrap/>
            <w:vAlign w:val="center"/>
            <w:hideMark/>
          </w:tcPr>
          <w:p w14:paraId="1FFD1738" w14:textId="77777777" w:rsidR="00F208CE" w:rsidRDefault="00513E84">
            <w:pPr>
              <w:pStyle w:val="P68B1DB1-Normal39"/>
              <w:spacing w:before="120" w:after="120"/>
              <w:jc w:val="center"/>
              <w:rPr>
                <w:rFonts w:eastAsia="Times New Roman" w:cs="Times New Roman"/>
                <w:noProof/>
              </w:rPr>
            </w:pPr>
            <w:r>
              <w:rPr>
                <w:noProof/>
              </w:rPr>
              <w:t>Siguientes nb</w:t>
            </w:r>
          </w:p>
        </w:tc>
        <w:tc>
          <w:tcPr>
            <w:tcW w:w="2014" w:type="pct"/>
            <w:shd w:val="clear" w:color="auto" w:fill="BDD7EE"/>
            <w:noWrap/>
            <w:vAlign w:val="center"/>
            <w:hideMark/>
          </w:tcPr>
          <w:p w14:paraId="4B707B23" w14:textId="77777777" w:rsidR="00F208CE" w:rsidRDefault="00513E84">
            <w:pPr>
              <w:pStyle w:val="P68B1DB1-Normal39"/>
              <w:spacing w:before="120" w:after="120"/>
              <w:jc w:val="center"/>
              <w:rPr>
                <w:rFonts w:eastAsia="Times New Roman" w:cs="Times New Roman"/>
                <w:noProof/>
              </w:rPr>
            </w:pPr>
            <w:r>
              <w:rPr>
                <w:noProof/>
              </w:rPr>
              <w:t>Nombre de la medida</w:t>
            </w:r>
          </w:p>
        </w:tc>
        <w:tc>
          <w:tcPr>
            <w:tcW w:w="417" w:type="pct"/>
            <w:shd w:val="clear" w:color="auto" w:fill="BDD7EE"/>
            <w:noWrap/>
            <w:vAlign w:val="center"/>
            <w:hideMark/>
          </w:tcPr>
          <w:p w14:paraId="3530C59B" w14:textId="77777777" w:rsidR="00F208CE" w:rsidRDefault="00513E84">
            <w:pPr>
              <w:pStyle w:val="P68B1DB1-Normal39"/>
              <w:spacing w:before="120" w:after="120"/>
              <w:jc w:val="center"/>
              <w:rPr>
                <w:rFonts w:eastAsia="Times New Roman" w:cs="Times New Roman"/>
                <w:noProof/>
              </w:rPr>
            </w:pPr>
            <w:r>
              <w:rPr>
                <w:noProof/>
              </w:rPr>
              <w:t>M/T</w:t>
            </w:r>
          </w:p>
        </w:tc>
        <w:tc>
          <w:tcPr>
            <w:tcW w:w="2169" w:type="pct"/>
            <w:shd w:val="clear" w:color="auto" w:fill="BDD7EE"/>
            <w:noWrap/>
            <w:vAlign w:val="center"/>
            <w:hideMark/>
          </w:tcPr>
          <w:p w14:paraId="2B19A79F" w14:textId="77777777" w:rsidR="00F208CE" w:rsidRDefault="00513E84">
            <w:pPr>
              <w:pStyle w:val="P68B1DB1-Normal39"/>
              <w:spacing w:before="120" w:after="120"/>
              <w:jc w:val="center"/>
              <w:rPr>
                <w:rFonts w:eastAsia="Times New Roman" w:cs="Times New Roman"/>
                <w:noProof/>
              </w:rPr>
            </w:pPr>
            <w:r>
              <w:rPr>
                <w:noProof/>
              </w:rPr>
              <w:t>Nombre</w:t>
            </w:r>
          </w:p>
        </w:tc>
      </w:tr>
      <w:tr w:rsidR="00F208CE" w14:paraId="29EDCE0E" w14:textId="77777777">
        <w:trPr>
          <w:trHeight w:val="315"/>
        </w:trPr>
        <w:tc>
          <w:tcPr>
            <w:tcW w:w="400" w:type="pct"/>
            <w:shd w:val="clear" w:color="000000" w:fill="C6EFCE"/>
            <w:noWrap/>
            <w:vAlign w:val="center"/>
            <w:hideMark/>
          </w:tcPr>
          <w:p w14:paraId="4851EC1A" w14:textId="77777777" w:rsidR="00F208CE" w:rsidRDefault="00513E84">
            <w:pPr>
              <w:pStyle w:val="P68B1DB1-Normal14"/>
              <w:spacing w:after="0"/>
              <w:jc w:val="center"/>
              <w:rPr>
                <w:rFonts w:eastAsia="Times New Roman" w:cs="Times New Roman"/>
                <w:noProof/>
              </w:rPr>
            </w:pPr>
            <w:r>
              <w:rPr>
                <w:noProof/>
              </w:rPr>
              <w:t>56</w:t>
            </w:r>
          </w:p>
        </w:tc>
        <w:tc>
          <w:tcPr>
            <w:tcW w:w="2014" w:type="pct"/>
            <w:shd w:val="clear" w:color="000000" w:fill="C6EFCE"/>
            <w:noWrap/>
            <w:vAlign w:val="center"/>
            <w:hideMark/>
          </w:tcPr>
          <w:p w14:paraId="09DB7C0A" w14:textId="77777777" w:rsidR="00F208CE" w:rsidRDefault="00513E84">
            <w:pPr>
              <w:pStyle w:val="P68B1DB1-Normal14"/>
              <w:spacing w:after="0"/>
              <w:rPr>
                <w:rFonts w:eastAsia="Times New Roman" w:cs="Times New Roman"/>
                <w:noProof/>
              </w:rPr>
            </w:pPr>
            <w:r>
              <w:rPr>
                <w:noProof/>
              </w:rPr>
              <w:t>Fondo para pequeños proyectos de digitalización (I-2.05) (submedida 1: Transformación digital de la justicia)</w:t>
            </w:r>
          </w:p>
        </w:tc>
        <w:tc>
          <w:tcPr>
            <w:tcW w:w="417" w:type="pct"/>
            <w:shd w:val="clear" w:color="000000" w:fill="C6EFCE"/>
            <w:noWrap/>
            <w:vAlign w:val="center"/>
            <w:hideMark/>
          </w:tcPr>
          <w:p w14:paraId="44322FE6"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54646119" w14:textId="77777777" w:rsidR="00F208CE" w:rsidRDefault="00513E84">
            <w:pPr>
              <w:pStyle w:val="P68B1DB1-Normal14"/>
              <w:spacing w:after="0"/>
              <w:rPr>
                <w:rFonts w:eastAsia="Times New Roman" w:cs="Times New Roman"/>
                <w:noProof/>
              </w:rPr>
            </w:pPr>
            <w:r>
              <w:rPr>
                <w:noProof/>
              </w:rPr>
              <w:t xml:space="preserve">Gestión de proyectos en </w:t>
            </w:r>
            <w:r>
              <w:rPr>
                <w:noProof/>
              </w:rPr>
              <w:t>vigor para la transformación digital de la justicia tras la adopción de un decreto</w:t>
            </w:r>
          </w:p>
        </w:tc>
      </w:tr>
      <w:tr w:rsidR="00F208CE" w14:paraId="781ADF76" w14:textId="77777777">
        <w:trPr>
          <w:trHeight w:val="315"/>
        </w:trPr>
        <w:tc>
          <w:tcPr>
            <w:tcW w:w="400" w:type="pct"/>
            <w:shd w:val="clear" w:color="000000" w:fill="C6EFCE"/>
            <w:noWrap/>
            <w:vAlign w:val="center"/>
            <w:hideMark/>
          </w:tcPr>
          <w:p w14:paraId="2306BDFD" w14:textId="77777777" w:rsidR="00F208CE" w:rsidRDefault="00513E84">
            <w:pPr>
              <w:pStyle w:val="P68B1DB1-Normal14"/>
              <w:spacing w:after="0"/>
              <w:jc w:val="center"/>
              <w:rPr>
                <w:rFonts w:eastAsia="Times New Roman" w:cs="Times New Roman"/>
                <w:noProof/>
              </w:rPr>
            </w:pPr>
            <w:r>
              <w:rPr>
                <w:noProof/>
              </w:rPr>
              <w:t>70</w:t>
            </w:r>
          </w:p>
        </w:tc>
        <w:tc>
          <w:tcPr>
            <w:tcW w:w="2014" w:type="pct"/>
            <w:shd w:val="clear" w:color="000000" w:fill="C6EFCE"/>
            <w:noWrap/>
            <w:vAlign w:val="center"/>
            <w:hideMark/>
          </w:tcPr>
          <w:p w14:paraId="54B350A6" w14:textId="77777777" w:rsidR="00F208CE" w:rsidRDefault="00513E84">
            <w:pPr>
              <w:pStyle w:val="P68B1DB1-Normal14"/>
              <w:spacing w:after="0"/>
              <w:rPr>
                <w:rFonts w:eastAsia="Times New Roman" w:cs="Times New Roman"/>
                <w:noProof/>
              </w:rPr>
            </w:pPr>
            <w:r>
              <w:rPr>
                <w:noProof/>
              </w:rPr>
              <w:t>Plataforma regional de intercambio de datos (I-2.10)</w:t>
            </w:r>
          </w:p>
        </w:tc>
        <w:tc>
          <w:tcPr>
            <w:tcW w:w="417" w:type="pct"/>
            <w:shd w:val="clear" w:color="000000" w:fill="C6EFCE"/>
            <w:noWrap/>
            <w:vAlign w:val="center"/>
            <w:hideMark/>
          </w:tcPr>
          <w:p w14:paraId="7E29E3EA"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281992A0" w14:textId="77777777" w:rsidR="00F208CE" w:rsidRDefault="00513E84">
            <w:pPr>
              <w:pStyle w:val="P68B1DB1-Normal14"/>
              <w:spacing w:after="0"/>
              <w:rPr>
                <w:rFonts w:eastAsia="Times New Roman" w:cs="Times New Roman"/>
                <w:noProof/>
              </w:rPr>
            </w:pPr>
            <w:r>
              <w:rPr>
                <w:noProof/>
              </w:rPr>
              <w:t>Adjudicación del contrato público</w:t>
            </w:r>
          </w:p>
        </w:tc>
      </w:tr>
      <w:tr w:rsidR="00F208CE" w14:paraId="0CB4B149" w14:textId="77777777">
        <w:trPr>
          <w:trHeight w:val="315"/>
        </w:trPr>
        <w:tc>
          <w:tcPr>
            <w:tcW w:w="400" w:type="pct"/>
            <w:shd w:val="clear" w:color="000000" w:fill="C6EFCE"/>
            <w:noWrap/>
            <w:vAlign w:val="center"/>
            <w:hideMark/>
          </w:tcPr>
          <w:p w14:paraId="39FB9BD1" w14:textId="77777777" w:rsidR="00F208CE" w:rsidRDefault="00513E84">
            <w:pPr>
              <w:pStyle w:val="P68B1DB1-Normal14"/>
              <w:spacing w:after="0"/>
              <w:jc w:val="center"/>
              <w:rPr>
                <w:rFonts w:eastAsia="Times New Roman" w:cs="Times New Roman"/>
                <w:noProof/>
              </w:rPr>
            </w:pPr>
            <w:r>
              <w:rPr>
                <w:noProof/>
              </w:rPr>
              <w:t>72</w:t>
            </w:r>
          </w:p>
        </w:tc>
        <w:tc>
          <w:tcPr>
            <w:tcW w:w="2014" w:type="pct"/>
            <w:shd w:val="clear" w:color="000000" w:fill="C6EFCE"/>
            <w:noWrap/>
            <w:vAlign w:val="center"/>
            <w:hideMark/>
          </w:tcPr>
          <w:p w14:paraId="049574C6" w14:textId="77777777" w:rsidR="00F208CE" w:rsidRDefault="00513E84">
            <w:pPr>
              <w:pStyle w:val="P68B1DB1-Normal14"/>
              <w:spacing w:after="0"/>
              <w:rPr>
                <w:rFonts w:eastAsia="Times New Roman" w:cs="Times New Roman"/>
                <w:noProof/>
              </w:rPr>
            </w:pPr>
            <w:r>
              <w:rPr>
                <w:noProof/>
              </w:rPr>
              <w:t>Digitalización de los procesos de los ciudadanos y las empresas (I-2.11)</w:t>
            </w:r>
          </w:p>
        </w:tc>
        <w:tc>
          <w:tcPr>
            <w:tcW w:w="417" w:type="pct"/>
            <w:shd w:val="clear" w:color="000000" w:fill="C6EFCE"/>
            <w:noWrap/>
            <w:vAlign w:val="center"/>
            <w:hideMark/>
          </w:tcPr>
          <w:p w14:paraId="74AD8D38"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410F8D83" w14:textId="77777777" w:rsidR="00F208CE" w:rsidRDefault="00513E84">
            <w:pPr>
              <w:pStyle w:val="P68B1DB1-Normal14"/>
              <w:spacing w:after="0"/>
              <w:rPr>
                <w:rFonts w:eastAsia="Times New Roman" w:cs="Times New Roman"/>
                <w:noProof/>
              </w:rPr>
            </w:pPr>
            <w:r>
              <w:rPr>
                <w:noProof/>
              </w:rPr>
              <w:t>Entrada en funcionamiento de nuevas plataformas digitales</w:t>
            </w:r>
          </w:p>
        </w:tc>
      </w:tr>
      <w:tr w:rsidR="00F208CE" w14:paraId="0524CCC6" w14:textId="77777777">
        <w:trPr>
          <w:trHeight w:val="315"/>
        </w:trPr>
        <w:tc>
          <w:tcPr>
            <w:tcW w:w="400" w:type="pct"/>
            <w:shd w:val="clear" w:color="000000" w:fill="C6EFCE"/>
            <w:noWrap/>
            <w:vAlign w:val="center"/>
            <w:hideMark/>
          </w:tcPr>
          <w:p w14:paraId="0B01F711" w14:textId="77777777" w:rsidR="00F208CE" w:rsidRDefault="00513E84">
            <w:pPr>
              <w:pStyle w:val="P68B1DB1-Normal14"/>
              <w:spacing w:after="0"/>
              <w:jc w:val="center"/>
              <w:rPr>
                <w:rFonts w:eastAsia="Times New Roman" w:cs="Times New Roman"/>
                <w:noProof/>
              </w:rPr>
            </w:pPr>
            <w:r>
              <w:rPr>
                <w:noProof/>
              </w:rPr>
              <w:t>89</w:t>
            </w:r>
          </w:p>
        </w:tc>
        <w:tc>
          <w:tcPr>
            <w:tcW w:w="2014" w:type="pct"/>
            <w:shd w:val="clear" w:color="000000" w:fill="C6EFCE"/>
            <w:noWrap/>
            <w:vAlign w:val="center"/>
            <w:hideMark/>
          </w:tcPr>
          <w:p w14:paraId="65700DD5" w14:textId="77777777" w:rsidR="00F208CE" w:rsidRDefault="00513E84">
            <w:pPr>
              <w:pStyle w:val="P68B1DB1-Normal14"/>
              <w:spacing w:after="0"/>
              <w:rPr>
                <w:rFonts w:eastAsia="Times New Roman" w:cs="Times New Roman"/>
                <w:noProof/>
              </w:rPr>
            </w:pPr>
            <w:r>
              <w:rPr>
                <w:noProof/>
              </w:rPr>
              <w:t>Introducción de la 5G — Plan nacional de banda ancha fija y móvil (R-2.03)</w:t>
            </w:r>
          </w:p>
        </w:tc>
        <w:tc>
          <w:tcPr>
            <w:tcW w:w="417" w:type="pct"/>
            <w:shd w:val="clear" w:color="000000" w:fill="C6EFCE"/>
            <w:noWrap/>
            <w:vAlign w:val="center"/>
            <w:hideMark/>
          </w:tcPr>
          <w:p w14:paraId="16CF893C"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32D08901" w14:textId="77777777" w:rsidR="00F208CE" w:rsidRDefault="00513E84">
            <w:pPr>
              <w:pStyle w:val="P68B1DB1-Normal14"/>
              <w:spacing w:after="0"/>
              <w:rPr>
                <w:rFonts w:eastAsia="Times New Roman" w:cs="Times New Roman"/>
                <w:noProof/>
              </w:rPr>
            </w:pPr>
            <w:r>
              <w:rPr>
                <w:noProof/>
              </w:rPr>
              <w:t>Caja de herramientas de conectividad de la UE</w:t>
            </w:r>
          </w:p>
        </w:tc>
      </w:tr>
      <w:tr w:rsidR="00F208CE" w14:paraId="4B75EFA0" w14:textId="77777777">
        <w:trPr>
          <w:trHeight w:val="315"/>
        </w:trPr>
        <w:tc>
          <w:tcPr>
            <w:tcW w:w="400" w:type="pct"/>
            <w:shd w:val="clear" w:color="000000" w:fill="C6EFCE"/>
            <w:noWrap/>
            <w:vAlign w:val="center"/>
            <w:hideMark/>
          </w:tcPr>
          <w:p w14:paraId="6FD0807F" w14:textId="77777777" w:rsidR="00F208CE" w:rsidRDefault="00513E84">
            <w:pPr>
              <w:pStyle w:val="P68B1DB1-Normal14"/>
              <w:spacing w:after="0"/>
              <w:jc w:val="center"/>
              <w:rPr>
                <w:rFonts w:eastAsia="Times New Roman" w:cs="Times New Roman"/>
                <w:noProof/>
              </w:rPr>
            </w:pPr>
            <w:r>
              <w:rPr>
                <w:noProof/>
              </w:rPr>
              <w:t>90</w:t>
            </w:r>
          </w:p>
        </w:tc>
        <w:tc>
          <w:tcPr>
            <w:tcW w:w="2014" w:type="pct"/>
            <w:shd w:val="clear" w:color="000000" w:fill="C6EFCE"/>
            <w:noWrap/>
            <w:vAlign w:val="center"/>
            <w:hideMark/>
          </w:tcPr>
          <w:p w14:paraId="2CDE8DA9" w14:textId="77777777" w:rsidR="00F208CE" w:rsidRDefault="00513E84">
            <w:pPr>
              <w:pStyle w:val="P68B1DB1-Normal14"/>
              <w:spacing w:after="0"/>
              <w:rPr>
                <w:rFonts w:eastAsia="Times New Roman" w:cs="Times New Roman"/>
                <w:noProof/>
              </w:rPr>
            </w:pPr>
            <w:r>
              <w:rPr>
                <w:noProof/>
              </w:rPr>
              <w:t xml:space="preserve">Introducción de la 5G — Plan nacional de banda ancha fija y móvil </w:t>
            </w:r>
            <w:r>
              <w:rPr>
                <w:noProof/>
              </w:rPr>
              <w:t>(R-2.03)</w:t>
            </w:r>
          </w:p>
        </w:tc>
        <w:tc>
          <w:tcPr>
            <w:tcW w:w="417" w:type="pct"/>
            <w:shd w:val="clear" w:color="000000" w:fill="C6EFCE"/>
            <w:noWrap/>
            <w:vAlign w:val="center"/>
            <w:hideMark/>
          </w:tcPr>
          <w:p w14:paraId="70ED5A3E"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5CABF229" w14:textId="77777777" w:rsidR="00F208CE" w:rsidRDefault="00513E84">
            <w:pPr>
              <w:pStyle w:val="P68B1DB1-Normal14"/>
              <w:spacing w:after="0"/>
              <w:rPr>
                <w:rFonts w:eastAsia="Times New Roman" w:cs="Times New Roman"/>
                <w:noProof/>
              </w:rPr>
            </w:pPr>
            <w:r>
              <w:rPr>
                <w:noProof/>
              </w:rPr>
              <w:t>Publicación del marco legislativo de asignación de espectro 5G</w:t>
            </w:r>
          </w:p>
        </w:tc>
      </w:tr>
      <w:tr w:rsidR="00F208CE" w14:paraId="40F68672" w14:textId="77777777">
        <w:trPr>
          <w:trHeight w:val="315"/>
        </w:trPr>
        <w:tc>
          <w:tcPr>
            <w:tcW w:w="400" w:type="pct"/>
            <w:shd w:val="clear" w:color="000000" w:fill="C6EFCE"/>
            <w:noWrap/>
            <w:vAlign w:val="center"/>
            <w:hideMark/>
          </w:tcPr>
          <w:p w14:paraId="0676BA13" w14:textId="77777777" w:rsidR="00F208CE" w:rsidRDefault="00513E84">
            <w:pPr>
              <w:pStyle w:val="P68B1DB1-Normal14"/>
              <w:spacing w:after="0"/>
              <w:jc w:val="center"/>
              <w:rPr>
                <w:rFonts w:eastAsia="Times New Roman" w:cs="Times New Roman"/>
                <w:noProof/>
              </w:rPr>
            </w:pPr>
            <w:r>
              <w:rPr>
                <w:noProof/>
              </w:rPr>
              <w:t>110</w:t>
            </w:r>
          </w:p>
        </w:tc>
        <w:tc>
          <w:tcPr>
            <w:tcW w:w="2014" w:type="pct"/>
            <w:shd w:val="clear" w:color="000000" w:fill="C6EFCE"/>
            <w:noWrap/>
            <w:vAlign w:val="center"/>
            <w:hideMark/>
          </w:tcPr>
          <w:p w14:paraId="13CD226D" w14:textId="77777777" w:rsidR="00F208CE" w:rsidRDefault="00513E84">
            <w:pPr>
              <w:pStyle w:val="P68B1DB1-Normal14"/>
              <w:spacing w:after="0"/>
              <w:rPr>
                <w:rFonts w:eastAsia="Times New Roman" w:cs="Times New Roman"/>
                <w:noProof/>
              </w:rPr>
            </w:pPr>
            <w:r>
              <w:rPr>
                <w:noProof/>
              </w:rPr>
              <w:t>Presupuesto de Mobiliteits(R-3.02)</w:t>
            </w:r>
          </w:p>
        </w:tc>
        <w:tc>
          <w:tcPr>
            <w:tcW w:w="417" w:type="pct"/>
            <w:shd w:val="clear" w:color="000000" w:fill="C6EFCE"/>
            <w:noWrap/>
            <w:vAlign w:val="center"/>
            <w:hideMark/>
          </w:tcPr>
          <w:p w14:paraId="3FAE79ED"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23885A22" w14:textId="77777777" w:rsidR="00F208CE" w:rsidRDefault="00513E84">
            <w:pPr>
              <w:pStyle w:val="P68B1DB1-Normal14"/>
              <w:spacing w:after="0"/>
              <w:rPr>
                <w:rFonts w:eastAsia="Times New Roman" w:cs="Times New Roman"/>
                <w:noProof/>
              </w:rPr>
            </w:pPr>
            <w:r>
              <w:rPr>
                <w:noProof/>
              </w:rPr>
              <w:t>Aprobación del presupuesto para movilidad</w:t>
            </w:r>
          </w:p>
        </w:tc>
      </w:tr>
      <w:tr w:rsidR="00F208CE" w14:paraId="65FE3082" w14:textId="77777777">
        <w:trPr>
          <w:trHeight w:val="315"/>
        </w:trPr>
        <w:tc>
          <w:tcPr>
            <w:tcW w:w="400" w:type="pct"/>
            <w:shd w:val="clear" w:color="000000" w:fill="C6EFCE"/>
            <w:noWrap/>
            <w:vAlign w:val="center"/>
            <w:hideMark/>
          </w:tcPr>
          <w:p w14:paraId="4C9090D1" w14:textId="77777777" w:rsidR="00F208CE" w:rsidRDefault="00513E84">
            <w:pPr>
              <w:pStyle w:val="P68B1DB1-Normal14"/>
              <w:spacing w:after="0"/>
              <w:jc w:val="center"/>
              <w:rPr>
                <w:rFonts w:eastAsia="Times New Roman" w:cs="Times New Roman"/>
                <w:noProof/>
              </w:rPr>
            </w:pPr>
            <w:r>
              <w:rPr>
                <w:noProof/>
              </w:rPr>
              <w:t>116</w:t>
            </w:r>
          </w:p>
        </w:tc>
        <w:tc>
          <w:tcPr>
            <w:tcW w:w="2014" w:type="pct"/>
            <w:shd w:val="clear" w:color="000000" w:fill="C6EFCE"/>
            <w:noWrap/>
            <w:vAlign w:val="center"/>
            <w:hideMark/>
          </w:tcPr>
          <w:p w14:paraId="61106DC0" w14:textId="77777777" w:rsidR="00F208CE" w:rsidRDefault="00513E84">
            <w:pPr>
              <w:pStyle w:val="P68B1DB1-Normal14"/>
              <w:spacing w:after="0"/>
              <w:rPr>
                <w:rFonts w:eastAsia="Times New Roman" w:cs="Times New Roman"/>
                <w:noProof/>
              </w:rPr>
            </w:pPr>
            <w:r>
              <w:rPr>
                <w:noProof/>
              </w:rPr>
              <w:t>Estimular el transporte sin emisiones — VLA (R-3.06)</w:t>
            </w:r>
          </w:p>
        </w:tc>
        <w:tc>
          <w:tcPr>
            <w:tcW w:w="417" w:type="pct"/>
            <w:shd w:val="clear" w:color="000000" w:fill="C6EFCE"/>
            <w:noWrap/>
            <w:vAlign w:val="center"/>
            <w:hideMark/>
          </w:tcPr>
          <w:p w14:paraId="4E4F580F"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54F21436" w14:textId="77777777" w:rsidR="00F208CE" w:rsidRDefault="00513E84">
            <w:pPr>
              <w:pStyle w:val="P68B1DB1-Normal14"/>
              <w:spacing w:after="0"/>
              <w:rPr>
                <w:rFonts w:eastAsia="Times New Roman" w:cs="Times New Roman"/>
                <w:noProof/>
              </w:rPr>
            </w:pPr>
            <w:r>
              <w:rPr>
                <w:noProof/>
              </w:rPr>
              <w:t xml:space="preserve">Adopción de un marco para el </w:t>
            </w:r>
            <w:r>
              <w:rPr>
                <w:noProof/>
              </w:rPr>
              <w:t>despliegue de infraestructuras de recarga en la Región Flamenca</w:t>
            </w:r>
          </w:p>
        </w:tc>
      </w:tr>
      <w:tr w:rsidR="00F208CE" w14:paraId="591E1E7F" w14:textId="77777777">
        <w:trPr>
          <w:trHeight w:val="315"/>
        </w:trPr>
        <w:tc>
          <w:tcPr>
            <w:tcW w:w="400" w:type="pct"/>
            <w:shd w:val="clear" w:color="000000" w:fill="C6EFCE"/>
            <w:noWrap/>
            <w:vAlign w:val="center"/>
            <w:hideMark/>
          </w:tcPr>
          <w:p w14:paraId="6397E3B6" w14:textId="77777777" w:rsidR="00F208CE" w:rsidRDefault="00513E84">
            <w:pPr>
              <w:pStyle w:val="P68B1DB1-Normal14"/>
              <w:spacing w:after="0"/>
              <w:jc w:val="center"/>
              <w:rPr>
                <w:rFonts w:eastAsia="Times New Roman" w:cs="Times New Roman"/>
                <w:noProof/>
              </w:rPr>
            </w:pPr>
            <w:r>
              <w:rPr>
                <w:noProof/>
              </w:rPr>
              <w:t>120</w:t>
            </w:r>
          </w:p>
        </w:tc>
        <w:tc>
          <w:tcPr>
            <w:tcW w:w="2014" w:type="pct"/>
            <w:shd w:val="clear" w:color="000000" w:fill="C6EFCE"/>
            <w:noWrap/>
            <w:vAlign w:val="center"/>
            <w:hideMark/>
          </w:tcPr>
          <w:p w14:paraId="550799F4" w14:textId="77777777" w:rsidR="00F208CE" w:rsidRDefault="00513E84">
            <w:pPr>
              <w:pStyle w:val="P68B1DB1-Normal14"/>
              <w:spacing w:after="0"/>
              <w:rPr>
                <w:rFonts w:eastAsia="Times New Roman" w:cs="Times New Roman"/>
                <w:noProof/>
              </w:rPr>
            </w:pPr>
            <w:r>
              <w:rPr>
                <w:noProof/>
              </w:rPr>
              <w:t>Estaciones de recarga — FED (I-3.18)</w:t>
            </w:r>
          </w:p>
        </w:tc>
        <w:tc>
          <w:tcPr>
            <w:tcW w:w="417" w:type="pct"/>
            <w:shd w:val="clear" w:color="000000" w:fill="C6EFCE"/>
            <w:noWrap/>
            <w:vAlign w:val="center"/>
            <w:hideMark/>
          </w:tcPr>
          <w:p w14:paraId="1FAA0181"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58087FDD" w14:textId="77777777" w:rsidR="00F208CE" w:rsidRDefault="00513E84">
            <w:pPr>
              <w:pStyle w:val="P68B1DB1-Normal14"/>
              <w:spacing w:after="0"/>
              <w:rPr>
                <w:rFonts w:eastAsia="Times New Roman" w:cs="Times New Roman"/>
                <w:noProof/>
              </w:rPr>
            </w:pPr>
            <w:r>
              <w:rPr>
                <w:noProof/>
              </w:rPr>
              <w:t>Adopción del incentivo fiscal para instalar puntos de recarga privados y semipúblicos</w:t>
            </w:r>
          </w:p>
        </w:tc>
      </w:tr>
      <w:tr w:rsidR="00F208CE" w14:paraId="206D2834" w14:textId="77777777">
        <w:trPr>
          <w:trHeight w:val="315"/>
        </w:trPr>
        <w:tc>
          <w:tcPr>
            <w:tcW w:w="400" w:type="pct"/>
            <w:shd w:val="clear" w:color="000000" w:fill="C6EFCE"/>
            <w:noWrap/>
            <w:vAlign w:val="center"/>
            <w:hideMark/>
          </w:tcPr>
          <w:p w14:paraId="7384C679" w14:textId="77777777" w:rsidR="00F208CE" w:rsidRDefault="00513E84">
            <w:pPr>
              <w:pStyle w:val="P68B1DB1-Normal14"/>
              <w:spacing w:after="0"/>
              <w:jc w:val="center"/>
              <w:rPr>
                <w:rFonts w:eastAsia="Times New Roman" w:cs="Times New Roman"/>
                <w:noProof/>
              </w:rPr>
            </w:pPr>
            <w:r>
              <w:rPr>
                <w:noProof/>
              </w:rPr>
              <w:t>126</w:t>
            </w:r>
          </w:p>
        </w:tc>
        <w:tc>
          <w:tcPr>
            <w:tcW w:w="2014" w:type="pct"/>
            <w:shd w:val="clear" w:color="000000" w:fill="C6EFCE"/>
            <w:noWrap/>
            <w:vAlign w:val="center"/>
            <w:hideMark/>
          </w:tcPr>
          <w:p w14:paraId="47BF1614" w14:textId="77777777" w:rsidR="00F208CE" w:rsidRDefault="00513E84">
            <w:pPr>
              <w:pStyle w:val="P68B1DB1-Normal14"/>
              <w:spacing w:after="0"/>
              <w:rPr>
                <w:rFonts w:eastAsia="Times New Roman" w:cs="Times New Roman"/>
                <w:noProof/>
              </w:rPr>
            </w:pPr>
            <w:r>
              <w:rPr>
                <w:noProof/>
              </w:rPr>
              <w:t>Vehículos de empresa de emisiones cero (R-3.03)</w:t>
            </w:r>
          </w:p>
        </w:tc>
        <w:tc>
          <w:tcPr>
            <w:tcW w:w="417" w:type="pct"/>
            <w:shd w:val="clear" w:color="000000" w:fill="C6EFCE"/>
            <w:noWrap/>
            <w:vAlign w:val="center"/>
            <w:hideMark/>
          </w:tcPr>
          <w:p w14:paraId="08BEDC81"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1D1DEF2C" w14:textId="77777777" w:rsidR="00F208CE" w:rsidRDefault="00513E84">
            <w:pPr>
              <w:pStyle w:val="P68B1DB1-Normal14"/>
              <w:spacing w:after="0"/>
              <w:rPr>
                <w:rFonts w:eastAsia="Times New Roman" w:cs="Times New Roman"/>
                <w:noProof/>
              </w:rPr>
            </w:pPr>
            <w:r>
              <w:rPr>
                <w:noProof/>
              </w:rPr>
              <w:t>Adopción de la ley de reforma del régimen del impuesto de sociedades</w:t>
            </w:r>
          </w:p>
        </w:tc>
      </w:tr>
      <w:tr w:rsidR="00F208CE" w14:paraId="72E1CA15" w14:textId="77777777">
        <w:trPr>
          <w:trHeight w:val="315"/>
        </w:trPr>
        <w:tc>
          <w:tcPr>
            <w:tcW w:w="400" w:type="pct"/>
            <w:shd w:val="clear" w:color="000000" w:fill="C6EFCE"/>
            <w:noWrap/>
            <w:vAlign w:val="center"/>
            <w:hideMark/>
          </w:tcPr>
          <w:p w14:paraId="16AC15BB" w14:textId="77777777" w:rsidR="00F208CE" w:rsidRDefault="00513E84">
            <w:pPr>
              <w:pStyle w:val="P68B1DB1-Normal14"/>
              <w:spacing w:after="0"/>
              <w:jc w:val="center"/>
              <w:rPr>
                <w:rFonts w:eastAsia="Times New Roman" w:cs="Times New Roman"/>
                <w:noProof/>
              </w:rPr>
            </w:pPr>
            <w:r>
              <w:rPr>
                <w:noProof/>
              </w:rPr>
              <w:t>135</w:t>
            </w:r>
          </w:p>
        </w:tc>
        <w:tc>
          <w:tcPr>
            <w:tcW w:w="2014" w:type="pct"/>
            <w:shd w:val="clear" w:color="000000" w:fill="C6EFCE"/>
            <w:noWrap/>
            <w:vAlign w:val="center"/>
            <w:hideMark/>
          </w:tcPr>
          <w:p w14:paraId="62CA5B4F" w14:textId="77777777" w:rsidR="00F208CE" w:rsidRDefault="00513E84">
            <w:pPr>
              <w:pStyle w:val="P68B1DB1-Normal14"/>
              <w:spacing w:after="0"/>
              <w:rPr>
                <w:rFonts w:eastAsia="Times New Roman" w:cs="Times New Roman"/>
                <w:noProof/>
              </w:rPr>
            </w:pPr>
            <w:r>
              <w:rPr>
                <w:noProof/>
              </w:rPr>
              <w:t>Orientación personalizada en la enseñanza obligatoria (I-4.03)</w:t>
            </w:r>
          </w:p>
        </w:tc>
        <w:tc>
          <w:tcPr>
            <w:tcW w:w="417" w:type="pct"/>
            <w:shd w:val="clear" w:color="000000" w:fill="C6EFCE"/>
            <w:noWrap/>
            <w:vAlign w:val="center"/>
            <w:hideMark/>
          </w:tcPr>
          <w:p w14:paraId="081DBE45"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78190500" w14:textId="77777777" w:rsidR="00F208CE" w:rsidRDefault="00513E84">
            <w:pPr>
              <w:pStyle w:val="P68B1DB1-Normal14"/>
              <w:spacing w:after="0"/>
              <w:rPr>
                <w:rFonts w:eastAsia="Times New Roman" w:cs="Times New Roman"/>
                <w:noProof/>
              </w:rPr>
            </w:pPr>
            <w:r>
              <w:rPr>
                <w:noProof/>
              </w:rPr>
              <w:t>Adopción de un nuevo marco de decreto que establezca las condiciones de intervención del sistema</w:t>
            </w:r>
          </w:p>
        </w:tc>
      </w:tr>
      <w:tr w:rsidR="00F208CE" w14:paraId="18C40DFB" w14:textId="77777777">
        <w:trPr>
          <w:trHeight w:val="315"/>
        </w:trPr>
        <w:tc>
          <w:tcPr>
            <w:tcW w:w="400" w:type="pct"/>
            <w:shd w:val="clear" w:color="000000" w:fill="C6EFCE"/>
            <w:noWrap/>
            <w:vAlign w:val="center"/>
            <w:hideMark/>
          </w:tcPr>
          <w:p w14:paraId="5B1275D9" w14:textId="77777777" w:rsidR="00F208CE" w:rsidRDefault="00513E84">
            <w:pPr>
              <w:pStyle w:val="P68B1DB1-Normal14"/>
              <w:spacing w:after="0"/>
              <w:jc w:val="center"/>
              <w:rPr>
                <w:rFonts w:eastAsia="Times New Roman" w:cs="Times New Roman"/>
                <w:noProof/>
              </w:rPr>
            </w:pPr>
            <w:r>
              <w:rPr>
                <w:noProof/>
              </w:rPr>
              <w:t>137</w:t>
            </w:r>
          </w:p>
        </w:tc>
        <w:tc>
          <w:tcPr>
            <w:tcW w:w="2014" w:type="pct"/>
            <w:shd w:val="clear" w:color="000000" w:fill="C6EFCE"/>
            <w:noWrap/>
            <w:vAlign w:val="center"/>
            <w:hideMark/>
          </w:tcPr>
          <w:p w14:paraId="6E3FE729" w14:textId="77777777" w:rsidR="00F208CE" w:rsidRDefault="00513E84">
            <w:pPr>
              <w:pStyle w:val="P68B1DB1-Normal14"/>
              <w:spacing w:after="0"/>
              <w:rPr>
                <w:rFonts w:eastAsia="Times New Roman" w:cs="Times New Roman"/>
                <w:noProof/>
              </w:rPr>
            </w:pPr>
            <w:r>
              <w:rPr>
                <w:noProof/>
              </w:rPr>
              <w:t>Revolución digi</w:t>
            </w:r>
            <w:r>
              <w:rPr>
                <w:noProof/>
              </w:rPr>
              <w:t>tal para las escuelas de Bruselas (I-4.05)</w:t>
            </w:r>
          </w:p>
        </w:tc>
        <w:tc>
          <w:tcPr>
            <w:tcW w:w="417" w:type="pct"/>
            <w:shd w:val="clear" w:color="000000" w:fill="C6EFCE"/>
            <w:noWrap/>
            <w:vAlign w:val="center"/>
            <w:hideMark/>
          </w:tcPr>
          <w:p w14:paraId="24940E3A" w14:textId="77777777" w:rsidR="00F208CE" w:rsidRDefault="00513E84">
            <w:pPr>
              <w:pStyle w:val="P68B1DB1-Normal14"/>
              <w:spacing w:after="0"/>
              <w:jc w:val="center"/>
              <w:rPr>
                <w:rFonts w:eastAsia="Times New Roman" w:cs="Times New Roman"/>
                <w:noProof/>
              </w:rPr>
            </w:pPr>
            <w:r>
              <w:rPr>
                <w:noProof/>
              </w:rPr>
              <w:t>T</w:t>
            </w:r>
          </w:p>
        </w:tc>
        <w:tc>
          <w:tcPr>
            <w:tcW w:w="2169" w:type="pct"/>
            <w:shd w:val="clear" w:color="000000" w:fill="C6EFCE"/>
            <w:noWrap/>
            <w:vAlign w:val="center"/>
            <w:hideMark/>
          </w:tcPr>
          <w:p w14:paraId="5EF28423" w14:textId="77777777" w:rsidR="00F208CE" w:rsidRDefault="00513E84">
            <w:pPr>
              <w:pStyle w:val="P68B1DB1-Normal14"/>
              <w:spacing w:after="0"/>
              <w:rPr>
                <w:rFonts w:eastAsia="Times New Roman" w:cs="Times New Roman"/>
                <w:noProof/>
              </w:rPr>
            </w:pPr>
            <w:r>
              <w:rPr>
                <w:noProof/>
              </w:rPr>
              <w:t>Dotar a las escuelas/instituciones de dispositivos e infraestructuras de TIC adecuados para mejorar el rendimiento global de los sistemas educativos</w:t>
            </w:r>
          </w:p>
        </w:tc>
      </w:tr>
      <w:tr w:rsidR="00F208CE" w14:paraId="3A2ED3B0" w14:textId="77777777">
        <w:trPr>
          <w:trHeight w:val="315"/>
        </w:trPr>
        <w:tc>
          <w:tcPr>
            <w:tcW w:w="400" w:type="pct"/>
            <w:shd w:val="clear" w:color="000000" w:fill="C6EFCE"/>
            <w:noWrap/>
            <w:vAlign w:val="center"/>
            <w:hideMark/>
          </w:tcPr>
          <w:p w14:paraId="345912CD" w14:textId="77777777" w:rsidR="00F208CE" w:rsidRDefault="00513E84">
            <w:pPr>
              <w:pStyle w:val="P68B1DB1-Normal14"/>
              <w:spacing w:after="0"/>
              <w:jc w:val="center"/>
              <w:rPr>
                <w:rFonts w:eastAsia="Times New Roman" w:cs="Times New Roman"/>
                <w:noProof/>
              </w:rPr>
            </w:pPr>
            <w:r>
              <w:rPr>
                <w:noProof/>
              </w:rPr>
              <w:t>150</w:t>
            </w:r>
          </w:p>
        </w:tc>
        <w:tc>
          <w:tcPr>
            <w:tcW w:w="2014" w:type="pct"/>
            <w:shd w:val="clear" w:color="000000" w:fill="C6EFCE"/>
            <w:noWrap/>
            <w:vAlign w:val="center"/>
            <w:hideMark/>
          </w:tcPr>
          <w:p w14:paraId="58331A4A" w14:textId="77777777" w:rsidR="00F208CE" w:rsidRDefault="00513E84">
            <w:pPr>
              <w:pStyle w:val="P68B1DB1-Normal14"/>
              <w:spacing w:after="0"/>
              <w:rPr>
                <w:rFonts w:eastAsia="Times New Roman" w:cs="Times New Roman"/>
                <w:noProof/>
              </w:rPr>
            </w:pPr>
            <w:r>
              <w:rPr>
                <w:noProof/>
              </w:rPr>
              <w:t xml:space="preserve">Desarrollo de viviendas de utilidad pública y vivienda </w:t>
            </w:r>
            <w:r>
              <w:rPr>
                <w:noProof/>
              </w:rPr>
              <w:t>para personas vulnerables (I-4.12)</w:t>
            </w:r>
          </w:p>
        </w:tc>
        <w:tc>
          <w:tcPr>
            <w:tcW w:w="417" w:type="pct"/>
            <w:shd w:val="clear" w:color="000000" w:fill="C6EFCE"/>
            <w:noWrap/>
            <w:vAlign w:val="center"/>
            <w:hideMark/>
          </w:tcPr>
          <w:p w14:paraId="3B845E3A"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601FACA3" w14:textId="77777777" w:rsidR="00F208CE" w:rsidRDefault="00513E84">
            <w:pPr>
              <w:pStyle w:val="P68B1DB1-Normal14"/>
              <w:spacing w:after="0"/>
              <w:rPr>
                <w:rFonts w:eastAsia="Times New Roman" w:cs="Times New Roman"/>
                <w:noProof/>
              </w:rPr>
            </w:pPr>
            <w:r>
              <w:rPr>
                <w:noProof/>
              </w:rPr>
              <w:t>Estrategia valona para la desinstitucionalización (política sanitaria valona)</w:t>
            </w:r>
          </w:p>
        </w:tc>
      </w:tr>
      <w:tr w:rsidR="00F208CE" w14:paraId="558DDF37" w14:textId="77777777">
        <w:trPr>
          <w:trHeight w:val="315"/>
        </w:trPr>
        <w:tc>
          <w:tcPr>
            <w:tcW w:w="400" w:type="pct"/>
            <w:shd w:val="clear" w:color="000000" w:fill="C6EFCE"/>
            <w:noWrap/>
            <w:vAlign w:val="center"/>
            <w:hideMark/>
          </w:tcPr>
          <w:p w14:paraId="6FB0EAAE" w14:textId="77777777" w:rsidR="00F208CE" w:rsidRDefault="00513E84">
            <w:pPr>
              <w:pStyle w:val="P68B1DB1-Normal14"/>
              <w:spacing w:after="0"/>
              <w:jc w:val="center"/>
              <w:rPr>
                <w:rFonts w:eastAsia="Times New Roman" w:cs="Times New Roman"/>
                <w:noProof/>
              </w:rPr>
            </w:pPr>
            <w:r>
              <w:rPr>
                <w:noProof/>
              </w:rPr>
              <w:t>172</w:t>
            </w:r>
          </w:p>
        </w:tc>
        <w:tc>
          <w:tcPr>
            <w:tcW w:w="2014" w:type="pct"/>
            <w:shd w:val="clear" w:color="000000" w:fill="C6EFCE"/>
            <w:noWrap/>
            <w:vAlign w:val="center"/>
            <w:hideMark/>
          </w:tcPr>
          <w:p w14:paraId="712814F6" w14:textId="77777777" w:rsidR="00F208CE" w:rsidRDefault="00513E84">
            <w:pPr>
              <w:pStyle w:val="P68B1DB1-Normal14"/>
              <w:spacing w:after="0"/>
              <w:rPr>
                <w:rFonts w:eastAsia="Times New Roman" w:cs="Times New Roman"/>
                <w:noProof/>
              </w:rPr>
            </w:pPr>
            <w:r>
              <w:rPr>
                <w:noProof/>
              </w:rPr>
              <w:t>Cuenta de aprendizaje (R-5.03)</w:t>
            </w:r>
          </w:p>
        </w:tc>
        <w:tc>
          <w:tcPr>
            <w:tcW w:w="417" w:type="pct"/>
            <w:shd w:val="clear" w:color="000000" w:fill="C6EFCE"/>
            <w:noWrap/>
            <w:vAlign w:val="center"/>
            <w:hideMark/>
          </w:tcPr>
          <w:p w14:paraId="29B91608"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3C8F03B4" w14:textId="77777777" w:rsidR="00F208CE" w:rsidRDefault="00513E84">
            <w:pPr>
              <w:pStyle w:val="P68B1DB1-Normal14"/>
              <w:spacing w:after="0"/>
              <w:rPr>
                <w:rFonts w:eastAsia="Times New Roman" w:cs="Times New Roman"/>
                <w:noProof/>
              </w:rPr>
            </w:pPr>
            <w:r>
              <w:rPr>
                <w:noProof/>
              </w:rPr>
              <w:t>Reforma federal que desarrolla el derecho individual a la formación de los trabajadores</w:t>
            </w:r>
          </w:p>
        </w:tc>
      </w:tr>
      <w:tr w:rsidR="00F208CE" w14:paraId="6622B660" w14:textId="77777777">
        <w:trPr>
          <w:trHeight w:val="315"/>
        </w:trPr>
        <w:tc>
          <w:tcPr>
            <w:tcW w:w="400" w:type="pct"/>
            <w:shd w:val="clear" w:color="000000" w:fill="C6EFCE"/>
            <w:noWrap/>
            <w:vAlign w:val="center"/>
            <w:hideMark/>
          </w:tcPr>
          <w:p w14:paraId="3EB91E1E" w14:textId="77777777" w:rsidR="00F208CE" w:rsidRDefault="00513E84">
            <w:pPr>
              <w:pStyle w:val="P68B1DB1-Normal14"/>
              <w:spacing w:after="0"/>
              <w:jc w:val="center"/>
              <w:rPr>
                <w:rFonts w:eastAsia="Times New Roman" w:cs="Times New Roman"/>
                <w:noProof/>
              </w:rPr>
            </w:pPr>
            <w:r>
              <w:rPr>
                <w:noProof/>
              </w:rPr>
              <w:t>173</w:t>
            </w:r>
          </w:p>
        </w:tc>
        <w:tc>
          <w:tcPr>
            <w:tcW w:w="2014" w:type="pct"/>
            <w:shd w:val="clear" w:color="000000" w:fill="C6EFCE"/>
            <w:noWrap/>
            <w:vAlign w:val="center"/>
            <w:hideMark/>
          </w:tcPr>
          <w:p w14:paraId="5EC53645" w14:textId="77777777" w:rsidR="00F208CE" w:rsidRDefault="00513E84">
            <w:pPr>
              <w:pStyle w:val="P68B1DB1-Normal14"/>
              <w:spacing w:after="0"/>
              <w:rPr>
                <w:rFonts w:eastAsia="Times New Roman" w:cs="Times New Roman"/>
                <w:noProof/>
              </w:rPr>
            </w:pPr>
            <w:r>
              <w:rPr>
                <w:noProof/>
              </w:rPr>
              <w:t xml:space="preserve">Cuenta de </w:t>
            </w:r>
            <w:r>
              <w:rPr>
                <w:noProof/>
              </w:rPr>
              <w:t>aprendizaje (R-5.03)</w:t>
            </w:r>
          </w:p>
        </w:tc>
        <w:tc>
          <w:tcPr>
            <w:tcW w:w="417" w:type="pct"/>
            <w:shd w:val="clear" w:color="000000" w:fill="C6EFCE"/>
            <w:noWrap/>
            <w:vAlign w:val="center"/>
            <w:hideMark/>
          </w:tcPr>
          <w:p w14:paraId="4EBFD8F2"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30F29AA0" w14:textId="77777777" w:rsidR="00F208CE" w:rsidRDefault="00513E84">
            <w:pPr>
              <w:pStyle w:val="P68B1DB1-Normal14"/>
              <w:spacing w:after="0"/>
              <w:rPr>
                <w:rFonts w:eastAsia="Times New Roman" w:cs="Times New Roman"/>
                <w:noProof/>
              </w:rPr>
            </w:pPr>
            <w:r>
              <w:rPr>
                <w:noProof/>
              </w:rPr>
              <w:t>Reforma federal que crea incentivos para que las empresas proporcionen formación</w:t>
            </w:r>
          </w:p>
        </w:tc>
      </w:tr>
      <w:tr w:rsidR="00F208CE" w14:paraId="66BA4222" w14:textId="77777777">
        <w:trPr>
          <w:trHeight w:val="315"/>
        </w:trPr>
        <w:tc>
          <w:tcPr>
            <w:tcW w:w="400" w:type="pct"/>
            <w:shd w:val="clear" w:color="000000" w:fill="C6EFCE"/>
            <w:noWrap/>
            <w:vAlign w:val="center"/>
            <w:hideMark/>
          </w:tcPr>
          <w:p w14:paraId="5CBB814D" w14:textId="77777777" w:rsidR="00F208CE" w:rsidRDefault="00513E84">
            <w:pPr>
              <w:pStyle w:val="P68B1DB1-Normal14"/>
              <w:spacing w:after="0"/>
              <w:jc w:val="center"/>
              <w:rPr>
                <w:rFonts w:eastAsia="Times New Roman" w:cs="Times New Roman"/>
                <w:noProof/>
              </w:rPr>
            </w:pPr>
            <w:r>
              <w:rPr>
                <w:noProof/>
              </w:rPr>
              <w:t>177</w:t>
            </w:r>
          </w:p>
        </w:tc>
        <w:tc>
          <w:tcPr>
            <w:tcW w:w="2014" w:type="pct"/>
            <w:shd w:val="clear" w:color="000000" w:fill="C6EFCE"/>
            <w:noWrap/>
            <w:vAlign w:val="center"/>
            <w:hideMark/>
          </w:tcPr>
          <w:p w14:paraId="205C4D8D" w14:textId="77777777" w:rsidR="00F208CE" w:rsidRDefault="00513E84">
            <w:pPr>
              <w:pStyle w:val="P68B1DB1-Normal14"/>
              <w:spacing w:after="0"/>
              <w:rPr>
                <w:rFonts w:eastAsia="Times New Roman" w:cs="Times New Roman"/>
                <w:noProof/>
              </w:rPr>
            </w:pPr>
            <w:r>
              <w:rPr>
                <w:noProof/>
              </w:rPr>
              <w:t>Reforma del apoyo a los demandantes de empleo en Valonia (R-5.05)</w:t>
            </w:r>
          </w:p>
        </w:tc>
        <w:tc>
          <w:tcPr>
            <w:tcW w:w="417" w:type="pct"/>
            <w:shd w:val="clear" w:color="000000" w:fill="C6EFCE"/>
            <w:noWrap/>
            <w:vAlign w:val="center"/>
            <w:hideMark/>
          </w:tcPr>
          <w:p w14:paraId="1017E741"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000F519A" w14:textId="77777777" w:rsidR="00F208CE" w:rsidRDefault="00513E84">
            <w:pPr>
              <w:pStyle w:val="P68B1DB1-Normal14"/>
              <w:spacing w:after="0"/>
              <w:rPr>
                <w:rFonts w:eastAsia="Times New Roman" w:cs="Times New Roman"/>
                <w:noProof/>
              </w:rPr>
            </w:pPr>
            <w:r>
              <w:rPr>
                <w:noProof/>
              </w:rPr>
              <w:t>Reforma del apoyo a los demandantes de empleo en Valonia</w:t>
            </w:r>
          </w:p>
        </w:tc>
      </w:tr>
      <w:tr w:rsidR="00F208CE" w14:paraId="5D00A5C5" w14:textId="77777777">
        <w:trPr>
          <w:trHeight w:val="315"/>
        </w:trPr>
        <w:tc>
          <w:tcPr>
            <w:tcW w:w="400" w:type="pct"/>
            <w:shd w:val="clear" w:color="000000" w:fill="C6EFCE"/>
            <w:noWrap/>
            <w:vAlign w:val="center"/>
            <w:hideMark/>
          </w:tcPr>
          <w:p w14:paraId="1287ED3E" w14:textId="77777777" w:rsidR="00F208CE" w:rsidRDefault="00513E84">
            <w:pPr>
              <w:pStyle w:val="P68B1DB1-Normal14"/>
              <w:spacing w:after="0"/>
              <w:jc w:val="center"/>
              <w:rPr>
                <w:rFonts w:eastAsia="Times New Roman" w:cs="Times New Roman"/>
                <w:noProof/>
              </w:rPr>
            </w:pPr>
            <w:r>
              <w:rPr>
                <w:noProof/>
              </w:rPr>
              <w:t>196</w:t>
            </w:r>
          </w:p>
        </w:tc>
        <w:tc>
          <w:tcPr>
            <w:tcW w:w="2014" w:type="pct"/>
            <w:shd w:val="clear" w:color="000000" w:fill="C6EFCE"/>
            <w:noWrap/>
            <w:vAlign w:val="center"/>
            <w:hideMark/>
          </w:tcPr>
          <w:p w14:paraId="03A5314E" w14:textId="77777777" w:rsidR="00F208CE" w:rsidRDefault="00513E84">
            <w:pPr>
              <w:pStyle w:val="P68B1DB1-Normal14"/>
              <w:spacing w:after="0"/>
              <w:rPr>
                <w:rFonts w:eastAsia="Times New Roman" w:cs="Times New Roman"/>
                <w:noProof/>
              </w:rPr>
            </w:pPr>
            <w:r>
              <w:rPr>
                <w:noProof/>
              </w:rPr>
              <w:t xml:space="preserve">Gobernanza </w:t>
            </w:r>
            <w:r>
              <w:rPr>
                <w:noProof/>
              </w:rPr>
              <w:t>circular de Flandes (R-5.09)</w:t>
            </w:r>
          </w:p>
        </w:tc>
        <w:tc>
          <w:tcPr>
            <w:tcW w:w="417" w:type="pct"/>
            <w:shd w:val="clear" w:color="000000" w:fill="C6EFCE"/>
            <w:noWrap/>
            <w:vAlign w:val="center"/>
            <w:hideMark/>
          </w:tcPr>
          <w:p w14:paraId="73611F47"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6FF9CB7E" w14:textId="77777777" w:rsidR="00F208CE" w:rsidRDefault="00513E84">
            <w:pPr>
              <w:pStyle w:val="P68B1DB1-Normal14"/>
              <w:spacing w:after="0"/>
              <w:rPr>
                <w:rFonts w:eastAsia="Times New Roman" w:cs="Times New Roman"/>
                <w:noProof/>
              </w:rPr>
            </w:pPr>
            <w:r>
              <w:rPr>
                <w:noProof/>
              </w:rPr>
              <w:t>Puesta en marcha del Grupo Director de Flandes Circular</w:t>
            </w:r>
          </w:p>
        </w:tc>
      </w:tr>
      <w:tr w:rsidR="00F208CE" w14:paraId="4DD2F99D" w14:textId="77777777">
        <w:trPr>
          <w:trHeight w:val="315"/>
        </w:trPr>
        <w:tc>
          <w:tcPr>
            <w:tcW w:w="400" w:type="pct"/>
            <w:shd w:val="clear" w:color="000000" w:fill="C6EFCE"/>
            <w:noWrap/>
            <w:vAlign w:val="center"/>
            <w:hideMark/>
          </w:tcPr>
          <w:p w14:paraId="7CE46049" w14:textId="77777777" w:rsidR="00F208CE" w:rsidRDefault="00513E84">
            <w:pPr>
              <w:pStyle w:val="P68B1DB1-Normal14"/>
              <w:spacing w:after="0"/>
              <w:jc w:val="center"/>
              <w:rPr>
                <w:rFonts w:eastAsia="Times New Roman" w:cs="Times New Roman"/>
                <w:noProof/>
              </w:rPr>
            </w:pPr>
            <w:r>
              <w:rPr>
                <w:noProof/>
              </w:rPr>
              <w:t>205</w:t>
            </w:r>
          </w:p>
        </w:tc>
        <w:tc>
          <w:tcPr>
            <w:tcW w:w="2014" w:type="pct"/>
            <w:shd w:val="clear" w:color="000000" w:fill="C6EFCE"/>
            <w:noWrap/>
            <w:vAlign w:val="center"/>
            <w:hideMark/>
          </w:tcPr>
          <w:p w14:paraId="604EDC09" w14:textId="77777777" w:rsidR="00F208CE" w:rsidRDefault="00513E84">
            <w:pPr>
              <w:pStyle w:val="P68B1DB1-Normal14"/>
              <w:spacing w:after="0"/>
              <w:rPr>
                <w:rFonts w:eastAsia="Times New Roman" w:cs="Times New Roman"/>
                <w:noProof/>
              </w:rPr>
            </w:pPr>
            <w:r>
              <w:rPr>
                <w:noProof/>
              </w:rPr>
              <w:t>Revisiones del gasto (R-6)</w:t>
            </w:r>
          </w:p>
        </w:tc>
        <w:tc>
          <w:tcPr>
            <w:tcW w:w="417" w:type="pct"/>
            <w:shd w:val="clear" w:color="000000" w:fill="C6EFCE"/>
            <w:noWrap/>
            <w:vAlign w:val="center"/>
            <w:hideMark/>
          </w:tcPr>
          <w:p w14:paraId="4C5C2780"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0664385D" w14:textId="77777777" w:rsidR="00F208CE" w:rsidRDefault="00513E84">
            <w:pPr>
              <w:pStyle w:val="P68B1DB1-Normal14"/>
              <w:spacing w:after="0"/>
              <w:rPr>
                <w:rFonts w:eastAsia="Times New Roman" w:cs="Times New Roman"/>
                <w:noProof/>
              </w:rPr>
            </w:pPr>
            <w:r>
              <w:rPr>
                <w:noProof/>
              </w:rPr>
              <w:t>Proyecto piloto de revisión del gasto o integración en el proceso presupuestario (1)</w:t>
            </w:r>
          </w:p>
        </w:tc>
      </w:tr>
      <w:tr w:rsidR="00F208CE" w14:paraId="6BF9C5D4" w14:textId="77777777">
        <w:trPr>
          <w:trHeight w:val="315"/>
        </w:trPr>
        <w:tc>
          <w:tcPr>
            <w:tcW w:w="400" w:type="pct"/>
            <w:shd w:val="clear" w:color="000000" w:fill="C6EFCE"/>
            <w:noWrap/>
            <w:vAlign w:val="center"/>
            <w:hideMark/>
          </w:tcPr>
          <w:p w14:paraId="31BECDDC" w14:textId="77777777" w:rsidR="00F208CE" w:rsidRDefault="00513E84">
            <w:pPr>
              <w:pStyle w:val="P68B1DB1-Normal14"/>
              <w:spacing w:after="0"/>
              <w:jc w:val="center"/>
              <w:rPr>
                <w:rFonts w:eastAsia="Times New Roman" w:cs="Times New Roman"/>
                <w:noProof/>
              </w:rPr>
            </w:pPr>
            <w:r>
              <w:rPr>
                <w:noProof/>
              </w:rPr>
              <w:t>209</w:t>
            </w:r>
          </w:p>
        </w:tc>
        <w:tc>
          <w:tcPr>
            <w:tcW w:w="2014" w:type="pct"/>
            <w:shd w:val="clear" w:color="000000" w:fill="C6EFCE"/>
            <w:noWrap/>
            <w:vAlign w:val="center"/>
            <w:hideMark/>
          </w:tcPr>
          <w:p w14:paraId="7FEC31E2" w14:textId="77777777" w:rsidR="00F208CE" w:rsidRDefault="00513E84">
            <w:pPr>
              <w:pStyle w:val="P68B1DB1-Normal14"/>
              <w:spacing w:after="0"/>
              <w:rPr>
                <w:rFonts w:eastAsia="Times New Roman" w:cs="Times New Roman"/>
                <w:noProof/>
              </w:rPr>
            </w:pPr>
            <w:r>
              <w:rPr>
                <w:noProof/>
              </w:rPr>
              <w:t>Seguimiento y aplicación del plan</w:t>
            </w:r>
          </w:p>
        </w:tc>
        <w:tc>
          <w:tcPr>
            <w:tcW w:w="417" w:type="pct"/>
            <w:shd w:val="clear" w:color="000000" w:fill="C6EFCE"/>
            <w:noWrap/>
            <w:vAlign w:val="center"/>
            <w:hideMark/>
          </w:tcPr>
          <w:p w14:paraId="23429773"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4CB8E36E" w14:textId="77777777" w:rsidR="00F208CE" w:rsidRDefault="00513E84">
            <w:pPr>
              <w:pStyle w:val="P68B1DB1-Normal14"/>
              <w:spacing w:after="0"/>
              <w:rPr>
                <w:rFonts w:eastAsia="Times New Roman" w:cs="Times New Roman"/>
                <w:noProof/>
              </w:rPr>
            </w:pPr>
            <w:r>
              <w:rPr>
                <w:noProof/>
              </w:rPr>
              <w:t xml:space="preserve">Sistema </w:t>
            </w:r>
            <w:r>
              <w:rPr>
                <w:noProof/>
              </w:rPr>
              <w:t>de repositorio para auditorías y controles: información para el seguimiento de la aplicación del DRR</w:t>
            </w:r>
          </w:p>
        </w:tc>
      </w:tr>
      <w:tr w:rsidR="00F208CE" w14:paraId="3C811CB2" w14:textId="77777777">
        <w:trPr>
          <w:trHeight w:val="315"/>
        </w:trPr>
        <w:tc>
          <w:tcPr>
            <w:tcW w:w="400" w:type="pct"/>
            <w:shd w:val="clear" w:color="000000" w:fill="C6EFCE"/>
            <w:noWrap/>
            <w:vAlign w:val="center"/>
            <w:hideMark/>
          </w:tcPr>
          <w:p w14:paraId="6827522B" w14:textId="77777777" w:rsidR="00F208CE" w:rsidRDefault="00513E84">
            <w:pPr>
              <w:pStyle w:val="P68B1DB1-Normal14"/>
              <w:spacing w:after="0"/>
              <w:jc w:val="center"/>
              <w:rPr>
                <w:rFonts w:eastAsia="Times New Roman" w:cs="Times New Roman"/>
                <w:noProof/>
              </w:rPr>
            </w:pPr>
            <w:r>
              <w:rPr>
                <w:noProof/>
              </w:rPr>
              <w:t>210</w:t>
            </w:r>
          </w:p>
        </w:tc>
        <w:tc>
          <w:tcPr>
            <w:tcW w:w="2014" w:type="pct"/>
            <w:shd w:val="clear" w:color="000000" w:fill="C6EFCE"/>
            <w:noWrap/>
            <w:vAlign w:val="center"/>
            <w:hideMark/>
          </w:tcPr>
          <w:p w14:paraId="47883B13" w14:textId="77777777" w:rsidR="00F208CE" w:rsidRDefault="00513E84">
            <w:pPr>
              <w:pStyle w:val="P68B1DB1-Normal14"/>
              <w:spacing w:after="0"/>
              <w:rPr>
                <w:rFonts w:eastAsia="Times New Roman" w:cs="Times New Roman"/>
                <w:noProof/>
              </w:rPr>
            </w:pPr>
            <w:r>
              <w:rPr>
                <w:noProof/>
              </w:rPr>
              <w:t>Seguimiento y aplicación del plan</w:t>
            </w:r>
          </w:p>
        </w:tc>
        <w:tc>
          <w:tcPr>
            <w:tcW w:w="417" w:type="pct"/>
            <w:shd w:val="clear" w:color="000000" w:fill="C6EFCE"/>
            <w:noWrap/>
            <w:vAlign w:val="center"/>
            <w:hideMark/>
          </w:tcPr>
          <w:p w14:paraId="504F209E" w14:textId="77777777" w:rsidR="00F208CE" w:rsidRDefault="00513E84">
            <w:pPr>
              <w:pStyle w:val="P68B1DB1-Normal14"/>
              <w:spacing w:after="0"/>
              <w:jc w:val="center"/>
              <w:rPr>
                <w:rFonts w:eastAsia="Times New Roman" w:cs="Times New Roman"/>
                <w:noProof/>
              </w:rPr>
            </w:pPr>
            <w:r>
              <w:rPr>
                <w:noProof/>
              </w:rPr>
              <w:t>M</w:t>
            </w:r>
          </w:p>
        </w:tc>
        <w:tc>
          <w:tcPr>
            <w:tcW w:w="2169" w:type="pct"/>
            <w:shd w:val="clear" w:color="000000" w:fill="C6EFCE"/>
            <w:noWrap/>
            <w:vAlign w:val="center"/>
            <w:hideMark/>
          </w:tcPr>
          <w:p w14:paraId="06A329A4" w14:textId="77777777" w:rsidR="00F208CE" w:rsidRDefault="00513E84">
            <w:pPr>
              <w:pStyle w:val="P68B1DB1-Normal14"/>
              <w:spacing w:after="0"/>
              <w:rPr>
                <w:rFonts w:eastAsia="Times New Roman" w:cs="Times New Roman"/>
                <w:noProof/>
              </w:rPr>
            </w:pPr>
            <w:r>
              <w:rPr>
                <w:noProof/>
              </w:rPr>
              <w:t>Protección de los intereses financieros de la UE</w:t>
            </w:r>
          </w:p>
        </w:tc>
      </w:tr>
      <w:tr w:rsidR="00F208CE" w14:paraId="0876717D" w14:textId="77777777">
        <w:trPr>
          <w:trHeight w:val="315"/>
        </w:trPr>
        <w:tc>
          <w:tcPr>
            <w:tcW w:w="400" w:type="pct"/>
            <w:shd w:val="clear" w:color="000000" w:fill="C6EFCE"/>
            <w:noWrap/>
            <w:vAlign w:val="center"/>
          </w:tcPr>
          <w:p w14:paraId="4036A145" w14:textId="77777777" w:rsidR="00F208CE" w:rsidRDefault="00F208CE">
            <w:pPr>
              <w:spacing w:after="0"/>
              <w:jc w:val="center"/>
              <w:rPr>
                <w:rFonts w:ascii="Times New Roman" w:eastAsia="Times New Roman" w:hAnsi="Times New Roman" w:cs="Times New Roman"/>
                <w:noProof/>
                <w:color w:val="006100"/>
                <w:sz w:val="20"/>
              </w:rPr>
            </w:pPr>
          </w:p>
        </w:tc>
        <w:tc>
          <w:tcPr>
            <w:tcW w:w="2431" w:type="pct"/>
            <w:gridSpan w:val="2"/>
            <w:shd w:val="clear" w:color="000000" w:fill="C6EFCE"/>
            <w:noWrap/>
            <w:vAlign w:val="center"/>
          </w:tcPr>
          <w:p w14:paraId="0AD5AE49" w14:textId="77777777" w:rsidR="00F208CE" w:rsidRDefault="00513E84">
            <w:pPr>
              <w:pStyle w:val="P68B1DB1-Normal14"/>
              <w:spacing w:after="0"/>
              <w:jc w:val="right"/>
              <w:rPr>
                <w:rFonts w:eastAsia="Times New Roman" w:cs="Times New Roman"/>
                <w:noProof/>
              </w:rPr>
            </w:pPr>
            <w:r>
              <w:rPr>
                <w:noProof/>
              </w:rPr>
              <w:t>Importe del tramo</w:t>
            </w:r>
          </w:p>
        </w:tc>
        <w:tc>
          <w:tcPr>
            <w:tcW w:w="2169" w:type="pct"/>
            <w:shd w:val="clear" w:color="000000" w:fill="C6EFCE"/>
            <w:noWrap/>
            <w:vAlign w:val="center"/>
          </w:tcPr>
          <w:p w14:paraId="428BCE4E" w14:textId="2F3A6A3D" w:rsidR="00F208CE" w:rsidRDefault="00513E84">
            <w:pPr>
              <w:pStyle w:val="P68B1DB1-Normal8"/>
              <w:spacing w:after="0"/>
              <w:rPr>
                <w:rFonts w:eastAsia="Times New Roman" w:cs="Times New Roman"/>
                <w:noProof/>
                <w:sz w:val="20"/>
              </w:rPr>
            </w:pPr>
            <w:r>
              <w:rPr>
                <w:noProof/>
              </w:rPr>
              <w:t>942 962 800 EUR</w:t>
            </w:r>
          </w:p>
        </w:tc>
      </w:tr>
    </w:tbl>
    <w:p w14:paraId="42EC7225" w14:textId="77777777" w:rsidR="00F208CE" w:rsidRDefault="00F208CE">
      <w:pPr>
        <w:rPr>
          <w:rFonts w:ascii="Times New Roman" w:hAnsi="Times New Roman" w:cs="Times New Roman"/>
          <w:noProof/>
        </w:rPr>
      </w:pPr>
    </w:p>
    <w:p w14:paraId="03E3D5F4" w14:textId="4C8B7758" w:rsidR="00F208CE" w:rsidRDefault="00513E84">
      <w:pPr>
        <w:pStyle w:val="ManualNumPar1"/>
        <w:rPr>
          <w:noProof/>
        </w:rPr>
      </w:pPr>
      <w:bookmarkStart w:id="9" w:name="_Hlk148369159"/>
      <w:r>
        <w:rPr>
          <w:noProof/>
        </w:rPr>
        <w:t xml:space="preserve">Segundo tramo (ayudas no </w:t>
      </w:r>
      <w:r>
        <w:rPr>
          <w:noProof/>
        </w:rPr>
        <w:t>reembolsables):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ayout w:type="fixed"/>
        <w:tblLook w:val="04A0" w:firstRow="1" w:lastRow="0" w:firstColumn="1" w:lastColumn="0" w:noHBand="0" w:noVBand="1"/>
      </w:tblPr>
      <w:tblGrid>
        <w:gridCol w:w="704"/>
        <w:gridCol w:w="4223"/>
        <w:gridCol w:w="737"/>
        <w:gridCol w:w="4542"/>
      </w:tblGrid>
      <w:tr w:rsidR="00F208CE" w14:paraId="19FBDD35" w14:textId="77777777">
        <w:trPr>
          <w:trHeight w:val="300"/>
          <w:tblHeader/>
        </w:trPr>
        <w:tc>
          <w:tcPr>
            <w:tcW w:w="345" w:type="pct"/>
            <w:shd w:val="clear" w:color="auto" w:fill="BDD7EE"/>
            <w:noWrap/>
            <w:vAlign w:val="bottom"/>
            <w:hideMark/>
          </w:tcPr>
          <w:bookmarkEnd w:id="9"/>
          <w:p w14:paraId="5693A351" w14:textId="77777777" w:rsidR="00F208CE" w:rsidRDefault="00513E84">
            <w:pPr>
              <w:pStyle w:val="P68B1DB1-Normal39"/>
              <w:spacing w:before="120" w:after="120"/>
              <w:jc w:val="center"/>
              <w:rPr>
                <w:rFonts w:eastAsia="Times New Roman" w:cs="Times New Roman"/>
                <w:noProof/>
              </w:rPr>
            </w:pPr>
            <w:r>
              <w:rPr>
                <w:noProof/>
              </w:rPr>
              <w:t>Siguientes nb</w:t>
            </w:r>
          </w:p>
        </w:tc>
        <w:tc>
          <w:tcPr>
            <w:tcW w:w="2069" w:type="pct"/>
            <w:shd w:val="clear" w:color="auto" w:fill="BDD7EE"/>
            <w:noWrap/>
            <w:vAlign w:val="bottom"/>
            <w:hideMark/>
          </w:tcPr>
          <w:p w14:paraId="78ED44AC" w14:textId="77777777" w:rsidR="00F208CE" w:rsidRDefault="00513E84">
            <w:pPr>
              <w:pStyle w:val="P68B1DB1-Normal39"/>
              <w:spacing w:before="120" w:after="120"/>
              <w:jc w:val="center"/>
              <w:rPr>
                <w:rFonts w:eastAsia="Times New Roman" w:cs="Times New Roman"/>
                <w:noProof/>
              </w:rPr>
            </w:pPr>
            <w:r>
              <w:rPr>
                <w:noProof/>
              </w:rPr>
              <w:t>Nombre de la medida</w:t>
            </w:r>
          </w:p>
        </w:tc>
        <w:tc>
          <w:tcPr>
            <w:tcW w:w="361" w:type="pct"/>
            <w:shd w:val="clear" w:color="auto" w:fill="BDD7EE"/>
            <w:noWrap/>
            <w:vAlign w:val="bottom"/>
            <w:hideMark/>
          </w:tcPr>
          <w:p w14:paraId="41706A0E" w14:textId="77777777" w:rsidR="00F208CE" w:rsidRDefault="00513E84">
            <w:pPr>
              <w:pStyle w:val="P68B1DB1-Normal39"/>
              <w:spacing w:before="120" w:after="120"/>
              <w:jc w:val="center"/>
              <w:rPr>
                <w:rFonts w:eastAsia="Times New Roman" w:cs="Times New Roman"/>
                <w:noProof/>
              </w:rPr>
            </w:pPr>
            <w:r>
              <w:rPr>
                <w:noProof/>
              </w:rPr>
              <w:t>M/T</w:t>
            </w:r>
          </w:p>
        </w:tc>
        <w:tc>
          <w:tcPr>
            <w:tcW w:w="2225" w:type="pct"/>
            <w:shd w:val="clear" w:color="auto" w:fill="BDD7EE"/>
            <w:noWrap/>
            <w:vAlign w:val="bottom"/>
            <w:hideMark/>
          </w:tcPr>
          <w:p w14:paraId="10A16066" w14:textId="77777777" w:rsidR="00F208CE" w:rsidRDefault="00513E84">
            <w:pPr>
              <w:pStyle w:val="P68B1DB1-Normal39"/>
              <w:spacing w:before="120" w:after="120"/>
              <w:jc w:val="center"/>
              <w:rPr>
                <w:rFonts w:eastAsia="Times New Roman" w:cs="Times New Roman"/>
                <w:noProof/>
              </w:rPr>
            </w:pPr>
            <w:r>
              <w:rPr>
                <w:noProof/>
              </w:rPr>
              <w:t>Nombre</w:t>
            </w:r>
          </w:p>
        </w:tc>
      </w:tr>
      <w:tr w:rsidR="00F208CE" w14:paraId="36102CDA" w14:textId="77777777">
        <w:trPr>
          <w:trHeight w:val="315"/>
        </w:trPr>
        <w:tc>
          <w:tcPr>
            <w:tcW w:w="345" w:type="pct"/>
            <w:shd w:val="clear" w:color="auto" w:fill="C6EFCE"/>
            <w:noWrap/>
            <w:vAlign w:val="center"/>
            <w:hideMark/>
          </w:tcPr>
          <w:p w14:paraId="6E61FDE9" w14:textId="77777777" w:rsidR="00F208CE" w:rsidRDefault="00513E84">
            <w:pPr>
              <w:pStyle w:val="P68B1DB1-Normal14"/>
              <w:spacing w:after="0"/>
              <w:jc w:val="center"/>
              <w:rPr>
                <w:rFonts w:eastAsia="Times New Roman" w:cs="Times New Roman"/>
                <w:noProof/>
              </w:rPr>
            </w:pPr>
            <w:r>
              <w:rPr>
                <w:noProof/>
              </w:rPr>
              <w:t>1</w:t>
            </w:r>
          </w:p>
        </w:tc>
        <w:tc>
          <w:tcPr>
            <w:tcW w:w="2069" w:type="pct"/>
            <w:shd w:val="clear" w:color="auto" w:fill="C6EFCE"/>
            <w:noWrap/>
            <w:vAlign w:val="center"/>
            <w:hideMark/>
          </w:tcPr>
          <w:p w14:paraId="4056D4AC" w14:textId="77777777" w:rsidR="00F208CE" w:rsidRDefault="00513E84">
            <w:pPr>
              <w:pStyle w:val="P68B1DB1-Normal14"/>
              <w:spacing w:after="0"/>
              <w:rPr>
                <w:rFonts w:eastAsia="Times New Roman" w:cs="Times New Roman"/>
                <w:noProof/>
              </w:rPr>
            </w:pPr>
            <w:r>
              <w:rPr>
                <w:noProof/>
              </w:rPr>
              <w:t>Mejora del régimen de subvenciones a la energía en la región flamenca (R-1.01)</w:t>
            </w:r>
          </w:p>
        </w:tc>
        <w:tc>
          <w:tcPr>
            <w:tcW w:w="361" w:type="pct"/>
            <w:shd w:val="clear" w:color="auto" w:fill="C6EFCE"/>
            <w:noWrap/>
            <w:vAlign w:val="center"/>
            <w:hideMark/>
          </w:tcPr>
          <w:p w14:paraId="5E299C3B"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D5B63CA" w14:textId="77777777" w:rsidR="00F208CE" w:rsidRDefault="00513E84">
            <w:pPr>
              <w:pStyle w:val="P68B1DB1-Normal14"/>
              <w:spacing w:after="0"/>
              <w:rPr>
                <w:rFonts w:eastAsia="Times New Roman" w:cs="Times New Roman"/>
                <w:noProof/>
              </w:rPr>
            </w:pPr>
            <w:r>
              <w:rPr>
                <w:noProof/>
              </w:rPr>
              <w:t>Mejora de los regímenes de subvenciones a la energía en Flandes</w:t>
            </w:r>
          </w:p>
        </w:tc>
      </w:tr>
      <w:tr w:rsidR="00F208CE" w14:paraId="3D9708C2" w14:textId="77777777">
        <w:trPr>
          <w:trHeight w:val="315"/>
        </w:trPr>
        <w:tc>
          <w:tcPr>
            <w:tcW w:w="345" w:type="pct"/>
            <w:shd w:val="clear" w:color="auto" w:fill="C6EFCE"/>
            <w:noWrap/>
            <w:vAlign w:val="center"/>
            <w:hideMark/>
          </w:tcPr>
          <w:p w14:paraId="25957366" w14:textId="77777777" w:rsidR="00F208CE" w:rsidRDefault="00513E84">
            <w:pPr>
              <w:pStyle w:val="P68B1DB1-Normal14"/>
              <w:spacing w:after="0"/>
              <w:jc w:val="center"/>
              <w:rPr>
                <w:rFonts w:eastAsia="Times New Roman" w:cs="Times New Roman"/>
                <w:noProof/>
              </w:rPr>
            </w:pPr>
            <w:r>
              <w:rPr>
                <w:noProof/>
              </w:rPr>
              <w:t>2</w:t>
            </w:r>
          </w:p>
        </w:tc>
        <w:tc>
          <w:tcPr>
            <w:tcW w:w="2069" w:type="pct"/>
            <w:shd w:val="clear" w:color="auto" w:fill="C6EFCE"/>
            <w:noWrap/>
            <w:vAlign w:val="center"/>
            <w:hideMark/>
          </w:tcPr>
          <w:p w14:paraId="7178DF7A" w14:textId="77777777" w:rsidR="00F208CE" w:rsidRDefault="00513E84">
            <w:pPr>
              <w:pStyle w:val="P68B1DB1-Normal14"/>
              <w:spacing w:after="0"/>
              <w:rPr>
                <w:rFonts w:eastAsia="Times New Roman" w:cs="Times New Roman"/>
                <w:noProof/>
              </w:rPr>
            </w:pPr>
            <w:r>
              <w:rPr>
                <w:noProof/>
              </w:rPr>
              <w:t xml:space="preserve">Mejora del régimen de subvenciones a la </w:t>
            </w:r>
            <w:r>
              <w:rPr>
                <w:noProof/>
              </w:rPr>
              <w:t>energía de la región de Bruselas-Capital (R-1.02)</w:t>
            </w:r>
          </w:p>
        </w:tc>
        <w:tc>
          <w:tcPr>
            <w:tcW w:w="361" w:type="pct"/>
            <w:shd w:val="clear" w:color="auto" w:fill="C6EFCE"/>
            <w:noWrap/>
            <w:vAlign w:val="center"/>
            <w:hideMark/>
          </w:tcPr>
          <w:p w14:paraId="452239D7"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D11C3F2" w14:textId="77777777" w:rsidR="00F208CE" w:rsidRDefault="00513E84">
            <w:pPr>
              <w:pStyle w:val="P68B1DB1-Normal14"/>
              <w:spacing w:after="0"/>
              <w:rPr>
                <w:rFonts w:eastAsia="Times New Roman" w:cs="Times New Roman"/>
                <w:noProof/>
              </w:rPr>
            </w:pPr>
            <w:r>
              <w:rPr>
                <w:noProof/>
              </w:rPr>
              <w:t>Entrada en vigor del nuevo Reglamento sobre los regímenes de subvenciones a la energía en Bruselas</w:t>
            </w:r>
          </w:p>
        </w:tc>
      </w:tr>
      <w:tr w:rsidR="00F208CE" w14:paraId="1CB00FB4" w14:textId="77777777">
        <w:trPr>
          <w:trHeight w:val="315"/>
        </w:trPr>
        <w:tc>
          <w:tcPr>
            <w:tcW w:w="345" w:type="pct"/>
            <w:shd w:val="clear" w:color="auto" w:fill="C6EFCE"/>
            <w:noWrap/>
            <w:vAlign w:val="center"/>
            <w:hideMark/>
          </w:tcPr>
          <w:p w14:paraId="6637DF41" w14:textId="77777777" w:rsidR="00F208CE" w:rsidRDefault="00513E84">
            <w:pPr>
              <w:pStyle w:val="P68B1DB1-Normal14"/>
              <w:spacing w:after="0"/>
              <w:jc w:val="center"/>
              <w:rPr>
                <w:rFonts w:eastAsia="Times New Roman" w:cs="Times New Roman"/>
                <w:noProof/>
              </w:rPr>
            </w:pPr>
            <w:r>
              <w:rPr>
                <w:noProof/>
              </w:rPr>
              <w:t>3</w:t>
            </w:r>
          </w:p>
        </w:tc>
        <w:tc>
          <w:tcPr>
            <w:tcW w:w="2069" w:type="pct"/>
            <w:shd w:val="clear" w:color="auto" w:fill="C6EFCE"/>
            <w:noWrap/>
            <w:vAlign w:val="center"/>
            <w:hideMark/>
          </w:tcPr>
          <w:p w14:paraId="087CA638" w14:textId="7F345D1B" w:rsidR="00F208CE" w:rsidRDefault="00513E84">
            <w:pPr>
              <w:pStyle w:val="P68B1DB1-Normal14"/>
              <w:spacing w:after="0"/>
              <w:rPr>
                <w:rFonts w:eastAsia="Times New Roman" w:cs="Times New Roman"/>
                <w:noProof/>
              </w:rPr>
            </w:pPr>
            <w:r>
              <w:rPr>
                <w:noProof/>
              </w:rPr>
              <w:t>Mejora del régimen de subvenciones a la energía de la Comunidad Germanófona (R-1.03)</w:t>
            </w:r>
          </w:p>
        </w:tc>
        <w:tc>
          <w:tcPr>
            <w:tcW w:w="361" w:type="pct"/>
            <w:shd w:val="clear" w:color="auto" w:fill="C6EFCE"/>
            <w:noWrap/>
            <w:vAlign w:val="center"/>
            <w:hideMark/>
          </w:tcPr>
          <w:p w14:paraId="31017182"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1F6C66CA" w14:textId="77777777" w:rsidR="00F208CE" w:rsidRDefault="00513E84">
            <w:pPr>
              <w:pStyle w:val="P68B1DB1-Normal14"/>
              <w:spacing w:after="0"/>
              <w:rPr>
                <w:rFonts w:eastAsia="Times New Roman" w:cs="Times New Roman"/>
                <w:noProof/>
              </w:rPr>
            </w:pPr>
            <w:r>
              <w:rPr>
                <w:noProof/>
              </w:rPr>
              <w:t xml:space="preserve">Entrada en </w:t>
            </w:r>
            <w:r>
              <w:rPr>
                <w:noProof/>
              </w:rPr>
              <w:t>vigor del nuevo Reglamento relativo a los regímenes de subvenciones a la energía en la Comunidad germanófona</w:t>
            </w:r>
          </w:p>
        </w:tc>
      </w:tr>
      <w:tr w:rsidR="00F208CE" w14:paraId="1606B5A4" w14:textId="77777777">
        <w:trPr>
          <w:trHeight w:val="315"/>
        </w:trPr>
        <w:tc>
          <w:tcPr>
            <w:tcW w:w="345" w:type="pct"/>
            <w:shd w:val="clear" w:color="auto" w:fill="C6EFCE"/>
            <w:noWrap/>
            <w:vAlign w:val="center"/>
            <w:hideMark/>
          </w:tcPr>
          <w:p w14:paraId="29572856" w14:textId="77777777" w:rsidR="00F208CE" w:rsidRDefault="00513E84">
            <w:pPr>
              <w:pStyle w:val="P68B1DB1-Normal14"/>
              <w:spacing w:after="0"/>
              <w:jc w:val="center"/>
              <w:rPr>
                <w:rFonts w:eastAsia="Times New Roman" w:cs="Times New Roman"/>
                <w:noProof/>
              </w:rPr>
            </w:pPr>
            <w:r>
              <w:rPr>
                <w:noProof/>
              </w:rPr>
              <w:t>11</w:t>
            </w:r>
          </w:p>
        </w:tc>
        <w:tc>
          <w:tcPr>
            <w:tcW w:w="2069" w:type="pct"/>
            <w:shd w:val="clear" w:color="auto" w:fill="C6EFCE"/>
            <w:noWrap/>
            <w:vAlign w:val="center"/>
            <w:hideMark/>
          </w:tcPr>
          <w:p w14:paraId="0FB32AB6" w14:textId="77777777" w:rsidR="00F208CE" w:rsidRDefault="00513E84">
            <w:pPr>
              <w:pStyle w:val="P68B1DB1-Normal14"/>
              <w:spacing w:after="0"/>
              <w:rPr>
                <w:rFonts w:eastAsia="Times New Roman" w:cs="Times New Roman"/>
                <w:noProof/>
              </w:rPr>
            </w:pPr>
            <w:r>
              <w:rPr>
                <w:noProof/>
              </w:rPr>
              <w:t>Renovaciones de edificios públicos (I-1.08)</w:t>
            </w:r>
          </w:p>
        </w:tc>
        <w:tc>
          <w:tcPr>
            <w:tcW w:w="361" w:type="pct"/>
            <w:shd w:val="clear" w:color="auto" w:fill="C6EFCE"/>
            <w:noWrap/>
            <w:vAlign w:val="center"/>
            <w:hideMark/>
          </w:tcPr>
          <w:p w14:paraId="677A35D2"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66FB1D9" w14:textId="40BADD28" w:rsidR="00F208CE" w:rsidRDefault="00513E84">
            <w:pPr>
              <w:pStyle w:val="P68B1DB1-Normal14"/>
              <w:spacing w:after="0"/>
              <w:rPr>
                <w:rFonts w:eastAsia="Times New Roman" w:cs="Times New Roman"/>
                <w:noProof/>
              </w:rPr>
            </w:pPr>
            <w:r>
              <w:rPr>
                <w:noProof/>
              </w:rPr>
              <w:t>Adaptación de la ordenanza eléctrica para introducir una ventanilla única para la renovación</w:t>
            </w:r>
          </w:p>
        </w:tc>
      </w:tr>
      <w:tr w:rsidR="00F208CE" w14:paraId="1FA3F5CC" w14:textId="77777777">
        <w:trPr>
          <w:trHeight w:val="315"/>
        </w:trPr>
        <w:tc>
          <w:tcPr>
            <w:tcW w:w="345" w:type="pct"/>
            <w:shd w:val="clear" w:color="auto" w:fill="C6EFCE"/>
            <w:noWrap/>
            <w:vAlign w:val="center"/>
            <w:hideMark/>
          </w:tcPr>
          <w:p w14:paraId="1A7305F5" w14:textId="77777777" w:rsidR="00F208CE" w:rsidRDefault="00513E84">
            <w:pPr>
              <w:pStyle w:val="P68B1DB1-Normal14"/>
              <w:spacing w:after="0"/>
              <w:jc w:val="center"/>
              <w:rPr>
                <w:rFonts w:eastAsia="Times New Roman" w:cs="Times New Roman"/>
                <w:noProof/>
              </w:rPr>
            </w:pPr>
            <w:r>
              <w:rPr>
                <w:noProof/>
              </w:rPr>
              <w:t>18</w:t>
            </w:r>
          </w:p>
        </w:tc>
        <w:tc>
          <w:tcPr>
            <w:tcW w:w="2069" w:type="pct"/>
            <w:shd w:val="clear" w:color="auto" w:fill="C6EFCE"/>
            <w:noWrap/>
            <w:vAlign w:val="center"/>
            <w:hideMark/>
          </w:tcPr>
          <w:p w14:paraId="49B85661" w14:textId="77777777" w:rsidR="00F208CE" w:rsidRDefault="00513E84">
            <w:pPr>
              <w:pStyle w:val="P68B1DB1-Normal14"/>
              <w:spacing w:after="0"/>
              <w:rPr>
                <w:rFonts w:eastAsia="Times New Roman" w:cs="Times New Roman"/>
                <w:noProof/>
              </w:rPr>
            </w:pPr>
            <w:r>
              <w:rPr>
                <w:noProof/>
              </w:rPr>
              <w:t>Una cadena de valor industrial para la transición del hidrógeno (I-1.15)</w:t>
            </w:r>
          </w:p>
        </w:tc>
        <w:tc>
          <w:tcPr>
            <w:tcW w:w="361" w:type="pct"/>
            <w:shd w:val="clear" w:color="auto" w:fill="C6EFCE"/>
            <w:noWrap/>
            <w:vAlign w:val="center"/>
            <w:hideMark/>
          </w:tcPr>
          <w:p w14:paraId="3FD6A0EE"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7E88E33" w14:textId="68DD37BC" w:rsidR="00F208CE" w:rsidRDefault="00513E84">
            <w:pPr>
              <w:pStyle w:val="P68B1DB1-Normal14"/>
              <w:spacing w:after="0"/>
              <w:rPr>
                <w:rFonts w:eastAsia="Times New Roman" w:cs="Times New Roman"/>
                <w:noProof/>
              </w:rPr>
            </w:pPr>
            <w:r>
              <w:rPr>
                <w:noProof/>
              </w:rPr>
              <w:t>Adjudicación de contratos en el marco de la convocatoria de proyectos</w:t>
            </w:r>
          </w:p>
        </w:tc>
      </w:tr>
      <w:tr w:rsidR="00F208CE" w14:paraId="6867A017" w14:textId="77777777">
        <w:trPr>
          <w:trHeight w:val="315"/>
        </w:trPr>
        <w:tc>
          <w:tcPr>
            <w:tcW w:w="345" w:type="pct"/>
            <w:shd w:val="clear" w:color="auto" w:fill="C6EFCE"/>
            <w:noWrap/>
            <w:vAlign w:val="center"/>
            <w:hideMark/>
          </w:tcPr>
          <w:p w14:paraId="70196095" w14:textId="77777777" w:rsidR="00F208CE" w:rsidRDefault="00513E84">
            <w:pPr>
              <w:pStyle w:val="P68B1DB1-Normal14"/>
              <w:spacing w:after="0"/>
              <w:jc w:val="center"/>
              <w:rPr>
                <w:rFonts w:eastAsia="Times New Roman" w:cs="Times New Roman"/>
                <w:noProof/>
              </w:rPr>
            </w:pPr>
            <w:r>
              <w:rPr>
                <w:noProof/>
              </w:rPr>
              <w:t>21</w:t>
            </w:r>
          </w:p>
        </w:tc>
        <w:tc>
          <w:tcPr>
            <w:tcW w:w="2069" w:type="pct"/>
            <w:shd w:val="clear" w:color="auto" w:fill="C6EFCE"/>
            <w:noWrap/>
            <w:vAlign w:val="center"/>
            <w:hideMark/>
          </w:tcPr>
          <w:p w14:paraId="189B2D4A" w14:textId="77777777" w:rsidR="00F208CE" w:rsidRDefault="00513E84">
            <w:pPr>
              <w:pStyle w:val="P68B1DB1-Normal14"/>
              <w:spacing w:after="0"/>
              <w:rPr>
                <w:rFonts w:eastAsia="Times New Roman" w:cs="Times New Roman"/>
                <w:noProof/>
              </w:rPr>
            </w:pPr>
            <w:r>
              <w:rPr>
                <w:noProof/>
              </w:rPr>
              <w:t>Una cadena de valor industrial para la transición del hidrógeno (I-1.16)</w:t>
            </w:r>
          </w:p>
        </w:tc>
        <w:tc>
          <w:tcPr>
            <w:tcW w:w="361" w:type="pct"/>
            <w:shd w:val="clear" w:color="auto" w:fill="C6EFCE"/>
            <w:noWrap/>
            <w:vAlign w:val="center"/>
            <w:hideMark/>
          </w:tcPr>
          <w:p w14:paraId="14253EC9"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3E662C2" w14:textId="77777777" w:rsidR="00F208CE" w:rsidRDefault="00513E84">
            <w:pPr>
              <w:pStyle w:val="P68B1DB1-Normal14"/>
              <w:spacing w:after="0"/>
              <w:rPr>
                <w:rFonts w:eastAsia="Times New Roman" w:cs="Times New Roman"/>
                <w:noProof/>
              </w:rPr>
            </w:pPr>
            <w:r>
              <w:rPr>
                <w:noProof/>
              </w:rPr>
              <w:t xml:space="preserve">Adjudicación de contratos a </w:t>
            </w:r>
            <w:r>
              <w:rPr>
                <w:noProof/>
              </w:rPr>
              <w:t>proyectos de PIICE sobre hidrógeno</w:t>
            </w:r>
          </w:p>
        </w:tc>
      </w:tr>
      <w:tr w:rsidR="00F208CE" w14:paraId="37EF892E" w14:textId="77777777">
        <w:trPr>
          <w:trHeight w:val="315"/>
        </w:trPr>
        <w:tc>
          <w:tcPr>
            <w:tcW w:w="345" w:type="pct"/>
            <w:shd w:val="clear" w:color="auto" w:fill="C6EFCE"/>
            <w:noWrap/>
            <w:vAlign w:val="center"/>
            <w:hideMark/>
          </w:tcPr>
          <w:p w14:paraId="6A7576AF" w14:textId="77777777" w:rsidR="00F208CE" w:rsidRDefault="00513E84">
            <w:pPr>
              <w:pStyle w:val="P68B1DB1-Normal14"/>
              <w:spacing w:after="0"/>
              <w:jc w:val="center"/>
              <w:rPr>
                <w:rFonts w:eastAsia="Times New Roman" w:cs="Times New Roman"/>
                <w:noProof/>
              </w:rPr>
            </w:pPr>
            <w:r>
              <w:rPr>
                <w:noProof/>
              </w:rPr>
              <w:t>22</w:t>
            </w:r>
          </w:p>
        </w:tc>
        <w:tc>
          <w:tcPr>
            <w:tcW w:w="2069" w:type="pct"/>
            <w:shd w:val="clear" w:color="auto" w:fill="C6EFCE"/>
            <w:noWrap/>
            <w:vAlign w:val="center"/>
            <w:hideMark/>
          </w:tcPr>
          <w:p w14:paraId="3756F9BB" w14:textId="77777777" w:rsidR="00F208CE" w:rsidRDefault="00513E84">
            <w:pPr>
              <w:pStyle w:val="P68B1DB1-Normal14"/>
              <w:spacing w:after="0"/>
              <w:rPr>
                <w:rFonts w:eastAsia="Times New Roman" w:cs="Times New Roman"/>
                <w:noProof/>
              </w:rPr>
            </w:pPr>
            <w:r>
              <w:rPr>
                <w:noProof/>
              </w:rPr>
              <w:t>Una cadena de valor industrial para la transición del hidrógeno (I-1.16)</w:t>
            </w:r>
          </w:p>
        </w:tc>
        <w:tc>
          <w:tcPr>
            <w:tcW w:w="361" w:type="pct"/>
            <w:shd w:val="clear" w:color="auto" w:fill="C6EFCE"/>
            <w:noWrap/>
            <w:vAlign w:val="center"/>
            <w:hideMark/>
          </w:tcPr>
          <w:p w14:paraId="1EB752D4"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9F144F6" w14:textId="77777777" w:rsidR="00F208CE" w:rsidRDefault="00513E84">
            <w:pPr>
              <w:pStyle w:val="P68B1DB1-Normal14"/>
              <w:spacing w:after="0"/>
              <w:rPr>
                <w:rFonts w:eastAsia="Times New Roman" w:cs="Times New Roman"/>
                <w:noProof/>
              </w:rPr>
            </w:pPr>
            <w:r>
              <w:rPr>
                <w:noProof/>
              </w:rPr>
              <w:t>Adjudicación de contratos para proyectos de hidrógeno no incluidos en los PIICE</w:t>
            </w:r>
          </w:p>
        </w:tc>
      </w:tr>
      <w:tr w:rsidR="00F208CE" w14:paraId="4EB956CC" w14:textId="77777777">
        <w:trPr>
          <w:trHeight w:val="315"/>
        </w:trPr>
        <w:tc>
          <w:tcPr>
            <w:tcW w:w="345" w:type="pct"/>
            <w:shd w:val="clear" w:color="auto" w:fill="C6EFCE"/>
            <w:noWrap/>
            <w:vAlign w:val="center"/>
            <w:hideMark/>
          </w:tcPr>
          <w:p w14:paraId="7B6E6E44" w14:textId="77777777" w:rsidR="00F208CE" w:rsidRDefault="00513E84">
            <w:pPr>
              <w:pStyle w:val="P68B1DB1-Normal14"/>
              <w:spacing w:after="0"/>
              <w:jc w:val="center"/>
              <w:rPr>
                <w:rFonts w:eastAsia="Times New Roman" w:cs="Times New Roman"/>
                <w:noProof/>
              </w:rPr>
            </w:pPr>
            <w:r>
              <w:rPr>
                <w:noProof/>
              </w:rPr>
              <w:t>24</w:t>
            </w:r>
          </w:p>
        </w:tc>
        <w:tc>
          <w:tcPr>
            <w:tcW w:w="2069" w:type="pct"/>
            <w:shd w:val="clear" w:color="auto" w:fill="C6EFCE"/>
            <w:noWrap/>
            <w:vAlign w:val="center"/>
            <w:hideMark/>
          </w:tcPr>
          <w:p w14:paraId="56892E9F" w14:textId="77777777" w:rsidR="00F208CE" w:rsidRDefault="00513E84">
            <w:pPr>
              <w:pStyle w:val="P68B1DB1-Normal14"/>
              <w:spacing w:after="0"/>
              <w:rPr>
                <w:rFonts w:eastAsia="Times New Roman" w:cs="Times New Roman"/>
                <w:noProof/>
              </w:rPr>
            </w:pPr>
            <w:r>
              <w:rPr>
                <w:noProof/>
              </w:rPr>
              <w:t>Una cadena de valor industrial para la transición del hidr</w:t>
            </w:r>
            <w:r>
              <w:rPr>
                <w:noProof/>
              </w:rPr>
              <w:t>ógeno (I-1.17)</w:t>
            </w:r>
          </w:p>
        </w:tc>
        <w:tc>
          <w:tcPr>
            <w:tcW w:w="361" w:type="pct"/>
            <w:shd w:val="clear" w:color="auto" w:fill="C6EFCE"/>
            <w:noWrap/>
            <w:vAlign w:val="center"/>
            <w:hideMark/>
          </w:tcPr>
          <w:p w14:paraId="67CE76C8"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6AFBB82" w14:textId="77777777" w:rsidR="00F208CE" w:rsidRDefault="00513E84">
            <w:pPr>
              <w:pStyle w:val="P68B1DB1-Normal14"/>
              <w:spacing w:after="0"/>
              <w:rPr>
                <w:rFonts w:eastAsia="Times New Roman" w:cs="Times New Roman"/>
                <w:noProof/>
              </w:rPr>
            </w:pPr>
            <w:r>
              <w:rPr>
                <w:noProof/>
              </w:rPr>
              <w:t>Adjudicación de contratos para proyectos de PIICE sobre hidrógeno</w:t>
            </w:r>
          </w:p>
        </w:tc>
      </w:tr>
      <w:tr w:rsidR="00F208CE" w14:paraId="1BE8A2BA" w14:textId="77777777">
        <w:trPr>
          <w:trHeight w:val="315"/>
        </w:trPr>
        <w:tc>
          <w:tcPr>
            <w:tcW w:w="345" w:type="pct"/>
            <w:shd w:val="clear" w:color="auto" w:fill="C6EFCE"/>
            <w:noWrap/>
            <w:vAlign w:val="center"/>
            <w:hideMark/>
          </w:tcPr>
          <w:p w14:paraId="3743B198" w14:textId="77777777" w:rsidR="00F208CE" w:rsidRDefault="00513E84">
            <w:pPr>
              <w:pStyle w:val="P68B1DB1-Normal14"/>
              <w:spacing w:after="0"/>
              <w:jc w:val="center"/>
              <w:rPr>
                <w:rFonts w:eastAsia="Times New Roman" w:cs="Times New Roman"/>
                <w:noProof/>
              </w:rPr>
            </w:pPr>
            <w:r>
              <w:rPr>
                <w:noProof/>
              </w:rPr>
              <w:t>27</w:t>
            </w:r>
          </w:p>
        </w:tc>
        <w:tc>
          <w:tcPr>
            <w:tcW w:w="2069" w:type="pct"/>
            <w:shd w:val="clear" w:color="auto" w:fill="C6EFCE"/>
            <w:noWrap/>
            <w:vAlign w:val="center"/>
            <w:hideMark/>
          </w:tcPr>
          <w:p w14:paraId="3B00D3C2" w14:textId="77777777" w:rsidR="00F208CE" w:rsidRDefault="00513E84">
            <w:pPr>
              <w:pStyle w:val="P68B1DB1-Normal14"/>
              <w:spacing w:after="0"/>
              <w:rPr>
                <w:rFonts w:eastAsia="Times New Roman" w:cs="Times New Roman"/>
                <w:noProof/>
              </w:rPr>
            </w:pPr>
            <w:r>
              <w:rPr>
                <w:noProof/>
              </w:rPr>
              <w:t>Desarrollo de la industria hipocarbónica (I-1.18)</w:t>
            </w:r>
          </w:p>
        </w:tc>
        <w:tc>
          <w:tcPr>
            <w:tcW w:w="361" w:type="pct"/>
            <w:shd w:val="clear" w:color="auto" w:fill="C6EFCE"/>
            <w:noWrap/>
            <w:vAlign w:val="center"/>
            <w:hideMark/>
          </w:tcPr>
          <w:p w14:paraId="29C89484"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0EF65A08" w14:textId="77777777" w:rsidR="00F208CE" w:rsidRDefault="00513E84">
            <w:pPr>
              <w:pStyle w:val="P68B1DB1-Normal14"/>
              <w:spacing w:after="0"/>
              <w:rPr>
                <w:rFonts w:eastAsia="Times New Roman" w:cs="Times New Roman"/>
                <w:noProof/>
              </w:rPr>
            </w:pPr>
            <w:r>
              <w:rPr>
                <w:noProof/>
              </w:rPr>
              <w:t>Adjudicación contratos</w:t>
            </w:r>
          </w:p>
        </w:tc>
      </w:tr>
      <w:tr w:rsidR="00F208CE" w14:paraId="7F5510D1" w14:textId="77777777">
        <w:trPr>
          <w:trHeight w:val="315"/>
        </w:trPr>
        <w:tc>
          <w:tcPr>
            <w:tcW w:w="345" w:type="pct"/>
            <w:shd w:val="clear" w:color="auto" w:fill="C6EFCE"/>
            <w:noWrap/>
            <w:vAlign w:val="center"/>
            <w:hideMark/>
          </w:tcPr>
          <w:p w14:paraId="46B7676D" w14:textId="77777777" w:rsidR="00F208CE" w:rsidRDefault="00513E84">
            <w:pPr>
              <w:pStyle w:val="P68B1DB1-Normal14"/>
              <w:spacing w:after="0"/>
              <w:jc w:val="center"/>
              <w:rPr>
                <w:rFonts w:eastAsia="Times New Roman" w:cs="Times New Roman"/>
                <w:noProof/>
              </w:rPr>
            </w:pPr>
            <w:r>
              <w:rPr>
                <w:noProof/>
              </w:rPr>
              <w:t>45</w:t>
            </w:r>
          </w:p>
        </w:tc>
        <w:tc>
          <w:tcPr>
            <w:tcW w:w="2069" w:type="pct"/>
            <w:shd w:val="clear" w:color="auto" w:fill="C6EFCE"/>
            <w:noWrap/>
            <w:vAlign w:val="center"/>
            <w:hideMark/>
          </w:tcPr>
          <w:p w14:paraId="0507A0BC" w14:textId="77777777" w:rsidR="00F208CE" w:rsidRDefault="00513E84">
            <w:pPr>
              <w:pStyle w:val="P68B1DB1-Normal14"/>
              <w:spacing w:after="0"/>
              <w:rPr>
                <w:rFonts w:eastAsia="Times New Roman" w:cs="Times New Roman"/>
                <w:noProof/>
              </w:rPr>
            </w:pPr>
            <w:r>
              <w:rPr>
                <w:noProof/>
              </w:rPr>
              <w:t>Sociedad digital cibersegura y resiliente (I-2.01)</w:t>
            </w:r>
          </w:p>
        </w:tc>
        <w:tc>
          <w:tcPr>
            <w:tcW w:w="361" w:type="pct"/>
            <w:shd w:val="clear" w:color="auto" w:fill="C6EFCE"/>
            <w:noWrap/>
            <w:vAlign w:val="center"/>
            <w:hideMark/>
          </w:tcPr>
          <w:p w14:paraId="10AE0180"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E7C3DA0" w14:textId="77777777" w:rsidR="00F208CE" w:rsidRDefault="00513E84">
            <w:pPr>
              <w:pStyle w:val="P68B1DB1-Normal14"/>
              <w:spacing w:after="0"/>
              <w:rPr>
                <w:rFonts w:eastAsia="Times New Roman" w:cs="Times New Roman"/>
                <w:noProof/>
              </w:rPr>
            </w:pPr>
            <w:r>
              <w:rPr>
                <w:noProof/>
              </w:rPr>
              <w:t xml:space="preserve">Realización de la primera campaña de </w:t>
            </w:r>
            <w:r>
              <w:rPr>
                <w:noProof/>
              </w:rPr>
              <w:t>sensibilización en materia de ciberseguridad</w:t>
            </w:r>
          </w:p>
        </w:tc>
      </w:tr>
      <w:tr w:rsidR="00F208CE" w14:paraId="331F85F9" w14:textId="77777777">
        <w:trPr>
          <w:trHeight w:val="315"/>
        </w:trPr>
        <w:tc>
          <w:tcPr>
            <w:tcW w:w="345" w:type="pct"/>
            <w:shd w:val="clear" w:color="auto" w:fill="C6EFCE"/>
            <w:noWrap/>
            <w:vAlign w:val="center"/>
            <w:hideMark/>
          </w:tcPr>
          <w:p w14:paraId="7D731F21" w14:textId="77777777" w:rsidR="00F208CE" w:rsidRDefault="00513E84">
            <w:pPr>
              <w:pStyle w:val="P68B1DB1-Normal14"/>
              <w:spacing w:after="0"/>
              <w:jc w:val="center"/>
              <w:rPr>
                <w:rFonts w:eastAsia="Times New Roman" w:cs="Times New Roman"/>
                <w:noProof/>
              </w:rPr>
            </w:pPr>
            <w:r>
              <w:rPr>
                <w:noProof/>
              </w:rPr>
              <w:t>54</w:t>
            </w:r>
          </w:p>
        </w:tc>
        <w:tc>
          <w:tcPr>
            <w:tcW w:w="2069" w:type="pct"/>
            <w:shd w:val="clear" w:color="auto" w:fill="C6EFCE"/>
            <w:noWrap/>
            <w:vAlign w:val="center"/>
            <w:hideMark/>
          </w:tcPr>
          <w:p w14:paraId="447E22E8" w14:textId="77777777" w:rsidR="00F208CE" w:rsidRDefault="00513E84">
            <w:pPr>
              <w:pStyle w:val="P68B1DB1-Normal14"/>
              <w:spacing w:after="0"/>
              <w:rPr>
                <w:rFonts w:eastAsia="Times New Roman" w:cs="Times New Roman"/>
                <w:noProof/>
              </w:rPr>
            </w:pPr>
            <w:r>
              <w:rPr>
                <w:noProof/>
              </w:rPr>
              <w:t>Fondo para pequeños proyectos de digitalización (I-2.05) (submedida: 2, 3, 4, 5, 6, 8, 9, 11 y 12)</w:t>
            </w:r>
          </w:p>
        </w:tc>
        <w:tc>
          <w:tcPr>
            <w:tcW w:w="361" w:type="pct"/>
            <w:shd w:val="clear" w:color="auto" w:fill="C6EFCE"/>
            <w:noWrap/>
            <w:vAlign w:val="center"/>
            <w:hideMark/>
          </w:tcPr>
          <w:p w14:paraId="360E0A1B"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3A66FE5" w14:textId="77777777" w:rsidR="00F208CE" w:rsidRDefault="00513E84">
            <w:pPr>
              <w:pStyle w:val="P68B1DB1-Normal14"/>
              <w:spacing w:after="0"/>
              <w:rPr>
                <w:rFonts w:eastAsia="Times New Roman" w:cs="Times New Roman"/>
                <w:noProof/>
              </w:rPr>
            </w:pPr>
            <w:r>
              <w:rPr>
                <w:noProof/>
              </w:rPr>
              <w:t xml:space="preserve">Se definen los requisitos </w:t>
            </w:r>
          </w:p>
        </w:tc>
      </w:tr>
      <w:tr w:rsidR="00F208CE" w14:paraId="7DD9367D" w14:textId="77777777">
        <w:trPr>
          <w:trHeight w:val="315"/>
        </w:trPr>
        <w:tc>
          <w:tcPr>
            <w:tcW w:w="345" w:type="pct"/>
            <w:shd w:val="clear" w:color="auto" w:fill="C6EFCE"/>
            <w:noWrap/>
            <w:vAlign w:val="center"/>
            <w:hideMark/>
          </w:tcPr>
          <w:p w14:paraId="5B637CDE" w14:textId="77777777" w:rsidR="00F208CE" w:rsidRDefault="00513E84">
            <w:pPr>
              <w:pStyle w:val="P68B1DB1-Normal14"/>
              <w:spacing w:after="0"/>
              <w:jc w:val="center"/>
              <w:rPr>
                <w:rFonts w:eastAsia="Times New Roman" w:cs="Times New Roman"/>
                <w:noProof/>
              </w:rPr>
            </w:pPr>
            <w:r>
              <w:rPr>
                <w:noProof/>
              </w:rPr>
              <w:t>57</w:t>
            </w:r>
          </w:p>
        </w:tc>
        <w:tc>
          <w:tcPr>
            <w:tcW w:w="2069" w:type="pct"/>
            <w:shd w:val="clear" w:color="auto" w:fill="C6EFCE"/>
            <w:noWrap/>
            <w:vAlign w:val="center"/>
            <w:hideMark/>
          </w:tcPr>
          <w:p w14:paraId="12BA4192" w14:textId="77777777" w:rsidR="00F208CE" w:rsidRDefault="00513E84">
            <w:pPr>
              <w:pStyle w:val="P68B1DB1-Normal14"/>
              <w:spacing w:after="0"/>
              <w:rPr>
                <w:rFonts w:eastAsia="Times New Roman" w:cs="Times New Roman"/>
                <w:noProof/>
              </w:rPr>
            </w:pPr>
            <w:r>
              <w:rPr>
                <w:noProof/>
              </w:rPr>
              <w:t xml:space="preserve">Fondo para pequeños proyectos de digitalización (I-2.05) (submedida 1: </w:t>
            </w:r>
            <w:r>
              <w:rPr>
                <w:noProof/>
              </w:rPr>
              <w:t>Transformación digital de la justicia)</w:t>
            </w:r>
          </w:p>
        </w:tc>
        <w:tc>
          <w:tcPr>
            <w:tcW w:w="361" w:type="pct"/>
            <w:shd w:val="clear" w:color="auto" w:fill="C6EFCE"/>
            <w:noWrap/>
            <w:vAlign w:val="center"/>
            <w:hideMark/>
          </w:tcPr>
          <w:p w14:paraId="0E722741"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C589858" w14:textId="09B01D76" w:rsidR="00F208CE" w:rsidRDefault="00513E84">
            <w:pPr>
              <w:pStyle w:val="P68B1DB1-Normal14"/>
              <w:spacing w:after="0"/>
              <w:rPr>
                <w:rFonts w:eastAsia="Times New Roman" w:cs="Times New Roman"/>
                <w:noProof/>
              </w:rPr>
            </w:pPr>
            <w:r>
              <w:rPr>
                <w:noProof/>
              </w:rPr>
              <w:t>Publicación del portal en línea Just-on-Web</w:t>
            </w:r>
          </w:p>
        </w:tc>
      </w:tr>
      <w:tr w:rsidR="00F208CE" w14:paraId="047EBEFA" w14:textId="77777777">
        <w:trPr>
          <w:trHeight w:val="315"/>
        </w:trPr>
        <w:tc>
          <w:tcPr>
            <w:tcW w:w="345" w:type="pct"/>
            <w:shd w:val="clear" w:color="auto" w:fill="C6EFCE"/>
            <w:noWrap/>
            <w:vAlign w:val="center"/>
            <w:hideMark/>
          </w:tcPr>
          <w:p w14:paraId="110C6767" w14:textId="77777777" w:rsidR="00F208CE" w:rsidRDefault="00513E84">
            <w:pPr>
              <w:pStyle w:val="P68B1DB1-Normal14"/>
              <w:spacing w:after="0"/>
              <w:jc w:val="center"/>
              <w:rPr>
                <w:rFonts w:eastAsia="Times New Roman" w:cs="Times New Roman"/>
                <w:noProof/>
              </w:rPr>
            </w:pPr>
            <w:r>
              <w:rPr>
                <w:noProof/>
              </w:rPr>
              <w:t>62</w:t>
            </w:r>
          </w:p>
        </w:tc>
        <w:tc>
          <w:tcPr>
            <w:tcW w:w="2069" w:type="pct"/>
            <w:shd w:val="clear" w:color="auto" w:fill="C6EFCE"/>
            <w:noWrap/>
            <w:vAlign w:val="center"/>
            <w:hideMark/>
          </w:tcPr>
          <w:p w14:paraId="23E795FD" w14:textId="77777777" w:rsidR="00F208CE" w:rsidRDefault="00513E84">
            <w:pPr>
              <w:pStyle w:val="P68B1DB1-Normal14"/>
              <w:spacing w:after="0"/>
              <w:rPr>
                <w:rFonts w:eastAsia="Times New Roman" w:cs="Times New Roman"/>
                <w:noProof/>
              </w:rPr>
            </w:pPr>
            <w:r>
              <w:rPr>
                <w:noProof/>
              </w:rPr>
              <w:t>servicios de salud electrónica y datos sanitarios (I-2.06)</w:t>
            </w:r>
          </w:p>
        </w:tc>
        <w:tc>
          <w:tcPr>
            <w:tcW w:w="361" w:type="pct"/>
            <w:shd w:val="clear" w:color="auto" w:fill="C6EFCE"/>
            <w:noWrap/>
            <w:vAlign w:val="center"/>
            <w:hideMark/>
          </w:tcPr>
          <w:p w14:paraId="0671CDE6"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6F4B2DD" w14:textId="77777777" w:rsidR="00F208CE" w:rsidRDefault="00513E84">
            <w:pPr>
              <w:pStyle w:val="P68B1DB1-Normal14"/>
              <w:spacing w:after="0"/>
              <w:rPr>
                <w:rFonts w:eastAsia="Times New Roman" w:cs="Times New Roman"/>
                <w:noProof/>
              </w:rPr>
            </w:pPr>
            <w:r>
              <w:rPr>
                <w:noProof/>
              </w:rPr>
              <w:t>Entrada en vigor de la ley por la que se crea la Autoridad de Datos Sanitarios</w:t>
            </w:r>
          </w:p>
        </w:tc>
      </w:tr>
      <w:tr w:rsidR="00F208CE" w14:paraId="39322B9C" w14:textId="77777777">
        <w:trPr>
          <w:trHeight w:val="315"/>
        </w:trPr>
        <w:tc>
          <w:tcPr>
            <w:tcW w:w="345" w:type="pct"/>
            <w:shd w:val="clear" w:color="auto" w:fill="C6EFCE"/>
            <w:noWrap/>
            <w:vAlign w:val="center"/>
            <w:hideMark/>
          </w:tcPr>
          <w:p w14:paraId="0D712583" w14:textId="77777777" w:rsidR="00F208CE" w:rsidRDefault="00513E84">
            <w:pPr>
              <w:pStyle w:val="P68B1DB1-Normal14"/>
              <w:spacing w:after="0"/>
              <w:jc w:val="center"/>
              <w:rPr>
                <w:rFonts w:eastAsia="Times New Roman" w:cs="Times New Roman"/>
                <w:noProof/>
              </w:rPr>
            </w:pPr>
            <w:r>
              <w:rPr>
                <w:noProof/>
              </w:rPr>
              <w:t>63</w:t>
            </w:r>
          </w:p>
        </w:tc>
        <w:tc>
          <w:tcPr>
            <w:tcW w:w="2069" w:type="pct"/>
            <w:shd w:val="clear" w:color="auto" w:fill="C6EFCE"/>
            <w:noWrap/>
            <w:vAlign w:val="center"/>
            <w:hideMark/>
          </w:tcPr>
          <w:p w14:paraId="48B8B7E7" w14:textId="77777777" w:rsidR="00F208CE" w:rsidRDefault="00513E84">
            <w:pPr>
              <w:pStyle w:val="P68B1DB1-Normal14"/>
              <w:spacing w:after="0"/>
              <w:rPr>
                <w:rFonts w:eastAsia="Times New Roman" w:cs="Times New Roman"/>
                <w:noProof/>
              </w:rPr>
            </w:pPr>
            <w:r>
              <w:rPr>
                <w:noProof/>
              </w:rPr>
              <w:t xml:space="preserve">servicios de salud </w:t>
            </w:r>
            <w:r>
              <w:rPr>
                <w:noProof/>
              </w:rPr>
              <w:t>electrónica y datos sanitarios (I-2.06)</w:t>
            </w:r>
          </w:p>
        </w:tc>
        <w:tc>
          <w:tcPr>
            <w:tcW w:w="361" w:type="pct"/>
            <w:shd w:val="clear" w:color="auto" w:fill="C6EFCE"/>
            <w:noWrap/>
            <w:vAlign w:val="center"/>
            <w:hideMark/>
          </w:tcPr>
          <w:p w14:paraId="7174044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0AD56FE4" w14:textId="0B5B702E" w:rsidR="00F208CE" w:rsidRDefault="00513E84">
            <w:pPr>
              <w:pStyle w:val="P68B1DB1-Normal14"/>
              <w:spacing w:after="0"/>
              <w:rPr>
                <w:rFonts w:eastAsia="Times New Roman" w:cs="Times New Roman"/>
                <w:noProof/>
              </w:rPr>
            </w:pPr>
            <w:r>
              <w:rPr>
                <w:noProof/>
              </w:rPr>
              <w:t>Requisitos para los subproyectos</w:t>
            </w:r>
          </w:p>
        </w:tc>
      </w:tr>
      <w:tr w:rsidR="00F208CE" w14:paraId="7FB10566" w14:textId="77777777">
        <w:trPr>
          <w:trHeight w:val="315"/>
        </w:trPr>
        <w:tc>
          <w:tcPr>
            <w:tcW w:w="345" w:type="pct"/>
            <w:shd w:val="clear" w:color="auto" w:fill="C6EFCE"/>
            <w:noWrap/>
            <w:vAlign w:val="center"/>
            <w:hideMark/>
          </w:tcPr>
          <w:p w14:paraId="54BFD8D6" w14:textId="77777777" w:rsidR="00F208CE" w:rsidRDefault="00513E84">
            <w:pPr>
              <w:pStyle w:val="P68B1DB1-Normal14"/>
              <w:spacing w:after="0"/>
              <w:jc w:val="center"/>
              <w:rPr>
                <w:rFonts w:eastAsia="Times New Roman" w:cs="Times New Roman"/>
                <w:noProof/>
              </w:rPr>
            </w:pPr>
            <w:r>
              <w:rPr>
                <w:noProof/>
              </w:rPr>
              <w:t>68</w:t>
            </w:r>
          </w:p>
        </w:tc>
        <w:tc>
          <w:tcPr>
            <w:tcW w:w="2069" w:type="pct"/>
            <w:shd w:val="clear" w:color="auto" w:fill="C6EFCE"/>
            <w:noWrap/>
            <w:vAlign w:val="center"/>
            <w:hideMark/>
          </w:tcPr>
          <w:p w14:paraId="5EEE696D" w14:textId="77777777" w:rsidR="00F208CE" w:rsidRDefault="00513E84">
            <w:pPr>
              <w:pStyle w:val="P68B1DB1-Normal14"/>
              <w:spacing w:after="0"/>
              <w:rPr>
                <w:rFonts w:eastAsia="Times New Roman" w:cs="Times New Roman"/>
                <w:noProof/>
              </w:rPr>
            </w:pPr>
            <w:r>
              <w:rPr>
                <w:noProof/>
              </w:rPr>
              <w:t>Digitalización del Gobierno flamenco (I-2.09)</w:t>
            </w:r>
          </w:p>
        </w:tc>
        <w:tc>
          <w:tcPr>
            <w:tcW w:w="361" w:type="pct"/>
            <w:shd w:val="clear" w:color="auto" w:fill="C6EFCE"/>
            <w:noWrap/>
            <w:vAlign w:val="center"/>
            <w:hideMark/>
          </w:tcPr>
          <w:p w14:paraId="7B4F52B6"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D250156" w14:textId="4DEB4F01" w:rsidR="00F208CE" w:rsidRDefault="00513E84">
            <w:pPr>
              <w:pStyle w:val="P68B1DB1-Normal14"/>
              <w:spacing w:after="0"/>
              <w:rPr>
                <w:rFonts w:eastAsia="Times New Roman" w:cs="Times New Roman"/>
                <w:noProof/>
              </w:rPr>
            </w:pPr>
            <w:r>
              <w:rPr>
                <w:noProof/>
              </w:rPr>
              <w:t>Aprobación de la ayuda a 11 proyectos</w:t>
            </w:r>
          </w:p>
        </w:tc>
      </w:tr>
      <w:tr w:rsidR="00F208CE" w14:paraId="2B1704AD" w14:textId="77777777">
        <w:trPr>
          <w:trHeight w:val="315"/>
        </w:trPr>
        <w:tc>
          <w:tcPr>
            <w:tcW w:w="345" w:type="pct"/>
            <w:shd w:val="clear" w:color="auto" w:fill="C6EFCE"/>
            <w:noWrap/>
            <w:vAlign w:val="center"/>
            <w:hideMark/>
          </w:tcPr>
          <w:p w14:paraId="45290CFF" w14:textId="77777777" w:rsidR="00F208CE" w:rsidRDefault="00513E84">
            <w:pPr>
              <w:pStyle w:val="P68B1DB1-Normal14"/>
              <w:spacing w:after="0"/>
              <w:jc w:val="center"/>
              <w:rPr>
                <w:rFonts w:eastAsia="Times New Roman" w:cs="Times New Roman"/>
                <w:noProof/>
              </w:rPr>
            </w:pPr>
            <w:r>
              <w:rPr>
                <w:noProof/>
              </w:rPr>
              <w:t>78</w:t>
            </w:r>
          </w:p>
        </w:tc>
        <w:tc>
          <w:tcPr>
            <w:tcW w:w="2069" w:type="pct"/>
            <w:shd w:val="clear" w:color="auto" w:fill="C6EFCE"/>
            <w:noWrap/>
            <w:vAlign w:val="center"/>
            <w:hideMark/>
          </w:tcPr>
          <w:p w14:paraId="52E45EB0" w14:textId="77777777" w:rsidR="00F208CE" w:rsidRDefault="00513E84">
            <w:pPr>
              <w:pStyle w:val="P68B1DB1-Normal14"/>
              <w:spacing w:after="0"/>
              <w:rPr>
                <w:rFonts w:eastAsia="Times New Roman" w:cs="Times New Roman"/>
                <w:noProof/>
              </w:rPr>
            </w:pPr>
            <w:r>
              <w:rPr>
                <w:noProof/>
              </w:rPr>
              <w:t>Administración electrónica: procedimiento de licitación (R-2.02)</w:t>
            </w:r>
          </w:p>
        </w:tc>
        <w:tc>
          <w:tcPr>
            <w:tcW w:w="361" w:type="pct"/>
            <w:shd w:val="clear" w:color="auto" w:fill="C6EFCE"/>
            <w:noWrap/>
            <w:vAlign w:val="center"/>
            <w:hideMark/>
          </w:tcPr>
          <w:p w14:paraId="1E116DC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1DADAEC9" w14:textId="77777777" w:rsidR="00F208CE" w:rsidRDefault="00513E84">
            <w:pPr>
              <w:pStyle w:val="P68B1DB1-Normal14"/>
              <w:spacing w:after="0"/>
              <w:rPr>
                <w:rFonts w:eastAsia="Times New Roman" w:cs="Times New Roman"/>
                <w:noProof/>
              </w:rPr>
            </w:pPr>
            <w:r>
              <w:rPr>
                <w:noProof/>
              </w:rPr>
              <w:t xml:space="preserve">Entrada en vigor de </w:t>
            </w:r>
            <w:r>
              <w:rPr>
                <w:noProof/>
              </w:rPr>
              <w:t>un nuevo contexto normativo</w:t>
            </w:r>
          </w:p>
        </w:tc>
      </w:tr>
      <w:tr w:rsidR="00F208CE" w14:paraId="44DEC25A" w14:textId="77777777">
        <w:trPr>
          <w:trHeight w:val="315"/>
        </w:trPr>
        <w:tc>
          <w:tcPr>
            <w:tcW w:w="345" w:type="pct"/>
            <w:shd w:val="clear" w:color="auto" w:fill="C6EFCE"/>
            <w:noWrap/>
            <w:vAlign w:val="center"/>
            <w:hideMark/>
          </w:tcPr>
          <w:p w14:paraId="2D1B2868" w14:textId="77777777" w:rsidR="00F208CE" w:rsidRDefault="00513E84">
            <w:pPr>
              <w:pStyle w:val="P68B1DB1-Normal14"/>
              <w:spacing w:after="0"/>
              <w:jc w:val="center"/>
              <w:rPr>
                <w:rFonts w:eastAsia="Times New Roman" w:cs="Times New Roman"/>
                <w:noProof/>
              </w:rPr>
            </w:pPr>
            <w:r>
              <w:rPr>
                <w:noProof/>
              </w:rPr>
              <w:t>81</w:t>
            </w:r>
          </w:p>
        </w:tc>
        <w:tc>
          <w:tcPr>
            <w:tcW w:w="2069" w:type="pct"/>
            <w:shd w:val="clear" w:color="auto" w:fill="C6EFCE"/>
            <w:noWrap/>
            <w:vAlign w:val="center"/>
            <w:hideMark/>
          </w:tcPr>
          <w:p w14:paraId="05E9E32B" w14:textId="77777777" w:rsidR="00F208CE" w:rsidRDefault="00513E84">
            <w:pPr>
              <w:pStyle w:val="P68B1DB1-Normal14"/>
              <w:spacing w:after="0"/>
              <w:rPr>
                <w:rFonts w:eastAsia="Times New Roman" w:cs="Times New Roman"/>
                <w:noProof/>
              </w:rPr>
            </w:pPr>
            <w:r>
              <w:rPr>
                <w:noProof/>
              </w:rPr>
              <w:t>Desarrollo de un instituto de IA para utilizar esta tecnología para hacer frente a los retos sociales (I-2.14)</w:t>
            </w:r>
          </w:p>
        </w:tc>
        <w:tc>
          <w:tcPr>
            <w:tcW w:w="361" w:type="pct"/>
            <w:shd w:val="clear" w:color="auto" w:fill="C6EFCE"/>
            <w:noWrap/>
            <w:vAlign w:val="center"/>
            <w:hideMark/>
          </w:tcPr>
          <w:p w14:paraId="78BCA3BD"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7E26F8F" w14:textId="77777777" w:rsidR="00F208CE" w:rsidRDefault="00513E84">
            <w:pPr>
              <w:pStyle w:val="P68B1DB1-Normal14"/>
              <w:spacing w:after="0"/>
              <w:rPr>
                <w:rFonts w:eastAsia="Times New Roman" w:cs="Times New Roman"/>
                <w:noProof/>
              </w:rPr>
            </w:pPr>
            <w:r>
              <w:rPr>
                <w:noProof/>
              </w:rPr>
              <w:t>Finalización de proyectos piloto por parte de la IA para el Instituto del Bien Común</w:t>
            </w:r>
          </w:p>
        </w:tc>
      </w:tr>
      <w:tr w:rsidR="00F208CE" w14:paraId="71F46FFB" w14:textId="77777777">
        <w:trPr>
          <w:trHeight w:val="315"/>
        </w:trPr>
        <w:tc>
          <w:tcPr>
            <w:tcW w:w="345" w:type="pct"/>
            <w:shd w:val="clear" w:color="auto" w:fill="C6EFCE"/>
            <w:noWrap/>
            <w:vAlign w:val="center"/>
            <w:hideMark/>
          </w:tcPr>
          <w:p w14:paraId="30D2C4D9" w14:textId="77777777" w:rsidR="00F208CE" w:rsidRDefault="00513E84">
            <w:pPr>
              <w:pStyle w:val="P68B1DB1-Normal14"/>
              <w:spacing w:after="0"/>
              <w:jc w:val="center"/>
              <w:rPr>
                <w:rFonts w:eastAsia="Times New Roman" w:cs="Times New Roman"/>
                <w:noProof/>
              </w:rPr>
            </w:pPr>
            <w:r>
              <w:rPr>
                <w:noProof/>
              </w:rPr>
              <w:t>91</w:t>
            </w:r>
          </w:p>
        </w:tc>
        <w:tc>
          <w:tcPr>
            <w:tcW w:w="2069" w:type="pct"/>
            <w:shd w:val="clear" w:color="auto" w:fill="C6EFCE"/>
            <w:noWrap/>
            <w:vAlign w:val="center"/>
            <w:hideMark/>
          </w:tcPr>
          <w:p w14:paraId="20D67D9E" w14:textId="77777777" w:rsidR="00F208CE" w:rsidRDefault="00513E84">
            <w:pPr>
              <w:pStyle w:val="P68B1DB1-Normal14"/>
              <w:spacing w:after="0"/>
              <w:rPr>
                <w:rFonts w:eastAsia="Times New Roman" w:cs="Times New Roman"/>
                <w:noProof/>
              </w:rPr>
            </w:pPr>
            <w:r>
              <w:rPr>
                <w:noProof/>
              </w:rPr>
              <w:t xml:space="preserve">Introducción de la 5G </w:t>
            </w:r>
            <w:r>
              <w:rPr>
                <w:noProof/>
              </w:rPr>
              <w:t>— Plan nacional de banda ancha fija y móvil (R-2.03)</w:t>
            </w:r>
          </w:p>
        </w:tc>
        <w:tc>
          <w:tcPr>
            <w:tcW w:w="361" w:type="pct"/>
            <w:shd w:val="clear" w:color="auto" w:fill="C6EFCE"/>
            <w:noWrap/>
            <w:vAlign w:val="center"/>
            <w:hideMark/>
          </w:tcPr>
          <w:p w14:paraId="5F9DE67F"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7A076A5" w14:textId="77777777" w:rsidR="00F208CE" w:rsidRDefault="00513E84">
            <w:pPr>
              <w:pStyle w:val="P68B1DB1-Normal14"/>
              <w:spacing w:after="0"/>
              <w:rPr>
                <w:rFonts w:eastAsia="Times New Roman" w:cs="Times New Roman"/>
                <w:noProof/>
              </w:rPr>
            </w:pPr>
            <w:r>
              <w:rPr>
                <w:noProof/>
              </w:rPr>
              <w:t>Subasta 5G</w:t>
            </w:r>
          </w:p>
        </w:tc>
      </w:tr>
      <w:tr w:rsidR="00F208CE" w14:paraId="3B2A85D0" w14:textId="77777777">
        <w:trPr>
          <w:trHeight w:val="315"/>
        </w:trPr>
        <w:tc>
          <w:tcPr>
            <w:tcW w:w="345" w:type="pct"/>
            <w:shd w:val="clear" w:color="auto" w:fill="C6EFCE"/>
            <w:noWrap/>
            <w:vAlign w:val="center"/>
            <w:hideMark/>
          </w:tcPr>
          <w:p w14:paraId="4978DA6F" w14:textId="77777777" w:rsidR="00F208CE" w:rsidRDefault="00513E84">
            <w:pPr>
              <w:pStyle w:val="P68B1DB1-Normal14"/>
              <w:spacing w:after="0"/>
              <w:jc w:val="center"/>
              <w:rPr>
                <w:rFonts w:eastAsia="Times New Roman" w:cs="Times New Roman"/>
                <w:noProof/>
              </w:rPr>
            </w:pPr>
            <w:r>
              <w:rPr>
                <w:noProof/>
              </w:rPr>
              <w:t>92</w:t>
            </w:r>
          </w:p>
        </w:tc>
        <w:tc>
          <w:tcPr>
            <w:tcW w:w="2069" w:type="pct"/>
            <w:shd w:val="clear" w:color="auto" w:fill="C6EFCE"/>
            <w:noWrap/>
            <w:vAlign w:val="center"/>
            <w:hideMark/>
          </w:tcPr>
          <w:p w14:paraId="3C609DAE" w14:textId="77777777" w:rsidR="00F208CE" w:rsidRDefault="00513E84">
            <w:pPr>
              <w:pStyle w:val="P68B1DB1-Normal14"/>
              <w:spacing w:after="0"/>
              <w:rPr>
                <w:rFonts w:eastAsia="Times New Roman" w:cs="Times New Roman"/>
                <w:noProof/>
              </w:rPr>
            </w:pPr>
            <w:r>
              <w:rPr>
                <w:noProof/>
              </w:rPr>
              <w:t>Introducción de la 5G — Plan nacional de banda ancha fija y móvil (R-2.03)</w:t>
            </w:r>
          </w:p>
        </w:tc>
        <w:tc>
          <w:tcPr>
            <w:tcW w:w="361" w:type="pct"/>
            <w:shd w:val="clear" w:color="auto" w:fill="C6EFCE"/>
            <w:noWrap/>
            <w:vAlign w:val="center"/>
            <w:hideMark/>
          </w:tcPr>
          <w:p w14:paraId="618DEF61"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1D254DE8" w14:textId="77777777" w:rsidR="00F208CE" w:rsidRDefault="00513E84">
            <w:pPr>
              <w:pStyle w:val="P68B1DB1-Normal14"/>
              <w:spacing w:after="0"/>
              <w:rPr>
                <w:rFonts w:eastAsia="Times New Roman" w:cs="Times New Roman"/>
                <w:noProof/>
              </w:rPr>
            </w:pPr>
            <w:r>
              <w:rPr>
                <w:noProof/>
              </w:rPr>
              <w:t>Aplicación de la caja de herramientas de conectividad del estado</w:t>
            </w:r>
          </w:p>
        </w:tc>
      </w:tr>
      <w:tr w:rsidR="00F208CE" w14:paraId="2C904151" w14:textId="77777777">
        <w:trPr>
          <w:trHeight w:val="315"/>
        </w:trPr>
        <w:tc>
          <w:tcPr>
            <w:tcW w:w="345" w:type="pct"/>
            <w:shd w:val="clear" w:color="auto" w:fill="C6EFCE"/>
            <w:noWrap/>
            <w:vAlign w:val="center"/>
            <w:hideMark/>
          </w:tcPr>
          <w:p w14:paraId="695C4FCE" w14:textId="77777777" w:rsidR="00F208CE" w:rsidRDefault="00513E84">
            <w:pPr>
              <w:pStyle w:val="P68B1DB1-Normal14"/>
              <w:spacing w:after="0"/>
              <w:jc w:val="center"/>
              <w:rPr>
                <w:rFonts w:eastAsia="Times New Roman" w:cs="Times New Roman"/>
                <w:noProof/>
              </w:rPr>
            </w:pPr>
            <w:r>
              <w:rPr>
                <w:noProof/>
              </w:rPr>
              <w:t>93</w:t>
            </w:r>
          </w:p>
        </w:tc>
        <w:tc>
          <w:tcPr>
            <w:tcW w:w="2069" w:type="pct"/>
            <w:shd w:val="clear" w:color="auto" w:fill="C6EFCE"/>
            <w:noWrap/>
            <w:vAlign w:val="center"/>
            <w:hideMark/>
          </w:tcPr>
          <w:p w14:paraId="156E8A79" w14:textId="77777777" w:rsidR="00F208CE" w:rsidRDefault="00513E84">
            <w:pPr>
              <w:pStyle w:val="P68B1DB1-Normal14"/>
              <w:spacing w:after="0"/>
              <w:rPr>
                <w:rFonts w:eastAsia="Times New Roman" w:cs="Times New Roman"/>
                <w:noProof/>
              </w:rPr>
            </w:pPr>
            <w:r>
              <w:rPr>
                <w:noProof/>
              </w:rPr>
              <w:t>Introducción de la 5G — Plan nacional de</w:t>
            </w:r>
            <w:r>
              <w:rPr>
                <w:noProof/>
              </w:rPr>
              <w:t xml:space="preserve"> banda ancha fija y móvil (R-2.03)</w:t>
            </w:r>
          </w:p>
        </w:tc>
        <w:tc>
          <w:tcPr>
            <w:tcW w:w="361" w:type="pct"/>
            <w:shd w:val="clear" w:color="auto" w:fill="C6EFCE"/>
            <w:noWrap/>
            <w:vAlign w:val="center"/>
            <w:hideMark/>
          </w:tcPr>
          <w:p w14:paraId="4CC3085E"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124D1C4" w14:textId="77777777" w:rsidR="00F208CE" w:rsidRDefault="00513E84">
            <w:pPr>
              <w:pStyle w:val="P68B1DB1-Normal14"/>
              <w:spacing w:after="0"/>
              <w:rPr>
                <w:rFonts w:eastAsia="Times New Roman" w:cs="Times New Roman"/>
                <w:noProof/>
              </w:rPr>
            </w:pPr>
            <w:r>
              <w:rPr>
                <w:noProof/>
              </w:rPr>
              <w:t>Revisión del marco legislativo de las tres regiones sobre las normas de radiación</w:t>
            </w:r>
          </w:p>
        </w:tc>
      </w:tr>
      <w:tr w:rsidR="00F208CE" w14:paraId="19413A81" w14:textId="77777777">
        <w:trPr>
          <w:trHeight w:val="315"/>
        </w:trPr>
        <w:tc>
          <w:tcPr>
            <w:tcW w:w="345" w:type="pct"/>
            <w:shd w:val="clear" w:color="auto" w:fill="C6EFCE"/>
            <w:noWrap/>
            <w:vAlign w:val="center"/>
            <w:hideMark/>
          </w:tcPr>
          <w:p w14:paraId="352696AB" w14:textId="77777777" w:rsidR="00F208CE" w:rsidRDefault="00513E84">
            <w:pPr>
              <w:pStyle w:val="P68B1DB1-Normal14"/>
              <w:spacing w:after="0"/>
              <w:jc w:val="center"/>
              <w:rPr>
                <w:rFonts w:eastAsia="Times New Roman" w:cs="Times New Roman"/>
                <w:noProof/>
              </w:rPr>
            </w:pPr>
            <w:r>
              <w:rPr>
                <w:noProof/>
              </w:rPr>
              <w:t>103</w:t>
            </w:r>
          </w:p>
        </w:tc>
        <w:tc>
          <w:tcPr>
            <w:tcW w:w="2069" w:type="pct"/>
            <w:shd w:val="clear" w:color="auto" w:fill="C6EFCE"/>
            <w:noWrap/>
            <w:vAlign w:val="center"/>
            <w:hideMark/>
          </w:tcPr>
          <w:p w14:paraId="246EFA96" w14:textId="77777777" w:rsidR="00F208CE" w:rsidRDefault="00513E84">
            <w:pPr>
              <w:pStyle w:val="P68B1DB1-Normal14"/>
              <w:spacing w:after="0"/>
              <w:rPr>
                <w:rFonts w:eastAsia="Times New Roman" w:cs="Times New Roman"/>
                <w:noProof/>
              </w:rPr>
            </w:pPr>
            <w:r>
              <w:rPr>
                <w:noProof/>
              </w:rPr>
              <w:t>Obras de acondicionamiento y accesibilidad de las estaciones (I-3C)</w:t>
            </w:r>
          </w:p>
        </w:tc>
        <w:tc>
          <w:tcPr>
            <w:tcW w:w="361" w:type="pct"/>
            <w:shd w:val="clear" w:color="auto" w:fill="C6EFCE"/>
            <w:noWrap/>
            <w:vAlign w:val="center"/>
            <w:hideMark/>
          </w:tcPr>
          <w:p w14:paraId="50900583"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40305532" w14:textId="77777777" w:rsidR="00F208CE" w:rsidRDefault="00513E84">
            <w:pPr>
              <w:pStyle w:val="P68B1DB1-Normal14"/>
              <w:spacing w:after="0"/>
              <w:rPr>
                <w:rFonts w:eastAsia="Times New Roman" w:cs="Times New Roman"/>
                <w:noProof/>
              </w:rPr>
            </w:pPr>
            <w:r>
              <w:rPr>
                <w:noProof/>
              </w:rPr>
              <w:t>Finalización de las obras de renovación y modernización de los</w:t>
            </w:r>
            <w:r>
              <w:rPr>
                <w:noProof/>
              </w:rPr>
              <w:t xml:space="preserve"> ferrocarriles y de accesibilidad de las estaciones (etapa 1)</w:t>
            </w:r>
          </w:p>
        </w:tc>
      </w:tr>
      <w:tr w:rsidR="00F208CE" w14:paraId="3A8EFAD2" w14:textId="77777777">
        <w:trPr>
          <w:trHeight w:val="315"/>
        </w:trPr>
        <w:tc>
          <w:tcPr>
            <w:tcW w:w="345" w:type="pct"/>
            <w:shd w:val="clear" w:color="auto" w:fill="C6EFCE"/>
            <w:noWrap/>
            <w:vAlign w:val="center"/>
            <w:hideMark/>
          </w:tcPr>
          <w:p w14:paraId="766E2A72" w14:textId="77777777" w:rsidR="00F208CE" w:rsidRDefault="00513E84">
            <w:pPr>
              <w:pStyle w:val="P68B1DB1-Normal14"/>
              <w:spacing w:after="0"/>
              <w:jc w:val="center"/>
              <w:rPr>
                <w:rFonts w:eastAsia="Times New Roman" w:cs="Times New Roman"/>
                <w:noProof/>
              </w:rPr>
            </w:pPr>
            <w:r>
              <w:rPr>
                <w:noProof/>
              </w:rPr>
              <w:t>112</w:t>
            </w:r>
          </w:p>
        </w:tc>
        <w:tc>
          <w:tcPr>
            <w:tcW w:w="2069" w:type="pct"/>
            <w:shd w:val="clear" w:color="auto" w:fill="C6EFCE"/>
            <w:noWrap/>
            <w:vAlign w:val="center"/>
            <w:hideMark/>
          </w:tcPr>
          <w:p w14:paraId="7B5F5178" w14:textId="25F8CA4C" w:rsidR="00F208CE" w:rsidRDefault="00513E84">
            <w:pPr>
              <w:pStyle w:val="P68B1DB1-Normal14"/>
              <w:spacing w:after="0"/>
              <w:rPr>
                <w:rFonts w:eastAsia="Times New Roman" w:cs="Times New Roman"/>
                <w:noProof/>
              </w:rPr>
            </w:pPr>
            <w:r>
              <w:rPr>
                <w:noProof/>
              </w:rPr>
              <w:t>I-3H: «Herramientas de movilidad inteligente» de la Región de Bruselas-Capital (I-3H)</w:t>
            </w:r>
          </w:p>
        </w:tc>
        <w:tc>
          <w:tcPr>
            <w:tcW w:w="361" w:type="pct"/>
            <w:shd w:val="clear" w:color="auto" w:fill="C6EFCE"/>
            <w:noWrap/>
            <w:vAlign w:val="center"/>
            <w:hideMark/>
          </w:tcPr>
          <w:p w14:paraId="12C564C1" w14:textId="20D852C1"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39B6F2D7" w14:textId="25EB811E" w:rsidR="00F208CE" w:rsidRDefault="00513E84">
            <w:pPr>
              <w:pStyle w:val="P68B1DB1-Normal14"/>
              <w:spacing w:after="0"/>
              <w:rPr>
                <w:rFonts w:eastAsia="Times New Roman" w:cs="Times New Roman"/>
                <w:noProof/>
              </w:rPr>
            </w:pPr>
            <w:r>
              <w:rPr>
                <w:noProof/>
              </w:rPr>
              <w:t>Las herramientas de movilidad inteligente están en funcionamiento</w:t>
            </w:r>
          </w:p>
        </w:tc>
      </w:tr>
      <w:tr w:rsidR="00F208CE" w14:paraId="073F0073" w14:textId="77777777">
        <w:trPr>
          <w:trHeight w:val="315"/>
        </w:trPr>
        <w:tc>
          <w:tcPr>
            <w:tcW w:w="345" w:type="pct"/>
            <w:shd w:val="clear" w:color="auto" w:fill="C6EFCE"/>
            <w:noWrap/>
            <w:vAlign w:val="center"/>
            <w:hideMark/>
          </w:tcPr>
          <w:p w14:paraId="1A392687" w14:textId="77777777" w:rsidR="00F208CE" w:rsidRDefault="00513E84">
            <w:pPr>
              <w:pStyle w:val="P68B1DB1-Normal14"/>
              <w:spacing w:after="0"/>
              <w:jc w:val="center"/>
              <w:rPr>
                <w:rFonts w:eastAsia="Times New Roman" w:cs="Times New Roman"/>
                <w:noProof/>
              </w:rPr>
            </w:pPr>
            <w:r>
              <w:rPr>
                <w:noProof/>
              </w:rPr>
              <w:t>117</w:t>
            </w:r>
          </w:p>
        </w:tc>
        <w:tc>
          <w:tcPr>
            <w:tcW w:w="2069" w:type="pct"/>
            <w:shd w:val="clear" w:color="auto" w:fill="C6EFCE"/>
            <w:noWrap/>
            <w:vAlign w:val="center"/>
            <w:hideMark/>
          </w:tcPr>
          <w:p w14:paraId="1D87D386" w14:textId="77777777" w:rsidR="00F208CE" w:rsidRDefault="00513E84">
            <w:pPr>
              <w:pStyle w:val="P68B1DB1-Normal14"/>
              <w:spacing w:after="0"/>
              <w:rPr>
                <w:rFonts w:eastAsia="Times New Roman" w:cs="Times New Roman"/>
                <w:noProof/>
              </w:rPr>
            </w:pPr>
            <w:r>
              <w:rPr>
                <w:noProof/>
              </w:rPr>
              <w:t xml:space="preserve">Estaciones de recarga — VLA </w:t>
            </w:r>
            <w:r>
              <w:rPr>
                <w:noProof/>
              </w:rPr>
              <w:t>(I-3.19)</w:t>
            </w:r>
          </w:p>
        </w:tc>
        <w:tc>
          <w:tcPr>
            <w:tcW w:w="361" w:type="pct"/>
            <w:shd w:val="clear" w:color="auto" w:fill="C6EFCE"/>
            <w:noWrap/>
            <w:vAlign w:val="center"/>
            <w:hideMark/>
          </w:tcPr>
          <w:p w14:paraId="7ECA8448"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A41BEBC" w14:textId="77777777" w:rsidR="00F208CE" w:rsidRDefault="00513E84">
            <w:pPr>
              <w:pStyle w:val="P68B1DB1-Normal14"/>
              <w:spacing w:after="0"/>
              <w:rPr>
                <w:rFonts w:eastAsia="Times New Roman" w:cs="Times New Roman"/>
                <w:noProof/>
              </w:rPr>
            </w:pPr>
            <w:r>
              <w:rPr>
                <w:noProof/>
              </w:rPr>
              <w:t>Adjudicación de concesiones para infraestructuras de recarga</w:t>
            </w:r>
          </w:p>
        </w:tc>
      </w:tr>
      <w:tr w:rsidR="00F208CE" w14:paraId="641D2000" w14:textId="77777777">
        <w:trPr>
          <w:trHeight w:val="315"/>
        </w:trPr>
        <w:tc>
          <w:tcPr>
            <w:tcW w:w="345" w:type="pct"/>
            <w:shd w:val="clear" w:color="auto" w:fill="C6EFCE"/>
            <w:noWrap/>
            <w:vAlign w:val="center"/>
            <w:hideMark/>
          </w:tcPr>
          <w:p w14:paraId="17010090" w14:textId="77777777" w:rsidR="00F208CE" w:rsidRDefault="00513E84">
            <w:pPr>
              <w:pStyle w:val="P68B1DB1-Normal14"/>
              <w:spacing w:after="0"/>
              <w:jc w:val="center"/>
              <w:rPr>
                <w:rFonts w:eastAsia="Times New Roman" w:cs="Times New Roman"/>
                <w:noProof/>
              </w:rPr>
            </w:pPr>
            <w:r>
              <w:rPr>
                <w:noProof/>
              </w:rPr>
              <w:t>118</w:t>
            </w:r>
          </w:p>
        </w:tc>
        <w:tc>
          <w:tcPr>
            <w:tcW w:w="2069" w:type="pct"/>
            <w:shd w:val="clear" w:color="auto" w:fill="C6EFCE"/>
            <w:noWrap/>
            <w:vAlign w:val="center"/>
            <w:hideMark/>
          </w:tcPr>
          <w:p w14:paraId="1C7F646A" w14:textId="77777777" w:rsidR="00F208CE" w:rsidRDefault="00513E84">
            <w:pPr>
              <w:pStyle w:val="P68B1DB1-Normal14"/>
              <w:spacing w:after="0"/>
              <w:rPr>
                <w:rFonts w:eastAsia="Times New Roman" w:cs="Times New Roman"/>
                <w:noProof/>
              </w:rPr>
            </w:pPr>
            <w:r>
              <w:rPr>
                <w:noProof/>
              </w:rPr>
              <w:t>Estaciones de recarga — RBC (R-3.05)</w:t>
            </w:r>
          </w:p>
        </w:tc>
        <w:tc>
          <w:tcPr>
            <w:tcW w:w="361" w:type="pct"/>
            <w:shd w:val="clear" w:color="auto" w:fill="C6EFCE"/>
            <w:noWrap/>
            <w:vAlign w:val="center"/>
            <w:hideMark/>
          </w:tcPr>
          <w:p w14:paraId="5E3BF0A7"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C8C0EB6" w14:textId="77777777" w:rsidR="00F208CE" w:rsidRDefault="00513E84">
            <w:pPr>
              <w:pStyle w:val="P68B1DB1-Normal14"/>
              <w:spacing w:after="0"/>
              <w:rPr>
                <w:rFonts w:eastAsia="Times New Roman" w:cs="Times New Roman"/>
                <w:noProof/>
              </w:rPr>
            </w:pPr>
            <w:r>
              <w:rPr>
                <w:noProof/>
              </w:rPr>
              <w:t>Adopción de un decreto en el que se especifiquen las normas de seguridad y un plan de ejecución de la infraestructura</w:t>
            </w:r>
          </w:p>
        </w:tc>
      </w:tr>
      <w:tr w:rsidR="00F208CE" w14:paraId="0482413D" w14:textId="77777777">
        <w:trPr>
          <w:trHeight w:val="315"/>
        </w:trPr>
        <w:tc>
          <w:tcPr>
            <w:tcW w:w="345" w:type="pct"/>
            <w:shd w:val="clear" w:color="auto" w:fill="C6EFCE"/>
            <w:noWrap/>
            <w:vAlign w:val="center"/>
            <w:hideMark/>
          </w:tcPr>
          <w:p w14:paraId="4C618F91" w14:textId="77777777" w:rsidR="00F208CE" w:rsidRDefault="00513E84">
            <w:pPr>
              <w:pStyle w:val="P68B1DB1-Normal14"/>
              <w:spacing w:after="0"/>
              <w:jc w:val="center"/>
              <w:rPr>
                <w:rFonts w:eastAsia="Times New Roman" w:cs="Times New Roman"/>
                <w:noProof/>
              </w:rPr>
            </w:pPr>
            <w:r>
              <w:rPr>
                <w:noProof/>
              </w:rPr>
              <w:t>119</w:t>
            </w:r>
          </w:p>
        </w:tc>
        <w:tc>
          <w:tcPr>
            <w:tcW w:w="2069" w:type="pct"/>
            <w:shd w:val="clear" w:color="auto" w:fill="C6EFCE"/>
            <w:noWrap/>
            <w:vAlign w:val="center"/>
            <w:hideMark/>
          </w:tcPr>
          <w:p w14:paraId="55CD9946" w14:textId="77777777" w:rsidR="00F208CE" w:rsidRDefault="00513E84">
            <w:pPr>
              <w:pStyle w:val="P68B1DB1-Normal14"/>
              <w:spacing w:after="0"/>
              <w:rPr>
                <w:rFonts w:eastAsia="Times New Roman" w:cs="Times New Roman"/>
                <w:noProof/>
              </w:rPr>
            </w:pPr>
            <w:r>
              <w:rPr>
                <w:noProof/>
              </w:rPr>
              <w:t xml:space="preserve">Estaciones de </w:t>
            </w:r>
            <w:r>
              <w:rPr>
                <w:noProof/>
              </w:rPr>
              <w:t>recarga — WAL (R-3.04)</w:t>
            </w:r>
          </w:p>
        </w:tc>
        <w:tc>
          <w:tcPr>
            <w:tcW w:w="361" w:type="pct"/>
            <w:shd w:val="clear" w:color="auto" w:fill="C6EFCE"/>
            <w:noWrap/>
            <w:vAlign w:val="center"/>
            <w:hideMark/>
          </w:tcPr>
          <w:p w14:paraId="4B7DE5F9"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7EC6F9A" w14:textId="77777777" w:rsidR="00F208CE" w:rsidRDefault="00513E84">
            <w:pPr>
              <w:pStyle w:val="P68B1DB1-Normal14"/>
              <w:spacing w:after="0"/>
              <w:rPr>
                <w:rFonts w:eastAsia="Times New Roman" w:cs="Times New Roman"/>
                <w:noProof/>
              </w:rPr>
            </w:pPr>
            <w:r>
              <w:rPr>
                <w:noProof/>
              </w:rPr>
              <w:t>Adopción de un plan de despliegue de estaciones de recarga eléctrica</w:t>
            </w:r>
          </w:p>
        </w:tc>
      </w:tr>
      <w:tr w:rsidR="00F208CE" w14:paraId="75891C86" w14:textId="77777777">
        <w:trPr>
          <w:trHeight w:val="315"/>
        </w:trPr>
        <w:tc>
          <w:tcPr>
            <w:tcW w:w="345" w:type="pct"/>
            <w:shd w:val="clear" w:color="auto" w:fill="C6EFCE"/>
            <w:noWrap/>
            <w:vAlign w:val="center"/>
            <w:hideMark/>
          </w:tcPr>
          <w:p w14:paraId="140D6FEB" w14:textId="77777777" w:rsidR="00F208CE" w:rsidRDefault="00513E84">
            <w:pPr>
              <w:pStyle w:val="P68B1DB1-Normal14"/>
              <w:spacing w:after="0"/>
              <w:jc w:val="center"/>
              <w:rPr>
                <w:rFonts w:eastAsia="Times New Roman" w:cs="Times New Roman"/>
                <w:noProof/>
              </w:rPr>
            </w:pPr>
            <w:r>
              <w:rPr>
                <w:noProof/>
              </w:rPr>
              <w:t>131</w:t>
            </w:r>
          </w:p>
        </w:tc>
        <w:tc>
          <w:tcPr>
            <w:tcW w:w="2069" w:type="pct"/>
            <w:shd w:val="clear" w:color="auto" w:fill="C6EFCE"/>
            <w:noWrap/>
            <w:vAlign w:val="center"/>
            <w:hideMark/>
          </w:tcPr>
          <w:p w14:paraId="628B4B08" w14:textId="77777777" w:rsidR="00F208CE" w:rsidRDefault="00513E84">
            <w:pPr>
              <w:pStyle w:val="P68B1DB1-Normal14"/>
              <w:spacing w:after="0"/>
              <w:rPr>
                <w:rFonts w:eastAsia="Times New Roman" w:cs="Times New Roman"/>
                <w:noProof/>
              </w:rPr>
            </w:pPr>
            <w:r>
              <w:rPr>
                <w:noProof/>
              </w:rPr>
              <w:t>Suministro de equipos digitales e infraestructura informática a las escuelas (I-4)</w:t>
            </w:r>
          </w:p>
        </w:tc>
        <w:tc>
          <w:tcPr>
            <w:tcW w:w="361" w:type="pct"/>
            <w:shd w:val="clear" w:color="auto" w:fill="C6EFCE"/>
            <w:noWrap/>
            <w:vAlign w:val="center"/>
            <w:hideMark/>
          </w:tcPr>
          <w:p w14:paraId="14CA68BF"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34211E03" w14:textId="77777777" w:rsidR="00F208CE" w:rsidRDefault="00513E84">
            <w:pPr>
              <w:pStyle w:val="P68B1DB1-Normal14"/>
              <w:spacing w:after="0"/>
              <w:rPr>
                <w:rFonts w:eastAsia="Times New Roman" w:cs="Times New Roman"/>
                <w:noProof/>
              </w:rPr>
            </w:pPr>
            <w:r>
              <w:rPr>
                <w:noProof/>
              </w:rPr>
              <w:t>Dotar a las escuelas/instituciones de dispositivos e infraestructuras de</w:t>
            </w:r>
            <w:r>
              <w:rPr>
                <w:noProof/>
              </w:rPr>
              <w:t xml:space="preserve"> TIC adecuados para mejorar el rendimiento global de los sistemas educativos</w:t>
            </w:r>
          </w:p>
        </w:tc>
      </w:tr>
      <w:tr w:rsidR="00F208CE" w14:paraId="6E670E84" w14:textId="77777777">
        <w:trPr>
          <w:trHeight w:val="315"/>
        </w:trPr>
        <w:tc>
          <w:tcPr>
            <w:tcW w:w="345" w:type="pct"/>
            <w:shd w:val="clear" w:color="auto" w:fill="C6EFCE"/>
            <w:noWrap/>
            <w:vAlign w:val="center"/>
            <w:hideMark/>
          </w:tcPr>
          <w:p w14:paraId="28182CCE" w14:textId="77777777" w:rsidR="00F208CE" w:rsidRDefault="00513E84">
            <w:pPr>
              <w:pStyle w:val="P68B1DB1-Normal14"/>
              <w:spacing w:after="0"/>
              <w:jc w:val="center"/>
              <w:rPr>
                <w:rFonts w:eastAsia="Times New Roman" w:cs="Times New Roman"/>
                <w:noProof/>
              </w:rPr>
            </w:pPr>
            <w:r>
              <w:rPr>
                <w:noProof/>
              </w:rPr>
              <w:t>136</w:t>
            </w:r>
          </w:p>
        </w:tc>
        <w:tc>
          <w:tcPr>
            <w:tcW w:w="2069" w:type="pct"/>
            <w:shd w:val="clear" w:color="auto" w:fill="C6EFCE"/>
            <w:noWrap/>
            <w:vAlign w:val="center"/>
            <w:hideMark/>
          </w:tcPr>
          <w:p w14:paraId="427B9282" w14:textId="77777777" w:rsidR="00F208CE" w:rsidRDefault="00513E84">
            <w:pPr>
              <w:pStyle w:val="P68B1DB1-Normal14"/>
              <w:spacing w:after="0"/>
              <w:rPr>
                <w:rFonts w:eastAsia="Times New Roman" w:cs="Times New Roman"/>
                <w:noProof/>
              </w:rPr>
            </w:pPr>
            <w:r>
              <w:rPr>
                <w:noProof/>
              </w:rPr>
              <w:t>Orientación personalizada en la enseñanza obligatoria (I-4.03)</w:t>
            </w:r>
          </w:p>
        </w:tc>
        <w:tc>
          <w:tcPr>
            <w:tcW w:w="361" w:type="pct"/>
            <w:shd w:val="clear" w:color="auto" w:fill="C6EFCE"/>
            <w:noWrap/>
            <w:vAlign w:val="center"/>
            <w:hideMark/>
          </w:tcPr>
          <w:p w14:paraId="19B05D7F"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1DFF8391" w14:textId="77777777" w:rsidR="00F208CE" w:rsidRDefault="00513E84">
            <w:pPr>
              <w:pStyle w:val="P68B1DB1-Normal14"/>
              <w:spacing w:after="0"/>
              <w:rPr>
                <w:rFonts w:eastAsia="Times New Roman" w:cs="Times New Roman"/>
                <w:noProof/>
              </w:rPr>
            </w:pPr>
            <w:r>
              <w:rPr>
                <w:noProof/>
              </w:rPr>
              <w:t>Despliegue de un mecanismo reforzado de apoyo a los estudiantes necesitados</w:t>
            </w:r>
          </w:p>
        </w:tc>
      </w:tr>
      <w:tr w:rsidR="00F208CE" w14:paraId="02B375F2" w14:textId="77777777">
        <w:trPr>
          <w:trHeight w:val="315"/>
        </w:trPr>
        <w:tc>
          <w:tcPr>
            <w:tcW w:w="345" w:type="pct"/>
            <w:shd w:val="clear" w:color="auto" w:fill="C6EFCE"/>
            <w:noWrap/>
            <w:vAlign w:val="center"/>
            <w:hideMark/>
          </w:tcPr>
          <w:p w14:paraId="02A4CAAE" w14:textId="77777777" w:rsidR="00F208CE" w:rsidRDefault="00513E84">
            <w:pPr>
              <w:pStyle w:val="P68B1DB1-Normal14"/>
              <w:spacing w:after="0"/>
              <w:jc w:val="center"/>
              <w:rPr>
                <w:rFonts w:eastAsia="Times New Roman" w:cs="Times New Roman"/>
                <w:noProof/>
              </w:rPr>
            </w:pPr>
            <w:r>
              <w:rPr>
                <w:noProof/>
              </w:rPr>
              <w:t>149</w:t>
            </w:r>
          </w:p>
        </w:tc>
        <w:tc>
          <w:tcPr>
            <w:tcW w:w="2069" w:type="pct"/>
            <w:shd w:val="clear" w:color="auto" w:fill="C6EFCE"/>
            <w:noWrap/>
            <w:vAlign w:val="center"/>
            <w:hideMark/>
          </w:tcPr>
          <w:p w14:paraId="070017E8" w14:textId="77777777" w:rsidR="00F208CE" w:rsidRDefault="00513E84">
            <w:pPr>
              <w:pStyle w:val="P68B1DB1-Normal14"/>
              <w:spacing w:after="0"/>
              <w:rPr>
                <w:rFonts w:eastAsia="Times New Roman" w:cs="Times New Roman"/>
                <w:noProof/>
              </w:rPr>
            </w:pPr>
            <w:r>
              <w:rPr>
                <w:noProof/>
              </w:rPr>
              <w:t>Digibanks (I-4.11)</w:t>
            </w:r>
          </w:p>
        </w:tc>
        <w:tc>
          <w:tcPr>
            <w:tcW w:w="361" w:type="pct"/>
            <w:shd w:val="clear" w:color="auto" w:fill="C6EFCE"/>
            <w:noWrap/>
            <w:vAlign w:val="center"/>
            <w:hideMark/>
          </w:tcPr>
          <w:p w14:paraId="29A1D695"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40B1DE8C" w14:textId="77777777" w:rsidR="00F208CE" w:rsidRDefault="00513E84">
            <w:pPr>
              <w:pStyle w:val="P68B1DB1-Normal14"/>
              <w:spacing w:after="0"/>
              <w:rPr>
                <w:rFonts w:eastAsia="Times New Roman" w:cs="Times New Roman"/>
                <w:noProof/>
              </w:rPr>
            </w:pPr>
            <w:r>
              <w:rPr>
                <w:noProof/>
              </w:rPr>
              <w:t xml:space="preserve">Firma </w:t>
            </w:r>
            <w:r>
              <w:rPr>
                <w:noProof/>
              </w:rPr>
              <w:t>de asociaciones para promover la inclusión digital</w:t>
            </w:r>
          </w:p>
        </w:tc>
      </w:tr>
      <w:tr w:rsidR="00F208CE" w14:paraId="4A0CF8E9" w14:textId="77777777">
        <w:trPr>
          <w:trHeight w:val="315"/>
        </w:trPr>
        <w:tc>
          <w:tcPr>
            <w:tcW w:w="345" w:type="pct"/>
            <w:shd w:val="clear" w:color="auto" w:fill="C6EFCE"/>
            <w:noWrap/>
            <w:vAlign w:val="center"/>
            <w:hideMark/>
          </w:tcPr>
          <w:p w14:paraId="39C06EE0" w14:textId="77777777" w:rsidR="00F208CE" w:rsidRDefault="00513E84">
            <w:pPr>
              <w:pStyle w:val="P68B1DB1-Normal14"/>
              <w:spacing w:after="0"/>
              <w:jc w:val="center"/>
              <w:rPr>
                <w:rFonts w:eastAsia="Times New Roman" w:cs="Times New Roman"/>
                <w:noProof/>
              </w:rPr>
            </w:pPr>
            <w:r>
              <w:rPr>
                <w:noProof/>
              </w:rPr>
              <w:t>156</w:t>
            </w:r>
          </w:p>
        </w:tc>
        <w:tc>
          <w:tcPr>
            <w:tcW w:w="2069" w:type="pct"/>
            <w:shd w:val="clear" w:color="auto" w:fill="C6EFCE"/>
            <w:noWrap/>
            <w:vAlign w:val="center"/>
            <w:hideMark/>
          </w:tcPr>
          <w:p w14:paraId="266A566E" w14:textId="77777777" w:rsidR="00F208CE" w:rsidRDefault="00513E84">
            <w:pPr>
              <w:pStyle w:val="P68B1DB1-Normal14"/>
              <w:spacing w:after="0"/>
              <w:rPr>
                <w:rFonts w:eastAsia="Times New Roman" w:cs="Times New Roman"/>
                <w:noProof/>
              </w:rPr>
            </w:pPr>
            <w:r>
              <w:rPr>
                <w:noProof/>
              </w:rPr>
              <w:t>Pensión y fin de carrera (R-4.07)</w:t>
            </w:r>
          </w:p>
        </w:tc>
        <w:tc>
          <w:tcPr>
            <w:tcW w:w="361" w:type="pct"/>
            <w:shd w:val="clear" w:color="auto" w:fill="C6EFCE"/>
            <w:noWrap/>
            <w:vAlign w:val="center"/>
            <w:hideMark/>
          </w:tcPr>
          <w:p w14:paraId="58827647"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000641A" w14:textId="77777777" w:rsidR="00F208CE" w:rsidRDefault="00513E84">
            <w:pPr>
              <w:pStyle w:val="P68B1DB1-Normal14"/>
              <w:spacing w:after="0"/>
              <w:rPr>
                <w:rFonts w:eastAsia="Times New Roman" w:cs="Times New Roman"/>
                <w:noProof/>
              </w:rPr>
            </w:pPr>
            <w:r>
              <w:rPr>
                <w:noProof/>
              </w:rPr>
              <w:t>Plan de acción basado en los resultados de la conferencia sobre el empleo</w:t>
            </w:r>
          </w:p>
        </w:tc>
      </w:tr>
      <w:tr w:rsidR="00F208CE" w14:paraId="0BE8D66A" w14:textId="77777777">
        <w:trPr>
          <w:trHeight w:val="315"/>
        </w:trPr>
        <w:tc>
          <w:tcPr>
            <w:tcW w:w="345" w:type="pct"/>
            <w:shd w:val="clear" w:color="auto" w:fill="C6EFCE"/>
            <w:noWrap/>
            <w:vAlign w:val="center"/>
            <w:hideMark/>
          </w:tcPr>
          <w:p w14:paraId="6EB5D6B6" w14:textId="77777777" w:rsidR="00F208CE" w:rsidRDefault="00513E84">
            <w:pPr>
              <w:pStyle w:val="P68B1DB1-Normal14"/>
              <w:spacing w:after="0"/>
              <w:jc w:val="center"/>
              <w:rPr>
                <w:rFonts w:eastAsia="Times New Roman" w:cs="Times New Roman"/>
                <w:noProof/>
              </w:rPr>
            </w:pPr>
            <w:r>
              <w:rPr>
                <w:noProof/>
              </w:rPr>
              <w:t>164</w:t>
            </w:r>
          </w:p>
        </w:tc>
        <w:tc>
          <w:tcPr>
            <w:tcW w:w="2069" w:type="pct"/>
            <w:shd w:val="clear" w:color="auto" w:fill="C6EFCE"/>
            <w:noWrap/>
            <w:vAlign w:val="center"/>
            <w:hideMark/>
          </w:tcPr>
          <w:p w14:paraId="50FAFCAD" w14:textId="77777777" w:rsidR="00F208CE" w:rsidRDefault="00513E84">
            <w:pPr>
              <w:pStyle w:val="P68B1DB1-Normal14"/>
              <w:spacing w:after="0"/>
              <w:rPr>
                <w:rFonts w:eastAsia="Times New Roman" w:cs="Times New Roman"/>
                <w:noProof/>
              </w:rPr>
            </w:pPr>
            <w:r>
              <w:rPr>
                <w:noProof/>
              </w:rPr>
              <w:t>Ofensiva de aprendizaje y carrera profesional (I-5.04)</w:t>
            </w:r>
          </w:p>
        </w:tc>
        <w:tc>
          <w:tcPr>
            <w:tcW w:w="361" w:type="pct"/>
            <w:shd w:val="clear" w:color="auto" w:fill="C6EFCE"/>
            <w:noWrap/>
            <w:vAlign w:val="center"/>
            <w:hideMark/>
          </w:tcPr>
          <w:p w14:paraId="47BC5CBA"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203E2A48" w14:textId="77777777" w:rsidR="00F208CE" w:rsidRDefault="00513E84">
            <w:pPr>
              <w:pStyle w:val="P68B1DB1-Normal14"/>
              <w:spacing w:after="0"/>
              <w:rPr>
                <w:rFonts w:eastAsia="Times New Roman" w:cs="Times New Roman"/>
                <w:noProof/>
              </w:rPr>
            </w:pPr>
            <w:r>
              <w:rPr>
                <w:noProof/>
              </w:rPr>
              <w:t xml:space="preserve">Apoyo a los permisos de </w:t>
            </w:r>
            <w:r>
              <w:rPr>
                <w:noProof/>
              </w:rPr>
              <w:t>formación y a la oferta de formación en línea en Flandes</w:t>
            </w:r>
          </w:p>
        </w:tc>
      </w:tr>
      <w:tr w:rsidR="00F208CE" w14:paraId="1A62336F" w14:textId="77777777">
        <w:trPr>
          <w:trHeight w:val="315"/>
        </w:trPr>
        <w:tc>
          <w:tcPr>
            <w:tcW w:w="345" w:type="pct"/>
            <w:shd w:val="clear" w:color="auto" w:fill="C6EFCE"/>
            <w:noWrap/>
            <w:vAlign w:val="center"/>
            <w:hideMark/>
          </w:tcPr>
          <w:p w14:paraId="7E765434" w14:textId="77777777" w:rsidR="00F208CE" w:rsidRDefault="00513E84">
            <w:pPr>
              <w:pStyle w:val="P68B1DB1-Normal14"/>
              <w:spacing w:after="0"/>
              <w:jc w:val="center"/>
              <w:rPr>
                <w:rFonts w:eastAsia="Times New Roman" w:cs="Times New Roman"/>
                <w:noProof/>
              </w:rPr>
            </w:pPr>
            <w:r>
              <w:rPr>
                <w:noProof/>
              </w:rPr>
              <w:t>167</w:t>
            </w:r>
          </w:p>
        </w:tc>
        <w:tc>
          <w:tcPr>
            <w:tcW w:w="2069" w:type="pct"/>
            <w:shd w:val="clear" w:color="auto" w:fill="C6EFCE"/>
            <w:noWrap/>
            <w:vAlign w:val="center"/>
            <w:hideMark/>
          </w:tcPr>
          <w:p w14:paraId="1C895BD5" w14:textId="77777777" w:rsidR="00F208CE" w:rsidRDefault="00513E84">
            <w:pPr>
              <w:pStyle w:val="P68B1DB1-Normal14"/>
              <w:spacing w:after="0"/>
              <w:rPr>
                <w:rFonts w:eastAsia="Times New Roman" w:cs="Times New Roman"/>
                <w:noProof/>
              </w:rPr>
            </w:pPr>
            <w:r>
              <w:rPr>
                <w:noProof/>
              </w:rPr>
              <w:t>Aprendizaje y ofensiva asistencial (I-5.04)</w:t>
            </w:r>
          </w:p>
        </w:tc>
        <w:tc>
          <w:tcPr>
            <w:tcW w:w="361" w:type="pct"/>
            <w:shd w:val="clear" w:color="auto" w:fill="C6EFCE"/>
            <w:noWrap/>
            <w:vAlign w:val="center"/>
            <w:hideMark/>
          </w:tcPr>
          <w:p w14:paraId="5C94C77B"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2B59000" w14:textId="77777777" w:rsidR="00F208CE" w:rsidRDefault="00513E84">
            <w:pPr>
              <w:pStyle w:val="P68B1DB1-Normal14"/>
              <w:spacing w:after="0"/>
              <w:rPr>
                <w:rFonts w:eastAsia="Times New Roman" w:cs="Times New Roman"/>
                <w:noProof/>
              </w:rPr>
            </w:pPr>
            <w:r>
              <w:rPr>
                <w:noProof/>
              </w:rPr>
              <w:t>Apoyo a los desempleados temporales en Flandes</w:t>
            </w:r>
          </w:p>
        </w:tc>
      </w:tr>
      <w:tr w:rsidR="00F208CE" w14:paraId="1B3A0913" w14:textId="77777777">
        <w:trPr>
          <w:trHeight w:val="315"/>
        </w:trPr>
        <w:tc>
          <w:tcPr>
            <w:tcW w:w="345" w:type="pct"/>
            <w:shd w:val="clear" w:color="auto" w:fill="C6EFCE"/>
            <w:noWrap/>
            <w:vAlign w:val="center"/>
            <w:hideMark/>
          </w:tcPr>
          <w:p w14:paraId="445BDE39" w14:textId="77777777" w:rsidR="00F208CE" w:rsidRDefault="00513E84">
            <w:pPr>
              <w:pStyle w:val="P68B1DB1-Normal14"/>
              <w:spacing w:after="0"/>
              <w:jc w:val="center"/>
              <w:rPr>
                <w:rFonts w:eastAsia="Times New Roman" w:cs="Times New Roman"/>
                <w:noProof/>
              </w:rPr>
            </w:pPr>
            <w:r>
              <w:rPr>
                <w:noProof/>
              </w:rPr>
              <w:t>168</w:t>
            </w:r>
          </w:p>
        </w:tc>
        <w:tc>
          <w:tcPr>
            <w:tcW w:w="2069" w:type="pct"/>
            <w:shd w:val="clear" w:color="auto" w:fill="C6EFCE"/>
            <w:noWrap/>
            <w:vAlign w:val="center"/>
            <w:hideMark/>
          </w:tcPr>
          <w:p w14:paraId="136913B1" w14:textId="77777777" w:rsidR="00F208CE" w:rsidRDefault="00513E84">
            <w:pPr>
              <w:pStyle w:val="P68B1DB1-Normal14"/>
              <w:spacing w:after="0"/>
              <w:rPr>
                <w:rFonts w:eastAsia="Times New Roman" w:cs="Times New Roman"/>
                <w:noProof/>
              </w:rPr>
            </w:pPr>
            <w:r>
              <w:rPr>
                <w:noProof/>
              </w:rPr>
              <w:t>Aprendizaje permanente de la Comunidad Flamenca (R-5.04)</w:t>
            </w:r>
          </w:p>
        </w:tc>
        <w:tc>
          <w:tcPr>
            <w:tcW w:w="361" w:type="pct"/>
            <w:shd w:val="clear" w:color="auto" w:fill="C6EFCE"/>
            <w:noWrap/>
            <w:vAlign w:val="center"/>
            <w:hideMark/>
          </w:tcPr>
          <w:p w14:paraId="41251EC1"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819A775" w14:textId="77777777" w:rsidR="00F208CE" w:rsidRDefault="00513E84">
            <w:pPr>
              <w:pStyle w:val="P68B1DB1-Normal14"/>
              <w:spacing w:after="0"/>
              <w:rPr>
                <w:rFonts w:eastAsia="Times New Roman" w:cs="Times New Roman"/>
                <w:noProof/>
              </w:rPr>
            </w:pPr>
            <w:r>
              <w:rPr>
                <w:noProof/>
              </w:rPr>
              <w:t>Documento de reflexión sobre el apren</w:t>
            </w:r>
            <w:r>
              <w:rPr>
                <w:noProof/>
              </w:rPr>
              <w:t>dizaje y la cuenta de carrera profesional en Flandes</w:t>
            </w:r>
          </w:p>
        </w:tc>
      </w:tr>
      <w:tr w:rsidR="00F208CE" w14:paraId="7EF209CE" w14:textId="77777777">
        <w:trPr>
          <w:trHeight w:val="315"/>
        </w:trPr>
        <w:tc>
          <w:tcPr>
            <w:tcW w:w="345" w:type="pct"/>
            <w:shd w:val="clear" w:color="auto" w:fill="C6EFCE"/>
            <w:noWrap/>
            <w:vAlign w:val="center"/>
            <w:hideMark/>
          </w:tcPr>
          <w:p w14:paraId="1C7AE204" w14:textId="77777777" w:rsidR="00F208CE" w:rsidRDefault="00513E84">
            <w:pPr>
              <w:pStyle w:val="P68B1DB1-Normal14"/>
              <w:spacing w:after="0"/>
              <w:jc w:val="center"/>
              <w:rPr>
                <w:rFonts w:eastAsia="Times New Roman" w:cs="Times New Roman"/>
                <w:noProof/>
              </w:rPr>
            </w:pPr>
            <w:r>
              <w:rPr>
                <w:noProof/>
              </w:rPr>
              <w:t>169</w:t>
            </w:r>
          </w:p>
        </w:tc>
        <w:tc>
          <w:tcPr>
            <w:tcW w:w="2069" w:type="pct"/>
            <w:shd w:val="clear" w:color="auto" w:fill="C6EFCE"/>
            <w:noWrap/>
            <w:vAlign w:val="center"/>
            <w:hideMark/>
          </w:tcPr>
          <w:p w14:paraId="313D6B33" w14:textId="77777777" w:rsidR="00F208CE" w:rsidRDefault="00513E84">
            <w:pPr>
              <w:pStyle w:val="P68B1DB1-Normal14"/>
              <w:spacing w:after="0"/>
              <w:rPr>
                <w:rFonts w:eastAsia="Times New Roman" w:cs="Times New Roman"/>
                <w:noProof/>
              </w:rPr>
            </w:pPr>
            <w:r>
              <w:rPr>
                <w:noProof/>
              </w:rPr>
              <w:t>Competencias digitales (I-5.06)</w:t>
            </w:r>
          </w:p>
        </w:tc>
        <w:tc>
          <w:tcPr>
            <w:tcW w:w="361" w:type="pct"/>
            <w:shd w:val="clear" w:color="auto" w:fill="C6EFCE"/>
            <w:noWrap/>
            <w:vAlign w:val="center"/>
            <w:hideMark/>
          </w:tcPr>
          <w:p w14:paraId="1C4662C4"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5347A782" w14:textId="77777777" w:rsidR="00F208CE" w:rsidRDefault="00513E84">
            <w:pPr>
              <w:pStyle w:val="P68B1DB1-Normal14"/>
              <w:spacing w:after="0"/>
              <w:rPr>
                <w:rFonts w:eastAsia="Times New Roman" w:cs="Times New Roman"/>
                <w:noProof/>
              </w:rPr>
            </w:pPr>
            <w:r>
              <w:rPr>
                <w:noProof/>
              </w:rPr>
              <w:t>Desarrollo de la oferta de aprendizaje electrónico en Flandes</w:t>
            </w:r>
          </w:p>
        </w:tc>
      </w:tr>
      <w:tr w:rsidR="00F208CE" w14:paraId="3BEE7A95" w14:textId="77777777">
        <w:trPr>
          <w:trHeight w:val="315"/>
        </w:trPr>
        <w:tc>
          <w:tcPr>
            <w:tcW w:w="345" w:type="pct"/>
            <w:shd w:val="clear" w:color="auto" w:fill="C6EFCE"/>
            <w:noWrap/>
            <w:vAlign w:val="center"/>
            <w:hideMark/>
          </w:tcPr>
          <w:p w14:paraId="266F0D0A" w14:textId="77777777" w:rsidR="00F208CE" w:rsidRDefault="00513E84">
            <w:pPr>
              <w:pStyle w:val="P68B1DB1-Normal14"/>
              <w:spacing w:after="0"/>
              <w:jc w:val="center"/>
              <w:rPr>
                <w:rFonts w:eastAsia="Times New Roman" w:cs="Times New Roman"/>
                <w:noProof/>
              </w:rPr>
            </w:pPr>
            <w:r>
              <w:rPr>
                <w:noProof/>
              </w:rPr>
              <w:t>186</w:t>
            </w:r>
          </w:p>
        </w:tc>
        <w:tc>
          <w:tcPr>
            <w:tcW w:w="2069" w:type="pct"/>
            <w:shd w:val="clear" w:color="auto" w:fill="C6EFCE"/>
            <w:noWrap/>
            <w:vAlign w:val="center"/>
            <w:hideMark/>
          </w:tcPr>
          <w:p w14:paraId="0D53ED03" w14:textId="77777777" w:rsidR="00F208CE" w:rsidRDefault="00513E84">
            <w:pPr>
              <w:pStyle w:val="P68B1DB1-Normal14"/>
              <w:spacing w:after="0"/>
              <w:rPr>
                <w:rFonts w:eastAsia="Times New Roman" w:cs="Times New Roman"/>
                <w:noProof/>
              </w:rPr>
            </w:pPr>
            <w:r>
              <w:rPr>
                <w:noProof/>
              </w:rPr>
              <w:t>Reforzar la I + D (I-5.11)</w:t>
            </w:r>
          </w:p>
        </w:tc>
        <w:tc>
          <w:tcPr>
            <w:tcW w:w="361" w:type="pct"/>
            <w:shd w:val="clear" w:color="auto" w:fill="C6EFCE"/>
            <w:noWrap/>
            <w:vAlign w:val="center"/>
            <w:hideMark/>
          </w:tcPr>
          <w:p w14:paraId="67B83E4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23A918C" w14:textId="77777777" w:rsidR="00F208CE" w:rsidRDefault="00513E84">
            <w:pPr>
              <w:pStyle w:val="P68B1DB1-Normal14"/>
              <w:spacing w:after="0"/>
              <w:rPr>
                <w:rFonts w:eastAsia="Times New Roman" w:cs="Times New Roman"/>
                <w:noProof/>
              </w:rPr>
            </w:pPr>
            <w:r>
              <w:rPr>
                <w:noProof/>
              </w:rPr>
              <w:t xml:space="preserve">Adjudicación de contratos públicos para proyectos de I + D y de </w:t>
            </w:r>
            <w:r>
              <w:rPr>
                <w:noProof/>
              </w:rPr>
              <w:t>infraestructuras</w:t>
            </w:r>
          </w:p>
        </w:tc>
      </w:tr>
      <w:tr w:rsidR="00F208CE" w14:paraId="3D20A79C" w14:textId="77777777">
        <w:trPr>
          <w:trHeight w:val="315"/>
        </w:trPr>
        <w:tc>
          <w:tcPr>
            <w:tcW w:w="345" w:type="pct"/>
            <w:shd w:val="clear" w:color="auto" w:fill="C6EFCE"/>
            <w:noWrap/>
            <w:vAlign w:val="center"/>
            <w:hideMark/>
          </w:tcPr>
          <w:p w14:paraId="46E16DFC" w14:textId="77777777" w:rsidR="00F208CE" w:rsidRDefault="00513E84">
            <w:pPr>
              <w:pStyle w:val="P68B1DB1-Normal14"/>
              <w:spacing w:after="0"/>
              <w:jc w:val="center"/>
              <w:rPr>
                <w:rFonts w:eastAsia="Times New Roman" w:cs="Times New Roman"/>
                <w:noProof/>
              </w:rPr>
            </w:pPr>
            <w:r>
              <w:rPr>
                <w:noProof/>
              </w:rPr>
              <w:t>189</w:t>
            </w:r>
          </w:p>
        </w:tc>
        <w:tc>
          <w:tcPr>
            <w:tcW w:w="2069" w:type="pct"/>
            <w:shd w:val="clear" w:color="auto" w:fill="C6EFCE"/>
            <w:noWrap/>
            <w:vAlign w:val="center"/>
            <w:hideMark/>
          </w:tcPr>
          <w:p w14:paraId="51453DCE" w14:textId="77777777" w:rsidR="00F208CE" w:rsidRDefault="00513E84">
            <w:pPr>
              <w:pStyle w:val="P68B1DB1-Normal14"/>
              <w:spacing w:after="0"/>
              <w:rPr>
                <w:rFonts w:eastAsia="Times New Roman" w:cs="Times New Roman"/>
                <w:noProof/>
              </w:rPr>
            </w:pPr>
            <w:r>
              <w:rPr>
                <w:noProof/>
              </w:rPr>
              <w:t>Reubicación de alimentos y desarrollo de plataformas logísticas (I-5.12)</w:t>
            </w:r>
          </w:p>
        </w:tc>
        <w:tc>
          <w:tcPr>
            <w:tcW w:w="361" w:type="pct"/>
            <w:shd w:val="clear" w:color="auto" w:fill="C6EFCE"/>
            <w:noWrap/>
            <w:vAlign w:val="center"/>
            <w:hideMark/>
          </w:tcPr>
          <w:p w14:paraId="6860D8D5"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666B4AC7" w14:textId="77777777" w:rsidR="00F208CE" w:rsidRDefault="00513E84">
            <w:pPr>
              <w:pStyle w:val="P68B1DB1-Normal14"/>
              <w:spacing w:after="0"/>
              <w:rPr>
                <w:rFonts w:eastAsia="Times New Roman" w:cs="Times New Roman"/>
                <w:noProof/>
              </w:rPr>
            </w:pPr>
            <w:r>
              <w:rPr>
                <w:noProof/>
              </w:rPr>
              <w:t>Apoyo a 30 proyectos de reubicación de alimentos, cuatro sectores emergentes y 5 infraestructuras</w:t>
            </w:r>
          </w:p>
        </w:tc>
      </w:tr>
      <w:tr w:rsidR="00F208CE" w14:paraId="41CD5EAC" w14:textId="77777777">
        <w:trPr>
          <w:trHeight w:val="315"/>
        </w:trPr>
        <w:tc>
          <w:tcPr>
            <w:tcW w:w="345" w:type="pct"/>
            <w:shd w:val="clear" w:color="auto" w:fill="C6EFCE"/>
            <w:noWrap/>
            <w:vAlign w:val="center"/>
            <w:hideMark/>
          </w:tcPr>
          <w:p w14:paraId="28CAD40E" w14:textId="77777777" w:rsidR="00F208CE" w:rsidRDefault="00513E84">
            <w:pPr>
              <w:pStyle w:val="P68B1DB1-Normal14"/>
              <w:spacing w:after="0"/>
              <w:jc w:val="center"/>
              <w:rPr>
                <w:rFonts w:eastAsia="Times New Roman" w:cs="Times New Roman"/>
                <w:noProof/>
              </w:rPr>
            </w:pPr>
            <w:r>
              <w:rPr>
                <w:noProof/>
              </w:rPr>
              <w:t>193</w:t>
            </w:r>
          </w:p>
        </w:tc>
        <w:tc>
          <w:tcPr>
            <w:tcW w:w="2069" w:type="pct"/>
            <w:shd w:val="clear" w:color="auto" w:fill="C6EFCE"/>
            <w:noWrap/>
            <w:vAlign w:val="center"/>
            <w:hideMark/>
          </w:tcPr>
          <w:p w14:paraId="0835E266" w14:textId="77777777" w:rsidR="00F208CE" w:rsidRDefault="00513E84">
            <w:pPr>
              <w:pStyle w:val="P68B1DB1-Normal14"/>
              <w:spacing w:after="0"/>
              <w:rPr>
                <w:rFonts w:eastAsia="Times New Roman" w:cs="Times New Roman"/>
                <w:noProof/>
              </w:rPr>
            </w:pPr>
            <w:r>
              <w:rPr>
                <w:noProof/>
              </w:rPr>
              <w:t xml:space="preserve">Reforma — Permisos más rápidos y procedimientos de </w:t>
            </w:r>
            <w:r>
              <w:rPr>
                <w:noProof/>
              </w:rPr>
              <w:t>recurso (R-5.06)</w:t>
            </w:r>
          </w:p>
        </w:tc>
        <w:tc>
          <w:tcPr>
            <w:tcW w:w="361" w:type="pct"/>
            <w:shd w:val="clear" w:color="auto" w:fill="C6EFCE"/>
            <w:noWrap/>
            <w:vAlign w:val="center"/>
            <w:hideMark/>
          </w:tcPr>
          <w:p w14:paraId="163B1735"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3F60FE9" w14:textId="77777777" w:rsidR="00F208CE" w:rsidRDefault="00513E84">
            <w:pPr>
              <w:pStyle w:val="P68B1DB1-Normal14"/>
              <w:spacing w:after="0"/>
              <w:rPr>
                <w:rFonts w:eastAsia="Times New Roman" w:cs="Times New Roman"/>
                <w:noProof/>
              </w:rPr>
            </w:pPr>
            <w:r>
              <w:rPr>
                <w:noProof/>
              </w:rPr>
              <w:t>Reforma del permiso medioambiental y procedimientos de recurso</w:t>
            </w:r>
          </w:p>
        </w:tc>
      </w:tr>
      <w:tr w:rsidR="00F208CE" w14:paraId="02189565" w14:textId="77777777">
        <w:trPr>
          <w:trHeight w:val="315"/>
        </w:trPr>
        <w:tc>
          <w:tcPr>
            <w:tcW w:w="345" w:type="pct"/>
            <w:shd w:val="clear" w:color="auto" w:fill="C6EFCE"/>
            <w:noWrap/>
            <w:vAlign w:val="center"/>
            <w:hideMark/>
          </w:tcPr>
          <w:p w14:paraId="7EB5BE3A" w14:textId="77777777" w:rsidR="00F208CE" w:rsidRDefault="00513E84">
            <w:pPr>
              <w:pStyle w:val="P68B1DB1-Normal14"/>
              <w:spacing w:after="0"/>
              <w:jc w:val="center"/>
              <w:rPr>
                <w:rFonts w:eastAsia="Times New Roman" w:cs="Times New Roman"/>
                <w:noProof/>
              </w:rPr>
            </w:pPr>
            <w:r>
              <w:rPr>
                <w:noProof/>
              </w:rPr>
              <w:t>194</w:t>
            </w:r>
          </w:p>
        </w:tc>
        <w:tc>
          <w:tcPr>
            <w:tcW w:w="2069" w:type="pct"/>
            <w:shd w:val="clear" w:color="auto" w:fill="C6EFCE"/>
            <w:noWrap/>
            <w:vAlign w:val="center"/>
            <w:hideMark/>
          </w:tcPr>
          <w:p w14:paraId="1D4FBDCB" w14:textId="77777777" w:rsidR="00F208CE" w:rsidRDefault="00513E84">
            <w:pPr>
              <w:pStyle w:val="P68B1DB1-Normal14"/>
              <w:spacing w:after="0"/>
              <w:rPr>
                <w:rFonts w:eastAsia="Times New Roman" w:cs="Times New Roman"/>
                <w:noProof/>
              </w:rPr>
            </w:pPr>
            <w:r>
              <w:rPr>
                <w:noProof/>
              </w:rPr>
              <w:t>Reforma — Ampliar la base de innovación (R-5.07)</w:t>
            </w:r>
          </w:p>
        </w:tc>
        <w:tc>
          <w:tcPr>
            <w:tcW w:w="361" w:type="pct"/>
            <w:shd w:val="clear" w:color="auto" w:fill="C6EFCE"/>
            <w:noWrap/>
            <w:vAlign w:val="center"/>
            <w:hideMark/>
          </w:tcPr>
          <w:p w14:paraId="1730DF01"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8E7DD10" w14:textId="77777777" w:rsidR="00F208CE" w:rsidRDefault="00513E84">
            <w:pPr>
              <w:pStyle w:val="P68B1DB1-Normal14"/>
              <w:spacing w:after="0"/>
              <w:rPr>
                <w:rFonts w:eastAsia="Times New Roman" w:cs="Times New Roman"/>
                <w:noProof/>
              </w:rPr>
            </w:pPr>
            <w:r>
              <w:rPr>
                <w:noProof/>
              </w:rPr>
              <w:t>Reforma del Reglamento relativo al apoyo a la innovación</w:t>
            </w:r>
          </w:p>
        </w:tc>
      </w:tr>
      <w:tr w:rsidR="00F208CE" w14:paraId="5F7FB8E9" w14:textId="77777777">
        <w:trPr>
          <w:trHeight w:val="315"/>
        </w:trPr>
        <w:tc>
          <w:tcPr>
            <w:tcW w:w="345" w:type="pct"/>
            <w:shd w:val="clear" w:color="auto" w:fill="C6EFCE"/>
            <w:noWrap/>
            <w:vAlign w:val="center"/>
            <w:hideMark/>
          </w:tcPr>
          <w:p w14:paraId="0427EA5C" w14:textId="77777777" w:rsidR="00F208CE" w:rsidRDefault="00513E84">
            <w:pPr>
              <w:pStyle w:val="P68B1DB1-Normal14"/>
              <w:spacing w:after="0"/>
              <w:jc w:val="center"/>
              <w:rPr>
                <w:rFonts w:eastAsia="Times New Roman" w:cs="Times New Roman"/>
                <w:noProof/>
              </w:rPr>
            </w:pPr>
            <w:r>
              <w:rPr>
                <w:noProof/>
              </w:rPr>
              <w:t>195</w:t>
            </w:r>
          </w:p>
        </w:tc>
        <w:tc>
          <w:tcPr>
            <w:tcW w:w="2069" w:type="pct"/>
            <w:shd w:val="clear" w:color="auto" w:fill="C6EFCE"/>
            <w:noWrap/>
            <w:vAlign w:val="center"/>
            <w:hideMark/>
          </w:tcPr>
          <w:p w14:paraId="0A56746A" w14:textId="77777777" w:rsidR="00F208CE" w:rsidRDefault="00513E84">
            <w:pPr>
              <w:pStyle w:val="P68B1DB1-Normal14"/>
              <w:spacing w:after="0"/>
              <w:rPr>
                <w:rFonts w:eastAsia="Times New Roman" w:cs="Times New Roman"/>
                <w:noProof/>
              </w:rPr>
            </w:pPr>
            <w:r>
              <w:rPr>
                <w:noProof/>
              </w:rPr>
              <w:t xml:space="preserve">Estrategia regional de Bruselas para la transición </w:t>
            </w:r>
            <w:r>
              <w:rPr>
                <w:noProof/>
              </w:rPr>
              <w:t>económica (R-5.08)</w:t>
            </w:r>
          </w:p>
        </w:tc>
        <w:tc>
          <w:tcPr>
            <w:tcW w:w="361" w:type="pct"/>
            <w:shd w:val="clear" w:color="auto" w:fill="C6EFCE"/>
            <w:noWrap/>
            <w:vAlign w:val="center"/>
            <w:hideMark/>
          </w:tcPr>
          <w:p w14:paraId="31BCB854"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FF83115" w14:textId="77777777" w:rsidR="00F208CE" w:rsidRDefault="00513E84">
            <w:pPr>
              <w:pStyle w:val="P68B1DB1-Normal14"/>
              <w:spacing w:after="0"/>
              <w:rPr>
                <w:rFonts w:eastAsia="Times New Roman" w:cs="Times New Roman"/>
                <w:noProof/>
              </w:rPr>
            </w:pPr>
            <w:r>
              <w:rPr>
                <w:noProof/>
              </w:rPr>
              <w:t>Adopción de la Estrategia Regional para la Transición Económica</w:t>
            </w:r>
          </w:p>
        </w:tc>
      </w:tr>
      <w:tr w:rsidR="00F208CE" w14:paraId="42222984" w14:textId="77777777">
        <w:trPr>
          <w:trHeight w:val="315"/>
        </w:trPr>
        <w:tc>
          <w:tcPr>
            <w:tcW w:w="345" w:type="pct"/>
            <w:shd w:val="clear" w:color="auto" w:fill="C6EFCE"/>
            <w:noWrap/>
            <w:vAlign w:val="center"/>
            <w:hideMark/>
          </w:tcPr>
          <w:p w14:paraId="41E5AB05" w14:textId="77777777" w:rsidR="00F208CE" w:rsidRDefault="00513E84">
            <w:pPr>
              <w:pStyle w:val="P68B1DB1-Normal14"/>
              <w:spacing w:after="0"/>
              <w:jc w:val="center"/>
              <w:rPr>
                <w:rFonts w:eastAsia="Times New Roman" w:cs="Times New Roman"/>
                <w:noProof/>
              </w:rPr>
            </w:pPr>
            <w:r>
              <w:rPr>
                <w:noProof/>
              </w:rPr>
              <w:t>197</w:t>
            </w:r>
          </w:p>
        </w:tc>
        <w:tc>
          <w:tcPr>
            <w:tcW w:w="2069" w:type="pct"/>
            <w:shd w:val="clear" w:color="auto" w:fill="C6EFCE"/>
            <w:noWrap/>
            <w:vAlign w:val="center"/>
            <w:hideMark/>
          </w:tcPr>
          <w:p w14:paraId="22DEB9A2" w14:textId="77777777" w:rsidR="00F208CE" w:rsidRDefault="00513E84">
            <w:pPr>
              <w:pStyle w:val="P68B1DB1-Normal14"/>
              <w:spacing w:after="0"/>
              <w:rPr>
                <w:rFonts w:eastAsia="Times New Roman" w:cs="Times New Roman"/>
                <w:noProof/>
              </w:rPr>
            </w:pPr>
            <w:r>
              <w:rPr>
                <w:noProof/>
              </w:rPr>
              <w:t>Centro de reciclado (I-5.14)</w:t>
            </w:r>
          </w:p>
        </w:tc>
        <w:tc>
          <w:tcPr>
            <w:tcW w:w="361" w:type="pct"/>
            <w:shd w:val="clear" w:color="auto" w:fill="C6EFCE"/>
            <w:noWrap/>
            <w:vAlign w:val="center"/>
            <w:hideMark/>
          </w:tcPr>
          <w:p w14:paraId="55843505"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4BF2F15C" w14:textId="77777777" w:rsidR="00F208CE" w:rsidRDefault="00513E84">
            <w:pPr>
              <w:pStyle w:val="P68B1DB1-Normal14"/>
              <w:spacing w:after="0"/>
              <w:rPr>
                <w:rFonts w:eastAsia="Times New Roman" w:cs="Times New Roman"/>
                <w:noProof/>
              </w:rPr>
            </w:pPr>
            <w:r>
              <w:rPr>
                <w:noProof/>
              </w:rPr>
              <w:t>Adjudicación de seis contratos públicos de instalaciones de reciclado</w:t>
            </w:r>
          </w:p>
        </w:tc>
      </w:tr>
      <w:tr w:rsidR="00F208CE" w14:paraId="0F0A5175" w14:textId="77777777">
        <w:trPr>
          <w:trHeight w:val="315"/>
        </w:trPr>
        <w:tc>
          <w:tcPr>
            <w:tcW w:w="345" w:type="pct"/>
            <w:shd w:val="clear" w:color="auto" w:fill="C6EFCE"/>
            <w:noWrap/>
            <w:vAlign w:val="center"/>
            <w:hideMark/>
          </w:tcPr>
          <w:p w14:paraId="339F97A7" w14:textId="77777777" w:rsidR="00F208CE" w:rsidRDefault="00513E84">
            <w:pPr>
              <w:pStyle w:val="P68B1DB1-Normal14"/>
              <w:spacing w:after="0"/>
              <w:jc w:val="center"/>
              <w:rPr>
                <w:rFonts w:eastAsia="Times New Roman" w:cs="Times New Roman"/>
                <w:noProof/>
              </w:rPr>
            </w:pPr>
            <w:r>
              <w:rPr>
                <w:noProof/>
              </w:rPr>
              <w:t>201</w:t>
            </w:r>
          </w:p>
        </w:tc>
        <w:tc>
          <w:tcPr>
            <w:tcW w:w="2069" w:type="pct"/>
            <w:shd w:val="clear" w:color="auto" w:fill="C6EFCE"/>
            <w:noWrap/>
            <w:vAlign w:val="center"/>
            <w:hideMark/>
          </w:tcPr>
          <w:p w14:paraId="0C89AE53" w14:textId="77777777" w:rsidR="00F208CE" w:rsidRDefault="00513E84">
            <w:pPr>
              <w:pStyle w:val="P68B1DB1-Normal14"/>
              <w:spacing w:after="0"/>
              <w:rPr>
                <w:rFonts w:eastAsia="Times New Roman" w:cs="Times New Roman"/>
                <w:noProof/>
              </w:rPr>
            </w:pPr>
            <w:r>
              <w:rPr>
                <w:noProof/>
              </w:rPr>
              <w:t>Despliegue de la economía circular en Valonia (I-5.16)</w:t>
            </w:r>
          </w:p>
        </w:tc>
        <w:tc>
          <w:tcPr>
            <w:tcW w:w="361" w:type="pct"/>
            <w:shd w:val="clear" w:color="auto" w:fill="C6EFCE"/>
            <w:noWrap/>
            <w:vAlign w:val="center"/>
            <w:hideMark/>
          </w:tcPr>
          <w:p w14:paraId="18F152A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CFCF32F" w14:textId="77777777" w:rsidR="00F208CE" w:rsidRDefault="00513E84">
            <w:pPr>
              <w:pStyle w:val="P68B1DB1-Normal14"/>
              <w:spacing w:after="0"/>
              <w:rPr>
                <w:rFonts w:eastAsia="Times New Roman" w:cs="Times New Roman"/>
                <w:noProof/>
              </w:rPr>
            </w:pPr>
            <w:r>
              <w:rPr>
                <w:noProof/>
              </w:rPr>
              <w:t>Adjudicación de contratos públicos para proyectos de fomento de la economía circular en Valonia</w:t>
            </w:r>
          </w:p>
        </w:tc>
      </w:tr>
      <w:tr w:rsidR="00F208CE" w14:paraId="353364C4" w14:textId="77777777">
        <w:trPr>
          <w:trHeight w:val="315"/>
        </w:trPr>
        <w:tc>
          <w:tcPr>
            <w:tcW w:w="345" w:type="pct"/>
            <w:shd w:val="clear" w:color="auto" w:fill="C6EFCE"/>
            <w:noWrap/>
            <w:vAlign w:val="center"/>
            <w:hideMark/>
          </w:tcPr>
          <w:p w14:paraId="19E3A0E4" w14:textId="77777777" w:rsidR="00F208CE" w:rsidRDefault="00513E84">
            <w:pPr>
              <w:pStyle w:val="P68B1DB1-Normal14"/>
              <w:spacing w:after="0"/>
              <w:jc w:val="center"/>
              <w:rPr>
                <w:rFonts w:eastAsia="Times New Roman" w:cs="Times New Roman"/>
                <w:noProof/>
              </w:rPr>
            </w:pPr>
            <w:r>
              <w:rPr>
                <w:noProof/>
              </w:rPr>
              <w:t>206</w:t>
            </w:r>
          </w:p>
        </w:tc>
        <w:tc>
          <w:tcPr>
            <w:tcW w:w="2069" w:type="pct"/>
            <w:shd w:val="clear" w:color="auto" w:fill="C6EFCE"/>
            <w:noWrap/>
            <w:vAlign w:val="center"/>
            <w:hideMark/>
          </w:tcPr>
          <w:p w14:paraId="4CA004D2" w14:textId="77777777" w:rsidR="00F208CE" w:rsidRDefault="00513E84">
            <w:pPr>
              <w:pStyle w:val="P68B1DB1-Normal14"/>
              <w:spacing w:after="0"/>
              <w:rPr>
                <w:rFonts w:eastAsia="Times New Roman" w:cs="Times New Roman"/>
                <w:noProof/>
              </w:rPr>
            </w:pPr>
            <w:r>
              <w:rPr>
                <w:noProof/>
              </w:rPr>
              <w:t>Revisiones del gasto (R-6)</w:t>
            </w:r>
          </w:p>
        </w:tc>
        <w:tc>
          <w:tcPr>
            <w:tcW w:w="361" w:type="pct"/>
            <w:shd w:val="clear" w:color="auto" w:fill="C6EFCE"/>
            <w:noWrap/>
            <w:vAlign w:val="center"/>
            <w:hideMark/>
          </w:tcPr>
          <w:p w14:paraId="31E5DCC2"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A52CA9A" w14:textId="0D9DB425" w:rsidR="00F208CE" w:rsidRDefault="00513E84">
            <w:pPr>
              <w:pStyle w:val="P68B1DB1-Normal14"/>
              <w:spacing w:after="0"/>
              <w:rPr>
                <w:rFonts w:eastAsia="Times New Roman" w:cs="Times New Roman"/>
                <w:noProof/>
              </w:rPr>
            </w:pPr>
            <w:r>
              <w:rPr>
                <w:noProof/>
              </w:rPr>
              <w:t>Integración de la revisión del gasto en el proceso presupuestario (1) o finalización piloto</w:t>
            </w:r>
          </w:p>
        </w:tc>
      </w:tr>
      <w:tr w:rsidR="00F208CE" w14:paraId="3FEB9BE4" w14:textId="77777777">
        <w:trPr>
          <w:trHeight w:val="315"/>
        </w:trPr>
        <w:tc>
          <w:tcPr>
            <w:tcW w:w="345" w:type="pct"/>
            <w:shd w:val="clear" w:color="auto" w:fill="C6EFCE"/>
            <w:noWrap/>
            <w:vAlign w:val="center"/>
            <w:hideMark/>
          </w:tcPr>
          <w:p w14:paraId="0FAD7F7C" w14:textId="77777777" w:rsidR="00F208CE" w:rsidRDefault="00513E84">
            <w:pPr>
              <w:pStyle w:val="P68B1DB1-Normal14"/>
              <w:spacing w:after="0"/>
              <w:jc w:val="center"/>
              <w:rPr>
                <w:rFonts w:eastAsia="Times New Roman" w:cs="Times New Roman"/>
                <w:noProof/>
              </w:rPr>
            </w:pPr>
            <w:r>
              <w:rPr>
                <w:noProof/>
              </w:rPr>
              <w:t>213</w:t>
            </w:r>
          </w:p>
        </w:tc>
        <w:tc>
          <w:tcPr>
            <w:tcW w:w="2069" w:type="pct"/>
            <w:shd w:val="clear" w:color="auto" w:fill="C6EFCE"/>
            <w:noWrap/>
            <w:vAlign w:val="center"/>
            <w:hideMark/>
          </w:tcPr>
          <w:p w14:paraId="0E006814" w14:textId="77777777" w:rsidR="00F208CE" w:rsidRDefault="00513E84">
            <w:pPr>
              <w:pStyle w:val="P68B1DB1-Normal14"/>
              <w:spacing w:after="0"/>
              <w:rPr>
                <w:rFonts w:eastAsia="Times New Roman" w:cs="Times New Roman"/>
                <w:noProof/>
              </w:rPr>
            </w:pPr>
            <w:r>
              <w:rPr>
                <w:noProof/>
              </w:rPr>
              <w:t>Mejora del régimen de subvenc</w:t>
            </w:r>
            <w:r>
              <w:rPr>
                <w:noProof/>
              </w:rPr>
              <w:t>iones a la energía de la Región Flamenca (I-7.02)</w:t>
            </w:r>
          </w:p>
        </w:tc>
        <w:tc>
          <w:tcPr>
            <w:tcW w:w="361" w:type="pct"/>
            <w:shd w:val="clear" w:color="auto" w:fill="C6EFCE"/>
            <w:noWrap/>
            <w:vAlign w:val="center"/>
            <w:hideMark/>
          </w:tcPr>
          <w:p w14:paraId="40A58B4D"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9DDE01E" w14:textId="77777777" w:rsidR="00F208CE" w:rsidRDefault="00513E84">
            <w:pPr>
              <w:pStyle w:val="P68B1DB1-Normal14"/>
              <w:spacing w:after="0"/>
              <w:rPr>
                <w:rFonts w:eastAsia="Times New Roman" w:cs="Times New Roman"/>
                <w:noProof/>
              </w:rPr>
            </w:pPr>
            <w:r>
              <w:rPr>
                <w:noProof/>
              </w:rPr>
              <w:t>Aumento del régimen de subvenciones a la energía de la Región Flamenca</w:t>
            </w:r>
          </w:p>
        </w:tc>
      </w:tr>
      <w:tr w:rsidR="00F208CE" w14:paraId="51EC28FF" w14:textId="77777777">
        <w:trPr>
          <w:trHeight w:val="315"/>
        </w:trPr>
        <w:tc>
          <w:tcPr>
            <w:tcW w:w="345" w:type="pct"/>
            <w:shd w:val="clear" w:color="auto" w:fill="C6EFCE"/>
            <w:noWrap/>
            <w:vAlign w:val="center"/>
            <w:hideMark/>
          </w:tcPr>
          <w:p w14:paraId="4CC84E1F" w14:textId="77777777" w:rsidR="00F208CE" w:rsidRDefault="00513E84">
            <w:pPr>
              <w:pStyle w:val="P68B1DB1-Normal14"/>
              <w:spacing w:after="0"/>
              <w:jc w:val="center"/>
              <w:rPr>
                <w:rFonts w:eastAsia="Times New Roman" w:cs="Times New Roman"/>
                <w:noProof/>
              </w:rPr>
            </w:pPr>
            <w:r>
              <w:rPr>
                <w:noProof/>
              </w:rPr>
              <w:t>250</w:t>
            </w:r>
          </w:p>
        </w:tc>
        <w:tc>
          <w:tcPr>
            <w:tcW w:w="2069" w:type="pct"/>
            <w:shd w:val="clear" w:color="auto" w:fill="C6EFCE"/>
            <w:noWrap/>
            <w:vAlign w:val="center"/>
            <w:hideMark/>
          </w:tcPr>
          <w:p w14:paraId="3B69E25D" w14:textId="77777777" w:rsidR="00F208CE" w:rsidRDefault="00513E84">
            <w:pPr>
              <w:pStyle w:val="P68B1DB1-Normal14"/>
              <w:spacing w:after="0"/>
              <w:rPr>
                <w:rFonts w:eastAsia="Times New Roman" w:cs="Times New Roman"/>
                <w:noProof/>
              </w:rPr>
            </w:pPr>
            <w:r>
              <w:rPr>
                <w:noProof/>
              </w:rPr>
              <w:t>Seguimiento y aplicación del plan</w:t>
            </w:r>
          </w:p>
        </w:tc>
        <w:tc>
          <w:tcPr>
            <w:tcW w:w="361" w:type="pct"/>
            <w:shd w:val="clear" w:color="auto" w:fill="C6EFCE"/>
            <w:noWrap/>
            <w:vAlign w:val="center"/>
            <w:hideMark/>
          </w:tcPr>
          <w:p w14:paraId="681DE139"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D5646EF" w14:textId="77777777" w:rsidR="00F208CE" w:rsidRDefault="00513E84">
            <w:pPr>
              <w:pStyle w:val="P68B1DB1-Normal14"/>
              <w:spacing w:after="0"/>
              <w:ind w:right="-1100"/>
              <w:rPr>
                <w:rFonts w:eastAsia="Times New Roman" w:cs="Times New Roman"/>
                <w:noProof/>
              </w:rPr>
            </w:pPr>
            <w:r>
              <w:rPr>
                <w:noProof/>
              </w:rPr>
              <w:t>Adaptación del sistema de gestión y control del plan de recuperación y resiliencia</w:t>
            </w:r>
          </w:p>
        </w:tc>
      </w:tr>
      <w:tr w:rsidR="00F208CE" w14:paraId="19F30609" w14:textId="77777777">
        <w:trPr>
          <w:trHeight w:val="315"/>
        </w:trPr>
        <w:tc>
          <w:tcPr>
            <w:tcW w:w="345" w:type="pct"/>
            <w:shd w:val="clear" w:color="auto" w:fill="C6EFCE"/>
            <w:noWrap/>
            <w:vAlign w:val="center"/>
            <w:hideMark/>
          </w:tcPr>
          <w:p w14:paraId="6BEDA73C" w14:textId="77777777" w:rsidR="00F208CE" w:rsidRDefault="00513E84">
            <w:pPr>
              <w:pStyle w:val="P68B1DB1-Normal14"/>
              <w:spacing w:after="0"/>
              <w:jc w:val="center"/>
              <w:rPr>
                <w:rFonts w:eastAsia="Times New Roman" w:cs="Times New Roman"/>
                <w:noProof/>
              </w:rPr>
            </w:pPr>
            <w:r>
              <w:rPr>
                <w:noProof/>
              </w:rPr>
              <w:t>251</w:t>
            </w:r>
          </w:p>
        </w:tc>
        <w:tc>
          <w:tcPr>
            <w:tcW w:w="2069" w:type="pct"/>
            <w:shd w:val="clear" w:color="auto" w:fill="C6EFCE"/>
            <w:noWrap/>
            <w:vAlign w:val="center"/>
            <w:hideMark/>
          </w:tcPr>
          <w:p w14:paraId="17359885" w14:textId="77777777" w:rsidR="00F208CE" w:rsidRDefault="00513E84">
            <w:pPr>
              <w:pStyle w:val="P68B1DB1-Normal14"/>
              <w:spacing w:after="0"/>
              <w:rPr>
                <w:rFonts w:eastAsia="Times New Roman" w:cs="Times New Roman"/>
                <w:noProof/>
              </w:rPr>
            </w:pPr>
            <w:r>
              <w:rPr>
                <w:noProof/>
              </w:rPr>
              <w:t>Seguimiento y aplicación del plan</w:t>
            </w:r>
          </w:p>
        </w:tc>
        <w:tc>
          <w:tcPr>
            <w:tcW w:w="361" w:type="pct"/>
            <w:shd w:val="clear" w:color="auto" w:fill="C6EFCE"/>
            <w:noWrap/>
            <w:vAlign w:val="center"/>
            <w:hideMark/>
          </w:tcPr>
          <w:p w14:paraId="7E28D332"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F3B1DCC" w14:textId="77777777" w:rsidR="00F208CE" w:rsidRDefault="00513E84">
            <w:pPr>
              <w:pStyle w:val="P68B1DB1-Normal14"/>
              <w:spacing w:after="0"/>
              <w:rPr>
                <w:rFonts w:eastAsia="Times New Roman" w:cs="Times New Roman"/>
                <w:noProof/>
              </w:rPr>
            </w:pPr>
            <w:r>
              <w:rPr>
                <w:noProof/>
              </w:rPr>
              <w:t>Prevención, detección y disuasión de conflictos de intereses</w:t>
            </w:r>
          </w:p>
        </w:tc>
      </w:tr>
      <w:tr w:rsidR="00F208CE" w14:paraId="5AA82E6B" w14:textId="77777777">
        <w:trPr>
          <w:trHeight w:val="315"/>
        </w:trPr>
        <w:tc>
          <w:tcPr>
            <w:tcW w:w="345" w:type="pct"/>
            <w:shd w:val="clear" w:color="auto" w:fill="C6EFCE"/>
            <w:noWrap/>
            <w:vAlign w:val="center"/>
          </w:tcPr>
          <w:p w14:paraId="1B3B428A" w14:textId="77777777" w:rsidR="00F208CE" w:rsidRDefault="00F208CE">
            <w:pPr>
              <w:spacing w:after="0"/>
              <w:jc w:val="center"/>
              <w:rPr>
                <w:rFonts w:ascii="Times New Roman" w:eastAsia="Times New Roman" w:hAnsi="Times New Roman" w:cs="Times New Roman"/>
                <w:noProof/>
                <w:color w:val="006100"/>
                <w:sz w:val="20"/>
              </w:rPr>
            </w:pPr>
          </w:p>
        </w:tc>
        <w:tc>
          <w:tcPr>
            <w:tcW w:w="2430" w:type="pct"/>
            <w:gridSpan w:val="2"/>
            <w:shd w:val="clear" w:color="auto" w:fill="C6EFCE"/>
            <w:noWrap/>
            <w:vAlign w:val="center"/>
          </w:tcPr>
          <w:p w14:paraId="4B74759C" w14:textId="77777777" w:rsidR="00F208CE" w:rsidRDefault="00513E84">
            <w:pPr>
              <w:pStyle w:val="P68B1DB1-Normal14"/>
              <w:spacing w:after="0"/>
              <w:jc w:val="right"/>
              <w:rPr>
                <w:rFonts w:eastAsia="Times New Roman" w:cs="Times New Roman"/>
                <w:noProof/>
              </w:rPr>
            </w:pPr>
            <w:r>
              <w:rPr>
                <w:noProof/>
              </w:rPr>
              <w:t>Importe del tramo</w:t>
            </w:r>
          </w:p>
        </w:tc>
        <w:tc>
          <w:tcPr>
            <w:tcW w:w="2225" w:type="pct"/>
            <w:shd w:val="clear" w:color="auto" w:fill="C6EFCE"/>
            <w:noWrap/>
            <w:vAlign w:val="center"/>
          </w:tcPr>
          <w:p w14:paraId="4DD0B478" w14:textId="04B113FB" w:rsidR="00F208CE" w:rsidRDefault="00513E84">
            <w:pPr>
              <w:pStyle w:val="P68B1DB1-Normal14"/>
              <w:spacing w:after="0"/>
              <w:rPr>
                <w:rFonts w:eastAsia="Times New Roman" w:cs="Times New Roman"/>
                <w:noProof/>
              </w:rPr>
            </w:pPr>
            <w:r>
              <w:rPr>
                <w:noProof/>
              </w:rPr>
              <w:t>1 006 646 610 EUR</w:t>
            </w:r>
          </w:p>
        </w:tc>
      </w:tr>
    </w:tbl>
    <w:p w14:paraId="68B2CA19" w14:textId="77777777" w:rsidR="00F208CE" w:rsidRDefault="00F208CE">
      <w:pPr>
        <w:rPr>
          <w:rFonts w:ascii="Times New Roman" w:hAnsi="Times New Roman" w:cs="Times New Roman"/>
          <w:noProof/>
        </w:rPr>
      </w:pPr>
    </w:p>
    <w:p w14:paraId="2E0004F7" w14:textId="62B2948E" w:rsidR="00F208CE" w:rsidRDefault="00513E84">
      <w:pPr>
        <w:pStyle w:val="ManualNumPar1"/>
        <w:rPr>
          <w:noProof/>
        </w:rPr>
      </w:pPr>
      <w:r>
        <w:rPr>
          <w:noProof/>
        </w:rPr>
        <w:t>Tercer tramo (ayudas no reembolsables):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ayout w:type="fixed"/>
        <w:tblLook w:val="04A0" w:firstRow="1" w:lastRow="0" w:firstColumn="1" w:lastColumn="0" w:noHBand="0" w:noVBand="1"/>
      </w:tblPr>
      <w:tblGrid>
        <w:gridCol w:w="704"/>
        <w:gridCol w:w="4254"/>
        <w:gridCol w:w="706"/>
        <w:gridCol w:w="4542"/>
      </w:tblGrid>
      <w:tr w:rsidR="00F208CE" w14:paraId="43AF2E47" w14:textId="77777777">
        <w:trPr>
          <w:trHeight w:val="300"/>
          <w:tblHeader/>
        </w:trPr>
        <w:tc>
          <w:tcPr>
            <w:tcW w:w="345" w:type="pct"/>
            <w:shd w:val="clear" w:color="auto" w:fill="BDD7EE"/>
            <w:noWrap/>
            <w:vAlign w:val="center"/>
            <w:hideMark/>
          </w:tcPr>
          <w:p w14:paraId="51CB3B8A" w14:textId="77777777" w:rsidR="00F208CE" w:rsidRDefault="00513E84">
            <w:pPr>
              <w:pStyle w:val="P68B1DB1-Normal39"/>
              <w:spacing w:before="120" w:after="120"/>
              <w:jc w:val="center"/>
              <w:rPr>
                <w:rFonts w:eastAsia="Times New Roman" w:cs="Times New Roman"/>
                <w:noProof/>
              </w:rPr>
            </w:pPr>
            <w:r>
              <w:rPr>
                <w:noProof/>
              </w:rPr>
              <w:t>Siguientes nb</w:t>
            </w:r>
          </w:p>
        </w:tc>
        <w:tc>
          <w:tcPr>
            <w:tcW w:w="2084" w:type="pct"/>
            <w:shd w:val="clear" w:color="auto" w:fill="BDD7EE"/>
            <w:noWrap/>
            <w:vAlign w:val="center"/>
            <w:hideMark/>
          </w:tcPr>
          <w:p w14:paraId="7CB805BB" w14:textId="77777777" w:rsidR="00F208CE" w:rsidRDefault="00513E84">
            <w:pPr>
              <w:pStyle w:val="P68B1DB1-Normal39"/>
              <w:spacing w:before="120" w:after="120"/>
              <w:jc w:val="center"/>
              <w:rPr>
                <w:rFonts w:eastAsia="Times New Roman" w:cs="Times New Roman"/>
                <w:noProof/>
              </w:rPr>
            </w:pPr>
            <w:r>
              <w:rPr>
                <w:noProof/>
              </w:rPr>
              <w:t>Nombre de la medida</w:t>
            </w:r>
          </w:p>
        </w:tc>
        <w:tc>
          <w:tcPr>
            <w:tcW w:w="346" w:type="pct"/>
            <w:shd w:val="clear" w:color="auto" w:fill="BDD7EE"/>
            <w:noWrap/>
            <w:vAlign w:val="center"/>
            <w:hideMark/>
          </w:tcPr>
          <w:p w14:paraId="3AC0C6A7" w14:textId="77777777" w:rsidR="00F208CE" w:rsidRDefault="00513E84">
            <w:pPr>
              <w:pStyle w:val="P68B1DB1-Normal39"/>
              <w:spacing w:before="120" w:after="120"/>
              <w:jc w:val="center"/>
              <w:rPr>
                <w:rFonts w:eastAsia="Times New Roman" w:cs="Times New Roman"/>
                <w:noProof/>
              </w:rPr>
            </w:pPr>
            <w:r>
              <w:rPr>
                <w:noProof/>
              </w:rPr>
              <w:t>M/T</w:t>
            </w:r>
          </w:p>
        </w:tc>
        <w:tc>
          <w:tcPr>
            <w:tcW w:w="2225" w:type="pct"/>
            <w:shd w:val="clear" w:color="auto" w:fill="BDD7EE"/>
            <w:noWrap/>
            <w:vAlign w:val="center"/>
            <w:hideMark/>
          </w:tcPr>
          <w:p w14:paraId="1091C7EB" w14:textId="77777777" w:rsidR="00F208CE" w:rsidRDefault="00513E84">
            <w:pPr>
              <w:pStyle w:val="P68B1DB1-Normal39"/>
              <w:spacing w:before="120" w:after="120"/>
              <w:jc w:val="center"/>
              <w:rPr>
                <w:rFonts w:eastAsia="Times New Roman" w:cs="Times New Roman"/>
                <w:noProof/>
              </w:rPr>
            </w:pPr>
            <w:r>
              <w:rPr>
                <w:noProof/>
              </w:rPr>
              <w:t>Nombre</w:t>
            </w:r>
          </w:p>
        </w:tc>
      </w:tr>
      <w:tr w:rsidR="00F208CE" w14:paraId="5441C559" w14:textId="77777777">
        <w:trPr>
          <w:trHeight w:val="315"/>
        </w:trPr>
        <w:tc>
          <w:tcPr>
            <w:tcW w:w="345" w:type="pct"/>
            <w:shd w:val="clear" w:color="auto" w:fill="C6EFCE"/>
            <w:noWrap/>
            <w:vAlign w:val="center"/>
            <w:hideMark/>
          </w:tcPr>
          <w:p w14:paraId="328F4491" w14:textId="77777777" w:rsidR="00F208CE" w:rsidRDefault="00513E84">
            <w:pPr>
              <w:pStyle w:val="P68B1DB1-Normal14"/>
              <w:spacing w:after="0"/>
              <w:jc w:val="center"/>
              <w:rPr>
                <w:rFonts w:eastAsia="Times New Roman" w:cs="Times New Roman"/>
                <w:noProof/>
              </w:rPr>
            </w:pPr>
            <w:r>
              <w:rPr>
                <w:noProof/>
              </w:rPr>
              <w:t>5</w:t>
            </w:r>
          </w:p>
        </w:tc>
        <w:tc>
          <w:tcPr>
            <w:tcW w:w="2084" w:type="pct"/>
            <w:shd w:val="clear" w:color="auto" w:fill="C6EFCE"/>
            <w:noWrap/>
            <w:vAlign w:val="center"/>
            <w:hideMark/>
          </w:tcPr>
          <w:p w14:paraId="3D46424C" w14:textId="77777777" w:rsidR="00F208CE" w:rsidRDefault="00513E84">
            <w:pPr>
              <w:pStyle w:val="P68B1DB1-Normal14"/>
              <w:spacing w:after="0"/>
              <w:rPr>
                <w:rFonts w:eastAsia="Times New Roman" w:cs="Times New Roman"/>
                <w:noProof/>
              </w:rPr>
            </w:pPr>
            <w:r>
              <w:rPr>
                <w:noProof/>
              </w:rPr>
              <w:t xml:space="preserve">Renovación de viviendas </w:t>
            </w:r>
            <w:r>
              <w:rPr>
                <w:noProof/>
              </w:rPr>
              <w:t>privadas y sociales (I-1A)</w:t>
            </w:r>
          </w:p>
        </w:tc>
        <w:tc>
          <w:tcPr>
            <w:tcW w:w="346" w:type="pct"/>
            <w:shd w:val="clear" w:color="auto" w:fill="C6EFCE"/>
            <w:noWrap/>
            <w:vAlign w:val="center"/>
            <w:hideMark/>
          </w:tcPr>
          <w:p w14:paraId="4B6A2C5C"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43349B97" w14:textId="77777777" w:rsidR="00F208CE" w:rsidRDefault="00513E84">
            <w:pPr>
              <w:pStyle w:val="P68B1DB1-Normal14"/>
              <w:spacing w:after="0"/>
              <w:rPr>
                <w:rFonts w:eastAsia="Times New Roman" w:cs="Times New Roman"/>
                <w:noProof/>
              </w:rPr>
            </w:pPr>
            <w:r>
              <w:rPr>
                <w:noProof/>
              </w:rPr>
              <w:t>Renovación de viviendas y viviendas sociales privadas (escalón 1)</w:t>
            </w:r>
          </w:p>
        </w:tc>
      </w:tr>
      <w:tr w:rsidR="00F208CE" w14:paraId="7E79A81B" w14:textId="77777777">
        <w:trPr>
          <w:trHeight w:val="315"/>
        </w:trPr>
        <w:tc>
          <w:tcPr>
            <w:tcW w:w="345" w:type="pct"/>
            <w:shd w:val="clear" w:color="auto" w:fill="C6EFCE"/>
            <w:noWrap/>
            <w:vAlign w:val="center"/>
            <w:hideMark/>
          </w:tcPr>
          <w:p w14:paraId="7A3CCAD5" w14:textId="77777777" w:rsidR="00F208CE" w:rsidRDefault="00513E84">
            <w:pPr>
              <w:pStyle w:val="P68B1DB1-Normal14"/>
              <w:spacing w:after="0"/>
              <w:jc w:val="center"/>
              <w:rPr>
                <w:rFonts w:eastAsia="Times New Roman" w:cs="Times New Roman"/>
                <w:noProof/>
              </w:rPr>
            </w:pPr>
            <w:r>
              <w:rPr>
                <w:noProof/>
              </w:rPr>
              <w:t>9</w:t>
            </w:r>
          </w:p>
        </w:tc>
        <w:tc>
          <w:tcPr>
            <w:tcW w:w="2084" w:type="pct"/>
            <w:shd w:val="clear" w:color="auto" w:fill="C6EFCE"/>
            <w:noWrap/>
            <w:vAlign w:val="center"/>
            <w:hideMark/>
          </w:tcPr>
          <w:p w14:paraId="093E55FA" w14:textId="77777777" w:rsidR="00F208CE" w:rsidRDefault="00513E84">
            <w:pPr>
              <w:pStyle w:val="P68B1DB1-Normal14"/>
              <w:spacing w:after="0"/>
              <w:rPr>
                <w:rFonts w:eastAsia="Times New Roman" w:cs="Times New Roman"/>
                <w:noProof/>
              </w:rPr>
            </w:pPr>
            <w:r>
              <w:rPr>
                <w:noProof/>
              </w:rPr>
              <w:t>Renovación de viviendas privadas y sociales [R-1.01 (iii)]</w:t>
            </w:r>
          </w:p>
        </w:tc>
        <w:tc>
          <w:tcPr>
            <w:tcW w:w="346" w:type="pct"/>
            <w:shd w:val="clear" w:color="auto" w:fill="C6EFCE"/>
            <w:noWrap/>
            <w:vAlign w:val="center"/>
            <w:hideMark/>
          </w:tcPr>
          <w:p w14:paraId="37751064"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2102AB7D" w14:textId="77777777" w:rsidR="00F208CE" w:rsidRDefault="00513E84">
            <w:pPr>
              <w:pStyle w:val="P68B1DB1-Normal14"/>
              <w:spacing w:after="0"/>
              <w:rPr>
                <w:rFonts w:eastAsia="Times New Roman" w:cs="Times New Roman"/>
                <w:noProof/>
              </w:rPr>
            </w:pPr>
            <w:r>
              <w:rPr>
                <w:noProof/>
              </w:rPr>
              <w:t>Concesión de subvenciones para baterías domésticas en Flandes</w:t>
            </w:r>
          </w:p>
        </w:tc>
      </w:tr>
      <w:tr w:rsidR="00F208CE" w14:paraId="47363D27" w14:textId="77777777">
        <w:trPr>
          <w:trHeight w:val="315"/>
        </w:trPr>
        <w:tc>
          <w:tcPr>
            <w:tcW w:w="345" w:type="pct"/>
            <w:shd w:val="clear" w:color="auto" w:fill="C6EFCE"/>
            <w:noWrap/>
            <w:vAlign w:val="center"/>
            <w:hideMark/>
          </w:tcPr>
          <w:p w14:paraId="1C3321E0" w14:textId="77777777" w:rsidR="00F208CE" w:rsidRDefault="00513E84">
            <w:pPr>
              <w:pStyle w:val="P68B1DB1-Normal14"/>
              <w:spacing w:after="0"/>
              <w:jc w:val="center"/>
              <w:rPr>
                <w:rFonts w:eastAsia="Times New Roman" w:cs="Times New Roman"/>
                <w:noProof/>
              </w:rPr>
            </w:pPr>
            <w:r>
              <w:rPr>
                <w:noProof/>
              </w:rPr>
              <w:t>38</w:t>
            </w:r>
          </w:p>
        </w:tc>
        <w:tc>
          <w:tcPr>
            <w:tcW w:w="2084" w:type="pct"/>
            <w:shd w:val="clear" w:color="auto" w:fill="C6EFCE"/>
            <w:noWrap/>
            <w:vAlign w:val="center"/>
            <w:hideMark/>
          </w:tcPr>
          <w:p w14:paraId="70A750D5" w14:textId="77777777" w:rsidR="00F208CE" w:rsidRDefault="00513E84">
            <w:pPr>
              <w:pStyle w:val="P68B1DB1-Normal14"/>
              <w:spacing w:after="0"/>
              <w:rPr>
                <w:rFonts w:eastAsia="Times New Roman" w:cs="Times New Roman"/>
                <w:noProof/>
              </w:rPr>
            </w:pPr>
            <w:r>
              <w:rPr>
                <w:noProof/>
              </w:rPr>
              <w:t xml:space="preserve">Biodiversidad y adaptación al </w:t>
            </w:r>
            <w:r>
              <w:rPr>
                <w:noProof/>
              </w:rPr>
              <w:t>cambio climático (I-1.22)</w:t>
            </w:r>
          </w:p>
        </w:tc>
        <w:tc>
          <w:tcPr>
            <w:tcW w:w="346" w:type="pct"/>
            <w:shd w:val="clear" w:color="auto" w:fill="C6EFCE"/>
            <w:noWrap/>
            <w:vAlign w:val="center"/>
            <w:hideMark/>
          </w:tcPr>
          <w:p w14:paraId="5DD50000"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F6DED52" w14:textId="77777777" w:rsidR="00F208CE" w:rsidRDefault="00513E84">
            <w:pPr>
              <w:pStyle w:val="P68B1DB1-Normal14"/>
              <w:spacing w:after="0"/>
              <w:rPr>
                <w:rFonts w:eastAsia="Times New Roman" w:cs="Times New Roman"/>
                <w:noProof/>
              </w:rPr>
            </w:pPr>
            <w:r>
              <w:rPr>
                <w:noProof/>
              </w:rPr>
              <w:t>Adjudicación de contratos a proyectos de creación de dos parques nacionales</w:t>
            </w:r>
          </w:p>
        </w:tc>
      </w:tr>
      <w:tr w:rsidR="00F208CE" w14:paraId="30522667" w14:textId="77777777">
        <w:trPr>
          <w:trHeight w:val="315"/>
        </w:trPr>
        <w:tc>
          <w:tcPr>
            <w:tcW w:w="345" w:type="pct"/>
            <w:shd w:val="clear" w:color="auto" w:fill="C6EFCE"/>
            <w:noWrap/>
            <w:vAlign w:val="center"/>
            <w:hideMark/>
          </w:tcPr>
          <w:p w14:paraId="06D4DD42" w14:textId="77777777" w:rsidR="00F208CE" w:rsidRDefault="00513E84">
            <w:pPr>
              <w:pStyle w:val="P68B1DB1-Normal14"/>
              <w:spacing w:after="0"/>
              <w:jc w:val="center"/>
              <w:rPr>
                <w:rFonts w:eastAsia="Times New Roman" w:cs="Times New Roman"/>
                <w:noProof/>
              </w:rPr>
            </w:pPr>
            <w:r>
              <w:rPr>
                <w:noProof/>
              </w:rPr>
              <w:t>41</w:t>
            </w:r>
          </w:p>
        </w:tc>
        <w:tc>
          <w:tcPr>
            <w:tcW w:w="2084" w:type="pct"/>
            <w:shd w:val="clear" w:color="auto" w:fill="C6EFCE"/>
            <w:noWrap/>
            <w:vAlign w:val="center"/>
            <w:hideMark/>
          </w:tcPr>
          <w:p w14:paraId="2F38E985" w14:textId="77777777" w:rsidR="00F208CE" w:rsidRDefault="00513E84">
            <w:pPr>
              <w:pStyle w:val="P68B1DB1-Normal14"/>
              <w:spacing w:after="0"/>
              <w:rPr>
                <w:rFonts w:eastAsia="Times New Roman" w:cs="Times New Roman"/>
                <w:noProof/>
              </w:rPr>
            </w:pPr>
            <w:r>
              <w:rPr>
                <w:noProof/>
              </w:rPr>
              <w:t>Acuerdo Azul (I-1.24)</w:t>
            </w:r>
          </w:p>
        </w:tc>
        <w:tc>
          <w:tcPr>
            <w:tcW w:w="346" w:type="pct"/>
            <w:shd w:val="clear" w:color="auto" w:fill="C6EFCE"/>
            <w:noWrap/>
            <w:vAlign w:val="center"/>
            <w:hideMark/>
          </w:tcPr>
          <w:p w14:paraId="3563642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10678B9" w14:textId="77777777" w:rsidR="00F208CE" w:rsidRDefault="00513E84">
            <w:pPr>
              <w:pStyle w:val="P68B1DB1-Normal14"/>
              <w:spacing w:after="0"/>
              <w:rPr>
                <w:rFonts w:eastAsia="Times New Roman" w:cs="Times New Roman"/>
                <w:noProof/>
              </w:rPr>
            </w:pPr>
            <w:r>
              <w:rPr>
                <w:noProof/>
              </w:rPr>
              <w:t>Inicio de proyectos para reforzar la biodiversidad o mitigar los efectos del cambio climático</w:t>
            </w:r>
          </w:p>
        </w:tc>
      </w:tr>
      <w:tr w:rsidR="00F208CE" w14:paraId="366E6AEA" w14:textId="77777777">
        <w:trPr>
          <w:trHeight w:val="315"/>
        </w:trPr>
        <w:tc>
          <w:tcPr>
            <w:tcW w:w="345" w:type="pct"/>
            <w:shd w:val="clear" w:color="auto" w:fill="C6EFCE"/>
            <w:noWrap/>
            <w:vAlign w:val="center"/>
            <w:hideMark/>
          </w:tcPr>
          <w:p w14:paraId="5A98050C" w14:textId="77777777" w:rsidR="00F208CE" w:rsidRDefault="00513E84">
            <w:pPr>
              <w:pStyle w:val="P68B1DB1-Normal14"/>
              <w:spacing w:after="0"/>
              <w:jc w:val="center"/>
              <w:rPr>
                <w:rFonts w:eastAsia="Times New Roman" w:cs="Times New Roman"/>
                <w:noProof/>
              </w:rPr>
            </w:pPr>
            <w:r>
              <w:rPr>
                <w:noProof/>
              </w:rPr>
              <w:t>42</w:t>
            </w:r>
          </w:p>
        </w:tc>
        <w:tc>
          <w:tcPr>
            <w:tcW w:w="2084" w:type="pct"/>
            <w:shd w:val="clear" w:color="auto" w:fill="C6EFCE"/>
            <w:noWrap/>
            <w:vAlign w:val="center"/>
            <w:hideMark/>
          </w:tcPr>
          <w:p w14:paraId="15069014" w14:textId="77777777" w:rsidR="00F208CE" w:rsidRDefault="00513E84">
            <w:pPr>
              <w:pStyle w:val="P68B1DB1-Normal14"/>
              <w:spacing w:after="0"/>
              <w:rPr>
                <w:rFonts w:eastAsia="Times New Roman" w:cs="Times New Roman"/>
                <w:noProof/>
              </w:rPr>
            </w:pPr>
            <w:r>
              <w:rPr>
                <w:noProof/>
              </w:rPr>
              <w:t>Acuerdo Azul (I-1.24)</w:t>
            </w:r>
          </w:p>
        </w:tc>
        <w:tc>
          <w:tcPr>
            <w:tcW w:w="346" w:type="pct"/>
            <w:shd w:val="clear" w:color="auto" w:fill="C6EFCE"/>
            <w:noWrap/>
            <w:vAlign w:val="center"/>
            <w:hideMark/>
          </w:tcPr>
          <w:p w14:paraId="37D20644"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0F471E9F" w14:textId="77777777" w:rsidR="00F208CE" w:rsidRDefault="00513E84">
            <w:pPr>
              <w:pStyle w:val="P68B1DB1-Normal14"/>
              <w:spacing w:after="0"/>
              <w:rPr>
                <w:rFonts w:eastAsia="Times New Roman" w:cs="Times New Roman"/>
                <w:noProof/>
              </w:rPr>
            </w:pPr>
            <w:r>
              <w:rPr>
                <w:noProof/>
              </w:rPr>
              <w:t>Compras de terrenos para reforzar la biodiversidad o mitigar los efectos del cambio climático</w:t>
            </w:r>
          </w:p>
        </w:tc>
      </w:tr>
      <w:tr w:rsidR="00F208CE" w14:paraId="51E6A83F" w14:textId="77777777">
        <w:trPr>
          <w:trHeight w:val="315"/>
        </w:trPr>
        <w:tc>
          <w:tcPr>
            <w:tcW w:w="345" w:type="pct"/>
            <w:shd w:val="clear" w:color="auto" w:fill="C6EFCE"/>
            <w:noWrap/>
            <w:vAlign w:val="center"/>
            <w:hideMark/>
          </w:tcPr>
          <w:p w14:paraId="450872D7" w14:textId="77777777" w:rsidR="00F208CE" w:rsidRDefault="00513E84">
            <w:pPr>
              <w:pStyle w:val="P68B1DB1-Normal14"/>
              <w:spacing w:after="0"/>
              <w:jc w:val="center"/>
              <w:rPr>
                <w:rFonts w:eastAsia="Times New Roman" w:cs="Times New Roman"/>
                <w:noProof/>
              </w:rPr>
            </w:pPr>
            <w:r>
              <w:rPr>
                <w:noProof/>
              </w:rPr>
              <w:t>47</w:t>
            </w:r>
          </w:p>
        </w:tc>
        <w:tc>
          <w:tcPr>
            <w:tcW w:w="2084" w:type="pct"/>
            <w:shd w:val="clear" w:color="auto" w:fill="C6EFCE"/>
            <w:noWrap/>
            <w:vAlign w:val="center"/>
            <w:hideMark/>
          </w:tcPr>
          <w:p w14:paraId="702A8828" w14:textId="77777777" w:rsidR="00F208CE" w:rsidRDefault="00513E84">
            <w:pPr>
              <w:pStyle w:val="P68B1DB1-Normal14"/>
              <w:spacing w:after="0"/>
              <w:rPr>
                <w:rFonts w:eastAsia="Times New Roman" w:cs="Times New Roman"/>
                <w:noProof/>
              </w:rPr>
            </w:pPr>
            <w:r>
              <w:rPr>
                <w:noProof/>
              </w:rPr>
              <w:t>Sociedad digital cibersegura y resiliente (I-2.01)</w:t>
            </w:r>
          </w:p>
        </w:tc>
        <w:tc>
          <w:tcPr>
            <w:tcW w:w="346" w:type="pct"/>
            <w:shd w:val="clear" w:color="auto" w:fill="C6EFCE"/>
            <w:noWrap/>
            <w:vAlign w:val="center"/>
            <w:hideMark/>
          </w:tcPr>
          <w:p w14:paraId="2AB64F82"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F14F423" w14:textId="77777777" w:rsidR="00F208CE" w:rsidRDefault="00513E84">
            <w:pPr>
              <w:pStyle w:val="P68B1DB1-Normal14"/>
              <w:spacing w:after="0"/>
              <w:rPr>
                <w:rFonts w:eastAsia="Times New Roman" w:cs="Times New Roman"/>
                <w:noProof/>
              </w:rPr>
            </w:pPr>
            <w:r>
              <w:rPr>
                <w:noProof/>
              </w:rPr>
              <w:t xml:space="preserve">Marco global de gobernanza en materia de ciberseguridad en el Ministerio de Asuntos Exteriores </w:t>
            </w:r>
          </w:p>
        </w:tc>
      </w:tr>
      <w:tr w:rsidR="00F208CE" w14:paraId="34B3F8D2" w14:textId="77777777">
        <w:trPr>
          <w:trHeight w:val="315"/>
        </w:trPr>
        <w:tc>
          <w:tcPr>
            <w:tcW w:w="345" w:type="pct"/>
            <w:shd w:val="clear" w:color="auto" w:fill="C6EFCE"/>
            <w:noWrap/>
            <w:vAlign w:val="center"/>
            <w:hideMark/>
          </w:tcPr>
          <w:p w14:paraId="18D1684F" w14:textId="77777777" w:rsidR="00F208CE" w:rsidRDefault="00513E84">
            <w:pPr>
              <w:pStyle w:val="P68B1DB1-Normal14"/>
              <w:spacing w:after="0"/>
              <w:jc w:val="center"/>
              <w:rPr>
                <w:rFonts w:eastAsia="Times New Roman" w:cs="Times New Roman"/>
                <w:noProof/>
              </w:rPr>
            </w:pPr>
            <w:r>
              <w:rPr>
                <w:noProof/>
              </w:rPr>
              <w:t>58</w:t>
            </w:r>
          </w:p>
        </w:tc>
        <w:tc>
          <w:tcPr>
            <w:tcW w:w="2084" w:type="pct"/>
            <w:shd w:val="clear" w:color="auto" w:fill="C6EFCE"/>
            <w:noWrap/>
            <w:vAlign w:val="center"/>
            <w:hideMark/>
          </w:tcPr>
          <w:p w14:paraId="349B55FF" w14:textId="77777777" w:rsidR="00F208CE" w:rsidRDefault="00513E84">
            <w:pPr>
              <w:pStyle w:val="P68B1DB1-Normal14"/>
              <w:spacing w:after="0"/>
              <w:rPr>
                <w:rFonts w:eastAsia="Times New Roman" w:cs="Times New Roman"/>
                <w:noProof/>
              </w:rPr>
            </w:pPr>
            <w:r>
              <w:rPr>
                <w:noProof/>
              </w:rPr>
              <w:t>Fondo</w:t>
            </w:r>
            <w:r>
              <w:rPr>
                <w:noProof/>
              </w:rPr>
              <w:t xml:space="preserve"> para pequeños proyectos de digitalización (I-2.05) (submedida 1: Transformación digital de la justicia)</w:t>
            </w:r>
          </w:p>
        </w:tc>
        <w:tc>
          <w:tcPr>
            <w:tcW w:w="346" w:type="pct"/>
            <w:shd w:val="clear" w:color="auto" w:fill="C6EFCE"/>
            <w:noWrap/>
            <w:vAlign w:val="center"/>
            <w:hideMark/>
          </w:tcPr>
          <w:p w14:paraId="463EF36C"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780D63A0" w14:textId="77777777" w:rsidR="00F208CE" w:rsidRDefault="00513E84">
            <w:pPr>
              <w:pStyle w:val="P68B1DB1-Normal14"/>
              <w:spacing w:after="0"/>
              <w:rPr>
                <w:rFonts w:eastAsia="Times New Roman" w:cs="Times New Roman"/>
                <w:noProof/>
              </w:rPr>
            </w:pPr>
            <w:r>
              <w:rPr>
                <w:noProof/>
              </w:rPr>
              <w:t>Centralización interna de las resoluciones judiciales</w:t>
            </w:r>
          </w:p>
        </w:tc>
      </w:tr>
      <w:tr w:rsidR="00F208CE" w14:paraId="5363DD91" w14:textId="77777777">
        <w:trPr>
          <w:trHeight w:val="315"/>
        </w:trPr>
        <w:tc>
          <w:tcPr>
            <w:tcW w:w="345" w:type="pct"/>
            <w:shd w:val="clear" w:color="auto" w:fill="C6EFCE"/>
            <w:noWrap/>
            <w:vAlign w:val="center"/>
            <w:hideMark/>
          </w:tcPr>
          <w:p w14:paraId="775D6854" w14:textId="77777777" w:rsidR="00F208CE" w:rsidRDefault="00513E84">
            <w:pPr>
              <w:pStyle w:val="P68B1DB1-Normal14"/>
              <w:spacing w:after="0"/>
              <w:jc w:val="center"/>
              <w:rPr>
                <w:rFonts w:eastAsia="Times New Roman" w:cs="Times New Roman"/>
                <w:noProof/>
              </w:rPr>
            </w:pPr>
            <w:r>
              <w:rPr>
                <w:noProof/>
              </w:rPr>
              <w:t>77</w:t>
            </w:r>
          </w:p>
        </w:tc>
        <w:tc>
          <w:tcPr>
            <w:tcW w:w="2084" w:type="pct"/>
            <w:shd w:val="clear" w:color="auto" w:fill="C6EFCE"/>
            <w:noWrap/>
            <w:vAlign w:val="center"/>
            <w:hideMark/>
          </w:tcPr>
          <w:p w14:paraId="557848C3" w14:textId="77777777" w:rsidR="00F208CE" w:rsidRDefault="00513E84">
            <w:pPr>
              <w:pStyle w:val="P68B1DB1-Normal14"/>
              <w:spacing w:after="0"/>
              <w:rPr>
                <w:rFonts w:eastAsia="Times New Roman" w:cs="Times New Roman"/>
                <w:noProof/>
              </w:rPr>
            </w:pPr>
            <w:r>
              <w:rPr>
                <w:noProof/>
              </w:rPr>
              <w:t>Simplificación de los procedimientos administrativos (R-2.01)</w:t>
            </w:r>
          </w:p>
        </w:tc>
        <w:tc>
          <w:tcPr>
            <w:tcW w:w="346" w:type="pct"/>
            <w:shd w:val="clear" w:color="auto" w:fill="C6EFCE"/>
            <w:noWrap/>
            <w:vAlign w:val="center"/>
            <w:hideMark/>
          </w:tcPr>
          <w:p w14:paraId="028C5090"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BFB511E" w14:textId="77777777" w:rsidR="00F208CE" w:rsidRDefault="00513E84">
            <w:pPr>
              <w:pStyle w:val="P68B1DB1-Normal14"/>
              <w:spacing w:after="0"/>
              <w:rPr>
                <w:rFonts w:eastAsia="Times New Roman" w:cs="Times New Roman"/>
                <w:noProof/>
              </w:rPr>
            </w:pPr>
            <w:r>
              <w:rPr>
                <w:noProof/>
              </w:rPr>
              <w:t>Entrada en vigor de medidas</w:t>
            </w:r>
            <w:r>
              <w:rPr>
                <w:noProof/>
              </w:rPr>
              <w:t xml:space="preserve"> para simplificar la creación en línea de empresas</w:t>
            </w:r>
          </w:p>
        </w:tc>
      </w:tr>
      <w:tr w:rsidR="00F208CE" w14:paraId="1B503382" w14:textId="77777777">
        <w:trPr>
          <w:trHeight w:val="315"/>
        </w:trPr>
        <w:tc>
          <w:tcPr>
            <w:tcW w:w="345" w:type="pct"/>
            <w:shd w:val="clear" w:color="auto" w:fill="C6EFCE"/>
            <w:noWrap/>
            <w:vAlign w:val="center"/>
            <w:hideMark/>
          </w:tcPr>
          <w:p w14:paraId="3937E336" w14:textId="77777777" w:rsidR="00F208CE" w:rsidRDefault="00513E84">
            <w:pPr>
              <w:pStyle w:val="P68B1DB1-Normal14"/>
              <w:spacing w:after="0"/>
              <w:jc w:val="center"/>
              <w:rPr>
                <w:rFonts w:eastAsia="Times New Roman" w:cs="Times New Roman"/>
                <w:noProof/>
              </w:rPr>
            </w:pPr>
            <w:r>
              <w:rPr>
                <w:noProof/>
              </w:rPr>
              <w:t>82</w:t>
            </w:r>
          </w:p>
        </w:tc>
        <w:tc>
          <w:tcPr>
            <w:tcW w:w="2084" w:type="pct"/>
            <w:shd w:val="clear" w:color="auto" w:fill="C6EFCE"/>
            <w:noWrap/>
            <w:vAlign w:val="center"/>
            <w:hideMark/>
          </w:tcPr>
          <w:p w14:paraId="301458CC" w14:textId="77777777" w:rsidR="00F208CE" w:rsidRDefault="00513E84">
            <w:pPr>
              <w:pStyle w:val="P68B1DB1-Normal14"/>
              <w:spacing w:after="0"/>
              <w:rPr>
                <w:rFonts w:eastAsia="Times New Roman" w:cs="Times New Roman"/>
                <w:noProof/>
              </w:rPr>
            </w:pPr>
            <w:r>
              <w:rPr>
                <w:noProof/>
              </w:rPr>
              <w:t>Desarrollo de un instituto de IA para utilizar esta tecnología para hacer frente a los retos sociales (I-2.14)</w:t>
            </w:r>
          </w:p>
        </w:tc>
        <w:tc>
          <w:tcPr>
            <w:tcW w:w="346" w:type="pct"/>
            <w:shd w:val="clear" w:color="auto" w:fill="C6EFCE"/>
            <w:noWrap/>
            <w:vAlign w:val="center"/>
            <w:hideMark/>
          </w:tcPr>
          <w:p w14:paraId="179F5D35"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7C77E96" w14:textId="77777777" w:rsidR="00F208CE" w:rsidRDefault="00513E84">
            <w:pPr>
              <w:pStyle w:val="P68B1DB1-Normal14"/>
              <w:spacing w:after="0"/>
              <w:rPr>
                <w:rFonts w:eastAsia="Times New Roman" w:cs="Times New Roman"/>
                <w:noProof/>
              </w:rPr>
            </w:pPr>
            <w:r>
              <w:rPr>
                <w:noProof/>
              </w:rPr>
              <w:t>Equipo de expertos creado en el marco de la IA para el Instituto del Bien Común</w:t>
            </w:r>
          </w:p>
        </w:tc>
      </w:tr>
      <w:tr w:rsidR="00F208CE" w14:paraId="6921DC18" w14:textId="77777777">
        <w:trPr>
          <w:trHeight w:val="315"/>
        </w:trPr>
        <w:tc>
          <w:tcPr>
            <w:tcW w:w="345" w:type="pct"/>
            <w:shd w:val="clear" w:color="auto" w:fill="C6EFCE"/>
            <w:noWrap/>
            <w:vAlign w:val="center"/>
            <w:hideMark/>
          </w:tcPr>
          <w:p w14:paraId="6ED4D518" w14:textId="77777777" w:rsidR="00F208CE" w:rsidRDefault="00513E84">
            <w:pPr>
              <w:pStyle w:val="P68B1DB1-Normal14"/>
              <w:spacing w:after="0"/>
              <w:jc w:val="center"/>
              <w:rPr>
                <w:rFonts w:eastAsia="Times New Roman" w:cs="Times New Roman"/>
                <w:noProof/>
              </w:rPr>
            </w:pPr>
            <w:r>
              <w:rPr>
                <w:noProof/>
              </w:rPr>
              <w:t>99</w:t>
            </w:r>
          </w:p>
        </w:tc>
        <w:tc>
          <w:tcPr>
            <w:tcW w:w="2084" w:type="pct"/>
            <w:shd w:val="clear" w:color="auto" w:fill="C6EFCE"/>
            <w:noWrap/>
            <w:vAlign w:val="center"/>
            <w:hideMark/>
          </w:tcPr>
          <w:p w14:paraId="75FFF5DF" w14:textId="77777777" w:rsidR="00F208CE" w:rsidRDefault="00513E84">
            <w:pPr>
              <w:pStyle w:val="P68B1DB1-Normal14"/>
              <w:spacing w:after="0"/>
              <w:rPr>
                <w:rFonts w:eastAsia="Times New Roman" w:cs="Times New Roman"/>
                <w:noProof/>
              </w:rPr>
            </w:pPr>
            <w:r>
              <w:rPr>
                <w:noProof/>
              </w:rPr>
              <w:t>Mejora del transporte público en Valonia (I-3b)</w:t>
            </w:r>
          </w:p>
        </w:tc>
        <w:tc>
          <w:tcPr>
            <w:tcW w:w="346" w:type="pct"/>
            <w:shd w:val="clear" w:color="auto" w:fill="C6EFCE"/>
            <w:noWrap/>
            <w:vAlign w:val="center"/>
            <w:hideMark/>
          </w:tcPr>
          <w:p w14:paraId="77886B76"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478F8D05" w14:textId="17E73468" w:rsidR="00F208CE" w:rsidRDefault="00513E84">
            <w:pPr>
              <w:pStyle w:val="P68B1DB1-Normal14"/>
              <w:spacing w:after="0"/>
              <w:rPr>
                <w:rFonts w:eastAsia="Times New Roman" w:cs="Times New Roman"/>
                <w:noProof/>
              </w:rPr>
            </w:pPr>
            <w:r>
              <w:rPr>
                <w:noProof/>
              </w:rPr>
              <w:t>Inicio de las principales obras de infraestructura para autobuses [señales viales inteligentes y metro ligero (Charleroi)]</w:t>
            </w:r>
          </w:p>
        </w:tc>
      </w:tr>
      <w:tr w:rsidR="00F208CE" w14:paraId="00E448D4" w14:textId="77777777">
        <w:trPr>
          <w:trHeight w:val="315"/>
        </w:trPr>
        <w:tc>
          <w:tcPr>
            <w:tcW w:w="345" w:type="pct"/>
            <w:shd w:val="clear" w:color="auto" w:fill="C6EFCE"/>
            <w:noWrap/>
            <w:vAlign w:val="center"/>
            <w:hideMark/>
          </w:tcPr>
          <w:p w14:paraId="53057868" w14:textId="77777777" w:rsidR="00F208CE" w:rsidRDefault="00513E84">
            <w:pPr>
              <w:pStyle w:val="P68B1DB1-Normal14"/>
              <w:spacing w:after="0"/>
              <w:jc w:val="center"/>
              <w:rPr>
                <w:rFonts w:eastAsia="Times New Roman" w:cs="Times New Roman"/>
                <w:noProof/>
              </w:rPr>
            </w:pPr>
            <w:r>
              <w:rPr>
                <w:noProof/>
              </w:rPr>
              <w:t>104</w:t>
            </w:r>
          </w:p>
        </w:tc>
        <w:tc>
          <w:tcPr>
            <w:tcW w:w="2084" w:type="pct"/>
            <w:shd w:val="clear" w:color="auto" w:fill="C6EFCE"/>
            <w:noWrap/>
            <w:vAlign w:val="center"/>
            <w:hideMark/>
          </w:tcPr>
          <w:p w14:paraId="13E91902" w14:textId="77777777" w:rsidR="00F208CE" w:rsidRDefault="00513E84">
            <w:pPr>
              <w:pStyle w:val="P68B1DB1-Normal14"/>
              <w:spacing w:after="0"/>
              <w:rPr>
                <w:rFonts w:eastAsia="Times New Roman" w:cs="Times New Roman"/>
                <w:noProof/>
              </w:rPr>
            </w:pPr>
            <w:r>
              <w:rPr>
                <w:noProof/>
              </w:rPr>
              <w:t>Obras de acondicionamiento y accesibilidad de las estaciones (I-3C)</w:t>
            </w:r>
          </w:p>
        </w:tc>
        <w:tc>
          <w:tcPr>
            <w:tcW w:w="346" w:type="pct"/>
            <w:shd w:val="clear" w:color="auto" w:fill="C6EFCE"/>
            <w:noWrap/>
            <w:vAlign w:val="center"/>
            <w:hideMark/>
          </w:tcPr>
          <w:p w14:paraId="7071126D"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3CDCE259" w14:textId="77777777" w:rsidR="00F208CE" w:rsidRDefault="00513E84">
            <w:pPr>
              <w:pStyle w:val="P68B1DB1-Normal14"/>
              <w:spacing w:after="0"/>
              <w:rPr>
                <w:rFonts w:eastAsia="Times New Roman" w:cs="Times New Roman"/>
                <w:noProof/>
              </w:rPr>
            </w:pPr>
            <w:r>
              <w:rPr>
                <w:noProof/>
              </w:rPr>
              <w:t>Finalización de las obras de renovación y modernización de los ferrocarriles y de accesibilidad de las estaciones (etapa 2)</w:t>
            </w:r>
          </w:p>
        </w:tc>
      </w:tr>
      <w:tr w:rsidR="00F208CE" w14:paraId="3DF984B2" w14:textId="77777777">
        <w:trPr>
          <w:trHeight w:val="315"/>
        </w:trPr>
        <w:tc>
          <w:tcPr>
            <w:tcW w:w="345" w:type="pct"/>
            <w:shd w:val="clear" w:color="auto" w:fill="C6EFCE"/>
            <w:noWrap/>
            <w:vAlign w:val="center"/>
            <w:hideMark/>
          </w:tcPr>
          <w:p w14:paraId="50CA8DFC" w14:textId="77777777" w:rsidR="00F208CE" w:rsidRDefault="00513E84">
            <w:pPr>
              <w:pStyle w:val="P68B1DB1-Normal14"/>
              <w:spacing w:after="0"/>
              <w:jc w:val="center"/>
              <w:rPr>
                <w:rFonts w:eastAsia="Times New Roman" w:cs="Times New Roman"/>
                <w:noProof/>
              </w:rPr>
            </w:pPr>
            <w:r>
              <w:rPr>
                <w:noProof/>
              </w:rPr>
              <w:t>111</w:t>
            </w:r>
          </w:p>
        </w:tc>
        <w:tc>
          <w:tcPr>
            <w:tcW w:w="2084" w:type="pct"/>
            <w:shd w:val="clear" w:color="auto" w:fill="C6EFCE"/>
            <w:noWrap/>
            <w:vAlign w:val="center"/>
            <w:hideMark/>
          </w:tcPr>
          <w:p w14:paraId="05B5D365" w14:textId="77777777" w:rsidR="00F208CE" w:rsidRDefault="00513E84">
            <w:pPr>
              <w:pStyle w:val="P68B1DB1-Normal14"/>
              <w:spacing w:after="0"/>
              <w:rPr>
                <w:rFonts w:eastAsia="Times New Roman" w:cs="Times New Roman"/>
                <w:noProof/>
              </w:rPr>
            </w:pPr>
            <w:r>
              <w:rPr>
                <w:noProof/>
              </w:rPr>
              <w:t>Rendimiento SNCB/INFRABEL (R-3.01)</w:t>
            </w:r>
          </w:p>
        </w:tc>
        <w:tc>
          <w:tcPr>
            <w:tcW w:w="346" w:type="pct"/>
            <w:shd w:val="clear" w:color="auto" w:fill="C6EFCE"/>
            <w:noWrap/>
            <w:vAlign w:val="center"/>
            <w:hideMark/>
          </w:tcPr>
          <w:p w14:paraId="2B7B7646"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A753831" w14:textId="77777777" w:rsidR="00F208CE" w:rsidRDefault="00513E84">
            <w:pPr>
              <w:pStyle w:val="P68B1DB1-Normal14"/>
              <w:spacing w:after="0"/>
              <w:rPr>
                <w:rFonts w:eastAsia="Times New Roman" w:cs="Times New Roman"/>
                <w:noProof/>
              </w:rPr>
            </w:pPr>
            <w:r>
              <w:rPr>
                <w:noProof/>
              </w:rPr>
              <w:t>Aprobación de los nuevos contratos de ejecución de NMBS-SNCB e Infrabel y del plan plurian</w:t>
            </w:r>
            <w:r>
              <w:rPr>
                <w:noProof/>
              </w:rPr>
              <w:t>ual de inversiones, contrato</w:t>
            </w:r>
          </w:p>
        </w:tc>
      </w:tr>
      <w:tr w:rsidR="00F208CE" w14:paraId="058F9203" w14:textId="77777777">
        <w:trPr>
          <w:trHeight w:val="315"/>
        </w:trPr>
        <w:tc>
          <w:tcPr>
            <w:tcW w:w="345" w:type="pct"/>
            <w:shd w:val="clear" w:color="auto" w:fill="C6EFCE"/>
            <w:noWrap/>
            <w:vAlign w:val="center"/>
            <w:hideMark/>
          </w:tcPr>
          <w:p w14:paraId="286472CA" w14:textId="77777777" w:rsidR="00F208CE" w:rsidRDefault="00513E84">
            <w:pPr>
              <w:pStyle w:val="P68B1DB1-Normal14"/>
              <w:spacing w:after="0"/>
              <w:jc w:val="center"/>
              <w:rPr>
                <w:rFonts w:eastAsia="Times New Roman" w:cs="Times New Roman"/>
                <w:noProof/>
              </w:rPr>
            </w:pPr>
            <w:r>
              <w:rPr>
                <w:noProof/>
              </w:rPr>
              <w:t>113</w:t>
            </w:r>
          </w:p>
        </w:tc>
        <w:tc>
          <w:tcPr>
            <w:tcW w:w="2084" w:type="pct"/>
            <w:shd w:val="clear" w:color="auto" w:fill="C6EFCE"/>
            <w:noWrap/>
            <w:vAlign w:val="center"/>
            <w:hideMark/>
          </w:tcPr>
          <w:p w14:paraId="309465DB" w14:textId="77777777" w:rsidR="00F208CE" w:rsidRDefault="00513E84">
            <w:pPr>
              <w:pStyle w:val="P68B1DB1-Normal14"/>
              <w:spacing w:after="0"/>
              <w:rPr>
                <w:rFonts w:eastAsia="Times New Roman" w:cs="Times New Roman"/>
                <w:noProof/>
              </w:rPr>
            </w:pPr>
            <w:r>
              <w:rPr>
                <w:noProof/>
              </w:rPr>
              <w:t>Subvenciones de transferencia entre modos de transporte (I-3.14)</w:t>
            </w:r>
          </w:p>
        </w:tc>
        <w:tc>
          <w:tcPr>
            <w:tcW w:w="346" w:type="pct"/>
            <w:shd w:val="clear" w:color="auto" w:fill="C6EFCE"/>
            <w:noWrap/>
            <w:vAlign w:val="center"/>
            <w:hideMark/>
          </w:tcPr>
          <w:p w14:paraId="48145E6C"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5077233C" w14:textId="77777777" w:rsidR="00F208CE" w:rsidRDefault="00513E84">
            <w:pPr>
              <w:pStyle w:val="P68B1DB1-Normal14"/>
              <w:spacing w:after="0"/>
              <w:rPr>
                <w:rFonts w:eastAsia="Times New Roman" w:cs="Times New Roman"/>
                <w:noProof/>
              </w:rPr>
            </w:pPr>
            <w:r>
              <w:rPr>
                <w:noProof/>
              </w:rPr>
              <w:t>Primeras 4375 nuevas solicitudes de subvenciones de transferencia entre modos de transporte</w:t>
            </w:r>
          </w:p>
        </w:tc>
      </w:tr>
      <w:tr w:rsidR="00F208CE" w14:paraId="5C534C7A" w14:textId="77777777">
        <w:trPr>
          <w:trHeight w:val="315"/>
        </w:trPr>
        <w:tc>
          <w:tcPr>
            <w:tcW w:w="345" w:type="pct"/>
            <w:shd w:val="clear" w:color="auto" w:fill="C6EFCE"/>
            <w:noWrap/>
            <w:vAlign w:val="center"/>
            <w:hideMark/>
          </w:tcPr>
          <w:p w14:paraId="6FE12F10" w14:textId="77777777" w:rsidR="00F208CE" w:rsidRDefault="00513E84">
            <w:pPr>
              <w:pStyle w:val="P68B1DB1-Normal14"/>
              <w:spacing w:after="0"/>
              <w:jc w:val="center"/>
              <w:rPr>
                <w:rFonts w:eastAsia="Times New Roman" w:cs="Times New Roman"/>
                <w:noProof/>
              </w:rPr>
            </w:pPr>
            <w:r>
              <w:rPr>
                <w:noProof/>
              </w:rPr>
              <w:t>121</w:t>
            </w:r>
          </w:p>
        </w:tc>
        <w:tc>
          <w:tcPr>
            <w:tcW w:w="2084" w:type="pct"/>
            <w:shd w:val="clear" w:color="auto" w:fill="C6EFCE"/>
            <w:noWrap/>
            <w:vAlign w:val="center"/>
            <w:hideMark/>
          </w:tcPr>
          <w:p w14:paraId="2CD77EF0" w14:textId="77777777" w:rsidR="00F208CE" w:rsidRDefault="00513E84">
            <w:pPr>
              <w:pStyle w:val="P68B1DB1-Normal14"/>
              <w:spacing w:after="0"/>
              <w:rPr>
                <w:rFonts w:eastAsia="Times New Roman" w:cs="Times New Roman"/>
                <w:noProof/>
              </w:rPr>
            </w:pPr>
            <w:r>
              <w:rPr>
                <w:noProof/>
              </w:rPr>
              <w:t>Estaciones de recarga (I-3F)</w:t>
            </w:r>
          </w:p>
        </w:tc>
        <w:tc>
          <w:tcPr>
            <w:tcW w:w="346" w:type="pct"/>
            <w:shd w:val="clear" w:color="auto" w:fill="C6EFCE"/>
            <w:noWrap/>
            <w:vAlign w:val="center"/>
            <w:hideMark/>
          </w:tcPr>
          <w:p w14:paraId="622D760E"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0516F21F" w14:textId="77777777" w:rsidR="00F208CE" w:rsidRDefault="00513E84">
            <w:pPr>
              <w:pStyle w:val="P68B1DB1-Normal14"/>
              <w:spacing w:after="0"/>
              <w:rPr>
                <w:rFonts w:eastAsia="Times New Roman" w:cs="Times New Roman"/>
                <w:noProof/>
              </w:rPr>
            </w:pPr>
            <w:r>
              <w:rPr>
                <w:noProof/>
              </w:rPr>
              <w:t xml:space="preserve">Puntos de recarga </w:t>
            </w:r>
            <w:r>
              <w:rPr>
                <w:noProof/>
              </w:rPr>
              <w:t>operativos semipúblicos y públicos adicionales (etapa 1)</w:t>
            </w:r>
          </w:p>
        </w:tc>
      </w:tr>
      <w:tr w:rsidR="00F208CE" w14:paraId="1C49FC1D" w14:textId="77777777">
        <w:trPr>
          <w:trHeight w:val="315"/>
        </w:trPr>
        <w:tc>
          <w:tcPr>
            <w:tcW w:w="345" w:type="pct"/>
            <w:shd w:val="clear" w:color="auto" w:fill="C6EFCE"/>
            <w:noWrap/>
            <w:vAlign w:val="center"/>
            <w:hideMark/>
          </w:tcPr>
          <w:p w14:paraId="02A9CD86" w14:textId="77777777" w:rsidR="00F208CE" w:rsidRDefault="00513E84">
            <w:pPr>
              <w:pStyle w:val="P68B1DB1-Normal14"/>
              <w:spacing w:after="0"/>
              <w:jc w:val="center"/>
              <w:rPr>
                <w:rFonts w:eastAsia="Times New Roman" w:cs="Times New Roman"/>
                <w:noProof/>
              </w:rPr>
            </w:pPr>
            <w:r>
              <w:rPr>
                <w:noProof/>
              </w:rPr>
              <w:t>124</w:t>
            </w:r>
          </w:p>
        </w:tc>
        <w:tc>
          <w:tcPr>
            <w:tcW w:w="2084" w:type="pct"/>
            <w:shd w:val="clear" w:color="auto" w:fill="C6EFCE"/>
            <w:noWrap/>
            <w:vAlign w:val="center"/>
            <w:hideMark/>
          </w:tcPr>
          <w:p w14:paraId="473E420E" w14:textId="77777777" w:rsidR="00F208CE" w:rsidRDefault="00513E84">
            <w:pPr>
              <w:pStyle w:val="P68B1DB1-Normal14"/>
              <w:spacing w:after="0"/>
              <w:rPr>
                <w:rFonts w:eastAsia="Times New Roman" w:cs="Times New Roman"/>
                <w:noProof/>
              </w:rPr>
            </w:pPr>
            <w:r>
              <w:rPr>
                <w:noProof/>
              </w:rPr>
              <w:t>Fraude en materia de emisiones (R-3.07)</w:t>
            </w:r>
          </w:p>
        </w:tc>
        <w:tc>
          <w:tcPr>
            <w:tcW w:w="346" w:type="pct"/>
            <w:shd w:val="clear" w:color="auto" w:fill="C6EFCE"/>
            <w:noWrap/>
            <w:vAlign w:val="center"/>
            <w:hideMark/>
          </w:tcPr>
          <w:p w14:paraId="3A78EBA7"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BF54AF8" w14:textId="77777777" w:rsidR="00F208CE" w:rsidRDefault="00513E84">
            <w:pPr>
              <w:pStyle w:val="P68B1DB1-Normal14"/>
              <w:spacing w:after="0"/>
              <w:rPr>
                <w:rFonts w:eastAsia="Times New Roman" w:cs="Times New Roman"/>
                <w:noProof/>
              </w:rPr>
            </w:pPr>
            <w:r>
              <w:rPr>
                <w:noProof/>
              </w:rPr>
              <w:t>Adopción del marco jurídico para el seguimiento de las emisiones de los vehículos en Flandes</w:t>
            </w:r>
          </w:p>
        </w:tc>
      </w:tr>
      <w:tr w:rsidR="00F208CE" w14:paraId="0050B394" w14:textId="77777777">
        <w:trPr>
          <w:trHeight w:val="315"/>
        </w:trPr>
        <w:tc>
          <w:tcPr>
            <w:tcW w:w="345" w:type="pct"/>
            <w:shd w:val="clear" w:color="auto" w:fill="C6EFCE"/>
            <w:noWrap/>
            <w:vAlign w:val="center"/>
            <w:hideMark/>
          </w:tcPr>
          <w:p w14:paraId="5D59AD37" w14:textId="77777777" w:rsidR="00F208CE" w:rsidRDefault="00513E84">
            <w:pPr>
              <w:pStyle w:val="P68B1DB1-Normal14"/>
              <w:spacing w:after="0"/>
              <w:jc w:val="center"/>
              <w:rPr>
                <w:rFonts w:eastAsia="Times New Roman" w:cs="Times New Roman"/>
                <w:noProof/>
              </w:rPr>
            </w:pPr>
            <w:r>
              <w:rPr>
                <w:noProof/>
              </w:rPr>
              <w:t>127</w:t>
            </w:r>
          </w:p>
        </w:tc>
        <w:tc>
          <w:tcPr>
            <w:tcW w:w="2084" w:type="pct"/>
            <w:shd w:val="clear" w:color="auto" w:fill="C6EFCE"/>
            <w:noWrap/>
            <w:vAlign w:val="center"/>
            <w:hideMark/>
          </w:tcPr>
          <w:p w14:paraId="5456F829" w14:textId="77777777" w:rsidR="00F208CE" w:rsidRDefault="00513E84">
            <w:pPr>
              <w:pStyle w:val="P68B1DB1-Normal14"/>
              <w:spacing w:after="0"/>
              <w:rPr>
                <w:rFonts w:eastAsia="Times New Roman" w:cs="Times New Roman"/>
                <w:noProof/>
              </w:rPr>
            </w:pPr>
            <w:r>
              <w:rPr>
                <w:noProof/>
              </w:rPr>
              <w:t>Digisprong (R-4.01)</w:t>
            </w:r>
          </w:p>
        </w:tc>
        <w:tc>
          <w:tcPr>
            <w:tcW w:w="346" w:type="pct"/>
            <w:shd w:val="clear" w:color="auto" w:fill="C6EFCE"/>
            <w:noWrap/>
            <w:vAlign w:val="center"/>
            <w:hideMark/>
          </w:tcPr>
          <w:p w14:paraId="277B2D4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B85350B" w14:textId="77777777" w:rsidR="00F208CE" w:rsidRDefault="00513E84">
            <w:pPr>
              <w:pStyle w:val="P68B1DB1-Normal14"/>
              <w:spacing w:after="0"/>
              <w:rPr>
                <w:rFonts w:eastAsia="Times New Roman" w:cs="Times New Roman"/>
                <w:noProof/>
              </w:rPr>
            </w:pPr>
            <w:r>
              <w:rPr>
                <w:noProof/>
              </w:rPr>
              <w:t xml:space="preserve">Adopción de un nuevo marco de </w:t>
            </w:r>
            <w:r>
              <w:rPr>
                <w:noProof/>
              </w:rPr>
              <w:t>TIC para la educación obligatoria en Flandes</w:t>
            </w:r>
          </w:p>
        </w:tc>
      </w:tr>
      <w:tr w:rsidR="00F208CE" w14:paraId="034AE2B2" w14:textId="77777777">
        <w:trPr>
          <w:trHeight w:val="315"/>
        </w:trPr>
        <w:tc>
          <w:tcPr>
            <w:tcW w:w="345" w:type="pct"/>
            <w:shd w:val="clear" w:color="auto" w:fill="C6EFCE"/>
            <w:noWrap/>
            <w:vAlign w:val="center"/>
            <w:hideMark/>
          </w:tcPr>
          <w:p w14:paraId="3305DA4E" w14:textId="77777777" w:rsidR="00F208CE" w:rsidRDefault="00513E84">
            <w:pPr>
              <w:pStyle w:val="P68B1DB1-Normal14"/>
              <w:spacing w:after="0"/>
              <w:jc w:val="center"/>
              <w:rPr>
                <w:rFonts w:eastAsia="Times New Roman" w:cs="Times New Roman"/>
                <w:noProof/>
              </w:rPr>
            </w:pPr>
            <w:r>
              <w:rPr>
                <w:noProof/>
              </w:rPr>
              <w:t>128</w:t>
            </w:r>
          </w:p>
        </w:tc>
        <w:tc>
          <w:tcPr>
            <w:tcW w:w="2084" w:type="pct"/>
            <w:shd w:val="clear" w:color="auto" w:fill="C6EFCE"/>
            <w:noWrap/>
            <w:vAlign w:val="center"/>
            <w:hideMark/>
          </w:tcPr>
          <w:p w14:paraId="0294BC41" w14:textId="77777777" w:rsidR="00F208CE" w:rsidRDefault="00513E84">
            <w:pPr>
              <w:pStyle w:val="P68B1DB1-Normal14"/>
              <w:spacing w:after="0"/>
              <w:rPr>
                <w:rFonts w:eastAsia="Times New Roman" w:cs="Times New Roman"/>
                <w:noProof/>
              </w:rPr>
            </w:pPr>
            <w:r>
              <w:rPr>
                <w:noProof/>
              </w:rPr>
              <w:t>Fondo para la promoción de la educación superior (R-4.02)</w:t>
            </w:r>
          </w:p>
        </w:tc>
        <w:tc>
          <w:tcPr>
            <w:tcW w:w="346" w:type="pct"/>
            <w:shd w:val="clear" w:color="auto" w:fill="C6EFCE"/>
            <w:noWrap/>
            <w:vAlign w:val="center"/>
            <w:hideMark/>
          </w:tcPr>
          <w:p w14:paraId="1F06CA47"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628AD644" w14:textId="77777777" w:rsidR="00F208CE" w:rsidRDefault="00513E84">
            <w:pPr>
              <w:pStyle w:val="P68B1DB1-Normal14"/>
              <w:spacing w:after="0"/>
              <w:rPr>
                <w:rFonts w:eastAsia="Times New Roman" w:cs="Times New Roman"/>
                <w:noProof/>
              </w:rPr>
            </w:pPr>
            <w:r>
              <w:rPr>
                <w:noProof/>
              </w:rPr>
              <w:t>Documento de reflexión para una educación superior orientada al futuro, ágil y digital</w:t>
            </w:r>
          </w:p>
        </w:tc>
      </w:tr>
      <w:tr w:rsidR="00F208CE" w14:paraId="4E784E5C" w14:textId="77777777">
        <w:trPr>
          <w:trHeight w:val="315"/>
        </w:trPr>
        <w:tc>
          <w:tcPr>
            <w:tcW w:w="345" w:type="pct"/>
            <w:shd w:val="clear" w:color="auto" w:fill="C6EFCE"/>
            <w:noWrap/>
            <w:vAlign w:val="center"/>
            <w:hideMark/>
          </w:tcPr>
          <w:p w14:paraId="6AE78108" w14:textId="77777777" w:rsidR="00F208CE" w:rsidRDefault="00513E84">
            <w:pPr>
              <w:pStyle w:val="P68B1DB1-Normal14"/>
              <w:spacing w:after="0"/>
              <w:jc w:val="center"/>
              <w:rPr>
                <w:rFonts w:eastAsia="Times New Roman" w:cs="Times New Roman"/>
                <w:noProof/>
              </w:rPr>
            </w:pPr>
            <w:r>
              <w:rPr>
                <w:noProof/>
              </w:rPr>
              <w:t>134</w:t>
            </w:r>
          </w:p>
        </w:tc>
        <w:tc>
          <w:tcPr>
            <w:tcW w:w="2084" w:type="pct"/>
            <w:shd w:val="clear" w:color="auto" w:fill="C6EFCE"/>
            <w:noWrap/>
            <w:vAlign w:val="center"/>
            <w:hideMark/>
          </w:tcPr>
          <w:p w14:paraId="4E4DFCDB" w14:textId="77777777" w:rsidR="00F208CE" w:rsidRDefault="00513E84">
            <w:pPr>
              <w:pStyle w:val="P68B1DB1-Normal14"/>
              <w:spacing w:after="0"/>
              <w:rPr>
                <w:rFonts w:eastAsia="Times New Roman" w:cs="Times New Roman"/>
                <w:noProof/>
              </w:rPr>
            </w:pPr>
            <w:r>
              <w:rPr>
                <w:noProof/>
              </w:rPr>
              <w:t>Fondo de Promoción de la Educación Superior (I-4.02)</w:t>
            </w:r>
          </w:p>
        </w:tc>
        <w:tc>
          <w:tcPr>
            <w:tcW w:w="346" w:type="pct"/>
            <w:shd w:val="clear" w:color="auto" w:fill="C6EFCE"/>
            <w:noWrap/>
            <w:vAlign w:val="center"/>
            <w:hideMark/>
          </w:tcPr>
          <w:p w14:paraId="20EA2C29"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52ACE920" w14:textId="77777777" w:rsidR="00F208CE" w:rsidRDefault="00513E84">
            <w:pPr>
              <w:pStyle w:val="P68B1DB1-Normal14"/>
              <w:spacing w:after="0"/>
              <w:rPr>
                <w:rFonts w:eastAsia="Times New Roman" w:cs="Times New Roman"/>
                <w:noProof/>
              </w:rPr>
            </w:pPr>
            <w:r>
              <w:rPr>
                <w:noProof/>
              </w:rPr>
              <w:t>Mejorar la oferta de educación de alto nivel en Flandes para hacerla más ágil y preparada para el futuro</w:t>
            </w:r>
          </w:p>
        </w:tc>
      </w:tr>
      <w:tr w:rsidR="00F208CE" w14:paraId="50564A33" w14:textId="77777777">
        <w:trPr>
          <w:trHeight w:val="315"/>
        </w:trPr>
        <w:tc>
          <w:tcPr>
            <w:tcW w:w="345" w:type="pct"/>
            <w:shd w:val="clear" w:color="auto" w:fill="C6EFCE"/>
            <w:noWrap/>
            <w:vAlign w:val="center"/>
            <w:hideMark/>
          </w:tcPr>
          <w:p w14:paraId="7863022D" w14:textId="77777777" w:rsidR="00F208CE" w:rsidRDefault="00513E84">
            <w:pPr>
              <w:pStyle w:val="P68B1DB1-Normal14"/>
              <w:spacing w:after="0"/>
              <w:jc w:val="center"/>
              <w:rPr>
                <w:rFonts w:eastAsia="Times New Roman" w:cs="Times New Roman"/>
                <w:noProof/>
              </w:rPr>
            </w:pPr>
            <w:r>
              <w:rPr>
                <w:noProof/>
              </w:rPr>
              <w:t>140</w:t>
            </w:r>
          </w:p>
        </w:tc>
        <w:tc>
          <w:tcPr>
            <w:tcW w:w="2084" w:type="pct"/>
            <w:shd w:val="clear" w:color="auto" w:fill="C6EFCE"/>
            <w:noWrap/>
            <w:vAlign w:val="center"/>
            <w:hideMark/>
          </w:tcPr>
          <w:p w14:paraId="095761A0" w14:textId="77777777" w:rsidR="00F208CE" w:rsidRDefault="00513E84">
            <w:pPr>
              <w:pStyle w:val="P68B1DB1-Normal14"/>
              <w:spacing w:after="0"/>
              <w:rPr>
                <w:rFonts w:eastAsia="Times New Roman" w:cs="Times New Roman"/>
                <w:noProof/>
              </w:rPr>
            </w:pPr>
            <w:r>
              <w:rPr>
                <w:noProof/>
              </w:rPr>
              <w:t>Lucha contra la discriminación en el mercado laboral (R-4.04)</w:t>
            </w:r>
          </w:p>
        </w:tc>
        <w:tc>
          <w:tcPr>
            <w:tcW w:w="346" w:type="pct"/>
            <w:shd w:val="clear" w:color="auto" w:fill="C6EFCE"/>
            <w:noWrap/>
            <w:vAlign w:val="center"/>
            <w:hideMark/>
          </w:tcPr>
          <w:p w14:paraId="7848F28A"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18D99E9" w14:textId="77777777" w:rsidR="00F208CE" w:rsidRDefault="00513E84">
            <w:pPr>
              <w:pStyle w:val="P68B1DB1-Normal14"/>
              <w:spacing w:after="0"/>
              <w:rPr>
                <w:rFonts w:eastAsia="Times New Roman" w:cs="Times New Roman"/>
                <w:noProof/>
              </w:rPr>
            </w:pPr>
            <w:r>
              <w:rPr>
                <w:noProof/>
              </w:rPr>
              <w:t>Marco regulador adaptado y mejor aplicación de las pruebas discriminatorias</w:t>
            </w:r>
          </w:p>
        </w:tc>
      </w:tr>
      <w:tr w:rsidR="00F208CE" w14:paraId="43CE8BE3" w14:textId="77777777">
        <w:trPr>
          <w:trHeight w:val="315"/>
        </w:trPr>
        <w:tc>
          <w:tcPr>
            <w:tcW w:w="345" w:type="pct"/>
            <w:shd w:val="clear" w:color="auto" w:fill="C6EFCE"/>
            <w:noWrap/>
            <w:vAlign w:val="center"/>
            <w:hideMark/>
          </w:tcPr>
          <w:p w14:paraId="1969561B" w14:textId="77777777" w:rsidR="00F208CE" w:rsidRDefault="00513E84">
            <w:pPr>
              <w:pStyle w:val="P68B1DB1-Normal14"/>
              <w:spacing w:after="0"/>
              <w:jc w:val="center"/>
              <w:rPr>
                <w:rFonts w:eastAsia="Times New Roman" w:cs="Times New Roman"/>
                <w:noProof/>
              </w:rPr>
            </w:pPr>
            <w:r>
              <w:rPr>
                <w:noProof/>
              </w:rPr>
              <w:t>141</w:t>
            </w:r>
          </w:p>
        </w:tc>
        <w:tc>
          <w:tcPr>
            <w:tcW w:w="2084" w:type="pct"/>
            <w:shd w:val="clear" w:color="auto" w:fill="C6EFCE"/>
            <w:noWrap/>
            <w:vAlign w:val="center"/>
            <w:hideMark/>
          </w:tcPr>
          <w:p w14:paraId="7918F989" w14:textId="77777777" w:rsidR="00F208CE" w:rsidRDefault="00513E84">
            <w:pPr>
              <w:pStyle w:val="P68B1DB1-Normal14"/>
              <w:spacing w:after="0"/>
              <w:rPr>
                <w:rFonts w:eastAsia="Times New Roman" w:cs="Times New Roman"/>
                <w:noProof/>
              </w:rPr>
            </w:pPr>
            <w:r>
              <w:rPr>
                <w:noProof/>
              </w:rPr>
              <w:t>Un mercado laboral integrador (R-4.06)</w:t>
            </w:r>
          </w:p>
        </w:tc>
        <w:tc>
          <w:tcPr>
            <w:tcW w:w="346" w:type="pct"/>
            <w:shd w:val="clear" w:color="auto" w:fill="C6EFCE"/>
            <w:noWrap/>
            <w:vAlign w:val="center"/>
            <w:hideMark/>
          </w:tcPr>
          <w:p w14:paraId="4E29F1A8"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3A28A1A8" w14:textId="77777777" w:rsidR="00F208CE" w:rsidRDefault="00513E84">
            <w:pPr>
              <w:pStyle w:val="P68B1DB1-Normal14"/>
              <w:spacing w:after="0"/>
              <w:rPr>
                <w:rFonts w:eastAsia="Times New Roman" w:cs="Times New Roman"/>
                <w:noProof/>
              </w:rPr>
            </w:pPr>
            <w:r>
              <w:rPr>
                <w:noProof/>
              </w:rPr>
              <w:t>Finalización de las acciones sectoriales de no discriminación</w:t>
            </w:r>
          </w:p>
        </w:tc>
      </w:tr>
      <w:tr w:rsidR="00F208CE" w14:paraId="4FB3C571" w14:textId="77777777">
        <w:trPr>
          <w:trHeight w:val="315"/>
        </w:trPr>
        <w:tc>
          <w:tcPr>
            <w:tcW w:w="345" w:type="pct"/>
            <w:shd w:val="clear" w:color="auto" w:fill="C6EFCE"/>
            <w:noWrap/>
            <w:vAlign w:val="center"/>
            <w:hideMark/>
          </w:tcPr>
          <w:p w14:paraId="65D965D8" w14:textId="77777777" w:rsidR="00F208CE" w:rsidRDefault="00513E84">
            <w:pPr>
              <w:pStyle w:val="P68B1DB1-Normal14"/>
              <w:spacing w:after="0"/>
              <w:jc w:val="center"/>
              <w:rPr>
                <w:rFonts w:eastAsia="Times New Roman" w:cs="Times New Roman"/>
                <w:noProof/>
              </w:rPr>
            </w:pPr>
            <w:r>
              <w:rPr>
                <w:noProof/>
              </w:rPr>
              <w:t>142</w:t>
            </w:r>
          </w:p>
        </w:tc>
        <w:tc>
          <w:tcPr>
            <w:tcW w:w="2084" w:type="pct"/>
            <w:shd w:val="clear" w:color="auto" w:fill="C6EFCE"/>
            <w:noWrap/>
            <w:vAlign w:val="center"/>
            <w:hideMark/>
          </w:tcPr>
          <w:p w14:paraId="6024FC43" w14:textId="77777777" w:rsidR="00F208CE" w:rsidRDefault="00513E84">
            <w:pPr>
              <w:pStyle w:val="P68B1DB1-Normal14"/>
              <w:spacing w:after="0"/>
              <w:rPr>
                <w:rFonts w:eastAsia="Times New Roman" w:cs="Times New Roman"/>
                <w:noProof/>
              </w:rPr>
            </w:pPr>
            <w:r>
              <w:rPr>
                <w:noProof/>
              </w:rPr>
              <w:t>Un mercado laboral integrador (R-4.06)</w:t>
            </w:r>
          </w:p>
        </w:tc>
        <w:tc>
          <w:tcPr>
            <w:tcW w:w="346" w:type="pct"/>
            <w:shd w:val="clear" w:color="auto" w:fill="C6EFCE"/>
            <w:noWrap/>
            <w:vAlign w:val="center"/>
            <w:hideMark/>
          </w:tcPr>
          <w:p w14:paraId="05EE8CA8"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2B96B53E" w14:textId="77777777" w:rsidR="00F208CE" w:rsidRDefault="00513E84">
            <w:pPr>
              <w:pStyle w:val="P68B1DB1-Normal14"/>
              <w:spacing w:after="0"/>
              <w:rPr>
                <w:rFonts w:eastAsia="Times New Roman" w:cs="Times New Roman"/>
                <w:noProof/>
              </w:rPr>
            </w:pPr>
            <w:r>
              <w:rPr>
                <w:noProof/>
              </w:rPr>
              <w:t>Nueva vía integrada para los recién llegados</w:t>
            </w:r>
          </w:p>
        </w:tc>
      </w:tr>
      <w:tr w:rsidR="00F208CE" w14:paraId="4B6241F5" w14:textId="77777777">
        <w:trPr>
          <w:trHeight w:val="315"/>
        </w:trPr>
        <w:tc>
          <w:tcPr>
            <w:tcW w:w="345" w:type="pct"/>
            <w:shd w:val="clear" w:color="auto" w:fill="C6EFCE"/>
            <w:noWrap/>
            <w:vAlign w:val="center"/>
            <w:hideMark/>
          </w:tcPr>
          <w:p w14:paraId="3EAA698D" w14:textId="77777777" w:rsidR="00F208CE" w:rsidRDefault="00513E84">
            <w:pPr>
              <w:pStyle w:val="P68B1DB1-Normal14"/>
              <w:spacing w:after="0"/>
              <w:jc w:val="center"/>
              <w:rPr>
                <w:rFonts w:eastAsia="Times New Roman" w:cs="Times New Roman"/>
                <w:noProof/>
              </w:rPr>
            </w:pPr>
            <w:r>
              <w:rPr>
                <w:noProof/>
              </w:rPr>
              <w:t>143</w:t>
            </w:r>
          </w:p>
        </w:tc>
        <w:tc>
          <w:tcPr>
            <w:tcW w:w="2084" w:type="pct"/>
            <w:shd w:val="clear" w:color="auto" w:fill="C6EFCE"/>
            <w:noWrap/>
            <w:vAlign w:val="center"/>
            <w:hideMark/>
          </w:tcPr>
          <w:p w14:paraId="2AA01679" w14:textId="77777777" w:rsidR="00F208CE" w:rsidRDefault="00513E84">
            <w:pPr>
              <w:pStyle w:val="P68B1DB1-Normal14"/>
              <w:spacing w:after="0"/>
              <w:rPr>
                <w:rFonts w:eastAsia="Times New Roman" w:cs="Times New Roman"/>
                <w:noProof/>
              </w:rPr>
            </w:pPr>
            <w:r>
              <w:rPr>
                <w:noProof/>
              </w:rPr>
              <w:t>Estrategia de recalificación (I-4.07)</w:t>
            </w:r>
          </w:p>
        </w:tc>
        <w:tc>
          <w:tcPr>
            <w:tcW w:w="346" w:type="pct"/>
            <w:shd w:val="clear" w:color="auto" w:fill="C6EFCE"/>
            <w:noWrap/>
            <w:vAlign w:val="center"/>
            <w:hideMark/>
          </w:tcPr>
          <w:p w14:paraId="5A8AE809"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1DF4976F" w14:textId="77777777" w:rsidR="00F208CE" w:rsidRDefault="00513E84">
            <w:pPr>
              <w:pStyle w:val="P68B1DB1-Normal14"/>
              <w:spacing w:after="0"/>
              <w:rPr>
                <w:rFonts w:eastAsia="Times New Roman" w:cs="Times New Roman"/>
                <w:noProof/>
              </w:rPr>
            </w:pPr>
            <w:r>
              <w:rPr>
                <w:noProof/>
              </w:rPr>
              <w:t xml:space="preserve">Concesión de </w:t>
            </w:r>
            <w:r>
              <w:rPr>
                <w:noProof/>
              </w:rPr>
              <w:t>subvenciones relacionadas con iniciativas de innovación social</w:t>
            </w:r>
          </w:p>
        </w:tc>
      </w:tr>
      <w:tr w:rsidR="00F208CE" w14:paraId="3EE9885D" w14:textId="77777777">
        <w:trPr>
          <w:trHeight w:val="315"/>
        </w:trPr>
        <w:tc>
          <w:tcPr>
            <w:tcW w:w="345" w:type="pct"/>
            <w:shd w:val="clear" w:color="auto" w:fill="C6EFCE"/>
            <w:noWrap/>
            <w:vAlign w:val="center"/>
            <w:hideMark/>
          </w:tcPr>
          <w:p w14:paraId="13893C88" w14:textId="77777777" w:rsidR="00F208CE" w:rsidRDefault="00513E84">
            <w:pPr>
              <w:pStyle w:val="P68B1DB1-Normal14"/>
              <w:spacing w:after="0"/>
              <w:jc w:val="center"/>
              <w:rPr>
                <w:rFonts w:eastAsia="Times New Roman" w:cs="Times New Roman"/>
                <w:noProof/>
              </w:rPr>
            </w:pPr>
            <w:r>
              <w:rPr>
                <w:noProof/>
              </w:rPr>
              <w:t>154</w:t>
            </w:r>
          </w:p>
        </w:tc>
        <w:tc>
          <w:tcPr>
            <w:tcW w:w="2084" w:type="pct"/>
            <w:shd w:val="clear" w:color="auto" w:fill="C6EFCE"/>
            <w:noWrap/>
            <w:vAlign w:val="center"/>
            <w:hideMark/>
          </w:tcPr>
          <w:p w14:paraId="12E3EFCC" w14:textId="77777777" w:rsidR="00F208CE" w:rsidRDefault="00513E84">
            <w:pPr>
              <w:pStyle w:val="P68B1DB1-Normal14"/>
              <w:spacing w:after="0"/>
              <w:rPr>
                <w:rFonts w:eastAsia="Times New Roman" w:cs="Times New Roman"/>
                <w:noProof/>
              </w:rPr>
            </w:pPr>
            <w:r>
              <w:rPr>
                <w:noProof/>
              </w:rPr>
              <w:t>Construcción y renovación de la infraestructura de guardería infantil (I-4.13)</w:t>
            </w:r>
          </w:p>
        </w:tc>
        <w:tc>
          <w:tcPr>
            <w:tcW w:w="346" w:type="pct"/>
            <w:shd w:val="clear" w:color="auto" w:fill="C6EFCE"/>
            <w:noWrap/>
            <w:vAlign w:val="center"/>
            <w:hideMark/>
          </w:tcPr>
          <w:p w14:paraId="4D731609" w14:textId="77777777" w:rsidR="00F208CE" w:rsidRDefault="00513E84">
            <w:pPr>
              <w:pStyle w:val="P68B1DB1-Normal14"/>
              <w:spacing w:after="0"/>
              <w:jc w:val="center"/>
              <w:rPr>
                <w:rFonts w:eastAsia="Times New Roman" w:cs="Times New Roman"/>
                <w:noProof/>
              </w:rPr>
            </w:pPr>
            <w:r>
              <w:rPr>
                <w:noProof/>
              </w:rPr>
              <w:t>T</w:t>
            </w:r>
          </w:p>
        </w:tc>
        <w:tc>
          <w:tcPr>
            <w:tcW w:w="2225" w:type="pct"/>
            <w:shd w:val="clear" w:color="auto" w:fill="C6EFCE"/>
            <w:noWrap/>
            <w:vAlign w:val="center"/>
            <w:hideMark/>
          </w:tcPr>
          <w:p w14:paraId="5321488F" w14:textId="77777777" w:rsidR="00F208CE" w:rsidRDefault="00513E84">
            <w:pPr>
              <w:pStyle w:val="P68B1DB1-Normal14"/>
              <w:spacing w:after="0"/>
              <w:rPr>
                <w:rFonts w:eastAsia="Times New Roman" w:cs="Times New Roman"/>
                <w:noProof/>
              </w:rPr>
            </w:pPr>
            <w:r>
              <w:rPr>
                <w:noProof/>
              </w:rPr>
              <w:t>Adjudicación de contratos de obras para promotores de proyectos</w:t>
            </w:r>
          </w:p>
        </w:tc>
      </w:tr>
      <w:tr w:rsidR="00F208CE" w14:paraId="11E28454" w14:textId="77777777">
        <w:trPr>
          <w:trHeight w:val="315"/>
        </w:trPr>
        <w:tc>
          <w:tcPr>
            <w:tcW w:w="345" w:type="pct"/>
            <w:shd w:val="clear" w:color="auto" w:fill="C6EFCE"/>
            <w:noWrap/>
            <w:vAlign w:val="center"/>
            <w:hideMark/>
          </w:tcPr>
          <w:p w14:paraId="20213FA3" w14:textId="77777777" w:rsidR="00F208CE" w:rsidRDefault="00513E84">
            <w:pPr>
              <w:pStyle w:val="P68B1DB1-Normal14"/>
              <w:spacing w:after="0"/>
              <w:jc w:val="center"/>
              <w:rPr>
                <w:rFonts w:eastAsia="Times New Roman" w:cs="Times New Roman"/>
                <w:noProof/>
              </w:rPr>
            </w:pPr>
            <w:r>
              <w:rPr>
                <w:noProof/>
              </w:rPr>
              <w:t>159</w:t>
            </w:r>
          </w:p>
        </w:tc>
        <w:tc>
          <w:tcPr>
            <w:tcW w:w="2084" w:type="pct"/>
            <w:shd w:val="clear" w:color="auto" w:fill="C6EFCE"/>
            <w:noWrap/>
            <w:vAlign w:val="center"/>
            <w:hideMark/>
          </w:tcPr>
          <w:p w14:paraId="3693209D" w14:textId="77777777" w:rsidR="00F208CE" w:rsidRDefault="00513E84">
            <w:pPr>
              <w:pStyle w:val="P68B1DB1-Normal14"/>
              <w:spacing w:after="0"/>
              <w:rPr>
                <w:rFonts w:eastAsia="Times New Roman" w:cs="Times New Roman"/>
                <w:noProof/>
              </w:rPr>
            </w:pPr>
            <w:r>
              <w:rPr>
                <w:noProof/>
              </w:rPr>
              <w:t xml:space="preserve">A6K/E6K Centro de Innovación y </w:t>
            </w:r>
            <w:r>
              <w:rPr>
                <w:noProof/>
              </w:rPr>
              <w:t>Formación Digitales y Tecnológicas (I-5.01)</w:t>
            </w:r>
          </w:p>
        </w:tc>
        <w:tc>
          <w:tcPr>
            <w:tcW w:w="346" w:type="pct"/>
            <w:shd w:val="clear" w:color="auto" w:fill="C6EFCE"/>
            <w:noWrap/>
            <w:vAlign w:val="center"/>
            <w:hideMark/>
          </w:tcPr>
          <w:p w14:paraId="4556FD0E"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536C9A5" w14:textId="77777777" w:rsidR="00F208CE" w:rsidRDefault="00513E84">
            <w:pPr>
              <w:pStyle w:val="P68B1DB1-Normal14"/>
              <w:spacing w:after="0"/>
              <w:rPr>
                <w:rFonts w:eastAsia="Times New Roman" w:cs="Times New Roman"/>
                <w:noProof/>
              </w:rPr>
            </w:pPr>
            <w:r>
              <w:rPr>
                <w:noProof/>
              </w:rPr>
              <w:t>Actividad desarrollada a través de A6K-E6K</w:t>
            </w:r>
          </w:p>
        </w:tc>
      </w:tr>
      <w:tr w:rsidR="00F208CE" w14:paraId="3F3BCCA6" w14:textId="77777777">
        <w:trPr>
          <w:trHeight w:val="315"/>
        </w:trPr>
        <w:tc>
          <w:tcPr>
            <w:tcW w:w="345" w:type="pct"/>
            <w:shd w:val="clear" w:color="auto" w:fill="C6EFCE"/>
            <w:noWrap/>
            <w:vAlign w:val="center"/>
            <w:hideMark/>
          </w:tcPr>
          <w:p w14:paraId="39FB45A2" w14:textId="77777777" w:rsidR="00F208CE" w:rsidRDefault="00513E84">
            <w:pPr>
              <w:pStyle w:val="P68B1DB1-Normal14"/>
              <w:spacing w:after="0"/>
              <w:jc w:val="center"/>
              <w:rPr>
                <w:rFonts w:eastAsia="Times New Roman" w:cs="Times New Roman"/>
                <w:noProof/>
              </w:rPr>
            </w:pPr>
            <w:r>
              <w:rPr>
                <w:noProof/>
              </w:rPr>
              <w:t>174</w:t>
            </w:r>
          </w:p>
        </w:tc>
        <w:tc>
          <w:tcPr>
            <w:tcW w:w="2084" w:type="pct"/>
            <w:shd w:val="clear" w:color="auto" w:fill="C6EFCE"/>
            <w:noWrap/>
            <w:vAlign w:val="center"/>
            <w:hideMark/>
          </w:tcPr>
          <w:p w14:paraId="77AB3DC0" w14:textId="77777777" w:rsidR="00F208CE" w:rsidRDefault="00513E84">
            <w:pPr>
              <w:pStyle w:val="P68B1DB1-Normal14"/>
              <w:spacing w:after="0"/>
              <w:rPr>
                <w:rFonts w:eastAsia="Times New Roman" w:cs="Times New Roman"/>
                <w:noProof/>
              </w:rPr>
            </w:pPr>
            <w:r>
              <w:rPr>
                <w:noProof/>
              </w:rPr>
              <w:t>Cuenta de aprendizaje (R-5.03)</w:t>
            </w:r>
          </w:p>
        </w:tc>
        <w:tc>
          <w:tcPr>
            <w:tcW w:w="346" w:type="pct"/>
            <w:shd w:val="clear" w:color="auto" w:fill="C6EFCE"/>
            <w:noWrap/>
            <w:vAlign w:val="center"/>
            <w:hideMark/>
          </w:tcPr>
          <w:p w14:paraId="7F6CF026"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1145D652" w14:textId="1A3E8324" w:rsidR="00F208CE" w:rsidRDefault="00513E84">
            <w:pPr>
              <w:pStyle w:val="P68B1DB1-Normal14"/>
              <w:spacing w:after="0"/>
              <w:rPr>
                <w:rFonts w:eastAsia="Times New Roman" w:cs="Times New Roman"/>
                <w:noProof/>
              </w:rPr>
            </w:pPr>
            <w:r>
              <w:rPr>
                <w:noProof/>
              </w:rPr>
              <w:t>Reforma por la que se establece la inscripción obligatoria en el servicio público de empleo</w:t>
            </w:r>
          </w:p>
        </w:tc>
      </w:tr>
      <w:tr w:rsidR="00F208CE" w14:paraId="5C594F24" w14:textId="77777777">
        <w:trPr>
          <w:trHeight w:val="315"/>
        </w:trPr>
        <w:tc>
          <w:tcPr>
            <w:tcW w:w="345" w:type="pct"/>
            <w:shd w:val="clear" w:color="auto" w:fill="C6EFCE"/>
            <w:noWrap/>
            <w:vAlign w:val="center"/>
            <w:hideMark/>
          </w:tcPr>
          <w:p w14:paraId="7426D35E" w14:textId="77777777" w:rsidR="00F208CE" w:rsidRDefault="00513E84">
            <w:pPr>
              <w:pStyle w:val="P68B1DB1-Normal14"/>
              <w:spacing w:after="0"/>
              <w:jc w:val="center"/>
              <w:rPr>
                <w:rFonts w:eastAsia="Times New Roman" w:cs="Times New Roman"/>
                <w:noProof/>
              </w:rPr>
            </w:pPr>
            <w:r>
              <w:rPr>
                <w:noProof/>
              </w:rPr>
              <w:t>175</w:t>
            </w:r>
          </w:p>
        </w:tc>
        <w:tc>
          <w:tcPr>
            <w:tcW w:w="2084" w:type="pct"/>
            <w:shd w:val="clear" w:color="auto" w:fill="C6EFCE"/>
            <w:noWrap/>
            <w:vAlign w:val="center"/>
            <w:hideMark/>
          </w:tcPr>
          <w:p w14:paraId="1087BFE7" w14:textId="77777777" w:rsidR="00F208CE" w:rsidRDefault="00513E84">
            <w:pPr>
              <w:pStyle w:val="P68B1DB1-Normal14"/>
              <w:spacing w:after="0"/>
              <w:rPr>
                <w:rFonts w:eastAsia="Times New Roman" w:cs="Times New Roman"/>
                <w:noProof/>
              </w:rPr>
            </w:pPr>
            <w:r>
              <w:rPr>
                <w:noProof/>
              </w:rPr>
              <w:t xml:space="preserve">Régimen de acumulación y </w:t>
            </w:r>
            <w:r>
              <w:rPr>
                <w:noProof/>
              </w:rPr>
              <w:t>movilidad a sectores con escasez (R-5.01)</w:t>
            </w:r>
          </w:p>
        </w:tc>
        <w:tc>
          <w:tcPr>
            <w:tcW w:w="346" w:type="pct"/>
            <w:shd w:val="clear" w:color="auto" w:fill="C6EFCE"/>
            <w:noWrap/>
            <w:vAlign w:val="center"/>
            <w:hideMark/>
          </w:tcPr>
          <w:p w14:paraId="42D9B30C"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34B69AB1" w14:textId="77777777" w:rsidR="00F208CE" w:rsidRDefault="00513E84">
            <w:pPr>
              <w:pStyle w:val="P68B1DB1-Normal14"/>
              <w:spacing w:after="0"/>
              <w:rPr>
                <w:rFonts w:eastAsia="Times New Roman" w:cs="Times New Roman"/>
                <w:noProof/>
              </w:rPr>
            </w:pPr>
            <w:r>
              <w:rPr>
                <w:noProof/>
              </w:rPr>
              <w:t>Reforma federal del régimen de acumulación</w:t>
            </w:r>
          </w:p>
        </w:tc>
      </w:tr>
      <w:tr w:rsidR="00F208CE" w14:paraId="1CDCFC14" w14:textId="77777777">
        <w:trPr>
          <w:trHeight w:val="315"/>
        </w:trPr>
        <w:tc>
          <w:tcPr>
            <w:tcW w:w="345" w:type="pct"/>
            <w:shd w:val="clear" w:color="auto" w:fill="C6EFCE"/>
            <w:noWrap/>
            <w:vAlign w:val="center"/>
            <w:hideMark/>
          </w:tcPr>
          <w:p w14:paraId="693E05EC" w14:textId="77777777" w:rsidR="00F208CE" w:rsidRDefault="00513E84">
            <w:pPr>
              <w:pStyle w:val="P68B1DB1-Normal14"/>
              <w:spacing w:after="0"/>
              <w:jc w:val="center"/>
              <w:rPr>
                <w:rFonts w:eastAsia="Times New Roman" w:cs="Times New Roman"/>
                <w:noProof/>
              </w:rPr>
            </w:pPr>
            <w:r>
              <w:rPr>
                <w:noProof/>
              </w:rPr>
              <w:t>176</w:t>
            </w:r>
          </w:p>
        </w:tc>
        <w:tc>
          <w:tcPr>
            <w:tcW w:w="2084" w:type="pct"/>
            <w:shd w:val="clear" w:color="auto" w:fill="C6EFCE"/>
            <w:noWrap/>
            <w:vAlign w:val="center"/>
            <w:hideMark/>
          </w:tcPr>
          <w:p w14:paraId="0B761384" w14:textId="77777777" w:rsidR="00F208CE" w:rsidRDefault="00513E84">
            <w:pPr>
              <w:pStyle w:val="P68B1DB1-Normal14"/>
              <w:spacing w:after="0"/>
              <w:rPr>
                <w:rFonts w:eastAsia="Times New Roman" w:cs="Times New Roman"/>
                <w:noProof/>
              </w:rPr>
            </w:pPr>
            <w:r>
              <w:rPr>
                <w:noProof/>
              </w:rPr>
              <w:t>Régimen de acumulación y movilidad a sectores con escasez (R-5.01)</w:t>
            </w:r>
          </w:p>
        </w:tc>
        <w:tc>
          <w:tcPr>
            <w:tcW w:w="346" w:type="pct"/>
            <w:shd w:val="clear" w:color="auto" w:fill="C6EFCE"/>
            <w:noWrap/>
            <w:vAlign w:val="center"/>
            <w:hideMark/>
          </w:tcPr>
          <w:p w14:paraId="4BD76E31"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22AB3355" w14:textId="77777777" w:rsidR="00F208CE" w:rsidRDefault="00513E84">
            <w:pPr>
              <w:pStyle w:val="P68B1DB1-Normal14"/>
              <w:spacing w:after="0"/>
              <w:rPr>
                <w:rFonts w:eastAsia="Times New Roman" w:cs="Times New Roman"/>
                <w:noProof/>
              </w:rPr>
            </w:pPr>
            <w:r>
              <w:rPr>
                <w:noProof/>
              </w:rPr>
              <w:t>Reforma federal de la movilidad hacia sectores deficitarios</w:t>
            </w:r>
          </w:p>
        </w:tc>
      </w:tr>
      <w:tr w:rsidR="00F208CE" w14:paraId="67983F81" w14:textId="77777777">
        <w:trPr>
          <w:trHeight w:val="315"/>
        </w:trPr>
        <w:tc>
          <w:tcPr>
            <w:tcW w:w="345" w:type="pct"/>
            <w:shd w:val="clear" w:color="auto" w:fill="C6EFCE"/>
            <w:noWrap/>
            <w:vAlign w:val="center"/>
            <w:hideMark/>
          </w:tcPr>
          <w:p w14:paraId="64BF4795" w14:textId="77777777" w:rsidR="00F208CE" w:rsidRDefault="00513E84">
            <w:pPr>
              <w:pStyle w:val="P68B1DB1-Normal14"/>
              <w:spacing w:after="0"/>
              <w:jc w:val="center"/>
              <w:rPr>
                <w:rFonts w:eastAsia="Times New Roman" w:cs="Times New Roman"/>
                <w:noProof/>
              </w:rPr>
            </w:pPr>
            <w:r>
              <w:rPr>
                <w:noProof/>
              </w:rPr>
              <w:t>184</w:t>
            </w:r>
          </w:p>
        </w:tc>
        <w:tc>
          <w:tcPr>
            <w:tcW w:w="2084" w:type="pct"/>
            <w:shd w:val="clear" w:color="auto" w:fill="C6EFCE"/>
            <w:noWrap/>
            <w:vAlign w:val="center"/>
            <w:hideMark/>
          </w:tcPr>
          <w:p w14:paraId="192A0170" w14:textId="77777777" w:rsidR="00F208CE" w:rsidRDefault="00513E84">
            <w:pPr>
              <w:pStyle w:val="P68B1DB1-Normal14"/>
              <w:spacing w:after="0"/>
              <w:rPr>
                <w:rFonts w:eastAsia="Times New Roman" w:cs="Times New Roman"/>
                <w:noProof/>
              </w:rPr>
            </w:pPr>
            <w:r>
              <w:rPr>
                <w:noProof/>
              </w:rPr>
              <w:t xml:space="preserve">R — D: Minimización de </w:t>
            </w:r>
            <w:r>
              <w:rPr>
                <w:noProof/>
              </w:rPr>
              <w:t>residuos durante el desmantelamiento (I-5.10)</w:t>
            </w:r>
          </w:p>
        </w:tc>
        <w:tc>
          <w:tcPr>
            <w:tcW w:w="346" w:type="pct"/>
            <w:shd w:val="clear" w:color="auto" w:fill="C6EFCE"/>
            <w:noWrap/>
            <w:vAlign w:val="center"/>
            <w:hideMark/>
          </w:tcPr>
          <w:p w14:paraId="7B85E526"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5AB4DD3C" w14:textId="77777777" w:rsidR="00F208CE" w:rsidRDefault="00513E84">
            <w:pPr>
              <w:pStyle w:val="P68B1DB1-Normal14"/>
              <w:spacing w:after="0"/>
              <w:rPr>
                <w:rFonts w:eastAsia="Times New Roman" w:cs="Times New Roman"/>
                <w:noProof/>
              </w:rPr>
            </w:pPr>
            <w:r>
              <w:rPr>
                <w:noProof/>
              </w:rPr>
              <w:t>Adjudicación de un contrato público para la construcción de una instalación de tratamiento de materiales (esterillas)</w:t>
            </w:r>
          </w:p>
        </w:tc>
      </w:tr>
      <w:tr w:rsidR="00F208CE" w14:paraId="13878D5D" w14:textId="77777777">
        <w:trPr>
          <w:trHeight w:val="315"/>
        </w:trPr>
        <w:tc>
          <w:tcPr>
            <w:tcW w:w="345" w:type="pct"/>
            <w:shd w:val="clear" w:color="auto" w:fill="C6EFCE"/>
            <w:noWrap/>
            <w:vAlign w:val="center"/>
            <w:hideMark/>
          </w:tcPr>
          <w:p w14:paraId="56C9299A" w14:textId="77777777" w:rsidR="00F208CE" w:rsidRDefault="00513E84">
            <w:pPr>
              <w:pStyle w:val="P68B1DB1-Normal14"/>
              <w:spacing w:after="0"/>
              <w:jc w:val="center"/>
              <w:rPr>
                <w:rFonts w:eastAsia="Times New Roman" w:cs="Times New Roman"/>
                <w:noProof/>
              </w:rPr>
            </w:pPr>
            <w:r>
              <w:rPr>
                <w:noProof/>
              </w:rPr>
              <w:t>207</w:t>
            </w:r>
          </w:p>
        </w:tc>
        <w:tc>
          <w:tcPr>
            <w:tcW w:w="2084" w:type="pct"/>
            <w:shd w:val="clear" w:color="auto" w:fill="C6EFCE"/>
            <w:noWrap/>
            <w:vAlign w:val="center"/>
            <w:hideMark/>
          </w:tcPr>
          <w:p w14:paraId="7E4DEECE" w14:textId="77777777" w:rsidR="00F208CE" w:rsidRDefault="00513E84">
            <w:pPr>
              <w:pStyle w:val="P68B1DB1-Normal14"/>
              <w:spacing w:after="0"/>
              <w:rPr>
                <w:rFonts w:eastAsia="Times New Roman" w:cs="Times New Roman"/>
                <w:noProof/>
              </w:rPr>
            </w:pPr>
            <w:r>
              <w:rPr>
                <w:noProof/>
              </w:rPr>
              <w:t>Revisiones del gasto (R-6)</w:t>
            </w:r>
          </w:p>
        </w:tc>
        <w:tc>
          <w:tcPr>
            <w:tcW w:w="346" w:type="pct"/>
            <w:shd w:val="clear" w:color="auto" w:fill="C6EFCE"/>
            <w:noWrap/>
            <w:vAlign w:val="center"/>
            <w:hideMark/>
          </w:tcPr>
          <w:p w14:paraId="0ECF4A54" w14:textId="77777777"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hideMark/>
          </w:tcPr>
          <w:p w14:paraId="416324CC" w14:textId="77777777" w:rsidR="00F208CE" w:rsidRDefault="00513E84">
            <w:pPr>
              <w:pStyle w:val="P68B1DB1-Normal14"/>
              <w:spacing w:after="0"/>
              <w:rPr>
                <w:rFonts w:eastAsia="Times New Roman" w:cs="Times New Roman"/>
                <w:noProof/>
              </w:rPr>
            </w:pPr>
            <w:r>
              <w:rPr>
                <w:noProof/>
              </w:rPr>
              <w:t>Integración de la revisión del gasto en el proceso presu</w:t>
            </w:r>
            <w:r>
              <w:rPr>
                <w:noProof/>
              </w:rPr>
              <w:t>puestario (1) o (2)</w:t>
            </w:r>
          </w:p>
        </w:tc>
      </w:tr>
      <w:tr w:rsidR="00F208CE" w14:paraId="5D333E09" w14:textId="77777777">
        <w:trPr>
          <w:trHeight w:val="315"/>
        </w:trPr>
        <w:tc>
          <w:tcPr>
            <w:tcW w:w="345" w:type="pct"/>
            <w:shd w:val="clear" w:color="auto" w:fill="C6EFCE"/>
            <w:noWrap/>
            <w:vAlign w:val="center"/>
          </w:tcPr>
          <w:p w14:paraId="770DBC8A" w14:textId="5D9F46FD" w:rsidR="00F208CE" w:rsidRDefault="00513E84">
            <w:pPr>
              <w:pStyle w:val="P68B1DB1-Normal14"/>
              <w:spacing w:after="0"/>
              <w:jc w:val="center"/>
              <w:rPr>
                <w:rFonts w:eastAsia="Times New Roman" w:cs="Times New Roman"/>
                <w:noProof/>
              </w:rPr>
            </w:pPr>
            <w:r>
              <w:rPr>
                <w:noProof/>
              </w:rPr>
              <w:t>229</w:t>
            </w:r>
          </w:p>
        </w:tc>
        <w:tc>
          <w:tcPr>
            <w:tcW w:w="2084" w:type="pct"/>
            <w:shd w:val="clear" w:color="auto" w:fill="C6EFCE"/>
            <w:noWrap/>
            <w:vAlign w:val="center"/>
          </w:tcPr>
          <w:p w14:paraId="6506FC22" w14:textId="427330ED" w:rsidR="00F208CE" w:rsidRDefault="00513E84">
            <w:pPr>
              <w:pStyle w:val="P68B1DB1-Normal14"/>
              <w:spacing w:after="0"/>
              <w:rPr>
                <w:rFonts w:eastAsia="Times New Roman" w:cs="Times New Roman"/>
                <w:noProof/>
              </w:rPr>
            </w:pPr>
            <w:r>
              <w:rPr>
                <w:noProof/>
              </w:rPr>
              <w:t>Obligación de los grandes consumidores (R-7.03)</w:t>
            </w:r>
          </w:p>
        </w:tc>
        <w:tc>
          <w:tcPr>
            <w:tcW w:w="346" w:type="pct"/>
            <w:shd w:val="clear" w:color="auto" w:fill="C6EFCE"/>
            <w:noWrap/>
            <w:vAlign w:val="center"/>
          </w:tcPr>
          <w:p w14:paraId="580383E2" w14:textId="5828C5D8" w:rsidR="00F208CE" w:rsidRDefault="00513E84">
            <w:pPr>
              <w:pStyle w:val="P68B1DB1-Normal14"/>
              <w:spacing w:after="0"/>
              <w:jc w:val="center"/>
              <w:rPr>
                <w:rFonts w:eastAsia="Times New Roman" w:cs="Times New Roman"/>
                <w:noProof/>
              </w:rPr>
            </w:pPr>
            <w:r>
              <w:rPr>
                <w:noProof/>
              </w:rPr>
              <w:t>M</w:t>
            </w:r>
          </w:p>
        </w:tc>
        <w:tc>
          <w:tcPr>
            <w:tcW w:w="2225" w:type="pct"/>
            <w:shd w:val="clear" w:color="auto" w:fill="C6EFCE"/>
            <w:noWrap/>
            <w:vAlign w:val="center"/>
          </w:tcPr>
          <w:p w14:paraId="19E765A6" w14:textId="2F3ACFD4" w:rsidR="00F208CE" w:rsidRDefault="00513E84">
            <w:pPr>
              <w:pStyle w:val="P68B1DB1-Normal14"/>
              <w:spacing w:after="0"/>
              <w:rPr>
                <w:rFonts w:eastAsia="Times New Roman" w:cs="Times New Roman"/>
                <w:noProof/>
              </w:rPr>
            </w:pPr>
            <w:r>
              <w:rPr>
                <w:noProof/>
              </w:rPr>
              <w:t>Entrada en vigor de la legislación</w:t>
            </w:r>
          </w:p>
        </w:tc>
      </w:tr>
      <w:tr w:rsidR="00F208CE" w14:paraId="51ED5FA1" w14:textId="77777777">
        <w:trPr>
          <w:trHeight w:val="315"/>
        </w:trPr>
        <w:tc>
          <w:tcPr>
            <w:tcW w:w="345" w:type="pct"/>
            <w:shd w:val="clear" w:color="auto" w:fill="C6EFCE"/>
            <w:noWrap/>
            <w:vAlign w:val="center"/>
          </w:tcPr>
          <w:p w14:paraId="58C552B3" w14:textId="77777777" w:rsidR="00F208CE" w:rsidRDefault="00F208CE">
            <w:pPr>
              <w:spacing w:after="0"/>
              <w:jc w:val="center"/>
              <w:rPr>
                <w:rFonts w:ascii="Times New Roman" w:eastAsia="Times New Roman" w:hAnsi="Times New Roman" w:cs="Times New Roman"/>
                <w:noProof/>
                <w:color w:val="006100"/>
                <w:sz w:val="20"/>
              </w:rPr>
            </w:pPr>
          </w:p>
        </w:tc>
        <w:tc>
          <w:tcPr>
            <w:tcW w:w="2430" w:type="pct"/>
            <w:gridSpan w:val="2"/>
            <w:shd w:val="clear" w:color="auto" w:fill="C6EFCE"/>
            <w:noWrap/>
            <w:vAlign w:val="center"/>
          </w:tcPr>
          <w:p w14:paraId="25027273" w14:textId="77777777" w:rsidR="00F208CE" w:rsidRDefault="00513E84">
            <w:pPr>
              <w:pStyle w:val="P68B1DB1-Normal14"/>
              <w:spacing w:after="0"/>
              <w:jc w:val="right"/>
              <w:rPr>
                <w:rFonts w:eastAsia="Times New Roman" w:cs="Times New Roman"/>
                <w:noProof/>
              </w:rPr>
            </w:pPr>
            <w:r>
              <w:rPr>
                <w:noProof/>
              </w:rPr>
              <w:t>Importe del tramo</w:t>
            </w:r>
          </w:p>
        </w:tc>
        <w:tc>
          <w:tcPr>
            <w:tcW w:w="2225" w:type="pct"/>
            <w:shd w:val="clear" w:color="auto" w:fill="C6EFCE"/>
            <w:noWrap/>
            <w:vAlign w:val="center"/>
          </w:tcPr>
          <w:p w14:paraId="69ED5BF3" w14:textId="6571C80E" w:rsidR="00F208CE" w:rsidRDefault="00513E84">
            <w:pPr>
              <w:pStyle w:val="P68B1DB1-Normal14"/>
              <w:spacing w:after="0"/>
              <w:rPr>
                <w:rFonts w:eastAsia="Times New Roman" w:cs="Times New Roman"/>
                <w:noProof/>
              </w:rPr>
            </w:pPr>
            <w:r>
              <w:rPr>
                <w:noProof/>
              </w:rPr>
              <w:t>688 829 691 EUR</w:t>
            </w:r>
          </w:p>
        </w:tc>
      </w:tr>
    </w:tbl>
    <w:p w14:paraId="68D9092B" w14:textId="739023B1" w:rsidR="00F208CE" w:rsidRDefault="00513E84">
      <w:pPr>
        <w:pStyle w:val="ManualNumPar1"/>
        <w:rPr>
          <w:noProof/>
        </w:rPr>
      </w:pPr>
      <w:r>
        <w:rPr>
          <w:noProof/>
        </w:rPr>
        <w:t>Cuarto tramo (ayudas no reembolsables):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ayout w:type="fixed"/>
        <w:tblLook w:val="04A0" w:firstRow="1" w:lastRow="0" w:firstColumn="1" w:lastColumn="0" w:noHBand="0" w:noVBand="1"/>
      </w:tblPr>
      <w:tblGrid>
        <w:gridCol w:w="792"/>
        <w:gridCol w:w="4164"/>
        <w:gridCol w:w="710"/>
        <w:gridCol w:w="4540"/>
      </w:tblGrid>
      <w:tr w:rsidR="00F208CE" w14:paraId="23480F07" w14:textId="77777777">
        <w:trPr>
          <w:trHeight w:val="300"/>
          <w:tblHeader/>
        </w:trPr>
        <w:tc>
          <w:tcPr>
            <w:tcW w:w="388" w:type="pct"/>
            <w:shd w:val="clear" w:color="auto" w:fill="BDD7EE"/>
            <w:noWrap/>
            <w:vAlign w:val="center"/>
            <w:hideMark/>
          </w:tcPr>
          <w:p w14:paraId="69419D0C" w14:textId="77777777" w:rsidR="00F208CE" w:rsidRDefault="00513E84">
            <w:pPr>
              <w:pStyle w:val="P68B1DB1-Normal39"/>
              <w:spacing w:before="120" w:after="120"/>
              <w:jc w:val="center"/>
              <w:rPr>
                <w:rFonts w:eastAsia="Times New Roman" w:cs="Times New Roman"/>
                <w:noProof/>
              </w:rPr>
            </w:pPr>
            <w:r>
              <w:rPr>
                <w:noProof/>
              </w:rPr>
              <w:t>Siguientes nb</w:t>
            </w:r>
          </w:p>
        </w:tc>
        <w:tc>
          <w:tcPr>
            <w:tcW w:w="2040" w:type="pct"/>
            <w:shd w:val="clear" w:color="auto" w:fill="BDD7EE"/>
            <w:noWrap/>
            <w:vAlign w:val="center"/>
            <w:hideMark/>
          </w:tcPr>
          <w:p w14:paraId="1532BAD1" w14:textId="77777777" w:rsidR="00F208CE" w:rsidRDefault="00513E84">
            <w:pPr>
              <w:pStyle w:val="P68B1DB1-Normal39"/>
              <w:spacing w:before="120" w:after="120"/>
              <w:jc w:val="center"/>
              <w:rPr>
                <w:rFonts w:eastAsia="Times New Roman" w:cs="Times New Roman"/>
                <w:noProof/>
              </w:rPr>
            </w:pPr>
            <w:r>
              <w:rPr>
                <w:noProof/>
              </w:rPr>
              <w:t>Nombre de la medida</w:t>
            </w:r>
          </w:p>
        </w:tc>
        <w:tc>
          <w:tcPr>
            <w:tcW w:w="348" w:type="pct"/>
            <w:shd w:val="clear" w:color="auto" w:fill="BDD7EE"/>
            <w:noWrap/>
            <w:vAlign w:val="center"/>
            <w:hideMark/>
          </w:tcPr>
          <w:p w14:paraId="56359527" w14:textId="77777777" w:rsidR="00F208CE" w:rsidRDefault="00513E84">
            <w:pPr>
              <w:pStyle w:val="P68B1DB1-Normal39"/>
              <w:spacing w:before="120" w:after="120"/>
              <w:jc w:val="center"/>
              <w:rPr>
                <w:rFonts w:eastAsia="Times New Roman" w:cs="Times New Roman"/>
                <w:noProof/>
              </w:rPr>
            </w:pPr>
            <w:r>
              <w:rPr>
                <w:noProof/>
              </w:rPr>
              <w:t>M/T</w:t>
            </w:r>
          </w:p>
        </w:tc>
        <w:tc>
          <w:tcPr>
            <w:tcW w:w="2224" w:type="pct"/>
            <w:shd w:val="clear" w:color="auto" w:fill="BDD7EE"/>
            <w:noWrap/>
            <w:vAlign w:val="center"/>
            <w:hideMark/>
          </w:tcPr>
          <w:p w14:paraId="60A7DFF8" w14:textId="77777777" w:rsidR="00F208CE" w:rsidRDefault="00513E84">
            <w:pPr>
              <w:pStyle w:val="P68B1DB1-Normal39"/>
              <w:spacing w:before="120" w:after="120"/>
              <w:jc w:val="center"/>
              <w:rPr>
                <w:rFonts w:eastAsia="Times New Roman" w:cs="Times New Roman"/>
                <w:noProof/>
              </w:rPr>
            </w:pPr>
            <w:r>
              <w:rPr>
                <w:noProof/>
              </w:rPr>
              <w:t>Nombre</w:t>
            </w:r>
          </w:p>
        </w:tc>
      </w:tr>
      <w:tr w:rsidR="00F208CE" w14:paraId="41963B44" w14:textId="77777777">
        <w:trPr>
          <w:trHeight w:val="315"/>
        </w:trPr>
        <w:tc>
          <w:tcPr>
            <w:tcW w:w="388" w:type="pct"/>
            <w:shd w:val="clear" w:color="auto" w:fill="C6EFCE"/>
            <w:noWrap/>
            <w:vAlign w:val="center"/>
            <w:hideMark/>
          </w:tcPr>
          <w:p w14:paraId="1E69F66B" w14:textId="77777777" w:rsidR="00F208CE" w:rsidRDefault="00513E84">
            <w:pPr>
              <w:pStyle w:val="P68B1DB1-Normal14"/>
              <w:spacing w:after="0"/>
              <w:jc w:val="center"/>
              <w:rPr>
                <w:rFonts w:eastAsia="Times New Roman" w:cs="Times New Roman"/>
                <w:noProof/>
              </w:rPr>
            </w:pPr>
            <w:r>
              <w:rPr>
                <w:noProof/>
              </w:rPr>
              <w:t>6</w:t>
            </w:r>
          </w:p>
        </w:tc>
        <w:tc>
          <w:tcPr>
            <w:tcW w:w="2040" w:type="pct"/>
            <w:shd w:val="clear" w:color="auto" w:fill="C6EFCE"/>
            <w:noWrap/>
            <w:vAlign w:val="center"/>
            <w:hideMark/>
          </w:tcPr>
          <w:p w14:paraId="621F3372" w14:textId="77777777" w:rsidR="00F208CE" w:rsidRDefault="00513E84">
            <w:pPr>
              <w:pStyle w:val="P68B1DB1-Normal14"/>
              <w:spacing w:after="0"/>
              <w:rPr>
                <w:rFonts w:eastAsia="Times New Roman" w:cs="Times New Roman"/>
                <w:noProof/>
              </w:rPr>
            </w:pPr>
            <w:r>
              <w:rPr>
                <w:noProof/>
              </w:rPr>
              <w:t xml:space="preserve">Renovación de </w:t>
            </w:r>
            <w:r>
              <w:rPr>
                <w:noProof/>
              </w:rPr>
              <w:t>viviendas privadas y sociales (I-1A)</w:t>
            </w:r>
          </w:p>
        </w:tc>
        <w:tc>
          <w:tcPr>
            <w:tcW w:w="348" w:type="pct"/>
            <w:shd w:val="clear" w:color="auto" w:fill="C6EFCE"/>
            <w:noWrap/>
            <w:vAlign w:val="center"/>
            <w:hideMark/>
          </w:tcPr>
          <w:p w14:paraId="62058EAE"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0A3F8321" w14:textId="77777777" w:rsidR="00F208CE" w:rsidRDefault="00513E84">
            <w:pPr>
              <w:pStyle w:val="P68B1DB1-Normal14"/>
              <w:spacing w:after="0"/>
              <w:rPr>
                <w:rFonts w:eastAsia="Times New Roman" w:cs="Times New Roman"/>
                <w:noProof/>
              </w:rPr>
            </w:pPr>
            <w:r>
              <w:rPr>
                <w:noProof/>
              </w:rPr>
              <w:t>Renovación de viviendas privadas y viviendas sociales (etapa 2)</w:t>
            </w:r>
          </w:p>
        </w:tc>
      </w:tr>
      <w:tr w:rsidR="00F208CE" w14:paraId="335724AC" w14:textId="77777777">
        <w:trPr>
          <w:trHeight w:val="315"/>
        </w:trPr>
        <w:tc>
          <w:tcPr>
            <w:tcW w:w="388" w:type="pct"/>
            <w:shd w:val="clear" w:color="auto" w:fill="C6EFCE"/>
            <w:noWrap/>
            <w:vAlign w:val="center"/>
            <w:hideMark/>
          </w:tcPr>
          <w:p w14:paraId="3B6C74F9" w14:textId="77777777" w:rsidR="00F208CE" w:rsidRDefault="00513E84">
            <w:pPr>
              <w:pStyle w:val="P68B1DB1-Normal14"/>
              <w:spacing w:after="0"/>
              <w:jc w:val="center"/>
              <w:rPr>
                <w:rFonts w:eastAsia="Times New Roman" w:cs="Times New Roman"/>
                <w:noProof/>
              </w:rPr>
            </w:pPr>
            <w:r>
              <w:rPr>
                <w:noProof/>
              </w:rPr>
              <w:t>12</w:t>
            </w:r>
          </w:p>
        </w:tc>
        <w:tc>
          <w:tcPr>
            <w:tcW w:w="2040" w:type="pct"/>
            <w:shd w:val="clear" w:color="auto" w:fill="C6EFCE"/>
            <w:noWrap/>
            <w:vAlign w:val="center"/>
            <w:hideMark/>
          </w:tcPr>
          <w:p w14:paraId="4AD0430E" w14:textId="77777777" w:rsidR="00F208CE" w:rsidRDefault="00513E84">
            <w:pPr>
              <w:pStyle w:val="P68B1DB1-Normal14"/>
              <w:spacing w:after="0"/>
              <w:rPr>
                <w:rFonts w:eastAsia="Times New Roman" w:cs="Times New Roman"/>
                <w:noProof/>
              </w:rPr>
            </w:pPr>
            <w:r>
              <w:rPr>
                <w:noProof/>
              </w:rPr>
              <w:t>Renovación de edificios públicos (I-1b)</w:t>
            </w:r>
          </w:p>
        </w:tc>
        <w:tc>
          <w:tcPr>
            <w:tcW w:w="348" w:type="pct"/>
            <w:shd w:val="clear" w:color="auto" w:fill="C6EFCE"/>
            <w:noWrap/>
            <w:vAlign w:val="center"/>
            <w:hideMark/>
          </w:tcPr>
          <w:p w14:paraId="32A95EAE"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26A216F3" w14:textId="77777777" w:rsidR="00F208CE" w:rsidRDefault="00513E84">
            <w:pPr>
              <w:pStyle w:val="P68B1DB1-Normal14"/>
              <w:spacing w:after="0"/>
              <w:rPr>
                <w:rFonts w:eastAsia="Times New Roman" w:cs="Times New Roman"/>
                <w:noProof/>
              </w:rPr>
            </w:pPr>
            <w:r>
              <w:rPr>
                <w:noProof/>
              </w:rPr>
              <w:t>Renovación de edificios públicos (etapa 1)</w:t>
            </w:r>
          </w:p>
        </w:tc>
      </w:tr>
      <w:tr w:rsidR="00F208CE" w14:paraId="63197C8C" w14:textId="77777777">
        <w:trPr>
          <w:trHeight w:val="315"/>
        </w:trPr>
        <w:tc>
          <w:tcPr>
            <w:tcW w:w="388" w:type="pct"/>
            <w:shd w:val="clear" w:color="auto" w:fill="C6EFCE"/>
            <w:noWrap/>
            <w:vAlign w:val="center"/>
            <w:hideMark/>
          </w:tcPr>
          <w:p w14:paraId="31269D66" w14:textId="77777777" w:rsidR="00F208CE" w:rsidRDefault="00513E84">
            <w:pPr>
              <w:pStyle w:val="P68B1DB1-Normal14"/>
              <w:spacing w:after="0"/>
              <w:jc w:val="center"/>
              <w:rPr>
                <w:rFonts w:eastAsia="Times New Roman" w:cs="Times New Roman"/>
                <w:noProof/>
              </w:rPr>
            </w:pPr>
            <w:r>
              <w:rPr>
                <w:noProof/>
              </w:rPr>
              <w:t>15</w:t>
            </w:r>
          </w:p>
        </w:tc>
        <w:tc>
          <w:tcPr>
            <w:tcW w:w="2040" w:type="pct"/>
            <w:shd w:val="clear" w:color="auto" w:fill="C6EFCE"/>
            <w:noWrap/>
            <w:vAlign w:val="center"/>
            <w:hideMark/>
          </w:tcPr>
          <w:p w14:paraId="31710D66" w14:textId="77777777" w:rsidR="00F208CE" w:rsidRDefault="00513E84">
            <w:pPr>
              <w:pStyle w:val="P68B1DB1-Normal14"/>
              <w:spacing w:after="0"/>
              <w:rPr>
                <w:rFonts w:eastAsia="Times New Roman" w:cs="Times New Roman"/>
                <w:noProof/>
              </w:rPr>
            </w:pPr>
            <w:r>
              <w:rPr>
                <w:noProof/>
              </w:rPr>
              <w:t>Marco regulador del mercado H2 (R-1.04)</w:t>
            </w:r>
          </w:p>
        </w:tc>
        <w:tc>
          <w:tcPr>
            <w:tcW w:w="348" w:type="pct"/>
            <w:shd w:val="clear" w:color="auto" w:fill="C6EFCE"/>
            <w:noWrap/>
            <w:vAlign w:val="center"/>
            <w:hideMark/>
          </w:tcPr>
          <w:p w14:paraId="591BD67F"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1C00BB2D" w14:textId="77777777" w:rsidR="00F208CE" w:rsidRDefault="00513E84">
            <w:pPr>
              <w:pStyle w:val="P68B1DB1-Normal14"/>
              <w:spacing w:after="0"/>
              <w:rPr>
                <w:rFonts w:eastAsia="Times New Roman" w:cs="Times New Roman"/>
                <w:noProof/>
              </w:rPr>
            </w:pPr>
            <w:r>
              <w:rPr>
                <w:noProof/>
              </w:rPr>
              <w:t xml:space="preserve">Entrada en vigor </w:t>
            </w:r>
            <w:r>
              <w:rPr>
                <w:noProof/>
              </w:rPr>
              <w:t>de las leyes nuevas o modificadas y reglamentos conexos para permitir el desarrollo del mercado de H2</w:t>
            </w:r>
          </w:p>
        </w:tc>
      </w:tr>
      <w:tr w:rsidR="00F208CE" w14:paraId="452C3FBA" w14:textId="77777777">
        <w:trPr>
          <w:trHeight w:val="315"/>
        </w:trPr>
        <w:tc>
          <w:tcPr>
            <w:tcW w:w="388" w:type="pct"/>
            <w:shd w:val="clear" w:color="auto" w:fill="C6EFCE"/>
            <w:noWrap/>
            <w:vAlign w:val="center"/>
            <w:hideMark/>
          </w:tcPr>
          <w:p w14:paraId="63CBE079" w14:textId="77777777" w:rsidR="00F208CE" w:rsidRDefault="00513E84">
            <w:pPr>
              <w:pStyle w:val="P68B1DB1-Normal14"/>
              <w:spacing w:after="0"/>
              <w:jc w:val="center"/>
              <w:rPr>
                <w:rFonts w:eastAsia="Times New Roman" w:cs="Times New Roman"/>
                <w:noProof/>
              </w:rPr>
            </w:pPr>
            <w:r>
              <w:rPr>
                <w:noProof/>
              </w:rPr>
              <w:t>15 bis</w:t>
            </w:r>
          </w:p>
        </w:tc>
        <w:tc>
          <w:tcPr>
            <w:tcW w:w="2040" w:type="pct"/>
            <w:shd w:val="clear" w:color="auto" w:fill="C6EFCE"/>
            <w:noWrap/>
            <w:vAlign w:val="center"/>
            <w:hideMark/>
          </w:tcPr>
          <w:p w14:paraId="1F6F6517" w14:textId="77777777" w:rsidR="00F208CE" w:rsidRDefault="00513E84">
            <w:pPr>
              <w:pStyle w:val="P68B1DB1-Normal14"/>
              <w:spacing w:after="0"/>
              <w:rPr>
                <w:rFonts w:eastAsia="Times New Roman" w:cs="Times New Roman"/>
                <w:noProof/>
              </w:rPr>
            </w:pPr>
            <w:r>
              <w:rPr>
                <w:noProof/>
              </w:rPr>
              <w:t>Marco regulador del mercado de CO2 en Flandes (R-1.05)</w:t>
            </w:r>
          </w:p>
        </w:tc>
        <w:tc>
          <w:tcPr>
            <w:tcW w:w="348" w:type="pct"/>
            <w:shd w:val="clear" w:color="auto" w:fill="C6EFCE"/>
            <w:noWrap/>
            <w:vAlign w:val="center"/>
            <w:hideMark/>
          </w:tcPr>
          <w:p w14:paraId="0F85E2C0"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1E58867E" w14:textId="77777777" w:rsidR="00F208CE" w:rsidRDefault="00513E84">
            <w:pPr>
              <w:pStyle w:val="P68B1DB1-Normal14"/>
              <w:spacing w:after="0"/>
              <w:rPr>
                <w:rFonts w:eastAsia="Times New Roman" w:cs="Times New Roman"/>
                <w:noProof/>
              </w:rPr>
            </w:pPr>
            <w:r>
              <w:rPr>
                <w:noProof/>
              </w:rPr>
              <w:t>Entrada</w:t>
            </w:r>
            <w:r>
              <w:rPr>
                <w:noProof/>
              </w:rPr>
              <w:t xml:space="preserve"> en vigor de los decretos nuevos o modificados y de la normativa conexa para permitir el desarrollo del mercado del CO2 en Flandes</w:t>
            </w:r>
          </w:p>
        </w:tc>
      </w:tr>
      <w:tr w:rsidR="00F208CE" w14:paraId="1372FA28" w14:textId="77777777">
        <w:trPr>
          <w:trHeight w:val="315"/>
        </w:trPr>
        <w:tc>
          <w:tcPr>
            <w:tcW w:w="388" w:type="pct"/>
            <w:shd w:val="clear" w:color="auto" w:fill="C6EFCE"/>
            <w:noWrap/>
            <w:vAlign w:val="center"/>
            <w:hideMark/>
          </w:tcPr>
          <w:p w14:paraId="4D95A600" w14:textId="77777777" w:rsidR="00F208CE" w:rsidRDefault="00513E84">
            <w:pPr>
              <w:pStyle w:val="P68B1DB1-Normal14"/>
              <w:spacing w:after="0"/>
              <w:jc w:val="center"/>
              <w:rPr>
                <w:rFonts w:eastAsia="Times New Roman" w:cs="Times New Roman"/>
                <w:noProof/>
              </w:rPr>
            </w:pPr>
            <w:r>
              <w:rPr>
                <w:noProof/>
              </w:rPr>
              <w:t>15ter</w:t>
            </w:r>
          </w:p>
        </w:tc>
        <w:tc>
          <w:tcPr>
            <w:tcW w:w="2040" w:type="pct"/>
            <w:shd w:val="clear" w:color="auto" w:fill="C6EFCE"/>
            <w:noWrap/>
            <w:vAlign w:val="center"/>
            <w:hideMark/>
          </w:tcPr>
          <w:p w14:paraId="010E2944" w14:textId="77777777" w:rsidR="00F208CE" w:rsidRDefault="00513E84">
            <w:pPr>
              <w:pStyle w:val="P68B1DB1-Normal14"/>
              <w:spacing w:after="0"/>
              <w:rPr>
                <w:rFonts w:eastAsia="Times New Roman" w:cs="Times New Roman"/>
                <w:noProof/>
              </w:rPr>
            </w:pPr>
            <w:r>
              <w:rPr>
                <w:noProof/>
              </w:rPr>
              <w:t>Marco regulador del mercado de CO2 en Valonia (R-1.06)</w:t>
            </w:r>
          </w:p>
        </w:tc>
        <w:tc>
          <w:tcPr>
            <w:tcW w:w="348" w:type="pct"/>
            <w:shd w:val="clear" w:color="auto" w:fill="C6EFCE"/>
            <w:noWrap/>
            <w:vAlign w:val="center"/>
            <w:hideMark/>
          </w:tcPr>
          <w:p w14:paraId="1751D253"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38FE6B9B" w14:textId="77777777" w:rsidR="00F208CE" w:rsidRDefault="00513E84">
            <w:pPr>
              <w:pStyle w:val="P68B1DB1-Normal14"/>
              <w:spacing w:after="0"/>
              <w:rPr>
                <w:rFonts w:eastAsia="Times New Roman" w:cs="Times New Roman"/>
                <w:noProof/>
              </w:rPr>
            </w:pPr>
            <w:r>
              <w:rPr>
                <w:noProof/>
              </w:rPr>
              <w:t>Entrada en vigor de los decretos nuevos o modificados y de la</w:t>
            </w:r>
            <w:r>
              <w:rPr>
                <w:noProof/>
              </w:rPr>
              <w:t xml:space="preserve"> normativa conexa para permitir el desarrollo del mercado del CO2 en Valonia</w:t>
            </w:r>
          </w:p>
        </w:tc>
      </w:tr>
      <w:tr w:rsidR="00F208CE" w14:paraId="27D4D29F" w14:textId="77777777">
        <w:trPr>
          <w:trHeight w:val="315"/>
        </w:trPr>
        <w:tc>
          <w:tcPr>
            <w:tcW w:w="388" w:type="pct"/>
            <w:shd w:val="clear" w:color="auto" w:fill="C6EFCE"/>
            <w:noWrap/>
            <w:vAlign w:val="center"/>
            <w:hideMark/>
          </w:tcPr>
          <w:p w14:paraId="3CF38E6C" w14:textId="77777777" w:rsidR="00F208CE" w:rsidRDefault="00513E84">
            <w:pPr>
              <w:pStyle w:val="P68B1DB1-Normal14"/>
              <w:spacing w:after="0"/>
              <w:jc w:val="center"/>
              <w:rPr>
                <w:rFonts w:eastAsia="Times New Roman" w:cs="Times New Roman"/>
                <w:noProof/>
              </w:rPr>
            </w:pPr>
            <w:r>
              <w:rPr>
                <w:noProof/>
              </w:rPr>
              <w:t>19</w:t>
            </w:r>
          </w:p>
        </w:tc>
        <w:tc>
          <w:tcPr>
            <w:tcW w:w="2040" w:type="pct"/>
            <w:shd w:val="clear" w:color="auto" w:fill="C6EFCE"/>
            <w:noWrap/>
            <w:vAlign w:val="center"/>
            <w:hideMark/>
          </w:tcPr>
          <w:p w14:paraId="66ABA06C" w14:textId="77777777" w:rsidR="00F208CE" w:rsidRDefault="00513E84">
            <w:pPr>
              <w:pStyle w:val="P68B1DB1-Normal14"/>
              <w:spacing w:after="0"/>
              <w:rPr>
                <w:rFonts w:eastAsia="Times New Roman" w:cs="Times New Roman"/>
                <w:noProof/>
              </w:rPr>
            </w:pPr>
            <w:r>
              <w:rPr>
                <w:noProof/>
              </w:rPr>
              <w:t>Una cadena de valor industrial para la transición del hidrógeno (I-1.15)</w:t>
            </w:r>
          </w:p>
        </w:tc>
        <w:tc>
          <w:tcPr>
            <w:tcW w:w="348" w:type="pct"/>
            <w:shd w:val="clear" w:color="auto" w:fill="C6EFCE"/>
            <w:noWrap/>
            <w:vAlign w:val="center"/>
            <w:hideMark/>
          </w:tcPr>
          <w:p w14:paraId="61362B3F"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7625EBD2" w14:textId="4C81B87E" w:rsidR="00F208CE" w:rsidRDefault="00513E84">
            <w:pPr>
              <w:pStyle w:val="P68B1DB1-Normal14"/>
              <w:spacing w:after="0"/>
              <w:rPr>
                <w:rFonts w:eastAsia="Times New Roman" w:cs="Times New Roman"/>
                <w:noProof/>
              </w:rPr>
            </w:pPr>
            <w:r>
              <w:rPr>
                <w:noProof/>
              </w:rPr>
              <w:t>Adjudicación de contratos en el marco de la 2.a convocatoria de proyectos</w:t>
            </w:r>
          </w:p>
        </w:tc>
      </w:tr>
      <w:tr w:rsidR="00F208CE" w14:paraId="2C998E6B" w14:textId="77777777">
        <w:trPr>
          <w:trHeight w:val="315"/>
        </w:trPr>
        <w:tc>
          <w:tcPr>
            <w:tcW w:w="388" w:type="pct"/>
            <w:shd w:val="clear" w:color="auto" w:fill="C6EFCE"/>
            <w:noWrap/>
            <w:vAlign w:val="center"/>
            <w:hideMark/>
          </w:tcPr>
          <w:p w14:paraId="2AA0F701" w14:textId="77777777" w:rsidR="00F208CE" w:rsidRDefault="00513E84">
            <w:pPr>
              <w:pStyle w:val="P68B1DB1-Normal14"/>
              <w:spacing w:after="0"/>
              <w:jc w:val="center"/>
              <w:rPr>
                <w:rFonts w:eastAsia="Times New Roman" w:cs="Times New Roman"/>
                <w:noProof/>
              </w:rPr>
            </w:pPr>
            <w:r>
              <w:rPr>
                <w:noProof/>
              </w:rPr>
              <w:t>36</w:t>
            </w:r>
          </w:p>
        </w:tc>
        <w:tc>
          <w:tcPr>
            <w:tcW w:w="2040" w:type="pct"/>
            <w:shd w:val="clear" w:color="auto" w:fill="C6EFCE"/>
            <w:noWrap/>
            <w:vAlign w:val="center"/>
            <w:hideMark/>
          </w:tcPr>
          <w:p w14:paraId="7C30A1A6" w14:textId="77777777" w:rsidR="00F208CE" w:rsidRDefault="00513E84">
            <w:pPr>
              <w:pStyle w:val="P68B1DB1-Normal14"/>
              <w:spacing w:after="0"/>
              <w:rPr>
                <w:rFonts w:eastAsia="Times New Roman" w:cs="Times New Roman"/>
                <w:noProof/>
              </w:rPr>
            </w:pPr>
            <w:r>
              <w:rPr>
                <w:noProof/>
              </w:rPr>
              <w:t xml:space="preserve">Biodiversidad y </w:t>
            </w:r>
            <w:r>
              <w:rPr>
                <w:noProof/>
              </w:rPr>
              <w:t>adaptación al cambio climático (I-1.22)</w:t>
            </w:r>
          </w:p>
        </w:tc>
        <w:tc>
          <w:tcPr>
            <w:tcW w:w="348" w:type="pct"/>
            <w:shd w:val="clear" w:color="auto" w:fill="C6EFCE"/>
            <w:noWrap/>
            <w:vAlign w:val="center"/>
            <w:hideMark/>
          </w:tcPr>
          <w:p w14:paraId="70B657A9"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1E4DE010" w14:textId="77777777" w:rsidR="00F208CE" w:rsidRDefault="00513E84">
            <w:pPr>
              <w:pStyle w:val="P68B1DB1-Normal14"/>
              <w:spacing w:after="0"/>
              <w:rPr>
                <w:rFonts w:eastAsia="Times New Roman" w:cs="Times New Roman"/>
                <w:noProof/>
              </w:rPr>
            </w:pPr>
            <w:r>
              <w:rPr>
                <w:noProof/>
              </w:rPr>
              <w:t>Medidas de gestión de la tierra aplicadas (bosques, zonas protegidas) y proyectos en curso</w:t>
            </w:r>
          </w:p>
        </w:tc>
      </w:tr>
      <w:tr w:rsidR="00F208CE" w14:paraId="57754A21" w14:textId="77777777">
        <w:trPr>
          <w:trHeight w:val="315"/>
        </w:trPr>
        <w:tc>
          <w:tcPr>
            <w:tcW w:w="388" w:type="pct"/>
            <w:shd w:val="clear" w:color="auto" w:fill="C6EFCE"/>
            <w:noWrap/>
            <w:vAlign w:val="center"/>
            <w:hideMark/>
          </w:tcPr>
          <w:p w14:paraId="19F97916" w14:textId="77777777" w:rsidR="00F208CE" w:rsidRDefault="00513E84">
            <w:pPr>
              <w:pStyle w:val="P68B1DB1-Normal14"/>
              <w:spacing w:after="0"/>
              <w:jc w:val="center"/>
              <w:rPr>
                <w:rFonts w:eastAsia="Times New Roman" w:cs="Times New Roman"/>
                <w:noProof/>
              </w:rPr>
            </w:pPr>
            <w:r>
              <w:rPr>
                <w:noProof/>
              </w:rPr>
              <w:t>44</w:t>
            </w:r>
          </w:p>
        </w:tc>
        <w:tc>
          <w:tcPr>
            <w:tcW w:w="2040" w:type="pct"/>
            <w:shd w:val="clear" w:color="auto" w:fill="C6EFCE"/>
            <w:noWrap/>
            <w:vAlign w:val="center"/>
            <w:hideMark/>
          </w:tcPr>
          <w:p w14:paraId="12A70F25" w14:textId="77777777" w:rsidR="00F208CE" w:rsidRDefault="00513E84">
            <w:pPr>
              <w:pStyle w:val="P68B1DB1-Normal14"/>
              <w:spacing w:after="0"/>
              <w:rPr>
                <w:rFonts w:eastAsia="Times New Roman" w:cs="Times New Roman"/>
                <w:noProof/>
              </w:rPr>
            </w:pPr>
            <w:r>
              <w:rPr>
                <w:noProof/>
              </w:rPr>
              <w:t>Sociedad digital cibersegura y resiliente (I-2.01)</w:t>
            </w:r>
          </w:p>
        </w:tc>
        <w:tc>
          <w:tcPr>
            <w:tcW w:w="348" w:type="pct"/>
            <w:shd w:val="clear" w:color="auto" w:fill="C6EFCE"/>
            <w:noWrap/>
            <w:vAlign w:val="center"/>
            <w:hideMark/>
          </w:tcPr>
          <w:p w14:paraId="2DFCC33A"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54DA582B" w14:textId="77777777" w:rsidR="00F208CE" w:rsidRDefault="00513E84">
            <w:pPr>
              <w:pStyle w:val="P68B1DB1-Normal14"/>
              <w:spacing w:after="0"/>
              <w:rPr>
                <w:rFonts w:eastAsia="Times New Roman" w:cs="Times New Roman"/>
                <w:noProof/>
              </w:rPr>
            </w:pPr>
            <w:r>
              <w:rPr>
                <w:noProof/>
              </w:rPr>
              <w:t>Notificación de la adjudicación de ocho licitaciones públicas</w:t>
            </w:r>
          </w:p>
        </w:tc>
      </w:tr>
      <w:tr w:rsidR="00F208CE" w14:paraId="6E3753EB" w14:textId="77777777">
        <w:trPr>
          <w:trHeight w:val="315"/>
        </w:trPr>
        <w:tc>
          <w:tcPr>
            <w:tcW w:w="388" w:type="pct"/>
            <w:shd w:val="clear" w:color="auto" w:fill="C6EFCE"/>
            <w:noWrap/>
            <w:vAlign w:val="center"/>
            <w:hideMark/>
          </w:tcPr>
          <w:p w14:paraId="49A9AC07" w14:textId="77777777" w:rsidR="00F208CE" w:rsidRDefault="00513E84">
            <w:pPr>
              <w:pStyle w:val="P68B1DB1-Normal14"/>
              <w:spacing w:after="0"/>
              <w:jc w:val="center"/>
              <w:rPr>
                <w:rFonts w:eastAsia="Times New Roman" w:cs="Times New Roman"/>
                <w:noProof/>
              </w:rPr>
            </w:pPr>
            <w:r>
              <w:rPr>
                <w:noProof/>
              </w:rPr>
              <w:t>46</w:t>
            </w:r>
          </w:p>
        </w:tc>
        <w:tc>
          <w:tcPr>
            <w:tcW w:w="2040" w:type="pct"/>
            <w:shd w:val="clear" w:color="auto" w:fill="C6EFCE"/>
            <w:noWrap/>
            <w:vAlign w:val="center"/>
            <w:hideMark/>
          </w:tcPr>
          <w:p w14:paraId="0D3972CB" w14:textId="77777777" w:rsidR="00F208CE" w:rsidRDefault="00513E84">
            <w:pPr>
              <w:pStyle w:val="P68B1DB1-Normal14"/>
              <w:spacing w:after="0"/>
              <w:rPr>
                <w:rFonts w:eastAsia="Times New Roman" w:cs="Times New Roman"/>
                <w:noProof/>
              </w:rPr>
            </w:pPr>
            <w:r>
              <w:rPr>
                <w:noProof/>
              </w:rPr>
              <w:t>Sociedad digital cibersegura y resiliente (I-2.01)</w:t>
            </w:r>
          </w:p>
        </w:tc>
        <w:tc>
          <w:tcPr>
            <w:tcW w:w="348" w:type="pct"/>
            <w:shd w:val="clear" w:color="auto" w:fill="C6EFCE"/>
            <w:noWrap/>
            <w:vAlign w:val="center"/>
            <w:hideMark/>
          </w:tcPr>
          <w:p w14:paraId="6FF59EF3"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3CDFBBE0" w14:textId="77777777" w:rsidR="00F208CE" w:rsidRDefault="00513E84">
            <w:pPr>
              <w:pStyle w:val="P68B1DB1-Normal14"/>
              <w:spacing w:after="0"/>
              <w:rPr>
                <w:rFonts w:eastAsia="Times New Roman" w:cs="Times New Roman"/>
                <w:noProof/>
              </w:rPr>
            </w:pPr>
            <w:r>
              <w:rPr>
                <w:noProof/>
              </w:rPr>
              <w:t>Instrumentos para aumentar la ciberresiliencia a disposición del público en general</w:t>
            </w:r>
          </w:p>
        </w:tc>
      </w:tr>
      <w:tr w:rsidR="00F208CE" w14:paraId="1A4D49EE" w14:textId="77777777">
        <w:trPr>
          <w:trHeight w:val="315"/>
        </w:trPr>
        <w:tc>
          <w:tcPr>
            <w:tcW w:w="388" w:type="pct"/>
            <w:shd w:val="clear" w:color="auto" w:fill="C6EFCE"/>
            <w:noWrap/>
            <w:vAlign w:val="center"/>
            <w:hideMark/>
          </w:tcPr>
          <w:p w14:paraId="5B9B4C84" w14:textId="77777777" w:rsidR="00F208CE" w:rsidRDefault="00513E84">
            <w:pPr>
              <w:pStyle w:val="P68B1DB1-Normal14"/>
              <w:spacing w:after="0"/>
              <w:jc w:val="center"/>
              <w:rPr>
                <w:rFonts w:eastAsia="Times New Roman" w:cs="Times New Roman"/>
                <w:noProof/>
              </w:rPr>
            </w:pPr>
            <w:r>
              <w:rPr>
                <w:noProof/>
              </w:rPr>
              <w:t>51</w:t>
            </w:r>
          </w:p>
        </w:tc>
        <w:tc>
          <w:tcPr>
            <w:tcW w:w="2040" w:type="pct"/>
            <w:shd w:val="clear" w:color="auto" w:fill="C6EFCE"/>
            <w:noWrap/>
            <w:vAlign w:val="center"/>
            <w:hideMark/>
          </w:tcPr>
          <w:p w14:paraId="6FD33E64" w14:textId="77777777" w:rsidR="00F208CE" w:rsidRDefault="00513E84">
            <w:pPr>
              <w:pStyle w:val="P68B1DB1-Normal14"/>
              <w:spacing w:after="0"/>
              <w:rPr>
                <w:rFonts w:eastAsia="Times New Roman" w:cs="Times New Roman"/>
                <w:noProof/>
              </w:rPr>
            </w:pPr>
            <w:r>
              <w:rPr>
                <w:noProof/>
              </w:rPr>
              <w:t>Digitalización IPSS (I-2.04) (submedida 2)</w:t>
            </w:r>
          </w:p>
        </w:tc>
        <w:tc>
          <w:tcPr>
            <w:tcW w:w="348" w:type="pct"/>
            <w:shd w:val="clear" w:color="auto" w:fill="C6EFCE"/>
            <w:noWrap/>
            <w:vAlign w:val="center"/>
            <w:hideMark/>
          </w:tcPr>
          <w:p w14:paraId="160D6563"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1AF73F8A" w14:textId="77777777" w:rsidR="00F208CE" w:rsidRDefault="00513E84">
            <w:pPr>
              <w:pStyle w:val="P68B1DB1-Normal14"/>
              <w:spacing w:after="0"/>
              <w:rPr>
                <w:rFonts w:eastAsia="Times New Roman" w:cs="Times New Roman"/>
                <w:noProof/>
              </w:rPr>
            </w:pPr>
            <w:r>
              <w:rPr>
                <w:noProof/>
              </w:rPr>
              <w:t xml:space="preserve">Todas las comunicaciones del Instituto Público de la Seguridad Social </w:t>
            </w:r>
            <w:r>
              <w:rPr>
                <w:noProof/>
              </w:rPr>
              <w:t>(IPSS) son digitales y los datos están centralizados/consolidados</w:t>
            </w:r>
          </w:p>
        </w:tc>
      </w:tr>
      <w:tr w:rsidR="00F208CE" w14:paraId="47AB97EF" w14:textId="77777777">
        <w:trPr>
          <w:trHeight w:val="315"/>
        </w:trPr>
        <w:tc>
          <w:tcPr>
            <w:tcW w:w="388" w:type="pct"/>
            <w:shd w:val="clear" w:color="auto" w:fill="C6EFCE"/>
            <w:noWrap/>
            <w:vAlign w:val="center"/>
            <w:hideMark/>
          </w:tcPr>
          <w:p w14:paraId="2219FD2A" w14:textId="77777777" w:rsidR="00F208CE" w:rsidRDefault="00513E84">
            <w:pPr>
              <w:pStyle w:val="P68B1DB1-Normal14"/>
              <w:spacing w:after="0"/>
              <w:jc w:val="center"/>
              <w:rPr>
                <w:rFonts w:eastAsia="Times New Roman" w:cs="Times New Roman"/>
                <w:noProof/>
              </w:rPr>
            </w:pPr>
            <w:r>
              <w:rPr>
                <w:noProof/>
              </w:rPr>
              <w:t>59</w:t>
            </w:r>
          </w:p>
        </w:tc>
        <w:tc>
          <w:tcPr>
            <w:tcW w:w="2040" w:type="pct"/>
            <w:shd w:val="clear" w:color="auto" w:fill="C6EFCE"/>
            <w:noWrap/>
            <w:vAlign w:val="center"/>
            <w:hideMark/>
          </w:tcPr>
          <w:p w14:paraId="5A11F598" w14:textId="77777777" w:rsidR="00F208CE" w:rsidRDefault="00513E84">
            <w:pPr>
              <w:pStyle w:val="P68B1DB1-Normal14"/>
              <w:spacing w:after="0"/>
              <w:rPr>
                <w:rFonts w:eastAsia="Times New Roman" w:cs="Times New Roman"/>
                <w:noProof/>
              </w:rPr>
            </w:pPr>
            <w:r>
              <w:rPr>
                <w:noProof/>
              </w:rPr>
              <w:t xml:space="preserve">Fondo para pequeños proyectos de digitalización (I-2.05) (submedida 1: Transformación digital de la justicia) </w:t>
            </w:r>
          </w:p>
        </w:tc>
        <w:tc>
          <w:tcPr>
            <w:tcW w:w="348" w:type="pct"/>
            <w:shd w:val="clear" w:color="auto" w:fill="C6EFCE"/>
            <w:noWrap/>
            <w:vAlign w:val="center"/>
            <w:hideMark/>
          </w:tcPr>
          <w:p w14:paraId="7E07B10A"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081FD142" w14:textId="77777777" w:rsidR="00F208CE" w:rsidRDefault="00513E84">
            <w:pPr>
              <w:pStyle w:val="P68B1DB1-Normal14"/>
              <w:spacing w:after="0"/>
              <w:rPr>
                <w:rFonts w:eastAsia="Times New Roman" w:cs="Times New Roman"/>
                <w:noProof/>
              </w:rPr>
            </w:pPr>
            <w:r>
              <w:rPr>
                <w:noProof/>
              </w:rPr>
              <w:t>Base de datos para la recogida de datos en tiempo real</w:t>
            </w:r>
          </w:p>
        </w:tc>
      </w:tr>
      <w:tr w:rsidR="00F208CE" w14:paraId="2F1EB812" w14:textId="77777777">
        <w:trPr>
          <w:trHeight w:val="315"/>
        </w:trPr>
        <w:tc>
          <w:tcPr>
            <w:tcW w:w="388" w:type="pct"/>
            <w:shd w:val="clear" w:color="auto" w:fill="C6EFCE"/>
            <w:noWrap/>
            <w:vAlign w:val="center"/>
            <w:hideMark/>
          </w:tcPr>
          <w:p w14:paraId="1CF08631" w14:textId="77777777" w:rsidR="00F208CE" w:rsidRDefault="00513E84">
            <w:pPr>
              <w:pStyle w:val="P68B1DB1-Normal14"/>
              <w:spacing w:after="0"/>
              <w:jc w:val="center"/>
              <w:rPr>
                <w:rFonts w:eastAsia="Times New Roman" w:cs="Times New Roman"/>
                <w:noProof/>
              </w:rPr>
            </w:pPr>
            <w:r>
              <w:rPr>
                <w:noProof/>
              </w:rPr>
              <w:t>71</w:t>
            </w:r>
          </w:p>
        </w:tc>
        <w:tc>
          <w:tcPr>
            <w:tcW w:w="2040" w:type="pct"/>
            <w:shd w:val="clear" w:color="auto" w:fill="C6EFCE"/>
            <w:noWrap/>
            <w:vAlign w:val="center"/>
            <w:hideMark/>
          </w:tcPr>
          <w:p w14:paraId="5258BB86" w14:textId="77777777" w:rsidR="00F208CE" w:rsidRDefault="00513E84">
            <w:pPr>
              <w:pStyle w:val="P68B1DB1-Normal14"/>
              <w:spacing w:after="0"/>
              <w:rPr>
                <w:rFonts w:eastAsia="Times New Roman" w:cs="Times New Roman"/>
                <w:noProof/>
              </w:rPr>
            </w:pPr>
            <w:r>
              <w:rPr>
                <w:noProof/>
              </w:rPr>
              <w:t xml:space="preserve">Plataforma </w:t>
            </w:r>
            <w:r>
              <w:rPr>
                <w:noProof/>
              </w:rPr>
              <w:t>regional de intercambio de datos (I-2.10)</w:t>
            </w:r>
          </w:p>
        </w:tc>
        <w:tc>
          <w:tcPr>
            <w:tcW w:w="348" w:type="pct"/>
            <w:shd w:val="clear" w:color="auto" w:fill="C6EFCE"/>
            <w:noWrap/>
            <w:vAlign w:val="center"/>
            <w:hideMark/>
          </w:tcPr>
          <w:p w14:paraId="311EE696"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0980D958" w14:textId="77777777" w:rsidR="00F208CE" w:rsidRDefault="00513E84">
            <w:pPr>
              <w:pStyle w:val="P68B1DB1-Normal14"/>
              <w:spacing w:after="0"/>
              <w:rPr>
                <w:rFonts w:eastAsia="Times New Roman" w:cs="Times New Roman"/>
                <w:noProof/>
              </w:rPr>
            </w:pPr>
            <w:r>
              <w:rPr>
                <w:noProof/>
              </w:rPr>
              <w:t>10 administraciones públicas reciben apoyo para el despliegue de proyectos en la plataforma de datos regionales</w:t>
            </w:r>
          </w:p>
        </w:tc>
      </w:tr>
      <w:tr w:rsidR="00F208CE" w14:paraId="71BD2002" w14:textId="77777777">
        <w:trPr>
          <w:trHeight w:val="315"/>
        </w:trPr>
        <w:tc>
          <w:tcPr>
            <w:tcW w:w="388" w:type="pct"/>
            <w:shd w:val="clear" w:color="auto" w:fill="C6EFCE"/>
            <w:noWrap/>
            <w:vAlign w:val="center"/>
            <w:hideMark/>
          </w:tcPr>
          <w:p w14:paraId="48885FBB" w14:textId="77777777" w:rsidR="00F208CE" w:rsidRDefault="00513E84">
            <w:pPr>
              <w:pStyle w:val="P68B1DB1-Normal14"/>
              <w:spacing w:after="0"/>
              <w:jc w:val="center"/>
              <w:rPr>
                <w:rFonts w:eastAsia="Times New Roman" w:cs="Times New Roman"/>
                <w:noProof/>
              </w:rPr>
            </w:pPr>
            <w:r>
              <w:rPr>
                <w:noProof/>
              </w:rPr>
              <w:t>79</w:t>
            </w:r>
          </w:p>
        </w:tc>
        <w:tc>
          <w:tcPr>
            <w:tcW w:w="2040" w:type="pct"/>
            <w:shd w:val="clear" w:color="auto" w:fill="C6EFCE"/>
            <w:noWrap/>
            <w:vAlign w:val="center"/>
            <w:hideMark/>
          </w:tcPr>
          <w:p w14:paraId="32CD76EE" w14:textId="77777777" w:rsidR="00F208CE" w:rsidRDefault="00513E84">
            <w:pPr>
              <w:pStyle w:val="P68B1DB1-Normal14"/>
              <w:spacing w:after="0"/>
              <w:rPr>
                <w:rFonts w:eastAsia="Times New Roman" w:cs="Times New Roman"/>
                <w:noProof/>
              </w:rPr>
            </w:pPr>
            <w:r>
              <w:rPr>
                <w:noProof/>
              </w:rPr>
              <w:t>Administración electrónica: procedimiento de licitación (R-2.02)</w:t>
            </w:r>
          </w:p>
        </w:tc>
        <w:tc>
          <w:tcPr>
            <w:tcW w:w="348" w:type="pct"/>
            <w:shd w:val="clear" w:color="auto" w:fill="C6EFCE"/>
            <w:noWrap/>
            <w:vAlign w:val="center"/>
            <w:hideMark/>
          </w:tcPr>
          <w:p w14:paraId="0F5854D1"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4ABA8CEC" w14:textId="77777777" w:rsidR="00F208CE" w:rsidRDefault="00513E84">
            <w:pPr>
              <w:pStyle w:val="P68B1DB1-Normal14"/>
              <w:spacing w:after="0"/>
              <w:rPr>
                <w:rFonts w:eastAsia="Times New Roman" w:cs="Times New Roman"/>
                <w:noProof/>
              </w:rPr>
            </w:pPr>
            <w:r>
              <w:rPr>
                <w:noProof/>
              </w:rPr>
              <w:t>Aplicación de la nueva herram</w:t>
            </w:r>
            <w:r>
              <w:rPr>
                <w:noProof/>
              </w:rPr>
              <w:t>ienta</w:t>
            </w:r>
          </w:p>
        </w:tc>
      </w:tr>
      <w:tr w:rsidR="00F208CE" w14:paraId="0546D49C" w14:textId="77777777">
        <w:trPr>
          <w:trHeight w:val="315"/>
        </w:trPr>
        <w:tc>
          <w:tcPr>
            <w:tcW w:w="388" w:type="pct"/>
            <w:shd w:val="clear" w:color="auto" w:fill="C6EFCE"/>
            <w:noWrap/>
            <w:vAlign w:val="center"/>
            <w:hideMark/>
          </w:tcPr>
          <w:p w14:paraId="7F81EA9A" w14:textId="77777777" w:rsidR="00F208CE" w:rsidRDefault="00513E84">
            <w:pPr>
              <w:pStyle w:val="P68B1DB1-Normal14"/>
              <w:spacing w:after="0"/>
              <w:jc w:val="center"/>
              <w:rPr>
                <w:rFonts w:eastAsia="Times New Roman" w:cs="Times New Roman"/>
                <w:noProof/>
              </w:rPr>
            </w:pPr>
            <w:r>
              <w:rPr>
                <w:noProof/>
              </w:rPr>
              <w:t>83</w:t>
            </w:r>
          </w:p>
        </w:tc>
        <w:tc>
          <w:tcPr>
            <w:tcW w:w="2040" w:type="pct"/>
            <w:shd w:val="clear" w:color="auto" w:fill="C6EFCE"/>
            <w:noWrap/>
            <w:vAlign w:val="center"/>
            <w:hideMark/>
          </w:tcPr>
          <w:p w14:paraId="36121C25" w14:textId="77777777" w:rsidR="00F208CE" w:rsidRDefault="00513E84">
            <w:pPr>
              <w:pStyle w:val="P68B1DB1-Normal14"/>
              <w:spacing w:after="0"/>
              <w:rPr>
                <w:rFonts w:eastAsia="Times New Roman" w:cs="Times New Roman"/>
                <w:noProof/>
              </w:rPr>
            </w:pPr>
            <w:r>
              <w:rPr>
                <w:noProof/>
              </w:rPr>
              <w:t>Desarrollo de un instituto de IA para utilizar esta tecnología para hacer frente a los retos sociales (I-2.14)</w:t>
            </w:r>
          </w:p>
        </w:tc>
        <w:tc>
          <w:tcPr>
            <w:tcW w:w="348" w:type="pct"/>
            <w:shd w:val="clear" w:color="auto" w:fill="C6EFCE"/>
            <w:noWrap/>
            <w:vAlign w:val="center"/>
            <w:hideMark/>
          </w:tcPr>
          <w:p w14:paraId="6FCE7734"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5EBFF5D5" w14:textId="77777777" w:rsidR="00F208CE" w:rsidRDefault="00513E84">
            <w:pPr>
              <w:pStyle w:val="P68B1DB1-Normal14"/>
              <w:spacing w:after="0"/>
              <w:rPr>
                <w:rFonts w:eastAsia="Times New Roman" w:cs="Times New Roman"/>
                <w:noProof/>
              </w:rPr>
            </w:pPr>
            <w:r>
              <w:rPr>
                <w:noProof/>
              </w:rPr>
              <w:t>Servicios de IA prestados por el Instituto del Bien Común</w:t>
            </w:r>
          </w:p>
        </w:tc>
      </w:tr>
      <w:tr w:rsidR="00F208CE" w14:paraId="7834C4E2" w14:textId="77777777">
        <w:trPr>
          <w:trHeight w:val="315"/>
        </w:trPr>
        <w:tc>
          <w:tcPr>
            <w:tcW w:w="388" w:type="pct"/>
            <w:shd w:val="clear" w:color="auto" w:fill="C6EFCE"/>
            <w:noWrap/>
            <w:vAlign w:val="center"/>
            <w:hideMark/>
          </w:tcPr>
          <w:p w14:paraId="09570B30" w14:textId="77777777" w:rsidR="00F208CE" w:rsidRDefault="00513E84">
            <w:pPr>
              <w:pStyle w:val="P68B1DB1-Normal14"/>
              <w:spacing w:after="0"/>
              <w:jc w:val="center"/>
              <w:rPr>
                <w:rFonts w:eastAsia="Times New Roman" w:cs="Times New Roman"/>
                <w:noProof/>
              </w:rPr>
            </w:pPr>
            <w:r>
              <w:rPr>
                <w:noProof/>
              </w:rPr>
              <w:t>94</w:t>
            </w:r>
          </w:p>
        </w:tc>
        <w:tc>
          <w:tcPr>
            <w:tcW w:w="2040" w:type="pct"/>
            <w:shd w:val="clear" w:color="auto" w:fill="C6EFCE"/>
            <w:noWrap/>
            <w:vAlign w:val="center"/>
            <w:hideMark/>
          </w:tcPr>
          <w:p w14:paraId="6B54F1D9" w14:textId="77777777" w:rsidR="00F208CE" w:rsidRDefault="00513E84">
            <w:pPr>
              <w:pStyle w:val="P68B1DB1-Normal14"/>
              <w:spacing w:after="0"/>
              <w:rPr>
                <w:rFonts w:eastAsia="Times New Roman" w:cs="Times New Roman"/>
                <w:noProof/>
              </w:rPr>
            </w:pPr>
            <w:r>
              <w:rPr>
                <w:noProof/>
              </w:rPr>
              <w:t>Infraestructura para bicicletas (I-3A)</w:t>
            </w:r>
          </w:p>
        </w:tc>
        <w:tc>
          <w:tcPr>
            <w:tcW w:w="348" w:type="pct"/>
            <w:shd w:val="clear" w:color="auto" w:fill="C6EFCE"/>
            <w:noWrap/>
            <w:vAlign w:val="center"/>
            <w:hideMark/>
          </w:tcPr>
          <w:p w14:paraId="34CF01A0"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047E3145" w14:textId="77777777" w:rsidR="00F208CE" w:rsidRDefault="00513E84">
            <w:pPr>
              <w:pStyle w:val="P68B1DB1-Normal14"/>
              <w:spacing w:after="0"/>
              <w:rPr>
                <w:rFonts w:eastAsia="Times New Roman" w:cs="Times New Roman"/>
                <w:noProof/>
              </w:rPr>
            </w:pPr>
            <w:r>
              <w:rPr>
                <w:noProof/>
              </w:rPr>
              <w:t xml:space="preserve">Inicio de todos los proyectos </w:t>
            </w:r>
            <w:r>
              <w:rPr>
                <w:noProof/>
              </w:rPr>
              <w:t>en bicicleta y a pie</w:t>
            </w:r>
          </w:p>
        </w:tc>
      </w:tr>
      <w:tr w:rsidR="00F208CE" w14:paraId="57E0D143" w14:textId="77777777">
        <w:trPr>
          <w:trHeight w:val="315"/>
        </w:trPr>
        <w:tc>
          <w:tcPr>
            <w:tcW w:w="388" w:type="pct"/>
            <w:shd w:val="clear" w:color="auto" w:fill="C6EFCE"/>
            <w:noWrap/>
            <w:vAlign w:val="center"/>
            <w:hideMark/>
          </w:tcPr>
          <w:p w14:paraId="1B72015F" w14:textId="77777777" w:rsidR="00F208CE" w:rsidRDefault="00513E84">
            <w:pPr>
              <w:pStyle w:val="P68B1DB1-Normal14"/>
              <w:spacing w:after="0"/>
              <w:jc w:val="center"/>
              <w:rPr>
                <w:rFonts w:eastAsia="Times New Roman" w:cs="Times New Roman"/>
                <w:noProof/>
              </w:rPr>
            </w:pPr>
            <w:r>
              <w:rPr>
                <w:noProof/>
              </w:rPr>
              <w:t>95</w:t>
            </w:r>
          </w:p>
        </w:tc>
        <w:tc>
          <w:tcPr>
            <w:tcW w:w="2040" w:type="pct"/>
            <w:shd w:val="clear" w:color="auto" w:fill="C6EFCE"/>
            <w:noWrap/>
            <w:vAlign w:val="center"/>
            <w:hideMark/>
          </w:tcPr>
          <w:p w14:paraId="7FAB694F" w14:textId="77777777" w:rsidR="00F208CE" w:rsidRDefault="00513E84">
            <w:pPr>
              <w:pStyle w:val="P68B1DB1-Normal14"/>
              <w:spacing w:after="0"/>
              <w:rPr>
                <w:rFonts w:eastAsia="Times New Roman" w:cs="Times New Roman"/>
                <w:noProof/>
              </w:rPr>
            </w:pPr>
            <w:r>
              <w:rPr>
                <w:noProof/>
              </w:rPr>
              <w:t>Infraestructura para bicicletas (I-3A)</w:t>
            </w:r>
          </w:p>
        </w:tc>
        <w:tc>
          <w:tcPr>
            <w:tcW w:w="348" w:type="pct"/>
            <w:shd w:val="clear" w:color="auto" w:fill="C6EFCE"/>
            <w:noWrap/>
            <w:vAlign w:val="center"/>
            <w:hideMark/>
          </w:tcPr>
          <w:p w14:paraId="6DF3E6B2"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40E62330" w14:textId="77777777" w:rsidR="00F208CE" w:rsidRDefault="00513E84">
            <w:pPr>
              <w:pStyle w:val="P68B1DB1-Normal14"/>
              <w:spacing w:after="0"/>
              <w:rPr>
                <w:rFonts w:eastAsia="Times New Roman" w:cs="Times New Roman"/>
                <w:noProof/>
              </w:rPr>
            </w:pPr>
            <w:r>
              <w:rPr>
                <w:noProof/>
              </w:rPr>
              <w:t>Carreteras ciclistas nuevas y renovadas</w:t>
            </w:r>
          </w:p>
        </w:tc>
      </w:tr>
      <w:tr w:rsidR="00F208CE" w14:paraId="6A423A05" w14:textId="77777777">
        <w:trPr>
          <w:trHeight w:val="315"/>
        </w:trPr>
        <w:tc>
          <w:tcPr>
            <w:tcW w:w="388" w:type="pct"/>
            <w:shd w:val="clear" w:color="auto" w:fill="C6EFCE"/>
            <w:noWrap/>
            <w:vAlign w:val="center"/>
            <w:hideMark/>
          </w:tcPr>
          <w:p w14:paraId="66C8D599" w14:textId="77777777" w:rsidR="00F208CE" w:rsidRDefault="00513E84">
            <w:pPr>
              <w:pStyle w:val="P68B1DB1-Normal14"/>
              <w:spacing w:after="0"/>
              <w:jc w:val="center"/>
              <w:rPr>
                <w:rFonts w:eastAsia="Times New Roman" w:cs="Times New Roman"/>
                <w:noProof/>
              </w:rPr>
            </w:pPr>
            <w:r>
              <w:rPr>
                <w:noProof/>
              </w:rPr>
              <w:t>102</w:t>
            </w:r>
          </w:p>
        </w:tc>
        <w:tc>
          <w:tcPr>
            <w:tcW w:w="2040" w:type="pct"/>
            <w:shd w:val="clear" w:color="auto" w:fill="C6EFCE"/>
            <w:noWrap/>
            <w:vAlign w:val="center"/>
            <w:hideMark/>
          </w:tcPr>
          <w:p w14:paraId="41B73BC1" w14:textId="77777777" w:rsidR="00F208CE" w:rsidRDefault="00513E84">
            <w:pPr>
              <w:pStyle w:val="P68B1DB1-Normal14"/>
              <w:spacing w:after="0"/>
              <w:rPr>
                <w:rFonts w:eastAsia="Times New Roman" w:cs="Times New Roman"/>
                <w:noProof/>
              </w:rPr>
            </w:pPr>
            <w:r>
              <w:rPr>
                <w:noProof/>
              </w:rPr>
              <w:t>Mejora del transporte público en Valonia (I-3b)</w:t>
            </w:r>
          </w:p>
        </w:tc>
        <w:tc>
          <w:tcPr>
            <w:tcW w:w="348" w:type="pct"/>
            <w:shd w:val="clear" w:color="auto" w:fill="C6EFCE"/>
            <w:noWrap/>
            <w:vAlign w:val="center"/>
            <w:hideMark/>
          </w:tcPr>
          <w:p w14:paraId="2D7C278B"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0F05BD77" w14:textId="278F89A6" w:rsidR="00F208CE" w:rsidRDefault="00513E84">
            <w:pPr>
              <w:pStyle w:val="P68B1DB1-Normal14"/>
              <w:spacing w:after="0"/>
              <w:rPr>
                <w:rFonts w:eastAsia="Times New Roman" w:cs="Times New Roman"/>
                <w:noProof/>
              </w:rPr>
            </w:pPr>
            <w:r>
              <w:rPr>
                <w:noProof/>
              </w:rPr>
              <w:t>Firma del contrato de servicio público revisado de OTW («OĂateur de Transport de Wallonie»)</w:t>
            </w:r>
          </w:p>
        </w:tc>
      </w:tr>
      <w:tr w:rsidR="00F208CE" w14:paraId="7B81E82F" w14:textId="77777777">
        <w:trPr>
          <w:trHeight w:val="315"/>
        </w:trPr>
        <w:tc>
          <w:tcPr>
            <w:tcW w:w="388" w:type="pct"/>
            <w:shd w:val="clear" w:color="auto" w:fill="C6EFCE"/>
            <w:noWrap/>
            <w:vAlign w:val="center"/>
            <w:hideMark/>
          </w:tcPr>
          <w:p w14:paraId="09B8D013" w14:textId="77777777" w:rsidR="00F208CE" w:rsidRDefault="00513E84">
            <w:pPr>
              <w:pStyle w:val="P68B1DB1-Normal14"/>
              <w:spacing w:after="0"/>
              <w:jc w:val="center"/>
              <w:rPr>
                <w:rFonts w:eastAsia="Times New Roman" w:cs="Times New Roman"/>
                <w:noProof/>
              </w:rPr>
            </w:pPr>
            <w:r>
              <w:rPr>
                <w:noProof/>
              </w:rPr>
              <w:t>109</w:t>
            </w:r>
          </w:p>
        </w:tc>
        <w:tc>
          <w:tcPr>
            <w:tcW w:w="2040" w:type="pct"/>
            <w:shd w:val="clear" w:color="auto" w:fill="C6EFCE"/>
            <w:noWrap/>
            <w:vAlign w:val="center"/>
            <w:hideMark/>
          </w:tcPr>
          <w:p w14:paraId="12131EDB" w14:textId="77777777" w:rsidR="00F208CE" w:rsidRDefault="00513E84">
            <w:pPr>
              <w:pStyle w:val="P68B1DB1-Normal14"/>
              <w:spacing w:after="0"/>
              <w:rPr>
                <w:rFonts w:eastAsia="Times New Roman" w:cs="Times New Roman"/>
                <w:noProof/>
              </w:rPr>
            </w:pPr>
            <w:r>
              <w:rPr>
                <w:noProof/>
              </w:rPr>
              <w:t>Ir en funcionamiento de los módulos informáticos ferroviarios (I-3E)</w:t>
            </w:r>
          </w:p>
        </w:tc>
        <w:tc>
          <w:tcPr>
            <w:tcW w:w="348" w:type="pct"/>
            <w:shd w:val="clear" w:color="auto" w:fill="C6EFCE"/>
            <w:noWrap/>
            <w:vAlign w:val="center"/>
            <w:hideMark/>
          </w:tcPr>
          <w:p w14:paraId="029362A5"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6B3C186C" w14:textId="77777777" w:rsidR="00F208CE" w:rsidRDefault="00513E84">
            <w:pPr>
              <w:pStyle w:val="P68B1DB1-Normal14"/>
              <w:spacing w:after="0"/>
              <w:rPr>
                <w:rFonts w:eastAsia="Times New Roman" w:cs="Times New Roman"/>
                <w:noProof/>
              </w:rPr>
            </w:pPr>
            <w:r>
              <w:rPr>
                <w:noProof/>
              </w:rPr>
              <w:t>Ir en directo de los módulos informáticos ferroviarios</w:t>
            </w:r>
          </w:p>
        </w:tc>
      </w:tr>
      <w:tr w:rsidR="00F208CE" w14:paraId="22E2AB3E" w14:textId="77777777">
        <w:trPr>
          <w:trHeight w:val="315"/>
        </w:trPr>
        <w:tc>
          <w:tcPr>
            <w:tcW w:w="388" w:type="pct"/>
            <w:shd w:val="clear" w:color="auto" w:fill="C6EFCE"/>
            <w:noWrap/>
            <w:vAlign w:val="center"/>
            <w:hideMark/>
          </w:tcPr>
          <w:p w14:paraId="41B55B12" w14:textId="77777777" w:rsidR="00F208CE" w:rsidRDefault="00513E84">
            <w:pPr>
              <w:pStyle w:val="P68B1DB1-Normal14"/>
              <w:spacing w:after="0"/>
              <w:jc w:val="center"/>
              <w:rPr>
                <w:rFonts w:eastAsia="Times New Roman" w:cs="Times New Roman"/>
                <w:noProof/>
              </w:rPr>
            </w:pPr>
            <w:r>
              <w:rPr>
                <w:noProof/>
              </w:rPr>
              <w:t>114</w:t>
            </w:r>
          </w:p>
        </w:tc>
        <w:tc>
          <w:tcPr>
            <w:tcW w:w="2040" w:type="pct"/>
            <w:shd w:val="clear" w:color="auto" w:fill="C6EFCE"/>
            <w:noWrap/>
            <w:vAlign w:val="center"/>
            <w:hideMark/>
          </w:tcPr>
          <w:p w14:paraId="65738F16" w14:textId="77777777" w:rsidR="00F208CE" w:rsidRDefault="00513E84">
            <w:pPr>
              <w:pStyle w:val="P68B1DB1-Normal14"/>
              <w:spacing w:after="0"/>
              <w:rPr>
                <w:rFonts w:eastAsia="Times New Roman" w:cs="Times New Roman"/>
                <w:noProof/>
              </w:rPr>
            </w:pPr>
            <w:r>
              <w:rPr>
                <w:noProof/>
              </w:rPr>
              <w:t>Ecologización de la flota de autobuses (I-3G)</w:t>
            </w:r>
          </w:p>
        </w:tc>
        <w:tc>
          <w:tcPr>
            <w:tcW w:w="348" w:type="pct"/>
            <w:shd w:val="clear" w:color="auto" w:fill="C6EFCE"/>
            <w:noWrap/>
            <w:vAlign w:val="center"/>
            <w:hideMark/>
          </w:tcPr>
          <w:p w14:paraId="1D453F1F"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049352F8" w14:textId="77777777" w:rsidR="00F208CE" w:rsidRDefault="00513E84">
            <w:pPr>
              <w:pStyle w:val="P68B1DB1-Normal14"/>
              <w:spacing w:after="0"/>
              <w:rPr>
                <w:rFonts w:eastAsia="Times New Roman" w:cs="Times New Roman"/>
                <w:noProof/>
              </w:rPr>
            </w:pPr>
            <w:r>
              <w:rPr>
                <w:noProof/>
              </w:rPr>
              <w:t>Orden formal para autobuses verdes e infraestructura de recarga conexa en</w:t>
            </w:r>
            <w:r>
              <w:rPr>
                <w:noProof/>
              </w:rPr>
              <w:t xml:space="preserve"> Flandes y Bruselas</w:t>
            </w:r>
          </w:p>
        </w:tc>
      </w:tr>
      <w:tr w:rsidR="00F208CE" w14:paraId="4B9BF15E" w14:textId="77777777">
        <w:trPr>
          <w:trHeight w:val="315"/>
        </w:trPr>
        <w:tc>
          <w:tcPr>
            <w:tcW w:w="388" w:type="pct"/>
            <w:shd w:val="clear" w:color="auto" w:fill="C6EFCE"/>
            <w:noWrap/>
            <w:vAlign w:val="center"/>
            <w:hideMark/>
          </w:tcPr>
          <w:p w14:paraId="6CD0375F" w14:textId="77777777" w:rsidR="00F208CE" w:rsidRDefault="00513E84">
            <w:pPr>
              <w:pStyle w:val="P68B1DB1-Normal14"/>
              <w:spacing w:after="0"/>
              <w:jc w:val="center"/>
              <w:rPr>
                <w:rFonts w:eastAsia="Times New Roman" w:cs="Times New Roman"/>
                <w:noProof/>
              </w:rPr>
            </w:pPr>
            <w:r>
              <w:rPr>
                <w:noProof/>
              </w:rPr>
              <w:t>125</w:t>
            </w:r>
          </w:p>
        </w:tc>
        <w:tc>
          <w:tcPr>
            <w:tcW w:w="2040" w:type="pct"/>
            <w:shd w:val="clear" w:color="auto" w:fill="C6EFCE"/>
            <w:noWrap/>
            <w:vAlign w:val="center"/>
            <w:hideMark/>
          </w:tcPr>
          <w:p w14:paraId="0AE92D27" w14:textId="77777777" w:rsidR="00F208CE" w:rsidRDefault="00513E84">
            <w:pPr>
              <w:pStyle w:val="P68B1DB1-Normal14"/>
              <w:spacing w:after="0"/>
              <w:rPr>
                <w:rFonts w:eastAsia="Times New Roman" w:cs="Times New Roman"/>
                <w:noProof/>
              </w:rPr>
            </w:pPr>
            <w:r>
              <w:rPr>
                <w:noProof/>
              </w:rPr>
              <w:t>Fraude en materia de emisiones (R-3.07)</w:t>
            </w:r>
          </w:p>
        </w:tc>
        <w:tc>
          <w:tcPr>
            <w:tcW w:w="348" w:type="pct"/>
            <w:shd w:val="clear" w:color="auto" w:fill="C6EFCE"/>
            <w:noWrap/>
            <w:vAlign w:val="center"/>
            <w:hideMark/>
          </w:tcPr>
          <w:p w14:paraId="2E75EB8A"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7CD9D3B6" w14:textId="77777777" w:rsidR="00F208CE" w:rsidRDefault="00513E84">
            <w:pPr>
              <w:pStyle w:val="P68B1DB1-Normal14"/>
              <w:spacing w:after="0"/>
              <w:rPr>
                <w:rFonts w:eastAsia="Times New Roman" w:cs="Times New Roman"/>
                <w:noProof/>
              </w:rPr>
            </w:pPr>
            <w:r>
              <w:rPr>
                <w:noProof/>
              </w:rPr>
              <w:t>Sistema informático que integra los datos de emisiones con las observaciones de las inspecciones técnicas y de seguridad vial periódicas en funcionamiento</w:t>
            </w:r>
          </w:p>
        </w:tc>
      </w:tr>
      <w:tr w:rsidR="00F208CE" w14:paraId="4AEDD63C" w14:textId="77777777">
        <w:trPr>
          <w:trHeight w:val="315"/>
        </w:trPr>
        <w:tc>
          <w:tcPr>
            <w:tcW w:w="388" w:type="pct"/>
            <w:shd w:val="clear" w:color="auto" w:fill="C6EFCE"/>
            <w:noWrap/>
            <w:vAlign w:val="center"/>
            <w:hideMark/>
          </w:tcPr>
          <w:p w14:paraId="38876D8E" w14:textId="77777777" w:rsidR="00F208CE" w:rsidRDefault="00513E84">
            <w:pPr>
              <w:pStyle w:val="P68B1DB1-Normal14"/>
              <w:spacing w:after="0"/>
              <w:jc w:val="center"/>
              <w:rPr>
                <w:rFonts w:eastAsia="Times New Roman" w:cs="Times New Roman"/>
                <w:noProof/>
              </w:rPr>
            </w:pPr>
            <w:r>
              <w:rPr>
                <w:noProof/>
              </w:rPr>
              <w:t>129</w:t>
            </w:r>
          </w:p>
        </w:tc>
        <w:tc>
          <w:tcPr>
            <w:tcW w:w="2040" w:type="pct"/>
            <w:shd w:val="clear" w:color="auto" w:fill="C6EFCE"/>
            <w:noWrap/>
            <w:vAlign w:val="center"/>
            <w:hideMark/>
          </w:tcPr>
          <w:p w14:paraId="3E82A239" w14:textId="77777777" w:rsidR="00F208CE" w:rsidRDefault="00513E84">
            <w:pPr>
              <w:pStyle w:val="P68B1DB1-Normal14"/>
              <w:spacing w:after="0"/>
              <w:rPr>
                <w:rFonts w:eastAsia="Times New Roman" w:cs="Times New Roman"/>
                <w:noProof/>
              </w:rPr>
            </w:pPr>
            <w:r>
              <w:rPr>
                <w:noProof/>
              </w:rPr>
              <w:t xml:space="preserve">Plan de acción global contra </w:t>
            </w:r>
            <w:r>
              <w:rPr>
                <w:noProof/>
              </w:rPr>
              <w:t>el abandono escolar prematuro (R-4.03)</w:t>
            </w:r>
          </w:p>
        </w:tc>
        <w:tc>
          <w:tcPr>
            <w:tcW w:w="348" w:type="pct"/>
            <w:shd w:val="clear" w:color="auto" w:fill="C6EFCE"/>
            <w:noWrap/>
            <w:vAlign w:val="center"/>
            <w:hideMark/>
          </w:tcPr>
          <w:p w14:paraId="3496430B"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0396CAC7" w14:textId="77777777" w:rsidR="00F208CE" w:rsidRDefault="00513E84">
            <w:pPr>
              <w:pStyle w:val="P68B1DB1-Normal14"/>
              <w:spacing w:after="0"/>
              <w:rPr>
                <w:rFonts w:eastAsia="Times New Roman" w:cs="Times New Roman"/>
                <w:noProof/>
              </w:rPr>
            </w:pPr>
            <w:r>
              <w:rPr>
                <w:noProof/>
              </w:rPr>
              <w:t>Nuevo plan integral contra el abandono escolar</w:t>
            </w:r>
          </w:p>
        </w:tc>
      </w:tr>
      <w:tr w:rsidR="00F208CE" w14:paraId="513D0A47" w14:textId="77777777">
        <w:trPr>
          <w:trHeight w:val="315"/>
        </w:trPr>
        <w:tc>
          <w:tcPr>
            <w:tcW w:w="388" w:type="pct"/>
            <w:shd w:val="clear" w:color="auto" w:fill="C6EFCE"/>
            <w:noWrap/>
            <w:vAlign w:val="center"/>
            <w:hideMark/>
          </w:tcPr>
          <w:p w14:paraId="2140A081" w14:textId="77777777" w:rsidR="00F208CE" w:rsidRDefault="00513E84">
            <w:pPr>
              <w:pStyle w:val="P68B1DB1-Normal14"/>
              <w:spacing w:after="0"/>
              <w:jc w:val="center"/>
              <w:rPr>
                <w:rFonts w:eastAsia="Times New Roman" w:cs="Times New Roman"/>
                <w:noProof/>
              </w:rPr>
            </w:pPr>
            <w:r>
              <w:rPr>
                <w:noProof/>
              </w:rPr>
              <w:t>138</w:t>
            </w:r>
          </w:p>
        </w:tc>
        <w:tc>
          <w:tcPr>
            <w:tcW w:w="2040" w:type="pct"/>
            <w:shd w:val="clear" w:color="auto" w:fill="C6EFCE"/>
            <w:noWrap/>
            <w:vAlign w:val="center"/>
            <w:hideMark/>
          </w:tcPr>
          <w:p w14:paraId="475A2D22" w14:textId="77777777" w:rsidR="00F208CE" w:rsidRDefault="00513E84">
            <w:pPr>
              <w:pStyle w:val="P68B1DB1-Normal14"/>
              <w:spacing w:after="0"/>
              <w:rPr>
                <w:rFonts w:eastAsia="Times New Roman" w:cs="Times New Roman"/>
                <w:noProof/>
              </w:rPr>
            </w:pPr>
            <w:r>
              <w:rPr>
                <w:noProof/>
              </w:rPr>
              <w:t>Revolución digital para las escuelas de Bruselas (I-4.05)</w:t>
            </w:r>
          </w:p>
        </w:tc>
        <w:tc>
          <w:tcPr>
            <w:tcW w:w="348" w:type="pct"/>
            <w:shd w:val="clear" w:color="auto" w:fill="C6EFCE"/>
            <w:noWrap/>
            <w:vAlign w:val="center"/>
            <w:hideMark/>
          </w:tcPr>
          <w:p w14:paraId="69825B00"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48E9ED2F" w14:textId="77777777" w:rsidR="00F208CE" w:rsidRDefault="00513E84">
            <w:pPr>
              <w:pStyle w:val="P68B1DB1-Normal14"/>
              <w:spacing w:after="0"/>
              <w:rPr>
                <w:rFonts w:eastAsia="Times New Roman" w:cs="Times New Roman"/>
                <w:noProof/>
              </w:rPr>
            </w:pPr>
            <w:r>
              <w:rPr>
                <w:noProof/>
              </w:rPr>
              <w:t xml:space="preserve">Dotar a las escuelas/instituciones de dispositivos e infraestructuras de TIC adecuados para mejorar el </w:t>
            </w:r>
            <w:r>
              <w:rPr>
                <w:noProof/>
              </w:rPr>
              <w:t>rendimiento global de los sistemas educativos</w:t>
            </w:r>
          </w:p>
        </w:tc>
      </w:tr>
      <w:tr w:rsidR="00F208CE" w14:paraId="063FFE34" w14:textId="77777777">
        <w:trPr>
          <w:trHeight w:val="315"/>
        </w:trPr>
        <w:tc>
          <w:tcPr>
            <w:tcW w:w="388" w:type="pct"/>
            <w:shd w:val="clear" w:color="auto" w:fill="C6EFCE"/>
            <w:noWrap/>
            <w:vAlign w:val="center"/>
            <w:hideMark/>
          </w:tcPr>
          <w:p w14:paraId="2DC01658" w14:textId="77777777" w:rsidR="00F208CE" w:rsidRDefault="00513E84">
            <w:pPr>
              <w:pStyle w:val="P68B1DB1-Normal14"/>
              <w:spacing w:after="0"/>
              <w:jc w:val="center"/>
              <w:rPr>
                <w:rFonts w:eastAsia="Times New Roman" w:cs="Times New Roman"/>
                <w:noProof/>
              </w:rPr>
            </w:pPr>
            <w:r>
              <w:rPr>
                <w:noProof/>
              </w:rPr>
              <w:t>139</w:t>
            </w:r>
          </w:p>
        </w:tc>
        <w:tc>
          <w:tcPr>
            <w:tcW w:w="2040" w:type="pct"/>
            <w:shd w:val="clear" w:color="auto" w:fill="C6EFCE"/>
            <w:noWrap/>
            <w:vAlign w:val="center"/>
            <w:hideMark/>
          </w:tcPr>
          <w:p w14:paraId="3D25EB8F" w14:textId="77777777" w:rsidR="00F208CE" w:rsidRDefault="00513E84">
            <w:pPr>
              <w:pStyle w:val="P68B1DB1-Normal14"/>
              <w:spacing w:after="0"/>
              <w:rPr>
                <w:rFonts w:eastAsia="Times New Roman" w:cs="Times New Roman"/>
                <w:noProof/>
              </w:rPr>
            </w:pPr>
            <w:r>
              <w:rPr>
                <w:noProof/>
              </w:rPr>
              <w:t>Estrategia de recalificación (R-4.05)</w:t>
            </w:r>
          </w:p>
        </w:tc>
        <w:tc>
          <w:tcPr>
            <w:tcW w:w="348" w:type="pct"/>
            <w:shd w:val="clear" w:color="auto" w:fill="C6EFCE"/>
            <w:noWrap/>
            <w:vAlign w:val="center"/>
            <w:hideMark/>
          </w:tcPr>
          <w:p w14:paraId="72CAB2A0"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6533909F" w14:textId="77777777" w:rsidR="00F208CE" w:rsidRDefault="00513E84">
            <w:pPr>
              <w:pStyle w:val="P68B1DB1-Normal14"/>
              <w:spacing w:after="0"/>
              <w:rPr>
                <w:rFonts w:eastAsia="Times New Roman" w:cs="Times New Roman"/>
                <w:noProof/>
              </w:rPr>
            </w:pPr>
            <w:r>
              <w:rPr>
                <w:noProof/>
              </w:rPr>
              <w:t>Adopción de textos normativos por el Gobierno de Bruselas para promover la integración de los grupos vulnerables en el mercado laboral</w:t>
            </w:r>
          </w:p>
        </w:tc>
      </w:tr>
      <w:tr w:rsidR="00F208CE" w14:paraId="60B4EBD3" w14:textId="77777777">
        <w:trPr>
          <w:trHeight w:val="315"/>
        </w:trPr>
        <w:tc>
          <w:tcPr>
            <w:tcW w:w="388" w:type="pct"/>
            <w:shd w:val="clear" w:color="auto" w:fill="C6EFCE"/>
            <w:noWrap/>
            <w:vAlign w:val="center"/>
            <w:hideMark/>
          </w:tcPr>
          <w:p w14:paraId="6007CD95" w14:textId="77777777" w:rsidR="00F208CE" w:rsidRDefault="00513E84">
            <w:pPr>
              <w:pStyle w:val="P68B1DB1-Normal14"/>
              <w:spacing w:after="0"/>
              <w:jc w:val="center"/>
              <w:rPr>
                <w:rFonts w:eastAsia="Times New Roman" w:cs="Times New Roman"/>
                <w:noProof/>
              </w:rPr>
            </w:pPr>
            <w:r>
              <w:rPr>
                <w:noProof/>
              </w:rPr>
              <w:t>144</w:t>
            </w:r>
          </w:p>
        </w:tc>
        <w:tc>
          <w:tcPr>
            <w:tcW w:w="2040" w:type="pct"/>
            <w:shd w:val="clear" w:color="auto" w:fill="C6EFCE"/>
            <w:noWrap/>
            <w:vAlign w:val="center"/>
            <w:hideMark/>
          </w:tcPr>
          <w:p w14:paraId="2666ABEA" w14:textId="77777777" w:rsidR="00F208CE" w:rsidRDefault="00513E84">
            <w:pPr>
              <w:pStyle w:val="P68B1DB1-Normal14"/>
              <w:spacing w:after="0"/>
              <w:rPr>
                <w:rFonts w:eastAsia="Times New Roman" w:cs="Times New Roman"/>
                <w:noProof/>
              </w:rPr>
            </w:pPr>
            <w:r>
              <w:rPr>
                <w:noProof/>
              </w:rPr>
              <w:t xml:space="preserve">Estrategia de </w:t>
            </w:r>
            <w:r>
              <w:rPr>
                <w:noProof/>
              </w:rPr>
              <w:t>recalificación (I-4.07)</w:t>
            </w:r>
          </w:p>
        </w:tc>
        <w:tc>
          <w:tcPr>
            <w:tcW w:w="348" w:type="pct"/>
            <w:shd w:val="clear" w:color="auto" w:fill="C6EFCE"/>
            <w:noWrap/>
            <w:vAlign w:val="center"/>
            <w:hideMark/>
          </w:tcPr>
          <w:p w14:paraId="4BDE013B"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1EE20A61" w14:textId="77777777" w:rsidR="00F208CE" w:rsidRDefault="00513E84">
            <w:pPr>
              <w:pStyle w:val="P68B1DB1-Normal14"/>
              <w:spacing w:after="0"/>
              <w:rPr>
                <w:rFonts w:eastAsia="Times New Roman" w:cs="Times New Roman"/>
                <w:noProof/>
              </w:rPr>
            </w:pPr>
            <w:r>
              <w:rPr>
                <w:noProof/>
              </w:rPr>
              <w:t>Perfil de competencias y asesoramiento profesional</w:t>
            </w:r>
          </w:p>
        </w:tc>
      </w:tr>
      <w:tr w:rsidR="00F208CE" w14:paraId="0DA92500" w14:textId="77777777">
        <w:trPr>
          <w:trHeight w:val="315"/>
        </w:trPr>
        <w:tc>
          <w:tcPr>
            <w:tcW w:w="388" w:type="pct"/>
            <w:shd w:val="clear" w:color="auto" w:fill="C6EFCE"/>
            <w:noWrap/>
            <w:vAlign w:val="center"/>
            <w:hideMark/>
          </w:tcPr>
          <w:p w14:paraId="17C7ED86" w14:textId="77777777" w:rsidR="00F208CE" w:rsidRDefault="00513E84">
            <w:pPr>
              <w:pStyle w:val="P68B1DB1-Normal14"/>
              <w:spacing w:after="0"/>
              <w:jc w:val="center"/>
              <w:rPr>
                <w:rFonts w:eastAsia="Times New Roman" w:cs="Times New Roman"/>
                <w:noProof/>
              </w:rPr>
            </w:pPr>
            <w:r>
              <w:rPr>
                <w:noProof/>
              </w:rPr>
              <w:t>146</w:t>
            </w:r>
          </w:p>
        </w:tc>
        <w:tc>
          <w:tcPr>
            <w:tcW w:w="2040" w:type="pct"/>
            <w:shd w:val="clear" w:color="auto" w:fill="C6EFCE"/>
            <w:noWrap/>
            <w:vAlign w:val="center"/>
            <w:hideMark/>
          </w:tcPr>
          <w:p w14:paraId="6BEFE86C" w14:textId="77777777" w:rsidR="00F208CE" w:rsidRDefault="00513E84">
            <w:pPr>
              <w:pStyle w:val="P68B1DB1-Normal14"/>
              <w:spacing w:after="0"/>
              <w:rPr>
                <w:rFonts w:eastAsia="Times New Roman" w:cs="Times New Roman"/>
                <w:noProof/>
              </w:rPr>
            </w:pPr>
            <w:r>
              <w:rPr>
                <w:noProof/>
              </w:rPr>
              <w:t>Inclusión electrónica de Bélgica (I-4.08)</w:t>
            </w:r>
          </w:p>
        </w:tc>
        <w:tc>
          <w:tcPr>
            <w:tcW w:w="348" w:type="pct"/>
            <w:shd w:val="clear" w:color="auto" w:fill="C6EFCE"/>
            <w:noWrap/>
            <w:vAlign w:val="center"/>
            <w:hideMark/>
          </w:tcPr>
          <w:p w14:paraId="6DB460A8"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3BECFCC0" w14:textId="77777777" w:rsidR="00F208CE" w:rsidRDefault="00513E84">
            <w:pPr>
              <w:pStyle w:val="P68B1DB1-Normal14"/>
              <w:spacing w:after="0"/>
              <w:rPr>
                <w:rFonts w:eastAsia="Times New Roman" w:cs="Times New Roman"/>
                <w:noProof/>
              </w:rPr>
            </w:pPr>
            <w:r>
              <w:rPr>
                <w:noProof/>
              </w:rPr>
              <w:t>Adjudicación de subvenciones</w:t>
            </w:r>
          </w:p>
        </w:tc>
      </w:tr>
      <w:tr w:rsidR="00F208CE" w14:paraId="53773408" w14:textId="77777777">
        <w:trPr>
          <w:trHeight w:val="315"/>
        </w:trPr>
        <w:tc>
          <w:tcPr>
            <w:tcW w:w="388" w:type="pct"/>
            <w:shd w:val="clear" w:color="auto" w:fill="C6EFCE"/>
            <w:noWrap/>
            <w:vAlign w:val="center"/>
            <w:hideMark/>
          </w:tcPr>
          <w:p w14:paraId="2CFD1CE9" w14:textId="77777777" w:rsidR="00F208CE" w:rsidRDefault="00513E84">
            <w:pPr>
              <w:pStyle w:val="P68B1DB1-Normal14"/>
              <w:spacing w:after="0"/>
              <w:jc w:val="center"/>
              <w:rPr>
                <w:rFonts w:eastAsia="Times New Roman" w:cs="Times New Roman"/>
                <w:noProof/>
              </w:rPr>
            </w:pPr>
            <w:r>
              <w:rPr>
                <w:noProof/>
              </w:rPr>
              <w:t>147</w:t>
            </w:r>
          </w:p>
        </w:tc>
        <w:tc>
          <w:tcPr>
            <w:tcW w:w="2040" w:type="pct"/>
            <w:shd w:val="clear" w:color="auto" w:fill="C6EFCE"/>
            <w:noWrap/>
            <w:vAlign w:val="center"/>
            <w:hideMark/>
          </w:tcPr>
          <w:p w14:paraId="054ADB0F" w14:textId="77777777" w:rsidR="00F208CE" w:rsidRDefault="00513E84">
            <w:pPr>
              <w:pStyle w:val="P68B1DB1-Normal14"/>
              <w:spacing w:after="0"/>
              <w:rPr>
                <w:rFonts w:eastAsia="Times New Roman" w:cs="Times New Roman"/>
                <w:noProof/>
              </w:rPr>
            </w:pPr>
            <w:r>
              <w:rPr>
                <w:noProof/>
              </w:rPr>
              <w:t>Plataformas digitales para presos (I-4.09)</w:t>
            </w:r>
          </w:p>
        </w:tc>
        <w:tc>
          <w:tcPr>
            <w:tcW w:w="348" w:type="pct"/>
            <w:shd w:val="clear" w:color="auto" w:fill="C6EFCE"/>
            <w:noWrap/>
            <w:vAlign w:val="center"/>
            <w:hideMark/>
          </w:tcPr>
          <w:p w14:paraId="23C27BB5"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77109D80" w14:textId="77777777" w:rsidR="00F208CE" w:rsidRDefault="00513E84">
            <w:pPr>
              <w:pStyle w:val="P68B1DB1-Normal14"/>
              <w:spacing w:after="0"/>
              <w:rPr>
                <w:rFonts w:eastAsia="Times New Roman" w:cs="Times New Roman"/>
                <w:noProof/>
              </w:rPr>
            </w:pPr>
            <w:r>
              <w:rPr>
                <w:noProof/>
              </w:rPr>
              <w:t>Finalización del despliegue</w:t>
            </w:r>
          </w:p>
        </w:tc>
      </w:tr>
      <w:tr w:rsidR="00F208CE" w14:paraId="71A996F7" w14:textId="77777777">
        <w:trPr>
          <w:trHeight w:val="315"/>
        </w:trPr>
        <w:tc>
          <w:tcPr>
            <w:tcW w:w="388" w:type="pct"/>
            <w:shd w:val="clear" w:color="auto" w:fill="C6EFCE"/>
            <w:noWrap/>
            <w:vAlign w:val="center"/>
            <w:hideMark/>
          </w:tcPr>
          <w:p w14:paraId="1F13EC8D" w14:textId="77777777" w:rsidR="00F208CE" w:rsidRDefault="00513E84">
            <w:pPr>
              <w:pStyle w:val="P68B1DB1-Normal14"/>
              <w:spacing w:after="0"/>
              <w:jc w:val="center"/>
              <w:rPr>
                <w:rFonts w:eastAsia="Times New Roman" w:cs="Times New Roman"/>
                <w:noProof/>
              </w:rPr>
            </w:pPr>
            <w:r>
              <w:rPr>
                <w:noProof/>
              </w:rPr>
              <w:t>148</w:t>
            </w:r>
          </w:p>
        </w:tc>
        <w:tc>
          <w:tcPr>
            <w:tcW w:w="2040" w:type="pct"/>
            <w:shd w:val="clear" w:color="auto" w:fill="C6EFCE"/>
            <w:noWrap/>
            <w:vAlign w:val="center"/>
            <w:hideMark/>
          </w:tcPr>
          <w:p w14:paraId="5A66A84D" w14:textId="77777777" w:rsidR="00F208CE" w:rsidRDefault="00513E84">
            <w:pPr>
              <w:pStyle w:val="P68B1DB1-Normal14"/>
              <w:spacing w:after="0"/>
              <w:rPr>
                <w:rFonts w:eastAsia="Times New Roman" w:cs="Times New Roman"/>
                <w:noProof/>
              </w:rPr>
            </w:pPr>
            <w:r>
              <w:rPr>
                <w:noProof/>
              </w:rPr>
              <w:t xml:space="preserve">Género y trabajo </w:t>
            </w:r>
            <w:r>
              <w:rPr>
                <w:noProof/>
              </w:rPr>
              <w:t>(I-4.10)</w:t>
            </w:r>
          </w:p>
        </w:tc>
        <w:tc>
          <w:tcPr>
            <w:tcW w:w="348" w:type="pct"/>
            <w:shd w:val="clear" w:color="auto" w:fill="C6EFCE"/>
            <w:noWrap/>
            <w:vAlign w:val="center"/>
            <w:hideMark/>
          </w:tcPr>
          <w:p w14:paraId="2F536BF6"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2E619BFA" w14:textId="77777777" w:rsidR="00F208CE" w:rsidRDefault="00513E84">
            <w:pPr>
              <w:pStyle w:val="P68B1DB1-Normal14"/>
              <w:spacing w:after="0"/>
              <w:rPr>
                <w:rFonts w:eastAsia="Times New Roman" w:cs="Times New Roman"/>
                <w:noProof/>
              </w:rPr>
            </w:pPr>
            <w:r>
              <w:rPr>
                <w:noProof/>
              </w:rPr>
              <w:t>Participación de las mujeres en proyectos de campo</w:t>
            </w:r>
          </w:p>
        </w:tc>
      </w:tr>
      <w:tr w:rsidR="00F208CE" w14:paraId="4EC52FB8" w14:textId="77777777">
        <w:trPr>
          <w:trHeight w:val="315"/>
        </w:trPr>
        <w:tc>
          <w:tcPr>
            <w:tcW w:w="388" w:type="pct"/>
            <w:shd w:val="clear" w:color="auto" w:fill="C6EFCE"/>
            <w:noWrap/>
            <w:vAlign w:val="center"/>
            <w:hideMark/>
          </w:tcPr>
          <w:p w14:paraId="12117712" w14:textId="77777777" w:rsidR="00F208CE" w:rsidRDefault="00513E84">
            <w:pPr>
              <w:pStyle w:val="P68B1DB1-Normal14"/>
              <w:spacing w:after="0"/>
              <w:jc w:val="center"/>
              <w:rPr>
                <w:rFonts w:eastAsia="Times New Roman" w:cs="Times New Roman"/>
                <w:noProof/>
              </w:rPr>
            </w:pPr>
            <w:r>
              <w:rPr>
                <w:noProof/>
              </w:rPr>
              <w:t>151</w:t>
            </w:r>
          </w:p>
        </w:tc>
        <w:tc>
          <w:tcPr>
            <w:tcW w:w="2040" w:type="pct"/>
            <w:shd w:val="clear" w:color="auto" w:fill="C6EFCE"/>
            <w:noWrap/>
            <w:vAlign w:val="center"/>
            <w:hideMark/>
          </w:tcPr>
          <w:p w14:paraId="4311B266" w14:textId="77777777" w:rsidR="00F208CE" w:rsidRDefault="00513E84">
            <w:pPr>
              <w:pStyle w:val="P68B1DB1-Normal14"/>
              <w:spacing w:after="0"/>
              <w:rPr>
                <w:rFonts w:eastAsia="Times New Roman" w:cs="Times New Roman"/>
                <w:noProof/>
              </w:rPr>
            </w:pPr>
            <w:r>
              <w:rPr>
                <w:noProof/>
              </w:rPr>
              <w:t>Desarrollo de viviendas de utilidad pública y vivienda para personas vulnerables (I-4.12)</w:t>
            </w:r>
          </w:p>
        </w:tc>
        <w:tc>
          <w:tcPr>
            <w:tcW w:w="348" w:type="pct"/>
            <w:shd w:val="clear" w:color="auto" w:fill="C6EFCE"/>
            <w:noWrap/>
            <w:vAlign w:val="center"/>
            <w:hideMark/>
          </w:tcPr>
          <w:p w14:paraId="18F5CA20"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2857E3A6" w14:textId="77777777" w:rsidR="00F208CE" w:rsidRDefault="00513E84">
            <w:pPr>
              <w:pStyle w:val="P68B1DB1-Normal14"/>
              <w:spacing w:after="0"/>
              <w:rPr>
                <w:rFonts w:eastAsia="Times New Roman" w:cs="Times New Roman"/>
                <w:noProof/>
              </w:rPr>
            </w:pPr>
            <w:r>
              <w:rPr>
                <w:noProof/>
              </w:rPr>
              <w:t>Adjudicación de una parte de las obras</w:t>
            </w:r>
          </w:p>
        </w:tc>
      </w:tr>
      <w:tr w:rsidR="00F208CE" w14:paraId="15E4CB2C" w14:textId="77777777">
        <w:trPr>
          <w:trHeight w:val="315"/>
        </w:trPr>
        <w:tc>
          <w:tcPr>
            <w:tcW w:w="388" w:type="pct"/>
            <w:shd w:val="clear" w:color="auto" w:fill="C6EFCE"/>
            <w:noWrap/>
            <w:vAlign w:val="center"/>
          </w:tcPr>
          <w:p w14:paraId="0193EDFA" w14:textId="25F9AA5B" w:rsidR="00F208CE" w:rsidRDefault="00513E84">
            <w:pPr>
              <w:pStyle w:val="P68B1DB1-Normal14"/>
              <w:spacing w:after="0"/>
              <w:jc w:val="center"/>
              <w:rPr>
                <w:noProof/>
              </w:rPr>
            </w:pPr>
            <w:r>
              <w:rPr>
                <w:noProof/>
              </w:rPr>
              <w:t>157</w:t>
            </w:r>
          </w:p>
        </w:tc>
        <w:tc>
          <w:tcPr>
            <w:tcW w:w="2040" w:type="pct"/>
            <w:shd w:val="clear" w:color="000000" w:fill="C6EFCE"/>
            <w:noWrap/>
            <w:vAlign w:val="center"/>
          </w:tcPr>
          <w:p w14:paraId="231D4313" w14:textId="7C1F8DCD" w:rsidR="00F208CE" w:rsidRDefault="00513E84">
            <w:pPr>
              <w:pStyle w:val="P68B1DB1-Normal8"/>
              <w:spacing w:after="0"/>
              <w:rPr>
                <w:noProof/>
              </w:rPr>
            </w:pPr>
            <w:r>
              <w:rPr>
                <w:noProof/>
              </w:rPr>
              <w:t>Pensión y fin de carrera (R-4.07)</w:t>
            </w:r>
          </w:p>
        </w:tc>
        <w:tc>
          <w:tcPr>
            <w:tcW w:w="348" w:type="pct"/>
            <w:shd w:val="clear" w:color="000000" w:fill="C6EFCE"/>
            <w:noWrap/>
            <w:vAlign w:val="center"/>
          </w:tcPr>
          <w:p w14:paraId="34A303AB" w14:textId="618FE589" w:rsidR="00F208CE" w:rsidRDefault="00513E84">
            <w:pPr>
              <w:pStyle w:val="P68B1DB1-Normal8"/>
              <w:spacing w:after="0"/>
              <w:jc w:val="center"/>
              <w:rPr>
                <w:noProof/>
              </w:rPr>
            </w:pPr>
            <w:r>
              <w:rPr>
                <w:noProof/>
              </w:rPr>
              <w:t>M</w:t>
            </w:r>
          </w:p>
        </w:tc>
        <w:tc>
          <w:tcPr>
            <w:tcW w:w="2224" w:type="pct"/>
            <w:shd w:val="clear" w:color="000000" w:fill="C6EFCE"/>
            <w:noWrap/>
            <w:vAlign w:val="center"/>
          </w:tcPr>
          <w:p w14:paraId="6CD080A9" w14:textId="6865A08B" w:rsidR="00F208CE" w:rsidRDefault="00513E84">
            <w:pPr>
              <w:pStyle w:val="P68B1DB1-Normal8"/>
              <w:spacing w:after="0"/>
              <w:rPr>
                <w:noProof/>
              </w:rPr>
            </w:pPr>
            <w:r>
              <w:rPr>
                <w:noProof/>
              </w:rPr>
              <w:t xml:space="preserve">Propuesta de </w:t>
            </w:r>
            <w:r>
              <w:rPr>
                <w:noProof/>
              </w:rPr>
              <w:t>reforma de las pensiones</w:t>
            </w:r>
          </w:p>
        </w:tc>
      </w:tr>
      <w:tr w:rsidR="00F208CE" w14:paraId="63205CC3" w14:textId="77777777">
        <w:trPr>
          <w:trHeight w:val="315"/>
        </w:trPr>
        <w:tc>
          <w:tcPr>
            <w:tcW w:w="388" w:type="pct"/>
            <w:shd w:val="clear" w:color="auto" w:fill="C6EFCE"/>
            <w:noWrap/>
            <w:vAlign w:val="center"/>
            <w:hideMark/>
          </w:tcPr>
          <w:p w14:paraId="7DC48C91" w14:textId="77777777" w:rsidR="00F208CE" w:rsidRDefault="00513E84">
            <w:pPr>
              <w:pStyle w:val="P68B1DB1-Normal14"/>
              <w:spacing w:after="0"/>
              <w:jc w:val="center"/>
              <w:rPr>
                <w:rFonts w:eastAsia="Times New Roman" w:cs="Times New Roman"/>
                <w:noProof/>
              </w:rPr>
            </w:pPr>
            <w:r>
              <w:rPr>
                <w:noProof/>
              </w:rPr>
              <w:t>158</w:t>
            </w:r>
          </w:p>
        </w:tc>
        <w:tc>
          <w:tcPr>
            <w:tcW w:w="2040" w:type="pct"/>
            <w:shd w:val="clear" w:color="auto" w:fill="C6EFCE"/>
            <w:noWrap/>
            <w:vAlign w:val="center"/>
            <w:hideMark/>
          </w:tcPr>
          <w:p w14:paraId="78519800" w14:textId="77777777" w:rsidR="00F208CE" w:rsidRDefault="00513E84">
            <w:pPr>
              <w:pStyle w:val="P68B1DB1-Normal14"/>
              <w:spacing w:after="0"/>
              <w:rPr>
                <w:rFonts w:eastAsia="Times New Roman" w:cs="Times New Roman"/>
                <w:noProof/>
              </w:rPr>
            </w:pPr>
            <w:r>
              <w:rPr>
                <w:noProof/>
              </w:rPr>
              <w:t>Pensión y fin de carrera (R-4.07)</w:t>
            </w:r>
          </w:p>
        </w:tc>
        <w:tc>
          <w:tcPr>
            <w:tcW w:w="348" w:type="pct"/>
            <w:shd w:val="clear" w:color="auto" w:fill="C6EFCE"/>
            <w:noWrap/>
            <w:vAlign w:val="center"/>
            <w:hideMark/>
          </w:tcPr>
          <w:p w14:paraId="6D41259E"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774D14B5" w14:textId="77777777" w:rsidR="00F208CE" w:rsidRDefault="00513E84">
            <w:pPr>
              <w:pStyle w:val="P68B1DB1-Normal14"/>
              <w:spacing w:after="0"/>
              <w:rPr>
                <w:rFonts w:eastAsia="Times New Roman" w:cs="Times New Roman"/>
                <w:noProof/>
              </w:rPr>
            </w:pPr>
            <w:r>
              <w:rPr>
                <w:noProof/>
              </w:rPr>
              <w:t>Adopción de la reforma de las pensiones</w:t>
            </w:r>
          </w:p>
        </w:tc>
      </w:tr>
      <w:tr w:rsidR="00F208CE" w14:paraId="4E1AFEF4" w14:textId="77777777">
        <w:trPr>
          <w:trHeight w:val="315"/>
        </w:trPr>
        <w:tc>
          <w:tcPr>
            <w:tcW w:w="388" w:type="pct"/>
            <w:shd w:val="clear" w:color="auto" w:fill="C6EFCE"/>
            <w:noWrap/>
            <w:vAlign w:val="center"/>
            <w:hideMark/>
          </w:tcPr>
          <w:p w14:paraId="6B938C2A" w14:textId="77777777" w:rsidR="00F208CE" w:rsidRDefault="00513E84">
            <w:pPr>
              <w:pStyle w:val="P68B1DB1-Normal14"/>
              <w:spacing w:after="0"/>
              <w:jc w:val="center"/>
              <w:rPr>
                <w:rFonts w:eastAsia="Times New Roman" w:cs="Times New Roman"/>
                <w:noProof/>
              </w:rPr>
            </w:pPr>
            <w:r>
              <w:rPr>
                <w:noProof/>
              </w:rPr>
              <w:t>165</w:t>
            </w:r>
          </w:p>
        </w:tc>
        <w:tc>
          <w:tcPr>
            <w:tcW w:w="2040" w:type="pct"/>
            <w:shd w:val="clear" w:color="auto" w:fill="C6EFCE"/>
            <w:noWrap/>
            <w:vAlign w:val="center"/>
            <w:hideMark/>
          </w:tcPr>
          <w:p w14:paraId="1675139B" w14:textId="77777777" w:rsidR="00F208CE" w:rsidRDefault="00513E84">
            <w:pPr>
              <w:pStyle w:val="P68B1DB1-Normal14"/>
              <w:spacing w:after="0"/>
              <w:rPr>
                <w:rFonts w:eastAsia="Times New Roman" w:cs="Times New Roman"/>
                <w:noProof/>
              </w:rPr>
            </w:pPr>
            <w:r>
              <w:rPr>
                <w:noProof/>
              </w:rPr>
              <w:t>Aprendizaje y ofensiva asistencial (I-5.04)</w:t>
            </w:r>
          </w:p>
        </w:tc>
        <w:tc>
          <w:tcPr>
            <w:tcW w:w="348" w:type="pct"/>
            <w:shd w:val="clear" w:color="auto" w:fill="C6EFCE"/>
            <w:noWrap/>
            <w:vAlign w:val="center"/>
            <w:hideMark/>
          </w:tcPr>
          <w:p w14:paraId="247DEDF6"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0E1EC93E" w14:textId="77777777" w:rsidR="00F208CE" w:rsidRDefault="00513E84">
            <w:pPr>
              <w:pStyle w:val="P68B1DB1-Normal14"/>
              <w:spacing w:after="0"/>
              <w:rPr>
                <w:rFonts w:eastAsia="Times New Roman" w:cs="Times New Roman"/>
                <w:noProof/>
              </w:rPr>
            </w:pPr>
            <w:r>
              <w:rPr>
                <w:noProof/>
              </w:rPr>
              <w:t xml:space="preserve">Apoyo a las empresas de Flandes a través de controles de competencias y convocatorias de proyectos </w:t>
            </w:r>
          </w:p>
        </w:tc>
      </w:tr>
      <w:tr w:rsidR="00F208CE" w14:paraId="354608F3" w14:textId="77777777">
        <w:trPr>
          <w:trHeight w:val="315"/>
        </w:trPr>
        <w:tc>
          <w:tcPr>
            <w:tcW w:w="388" w:type="pct"/>
            <w:shd w:val="clear" w:color="auto" w:fill="C6EFCE"/>
            <w:noWrap/>
            <w:vAlign w:val="center"/>
            <w:hideMark/>
          </w:tcPr>
          <w:p w14:paraId="7CB3AFA7" w14:textId="77777777" w:rsidR="00F208CE" w:rsidRDefault="00513E84">
            <w:pPr>
              <w:pStyle w:val="P68B1DB1-Normal14"/>
              <w:spacing w:after="0"/>
              <w:jc w:val="center"/>
              <w:rPr>
                <w:rFonts w:eastAsia="Times New Roman" w:cs="Times New Roman"/>
                <w:noProof/>
              </w:rPr>
            </w:pPr>
            <w:r>
              <w:rPr>
                <w:noProof/>
              </w:rPr>
              <w:t>166</w:t>
            </w:r>
          </w:p>
        </w:tc>
        <w:tc>
          <w:tcPr>
            <w:tcW w:w="2040" w:type="pct"/>
            <w:shd w:val="clear" w:color="auto" w:fill="C6EFCE"/>
            <w:noWrap/>
            <w:vAlign w:val="center"/>
            <w:hideMark/>
          </w:tcPr>
          <w:p w14:paraId="146691C8" w14:textId="77777777" w:rsidR="00F208CE" w:rsidRDefault="00513E84">
            <w:pPr>
              <w:pStyle w:val="P68B1DB1-Normal14"/>
              <w:spacing w:after="0"/>
              <w:rPr>
                <w:rFonts w:eastAsia="Times New Roman" w:cs="Times New Roman"/>
                <w:noProof/>
              </w:rPr>
            </w:pPr>
            <w:r>
              <w:rPr>
                <w:noProof/>
              </w:rPr>
              <w:t>Estrategia para reactivar el mercado laboral centrada en la eficiencia y optimización de las políticas de activación y formación (I-5.05)</w:t>
            </w:r>
          </w:p>
        </w:tc>
        <w:tc>
          <w:tcPr>
            <w:tcW w:w="348" w:type="pct"/>
            <w:shd w:val="clear" w:color="auto" w:fill="C6EFCE"/>
            <w:noWrap/>
            <w:vAlign w:val="center"/>
            <w:hideMark/>
          </w:tcPr>
          <w:p w14:paraId="3DF35FBA"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3CAC33A5" w14:textId="77777777" w:rsidR="00F208CE" w:rsidRDefault="00513E84">
            <w:pPr>
              <w:pStyle w:val="P68B1DB1-Normal14"/>
              <w:spacing w:after="0"/>
              <w:rPr>
                <w:rFonts w:eastAsia="Times New Roman" w:cs="Times New Roman"/>
                <w:noProof/>
              </w:rPr>
            </w:pPr>
            <w:r>
              <w:rPr>
                <w:noProof/>
              </w:rPr>
              <w:t>Apoyo a la activación de solicitantes de empleo y trabajadores en Bruselas</w:t>
            </w:r>
          </w:p>
        </w:tc>
      </w:tr>
      <w:tr w:rsidR="00F208CE" w14:paraId="57CB6C6D" w14:textId="77777777">
        <w:trPr>
          <w:trHeight w:val="315"/>
        </w:trPr>
        <w:tc>
          <w:tcPr>
            <w:tcW w:w="388" w:type="pct"/>
            <w:shd w:val="clear" w:color="auto" w:fill="C6EFCE"/>
            <w:noWrap/>
            <w:vAlign w:val="center"/>
            <w:hideMark/>
          </w:tcPr>
          <w:p w14:paraId="5AD21B1B" w14:textId="77777777" w:rsidR="00F208CE" w:rsidRDefault="00513E84">
            <w:pPr>
              <w:pStyle w:val="P68B1DB1-Normal14"/>
              <w:spacing w:after="0"/>
              <w:jc w:val="center"/>
              <w:rPr>
                <w:rFonts w:eastAsia="Times New Roman" w:cs="Times New Roman"/>
                <w:noProof/>
              </w:rPr>
            </w:pPr>
            <w:r>
              <w:rPr>
                <w:noProof/>
              </w:rPr>
              <w:t>170</w:t>
            </w:r>
          </w:p>
        </w:tc>
        <w:tc>
          <w:tcPr>
            <w:tcW w:w="2040" w:type="pct"/>
            <w:shd w:val="clear" w:color="auto" w:fill="C6EFCE"/>
            <w:noWrap/>
            <w:vAlign w:val="center"/>
            <w:hideMark/>
          </w:tcPr>
          <w:p w14:paraId="4966C9ED" w14:textId="77777777" w:rsidR="00F208CE" w:rsidRDefault="00513E84">
            <w:pPr>
              <w:pStyle w:val="P68B1DB1-Normal14"/>
              <w:spacing w:after="0"/>
              <w:rPr>
                <w:rFonts w:eastAsia="Times New Roman" w:cs="Times New Roman"/>
                <w:noProof/>
              </w:rPr>
            </w:pPr>
            <w:r>
              <w:rPr>
                <w:noProof/>
              </w:rPr>
              <w:t xml:space="preserve">Competencias digitales </w:t>
            </w:r>
            <w:r>
              <w:rPr>
                <w:noProof/>
              </w:rPr>
              <w:t>(I-5.06)</w:t>
            </w:r>
          </w:p>
        </w:tc>
        <w:tc>
          <w:tcPr>
            <w:tcW w:w="348" w:type="pct"/>
            <w:shd w:val="clear" w:color="auto" w:fill="C6EFCE"/>
            <w:noWrap/>
            <w:vAlign w:val="center"/>
            <w:hideMark/>
          </w:tcPr>
          <w:p w14:paraId="075D7140"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26CE6A29" w14:textId="77777777" w:rsidR="00F208CE" w:rsidRDefault="00513E84">
            <w:pPr>
              <w:pStyle w:val="P68B1DB1-Normal14"/>
              <w:spacing w:after="0"/>
              <w:rPr>
                <w:rFonts w:eastAsia="Times New Roman" w:cs="Times New Roman"/>
                <w:noProof/>
              </w:rPr>
            </w:pPr>
            <w:r>
              <w:rPr>
                <w:noProof/>
              </w:rPr>
              <w:t>Herramientas y servicios digitales para los ciudadanos, los empleadores y los socios del Servicio Público de Empleo de Flandes (VDAB) plenamente desplegados en Flandes</w:t>
            </w:r>
          </w:p>
        </w:tc>
      </w:tr>
      <w:tr w:rsidR="00F208CE" w14:paraId="2ED63F5A" w14:textId="77777777">
        <w:trPr>
          <w:trHeight w:val="315"/>
        </w:trPr>
        <w:tc>
          <w:tcPr>
            <w:tcW w:w="388" w:type="pct"/>
            <w:shd w:val="clear" w:color="auto" w:fill="C6EFCE"/>
            <w:noWrap/>
            <w:vAlign w:val="center"/>
            <w:hideMark/>
          </w:tcPr>
          <w:p w14:paraId="320B8104" w14:textId="77777777" w:rsidR="00F208CE" w:rsidRDefault="00513E84">
            <w:pPr>
              <w:pStyle w:val="P68B1DB1-Normal14"/>
              <w:spacing w:after="0"/>
              <w:jc w:val="center"/>
              <w:rPr>
                <w:rFonts w:eastAsia="Times New Roman" w:cs="Times New Roman"/>
                <w:noProof/>
              </w:rPr>
            </w:pPr>
            <w:r>
              <w:rPr>
                <w:noProof/>
              </w:rPr>
              <w:t>180</w:t>
            </w:r>
          </w:p>
        </w:tc>
        <w:tc>
          <w:tcPr>
            <w:tcW w:w="2040" w:type="pct"/>
            <w:shd w:val="clear" w:color="auto" w:fill="C6EFCE"/>
            <w:noWrap/>
            <w:vAlign w:val="center"/>
            <w:hideMark/>
          </w:tcPr>
          <w:p w14:paraId="7E61541C" w14:textId="77777777" w:rsidR="00F208CE" w:rsidRDefault="00513E84">
            <w:pPr>
              <w:pStyle w:val="P68B1DB1-Normal14"/>
              <w:spacing w:after="0"/>
              <w:rPr>
                <w:rFonts w:eastAsia="Times New Roman" w:cs="Times New Roman"/>
                <w:noProof/>
              </w:rPr>
            </w:pPr>
            <w:r>
              <w:rPr>
                <w:noProof/>
              </w:rPr>
              <w:t>Medicina nuclear (I-5.08)</w:t>
            </w:r>
          </w:p>
        </w:tc>
        <w:tc>
          <w:tcPr>
            <w:tcW w:w="348" w:type="pct"/>
            <w:shd w:val="clear" w:color="auto" w:fill="C6EFCE"/>
            <w:noWrap/>
            <w:vAlign w:val="center"/>
            <w:hideMark/>
          </w:tcPr>
          <w:p w14:paraId="76E4B852"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3F800F42" w14:textId="77777777" w:rsidR="00F208CE" w:rsidRDefault="00513E84">
            <w:pPr>
              <w:pStyle w:val="P68B1DB1-Normal14"/>
              <w:spacing w:after="0"/>
              <w:rPr>
                <w:rFonts w:eastAsia="Times New Roman" w:cs="Times New Roman"/>
                <w:noProof/>
              </w:rPr>
            </w:pPr>
            <w:r>
              <w:rPr>
                <w:noProof/>
              </w:rPr>
              <w:t>Conjunto de medidas tecnológicas finalizado</w:t>
            </w:r>
          </w:p>
        </w:tc>
      </w:tr>
      <w:tr w:rsidR="00F208CE" w14:paraId="1053C03C" w14:textId="77777777">
        <w:trPr>
          <w:trHeight w:val="315"/>
        </w:trPr>
        <w:tc>
          <w:tcPr>
            <w:tcW w:w="388" w:type="pct"/>
            <w:shd w:val="clear" w:color="auto" w:fill="C6EFCE"/>
            <w:noWrap/>
            <w:vAlign w:val="center"/>
            <w:hideMark/>
          </w:tcPr>
          <w:p w14:paraId="6C493A82" w14:textId="77777777" w:rsidR="00F208CE" w:rsidRDefault="00513E84">
            <w:pPr>
              <w:pStyle w:val="P68B1DB1-Normal14"/>
              <w:spacing w:after="0"/>
              <w:jc w:val="center"/>
              <w:rPr>
                <w:rFonts w:eastAsia="Times New Roman" w:cs="Times New Roman"/>
                <w:noProof/>
              </w:rPr>
            </w:pPr>
            <w:r>
              <w:rPr>
                <w:noProof/>
              </w:rPr>
              <w:t>188</w:t>
            </w:r>
          </w:p>
        </w:tc>
        <w:tc>
          <w:tcPr>
            <w:tcW w:w="2040" w:type="pct"/>
            <w:shd w:val="clear" w:color="auto" w:fill="C6EFCE"/>
            <w:noWrap/>
            <w:vAlign w:val="center"/>
            <w:hideMark/>
          </w:tcPr>
          <w:p w14:paraId="50566CC2" w14:textId="77777777" w:rsidR="00F208CE" w:rsidRDefault="00513E84">
            <w:pPr>
              <w:pStyle w:val="P68B1DB1-Normal14"/>
              <w:spacing w:after="0"/>
              <w:rPr>
                <w:rFonts w:eastAsia="Times New Roman" w:cs="Times New Roman"/>
                <w:noProof/>
              </w:rPr>
            </w:pPr>
            <w:r>
              <w:rPr>
                <w:noProof/>
              </w:rPr>
              <w:t>Reubicación de alimentos y desarrollo de plataformas logísticas (I-5.12)</w:t>
            </w:r>
          </w:p>
        </w:tc>
        <w:tc>
          <w:tcPr>
            <w:tcW w:w="348" w:type="pct"/>
            <w:shd w:val="clear" w:color="auto" w:fill="C6EFCE"/>
            <w:noWrap/>
            <w:vAlign w:val="center"/>
            <w:hideMark/>
          </w:tcPr>
          <w:p w14:paraId="1E973F19"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2B5C55C9" w14:textId="6955AC30" w:rsidR="00F208CE" w:rsidRDefault="00513E84">
            <w:pPr>
              <w:pStyle w:val="P68B1DB1-Normal14"/>
              <w:spacing w:after="0"/>
              <w:rPr>
                <w:rFonts w:eastAsia="Times New Roman" w:cs="Times New Roman"/>
                <w:noProof/>
              </w:rPr>
            </w:pPr>
            <w:r>
              <w:rPr>
                <w:noProof/>
              </w:rPr>
              <w:t>Adjudicación de contratos públicos de obras por las 2 empresas intermunicipales (SPI, IGRETEC) para la construcción de infraestructuras para el sector alimentario</w:t>
            </w:r>
          </w:p>
        </w:tc>
      </w:tr>
      <w:tr w:rsidR="00F208CE" w14:paraId="342B3D91" w14:textId="77777777">
        <w:trPr>
          <w:trHeight w:val="315"/>
        </w:trPr>
        <w:tc>
          <w:tcPr>
            <w:tcW w:w="388" w:type="pct"/>
            <w:shd w:val="clear" w:color="auto" w:fill="C6EFCE"/>
            <w:noWrap/>
            <w:vAlign w:val="center"/>
            <w:hideMark/>
          </w:tcPr>
          <w:p w14:paraId="78028AD2" w14:textId="77777777" w:rsidR="00F208CE" w:rsidRDefault="00513E84">
            <w:pPr>
              <w:pStyle w:val="P68B1DB1-Normal14"/>
              <w:spacing w:after="0"/>
              <w:jc w:val="center"/>
              <w:rPr>
                <w:rFonts w:eastAsia="Times New Roman" w:cs="Times New Roman"/>
                <w:noProof/>
              </w:rPr>
            </w:pPr>
            <w:r>
              <w:rPr>
                <w:noProof/>
              </w:rPr>
              <w:t>199</w:t>
            </w:r>
          </w:p>
        </w:tc>
        <w:tc>
          <w:tcPr>
            <w:tcW w:w="2040" w:type="pct"/>
            <w:shd w:val="clear" w:color="auto" w:fill="C6EFCE"/>
            <w:noWrap/>
            <w:vAlign w:val="center"/>
            <w:hideMark/>
          </w:tcPr>
          <w:p w14:paraId="14949001" w14:textId="77777777" w:rsidR="00F208CE" w:rsidRDefault="00513E84">
            <w:pPr>
              <w:pStyle w:val="P68B1DB1-Normal14"/>
              <w:spacing w:after="0"/>
              <w:rPr>
                <w:rFonts w:eastAsia="Times New Roman" w:cs="Times New Roman"/>
                <w:noProof/>
              </w:rPr>
            </w:pPr>
            <w:r>
              <w:rPr>
                <w:noProof/>
              </w:rPr>
              <w:t xml:space="preserve">Belgium </w:t>
            </w:r>
            <w:r>
              <w:rPr>
                <w:noProof/>
              </w:rPr>
              <w:t>Builds Back Circular (I-5.15)</w:t>
            </w:r>
          </w:p>
        </w:tc>
        <w:tc>
          <w:tcPr>
            <w:tcW w:w="348" w:type="pct"/>
            <w:shd w:val="clear" w:color="auto" w:fill="C6EFCE"/>
            <w:noWrap/>
            <w:vAlign w:val="center"/>
            <w:hideMark/>
          </w:tcPr>
          <w:p w14:paraId="226537A1"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2013D6FC" w14:textId="77777777" w:rsidR="00F208CE" w:rsidRDefault="00513E84">
            <w:pPr>
              <w:pStyle w:val="P68B1DB1-Normal14"/>
              <w:spacing w:after="0"/>
              <w:rPr>
                <w:rFonts w:eastAsia="Times New Roman" w:cs="Times New Roman"/>
                <w:noProof/>
              </w:rPr>
            </w:pPr>
            <w:r>
              <w:rPr>
                <w:noProof/>
              </w:rPr>
              <w:t>Adjudicación de contratos públicos para proyectos circulares</w:t>
            </w:r>
          </w:p>
        </w:tc>
      </w:tr>
      <w:tr w:rsidR="00F208CE" w14:paraId="203388A8" w14:textId="77777777">
        <w:trPr>
          <w:trHeight w:val="315"/>
        </w:trPr>
        <w:tc>
          <w:tcPr>
            <w:tcW w:w="388" w:type="pct"/>
            <w:shd w:val="clear" w:color="auto" w:fill="C6EFCE"/>
            <w:noWrap/>
            <w:vAlign w:val="center"/>
            <w:hideMark/>
          </w:tcPr>
          <w:p w14:paraId="79E5AA1B" w14:textId="77777777" w:rsidR="00F208CE" w:rsidRDefault="00513E84">
            <w:pPr>
              <w:pStyle w:val="P68B1DB1-Normal14"/>
              <w:spacing w:after="0"/>
              <w:jc w:val="center"/>
              <w:rPr>
                <w:rFonts w:eastAsia="Times New Roman" w:cs="Times New Roman"/>
                <w:noProof/>
              </w:rPr>
            </w:pPr>
            <w:r>
              <w:rPr>
                <w:noProof/>
              </w:rPr>
              <w:t>208</w:t>
            </w:r>
          </w:p>
        </w:tc>
        <w:tc>
          <w:tcPr>
            <w:tcW w:w="2040" w:type="pct"/>
            <w:shd w:val="clear" w:color="auto" w:fill="C6EFCE"/>
            <w:noWrap/>
            <w:vAlign w:val="center"/>
            <w:hideMark/>
          </w:tcPr>
          <w:p w14:paraId="7ABBC41E" w14:textId="77777777" w:rsidR="00F208CE" w:rsidRDefault="00513E84">
            <w:pPr>
              <w:pStyle w:val="P68B1DB1-Normal14"/>
              <w:spacing w:after="0"/>
              <w:rPr>
                <w:rFonts w:eastAsia="Times New Roman" w:cs="Times New Roman"/>
                <w:noProof/>
              </w:rPr>
            </w:pPr>
            <w:r>
              <w:rPr>
                <w:noProof/>
              </w:rPr>
              <w:t>Revisiones del gasto (R-6)</w:t>
            </w:r>
          </w:p>
        </w:tc>
        <w:tc>
          <w:tcPr>
            <w:tcW w:w="348" w:type="pct"/>
            <w:shd w:val="clear" w:color="auto" w:fill="C6EFCE"/>
            <w:noWrap/>
            <w:vAlign w:val="center"/>
            <w:hideMark/>
          </w:tcPr>
          <w:p w14:paraId="105FABE9"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4152CA9C" w14:textId="77777777" w:rsidR="00F208CE" w:rsidRDefault="00513E84">
            <w:pPr>
              <w:pStyle w:val="P68B1DB1-Normal14"/>
              <w:spacing w:after="0"/>
              <w:rPr>
                <w:rFonts w:eastAsia="Times New Roman" w:cs="Times New Roman"/>
                <w:noProof/>
              </w:rPr>
            </w:pPr>
            <w:r>
              <w:rPr>
                <w:noProof/>
              </w:rPr>
              <w:t>Análisis ex post del gasto</w:t>
            </w:r>
          </w:p>
        </w:tc>
      </w:tr>
      <w:tr w:rsidR="00F208CE" w14:paraId="4642CC13" w14:textId="77777777">
        <w:trPr>
          <w:trHeight w:val="315"/>
        </w:trPr>
        <w:tc>
          <w:tcPr>
            <w:tcW w:w="388" w:type="pct"/>
            <w:shd w:val="clear" w:color="auto" w:fill="C6EFCE"/>
            <w:noWrap/>
            <w:vAlign w:val="center"/>
            <w:hideMark/>
          </w:tcPr>
          <w:p w14:paraId="740E6188" w14:textId="77777777" w:rsidR="00F208CE" w:rsidRDefault="00513E84">
            <w:pPr>
              <w:pStyle w:val="P68B1DB1-Normal14"/>
              <w:spacing w:after="0"/>
              <w:jc w:val="center"/>
              <w:rPr>
                <w:rFonts w:eastAsia="Times New Roman" w:cs="Times New Roman"/>
                <w:noProof/>
              </w:rPr>
            </w:pPr>
            <w:r>
              <w:rPr>
                <w:noProof/>
              </w:rPr>
              <w:t>211</w:t>
            </w:r>
          </w:p>
        </w:tc>
        <w:tc>
          <w:tcPr>
            <w:tcW w:w="2040" w:type="pct"/>
            <w:shd w:val="clear" w:color="auto" w:fill="C6EFCE"/>
            <w:noWrap/>
            <w:vAlign w:val="center"/>
            <w:hideMark/>
          </w:tcPr>
          <w:p w14:paraId="66C089B4" w14:textId="77777777" w:rsidR="00F208CE" w:rsidRDefault="00513E84">
            <w:pPr>
              <w:pStyle w:val="P68B1DB1-Normal14"/>
              <w:spacing w:after="0"/>
              <w:rPr>
                <w:rFonts w:eastAsia="Times New Roman" w:cs="Times New Roman"/>
                <w:noProof/>
              </w:rPr>
            </w:pPr>
            <w:r>
              <w:rPr>
                <w:noProof/>
              </w:rPr>
              <w:t>Revisión del código sobre el aire, el clima y la energía — RBC (R-7.01)</w:t>
            </w:r>
          </w:p>
        </w:tc>
        <w:tc>
          <w:tcPr>
            <w:tcW w:w="348" w:type="pct"/>
            <w:shd w:val="clear" w:color="auto" w:fill="C6EFCE"/>
            <w:noWrap/>
            <w:vAlign w:val="center"/>
            <w:hideMark/>
          </w:tcPr>
          <w:p w14:paraId="036F9C6E"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6BD0D9DC" w14:textId="77777777" w:rsidR="00F208CE" w:rsidRDefault="00513E84">
            <w:pPr>
              <w:pStyle w:val="P68B1DB1-Normal14"/>
              <w:spacing w:after="0"/>
              <w:rPr>
                <w:rFonts w:eastAsia="Times New Roman" w:cs="Times New Roman"/>
                <w:noProof/>
              </w:rPr>
            </w:pPr>
            <w:r>
              <w:rPr>
                <w:noProof/>
              </w:rPr>
              <w:t xml:space="preserve">Nuevas obligaciones </w:t>
            </w:r>
            <w:r>
              <w:rPr>
                <w:noProof/>
              </w:rPr>
              <w:t>para la renovación de edificios</w:t>
            </w:r>
          </w:p>
        </w:tc>
      </w:tr>
      <w:tr w:rsidR="00F208CE" w14:paraId="14A36A2F" w14:textId="77777777">
        <w:trPr>
          <w:trHeight w:val="315"/>
        </w:trPr>
        <w:tc>
          <w:tcPr>
            <w:tcW w:w="388" w:type="pct"/>
            <w:shd w:val="clear" w:color="auto" w:fill="C6EFCE"/>
            <w:noWrap/>
            <w:vAlign w:val="center"/>
            <w:hideMark/>
          </w:tcPr>
          <w:p w14:paraId="0B9BD830" w14:textId="77777777" w:rsidR="00F208CE" w:rsidRDefault="00513E84">
            <w:pPr>
              <w:pStyle w:val="P68B1DB1-Normal14"/>
              <w:spacing w:after="0"/>
              <w:jc w:val="center"/>
              <w:rPr>
                <w:rFonts w:eastAsia="Times New Roman" w:cs="Times New Roman"/>
                <w:noProof/>
              </w:rPr>
            </w:pPr>
            <w:r>
              <w:rPr>
                <w:noProof/>
              </w:rPr>
              <w:t>212</w:t>
            </w:r>
          </w:p>
        </w:tc>
        <w:tc>
          <w:tcPr>
            <w:tcW w:w="2040" w:type="pct"/>
            <w:shd w:val="clear" w:color="auto" w:fill="C6EFCE"/>
            <w:noWrap/>
            <w:vAlign w:val="center"/>
            <w:hideMark/>
          </w:tcPr>
          <w:p w14:paraId="74C15066" w14:textId="77777777" w:rsidR="00F208CE" w:rsidRDefault="00513E84">
            <w:pPr>
              <w:pStyle w:val="P68B1DB1-Normal14"/>
              <w:spacing w:after="0"/>
              <w:rPr>
                <w:rFonts w:eastAsia="Times New Roman" w:cs="Times New Roman"/>
                <w:noProof/>
              </w:rPr>
            </w:pPr>
            <w:r>
              <w:rPr>
                <w:noProof/>
              </w:rPr>
              <w:t>Mejora del régimen de subvenciones a la energía — RBC (I-7.01)</w:t>
            </w:r>
          </w:p>
        </w:tc>
        <w:tc>
          <w:tcPr>
            <w:tcW w:w="348" w:type="pct"/>
            <w:shd w:val="clear" w:color="auto" w:fill="C6EFCE"/>
            <w:noWrap/>
            <w:vAlign w:val="center"/>
            <w:hideMark/>
          </w:tcPr>
          <w:p w14:paraId="37364447"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37E62EEF" w14:textId="77777777" w:rsidR="00F208CE" w:rsidRDefault="00513E84">
            <w:pPr>
              <w:pStyle w:val="P68B1DB1-Normal14"/>
              <w:spacing w:after="0"/>
              <w:rPr>
                <w:rFonts w:eastAsia="Times New Roman" w:cs="Times New Roman"/>
                <w:noProof/>
              </w:rPr>
            </w:pPr>
            <w:r>
              <w:rPr>
                <w:noProof/>
              </w:rPr>
              <w:t>Subvenciones energéticas para hogares con bajos ingresos</w:t>
            </w:r>
          </w:p>
        </w:tc>
      </w:tr>
      <w:tr w:rsidR="00F208CE" w14:paraId="3BE07B82" w14:textId="77777777">
        <w:trPr>
          <w:trHeight w:val="315"/>
        </w:trPr>
        <w:tc>
          <w:tcPr>
            <w:tcW w:w="388" w:type="pct"/>
            <w:shd w:val="clear" w:color="auto" w:fill="C6EFCE"/>
            <w:noWrap/>
            <w:vAlign w:val="center"/>
            <w:hideMark/>
          </w:tcPr>
          <w:p w14:paraId="5C2D3B01" w14:textId="77777777" w:rsidR="00F208CE" w:rsidRDefault="00513E84">
            <w:pPr>
              <w:pStyle w:val="P68B1DB1-Normal14"/>
              <w:spacing w:after="0"/>
              <w:jc w:val="center"/>
              <w:rPr>
                <w:rFonts w:eastAsia="Times New Roman" w:cs="Times New Roman"/>
                <w:noProof/>
              </w:rPr>
            </w:pPr>
            <w:r>
              <w:rPr>
                <w:noProof/>
              </w:rPr>
              <w:t>214</w:t>
            </w:r>
          </w:p>
        </w:tc>
        <w:tc>
          <w:tcPr>
            <w:tcW w:w="2040" w:type="pct"/>
            <w:shd w:val="clear" w:color="auto" w:fill="C6EFCE"/>
            <w:noWrap/>
            <w:vAlign w:val="center"/>
            <w:hideMark/>
          </w:tcPr>
          <w:p w14:paraId="4E3D7C77" w14:textId="1BA77F30" w:rsidR="00F208CE" w:rsidRDefault="00513E84">
            <w:pPr>
              <w:pStyle w:val="P68B1DB1-Normal14"/>
              <w:spacing w:after="0"/>
              <w:rPr>
                <w:rFonts w:eastAsia="Times New Roman" w:cs="Times New Roman"/>
                <w:noProof/>
              </w:rPr>
            </w:pPr>
            <w:r>
              <w:rPr>
                <w:noProof/>
              </w:rPr>
              <w:t>Subvenciones a la energía — Comunidad germanófona (I-7.03)</w:t>
            </w:r>
          </w:p>
        </w:tc>
        <w:tc>
          <w:tcPr>
            <w:tcW w:w="348" w:type="pct"/>
            <w:shd w:val="clear" w:color="auto" w:fill="C6EFCE"/>
            <w:noWrap/>
            <w:vAlign w:val="center"/>
            <w:hideMark/>
          </w:tcPr>
          <w:p w14:paraId="27DCB8AC" w14:textId="77777777" w:rsidR="00F208CE" w:rsidRDefault="00513E84">
            <w:pPr>
              <w:pStyle w:val="P68B1DB1-Normal14"/>
              <w:spacing w:after="0"/>
              <w:jc w:val="center"/>
              <w:rPr>
                <w:rFonts w:eastAsia="Times New Roman" w:cs="Times New Roman"/>
                <w:noProof/>
              </w:rPr>
            </w:pPr>
            <w:r>
              <w:rPr>
                <w:noProof/>
              </w:rPr>
              <w:t>T</w:t>
            </w:r>
          </w:p>
        </w:tc>
        <w:tc>
          <w:tcPr>
            <w:tcW w:w="2224" w:type="pct"/>
            <w:shd w:val="clear" w:color="auto" w:fill="C6EFCE"/>
            <w:noWrap/>
            <w:vAlign w:val="center"/>
            <w:hideMark/>
          </w:tcPr>
          <w:p w14:paraId="59A57759" w14:textId="77777777" w:rsidR="00F208CE" w:rsidRDefault="00513E84">
            <w:pPr>
              <w:pStyle w:val="P68B1DB1-Normal14"/>
              <w:spacing w:after="0"/>
              <w:rPr>
                <w:rFonts w:eastAsia="Times New Roman" w:cs="Times New Roman"/>
                <w:noProof/>
              </w:rPr>
            </w:pPr>
            <w:r>
              <w:rPr>
                <w:noProof/>
              </w:rPr>
              <w:t xml:space="preserve">Renovación de viviendas </w:t>
            </w:r>
            <w:r>
              <w:rPr>
                <w:noProof/>
              </w:rPr>
              <w:t>privadas</w:t>
            </w:r>
          </w:p>
        </w:tc>
      </w:tr>
      <w:tr w:rsidR="00F208CE" w14:paraId="45D07658" w14:textId="77777777">
        <w:trPr>
          <w:trHeight w:val="315"/>
        </w:trPr>
        <w:tc>
          <w:tcPr>
            <w:tcW w:w="388" w:type="pct"/>
            <w:shd w:val="clear" w:color="auto" w:fill="C6EFCE"/>
            <w:noWrap/>
            <w:vAlign w:val="center"/>
            <w:hideMark/>
          </w:tcPr>
          <w:p w14:paraId="2DEEEC77" w14:textId="77777777" w:rsidR="00F208CE" w:rsidRDefault="00513E84">
            <w:pPr>
              <w:pStyle w:val="P68B1DB1-Normal14"/>
              <w:spacing w:after="0"/>
              <w:jc w:val="center"/>
              <w:rPr>
                <w:rFonts w:eastAsia="Times New Roman" w:cs="Times New Roman"/>
                <w:noProof/>
              </w:rPr>
            </w:pPr>
            <w:r>
              <w:rPr>
                <w:noProof/>
              </w:rPr>
              <w:t>219</w:t>
            </w:r>
          </w:p>
        </w:tc>
        <w:tc>
          <w:tcPr>
            <w:tcW w:w="2040" w:type="pct"/>
            <w:shd w:val="clear" w:color="auto" w:fill="C6EFCE"/>
            <w:noWrap/>
            <w:vAlign w:val="center"/>
            <w:hideMark/>
          </w:tcPr>
          <w:p w14:paraId="41F25A96" w14:textId="77777777" w:rsidR="00F208CE" w:rsidRDefault="00513E84">
            <w:pPr>
              <w:pStyle w:val="P68B1DB1-Normal14"/>
              <w:spacing w:after="0"/>
              <w:rPr>
                <w:rFonts w:eastAsia="Times New Roman" w:cs="Times New Roman"/>
                <w:noProof/>
              </w:rPr>
            </w:pPr>
            <w:r>
              <w:rPr>
                <w:noProof/>
              </w:rPr>
              <w:t>Plataforma de investigación para la transición energética (I-7.11)</w:t>
            </w:r>
          </w:p>
        </w:tc>
        <w:tc>
          <w:tcPr>
            <w:tcW w:w="348" w:type="pct"/>
            <w:shd w:val="clear" w:color="auto" w:fill="C6EFCE"/>
            <w:noWrap/>
            <w:vAlign w:val="center"/>
            <w:hideMark/>
          </w:tcPr>
          <w:p w14:paraId="0989FFAB"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0E21E810" w14:textId="77777777" w:rsidR="00F208CE" w:rsidRDefault="00513E84">
            <w:pPr>
              <w:pStyle w:val="P68B1DB1-Normal14"/>
              <w:spacing w:after="0"/>
              <w:rPr>
                <w:rFonts w:eastAsia="Times New Roman" w:cs="Times New Roman"/>
                <w:noProof/>
              </w:rPr>
            </w:pPr>
            <w:r>
              <w:rPr>
                <w:noProof/>
              </w:rPr>
              <w:t>Publicación de licitaciones públicas de equipos</w:t>
            </w:r>
          </w:p>
        </w:tc>
      </w:tr>
      <w:tr w:rsidR="00F208CE" w14:paraId="6943CF38" w14:textId="77777777">
        <w:trPr>
          <w:trHeight w:val="315"/>
        </w:trPr>
        <w:tc>
          <w:tcPr>
            <w:tcW w:w="388" w:type="pct"/>
            <w:shd w:val="clear" w:color="auto" w:fill="C6EFCE"/>
            <w:noWrap/>
            <w:vAlign w:val="center"/>
            <w:hideMark/>
          </w:tcPr>
          <w:p w14:paraId="6958E136" w14:textId="77777777" w:rsidR="00F208CE" w:rsidRDefault="00513E84">
            <w:pPr>
              <w:pStyle w:val="P68B1DB1-Normal14"/>
              <w:spacing w:after="0"/>
              <w:jc w:val="center"/>
              <w:rPr>
                <w:rFonts w:eastAsia="Times New Roman" w:cs="Times New Roman"/>
                <w:noProof/>
              </w:rPr>
            </w:pPr>
            <w:r>
              <w:rPr>
                <w:noProof/>
              </w:rPr>
              <w:t>221</w:t>
            </w:r>
          </w:p>
        </w:tc>
        <w:tc>
          <w:tcPr>
            <w:tcW w:w="2040" w:type="pct"/>
            <w:shd w:val="clear" w:color="auto" w:fill="C6EFCE"/>
            <w:noWrap/>
            <w:vAlign w:val="center"/>
            <w:hideMark/>
          </w:tcPr>
          <w:p w14:paraId="11C4CD41" w14:textId="77777777" w:rsidR="00F208CE" w:rsidRDefault="00513E84">
            <w:pPr>
              <w:pStyle w:val="P68B1DB1-Normal14"/>
              <w:spacing w:after="0"/>
              <w:rPr>
                <w:rFonts w:eastAsia="Times New Roman" w:cs="Times New Roman"/>
                <w:noProof/>
              </w:rPr>
            </w:pPr>
            <w:r>
              <w:rPr>
                <w:noProof/>
              </w:rPr>
              <w:t>Infraestructuras de importación de energía (I-7.12)</w:t>
            </w:r>
          </w:p>
        </w:tc>
        <w:tc>
          <w:tcPr>
            <w:tcW w:w="348" w:type="pct"/>
            <w:shd w:val="clear" w:color="auto" w:fill="C6EFCE"/>
            <w:noWrap/>
            <w:vAlign w:val="center"/>
            <w:hideMark/>
          </w:tcPr>
          <w:p w14:paraId="4602FB06"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7B64E8CC" w14:textId="77777777" w:rsidR="00F208CE" w:rsidRDefault="00513E84">
            <w:pPr>
              <w:pStyle w:val="P68B1DB1-Normal14"/>
              <w:spacing w:after="0"/>
              <w:rPr>
                <w:rFonts w:eastAsia="Times New Roman" w:cs="Times New Roman"/>
                <w:noProof/>
              </w:rPr>
            </w:pPr>
            <w:r>
              <w:rPr>
                <w:noProof/>
              </w:rPr>
              <w:t>Adjudicación de contratos en el marco de la convocatoria de proyec</w:t>
            </w:r>
            <w:r>
              <w:rPr>
                <w:noProof/>
              </w:rPr>
              <w:t>tos</w:t>
            </w:r>
          </w:p>
        </w:tc>
      </w:tr>
      <w:tr w:rsidR="00F208CE" w14:paraId="0DC91251" w14:textId="77777777">
        <w:trPr>
          <w:trHeight w:val="315"/>
        </w:trPr>
        <w:tc>
          <w:tcPr>
            <w:tcW w:w="388" w:type="pct"/>
            <w:shd w:val="clear" w:color="auto" w:fill="C6EFCE"/>
            <w:noWrap/>
            <w:vAlign w:val="center"/>
          </w:tcPr>
          <w:p w14:paraId="7E60ADE7" w14:textId="275BC1C6" w:rsidR="00F208CE" w:rsidRDefault="00513E84">
            <w:pPr>
              <w:pStyle w:val="P68B1DB1-Normal14"/>
              <w:spacing w:after="0"/>
              <w:jc w:val="center"/>
              <w:rPr>
                <w:rFonts w:eastAsia="Times New Roman" w:cs="Times New Roman"/>
                <w:noProof/>
              </w:rPr>
            </w:pPr>
            <w:r>
              <w:rPr>
                <w:noProof/>
              </w:rPr>
              <w:t>223</w:t>
            </w:r>
          </w:p>
        </w:tc>
        <w:tc>
          <w:tcPr>
            <w:tcW w:w="2040" w:type="pct"/>
            <w:shd w:val="clear" w:color="auto" w:fill="C6EFCE"/>
            <w:noWrap/>
            <w:vAlign w:val="center"/>
          </w:tcPr>
          <w:p w14:paraId="5DFC7791" w14:textId="0625A0D3" w:rsidR="00F208CE" w:rsidRDefault="00513E84">
            <w:pPr>
              <w:pStyle w:val="P68B1DB1-Normal14"/>
              <w:spacing w:after="0"/>
              <w:rPr>
                <w:rFonts w:eastAsia="Times New Roman" w:cs="Times New Roman"/>
                <w:noProof/>
              </w:rPr>
            </w:pPr>
            <w:r>
              <w:rPr>
                <w:noProof/>
              </w:rPr>
              <w:t>Llamamiento en favor de la descarbonización de la industria (I-7.13)</w:t>
            </w:r>
          </w:p>
        </w:tc>
        <w:tc>
          <w:tcPr>
            <w:tcW w:w="348" w:type="pct"/>
            <w:shd w:val="clear" w:color="auto" w:fill="C6EFCE"/>
            <w:noWrap/>
            <w:vAlign w:val="center"/>
          </w:tcPr>
          <w:p w14:paraId="3983F13C" w14:textId="6C977499"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tcPr>
          <w:p w14:paraId="15CA526E" w14:textId="553CAC5D" w:rsidR="00F208CE" w:rsidRDefault="00513E84">
            <w:pPr>
              <w:pStyle w:val="P68B1DB1-Normal14"/>
              <w:spacing w:after="0"/>
              <w:rPr>
                <w:rFonts w:eastAsia="Times New Roman" w:cs="Times New Roman"/>
                <w:noProof/>
              </w:rPr>
            </w:pPr>
            <w:r>
              <w:rPr>
                <w:noProof/>
              </w:rPr>
              <w:t>Adjudicación de contratos en el marco de la convocatoria de proyectos</w:t>
            </w:r>
          </w:p>
        </w:tc>
      </w:tr>
      <w:tr w:rsidR="00F208CE" w14:paraId="2FC67D5C" w14:textId="77777777">
        <w:trPr>
          <w:trHeight w:val="315"/>
        </w:trPr>
        <w:tc>
          <w:tcPr>
            <w:tcW w:w="388" w:type="pct"/>
            <w:shd w:val="clear" w:color="auto" w:fill="C6EFCE"/>
            <w:noWrap/>
            <w:vAlign w:val="center"/>
          </w:tcPr>
          <w:p w14:paraId="23CDF039" w14:textId="77A5EA8B" w:rsidR="00F208CE" w:rsidRDefault="00513E84">
            <w:pPr>
              <w:pStyle w:val="P68B1DB1-Normal14"/>
              <w:spacing w:after="0"/>
              <w:jc w:val="center"/>
              <w:rPr>
                <w:rFonts w:eastAsia="Times New Roman" w:cs="Times New Roman"/>
                <w:noProof/>
              </w:rPr>
            </w:pPr>
            <w:r>
              <w:rPr>
                <w:noProof/>
              </w:rPr>
              <w:t>228</w:t>
            </w:r>
          </w:p>
        </w:tc>
        <w:tc>
          <w:tcPr>
            <w:tcW w:w="2040" w:type="pct"/>
            <w:shd w:val="clear" w:color="auto" w:fill="C6EFCE"/>
            <w:noWrap/>
            <w:vAlign w:val="center"/>
          </w:tcPr>
          <w:p w14:paraId="2E856F3C" w14:textId="66C34CAC" w:rsidR="00F208CE" w:rsidRDefault="00513E84">
            <w:pPr>
              <w:pStyle w:val="P68B1DB1-Normal14"/>
              <w:spacing w:after="0"/>
              <w:rPr>
                <w:rFonts w:eastAsia="Times New Roman" w:cs="Times New Roman"/>
                <w:noProof/>
              </w:rPr>
            </w:pPr>
            <w:r>
              <w:rPr>
                <w:noProof/>
              </w:rPr>
              <w:t>Procedimiento de recurso ante el Consejo de Estado (R-7.02)</w:t>
            </w:r>
          </w:p>
        </w:tc>
        <w:tc>
          <w:tcPr>
            <w:tcW w:w="348" w:type="pct"/>
            <w:shd w:val="clear" w:color="auto" w:fill="C6EFCE"/>
            <w:noWrap/>
            <w:vAlign w:val="center"/>
          </w:tcPr>
          <w:p w14:paraId="500910EF" w14:textId="210AFAAA"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tcPr>
          <w:p w14:paraId="06DB8D40" w14:textId="7ECE6A84" w:rsidR="00F208CE" w:rsidRDefault="00513E84">
            <w:pPr>
              <w:pStyle w:val="P68B1DB1-Normal14"/>
              <w:spacing w:after="0"/>
              <w:rPr>
                <w:rFonts w:eastAsia="Times New Roman" w:cs="Times New Roman"/>
                <w:noProof/>
              </w:rPr>
            </w:pPr>
            <w:r>
              <w:rPr>
                <w:noProof/>
              </w:rPr>
              <w:t>Entrada en vigor de la legislación</w:t>
            </w:r>
          </w:p>
        </w:tc>
      </w:tr>
      <w:tr w:rsidR="00F208CE" w14:paraId="4201D475" w14:textId="77777777">
        <w:trPr>
          <w:trHeight w:val="315"/>
        </w:trPr>
        <w:tc>
          <w:tcPr>
            <w:tcW w:w="388" w:type="pct"/>
            <w:shd w:val="clear" w:color="auto" w:fill="C6EFCE"/>
            <w:noWrap/>
            <w:vAlign w:val="center"/>
            <w:hideMark/>
          </w:tcPr>
          <w:p w14:paraId="60CB862E" w14:textId="77777777" w:rsidR="00F208CE" w:rsidRDefault="00513E84">
            <w:pPr>
              <w:pStyle w:val="P68B1DB1-Normal14"/>
              <w:spacing w:after="0"/>
              <w:jc w:val="center"/>
              <w:rPr>
                <w:rFonts w:eastAsia="Times New Roman" w:cs="Times New Roman"/>
                <w:noProof/>
              </w:rPr>
            </w:pPr>
            <w:r>
              <w:rPr>
                <w:noProof/>
              </w:rPr>
              <w:t>230</w:t>
            </w:r>
          </w:p>
        </w:tc>
        <w:tc>
          <w:tcPr>
            <w:tcW w:w="2040" w:type="pct"/>
            <w:shd w:val="clear" w:color="auto" w:fill="C6EFCE"/>
            <w:noWrap/>
            <w:vAlign w:val="center"/>
            <w:hideMark/>
          </w:tcPr>
          <w:p w14:paraId="7AE76D5F" w14:textId="77777777" w:rsidR="00F208CE" w:rsidRDefault="00513E84">
            <w:pPr>
              <w:pStyle w:val="P68B1DB1-Normal14"/>
              <w:spacing w:after="0"/>
              <w:rPr>
                <w:rFonts w:eastAsia="Times New Roman" w:cs="Times New Roman"/>
                <w:noProof/>
              </w:rPr>
            </w:pPr>
            <w:r>
              <w:rPr>
                <w:noProof/>
              </w:rPr>
              <w:t>Aceleración de la transición energética (R-7.04)</w:t>
            </w:r>
          </w:p>
        </w:tc>
        <w:tc>
          <w:tcPr>
            <w:tcW w:w="348" w:type="pct"/>
            <w:shd w:val="clear" w:color="auto" w:fill="C6EFCE"/>
            <w:noWrap/>
            <w:vAlign w:val="center"/>
            <w:hideMark/>
          </w:tcPr>
          <w:p w14:paraId="1B5BCD79"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2BE66D74" w14:textId="77777777" w:rsidR="00F208CE" w:rsidRDefault="00513E84">
            <w:pPr>
              <w:pStyle w:val="P68B1DB1-Normal14"/>
              <w:spacing w:after="0"/>
              <w:rPr>
                <w:rFonts w:eastAsia="Times New Roman" w:cs="Times New Roman"/>
                <w:noProof/>
              </w:rPr>
            </w:pPr>
            <w:r>
              <w:rPr>
                <w:noProof/>
              </w:rPr>
              <w:t>Entrada en vigor de la legislación</w:t>
            </w:r>
          </w:p>
        </w:tc>
      </w:tr>
      <w:tr w:rsidR="00F208CE" w14:paraId="1BF28558" w14:textId="77777777">
        <w:trPr>
          <w:trHeight w:val="315"/>
        </w:trPr>
        <w:tc>
          <w:tcPr>
            <w:tcW w:w="388" w:type="pct"/>
            <w:shd w:val="clear" w:color="auto" w:fill="C6EFCE"/>
            <w:noWrap/>
            <w:vAlign w:val="center"/>
          </w:tcPr>
          <w:p w14:paraId="36F2FA7C" w14:textId="77777777" w:rsidR="00F208CE" w:rsidRDefault="00513E84">
            <w:pPr>
              <w:pStyle w:val="P68B1DB1-Normal14"/>
              <w:spacing w:after="0"/>
              <w:jc w:val="center"/>
              <w:rPr>
                <w:rFonts w:eastAsia="Times New Roman" w:cs="Times New Roman"/>
                <w:noProof/>
              </w:rPr>
            </w:pPr>
            <w:r>
              <w:rPr>
                <w:noProof/>
              </w:rPr>
              <w:t>233</w:t>
            </w:r>
          </w:p>
        </w:tc>
        <w:tc>
          <w:tcPr>
            <w:tcW w:w="2040" w:type="pct"/>
            <w:shd w:val="clear" w:color="auto" w:fill="C6EFCE"/>
            <w:noWrap/>
            <w:vAlign w:val="center"/>
          </w:tcPr>
          <w:p w14:paraId="22802E28" w14:textId="77777777" w:rsidR="00F208CE" w:rsidRDefault="00513E84">
            <w:pPr>
              <w:pStyle w:val="P68B1DB1-Normal14"/>
              <w:spacing w:after="0"/>
              <w:rPr>
                <w:rFonts w:eastAsia="Times New Roman" w:cs="Times New Roman"/>
                <w:noProof/>
              </w:rPr>
            </w:pPr>
            <w:r>
              <w:rPr>
                <w:noProof/>
              </w:rPr>
              <w:t>Optimización de la distribución de energía (I-7.17)</w:t>
            </w:r>
          </w:p>
        </w:tc>
        <w:tc>
          <w:tcPr>
            <w:tcW w:w="348" w:type="pct"/>
            <w:shd w:val="clear" w:color="auto" w:fill="C6EFCE"/>
            <w:noWrap/>
            <w:vAlign w:val="center"/>
          </w:tcPr>
          <w:p w14:paraId="2A777678"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tcPr>
          <w:p w14:paraId="4408AD70" w14:textId="77777777" w:rsidR="00F208CE" w:rsidRDefault="00513E84">
            <w:pPr>
              <w:pStyle w:val="P68B1DB1-Normal14"/>
              <w:spacing w:after="0"/>
              <w:rPr>
                <w:rFonts w:eastAsia="Times New Roman" w:cs="Times New Roman"/>
                <w:noProof/>
              </w:rPr>
            </w:pPr>
            <w:r>
              <w:rPr>
                <w:noProof/>
              </w:rPr>
              <w:t>Concesión de subvenciones a los dos principales operadores de redes eléctricas de la Región Valona</w:t>
            </w:r>
          </w:p>
        </w:tc>
      </w:tr>
      <w:tr w:rsidR="00F208CE" w14:paraId="5444A108" w14:textId="77777777">
        <w:trPr>
          <w:trHeight w:val="315"/>
        </w:trPr>
        <w:tc>
          <w:tcPr>
            <w:tcW w:w="388" w:type="pct"/>
            <w:shd w:val="clear" w:color="auto" w:fill="C6EFCE"/>
            <w:noWrap/>
            <w:vAlign w:val="center"/>
            <w:hideMark/>
          </w:tcPr>
          <w:p w14:paraId="5B4053C2" w14:textId="77777777" w:rsidR="00F208CE" w:rsidRDefault="00513E84">
            <w:pPr>
              <w:pStyle w:val="P68B1DB1-Normal14"/>
              <w:spacing w:after="0"/>
              <w:jc w:val="center"/>
              <w:rPr>
                <w:rFonts w:eastAsia="Times New Roman" w:cs="Times New Roman"/>
                <w:noProof/>
              </w:rPr>
            </w:pPr>
            <w:r>
              <w:rPr>
                <w:noProof/>
              </w:rPr>
              <w:t>235</w:t>
            </w:r>
          </w:p>
        </w:tc>
        <w:tc>
          <w:tcPr>
            <w:tcW w:w="2040" w:type="pct"/>
            <w:shd w:val="clear" w:color="auto" w:fill="C6EFCE"/>
            <w:noWrap/>
            <w:vAlign w:val="center"/>
            <w:hideMark/>
          </w:tcPr>
          <w:p w14:paraId="4DDA2FB6" w14:textId="77777777" w:rsidR="00F208CE" w:rsidRDefault="00513E84">
            <w:pPr>
              <w:pStyle w:val="P68B1DB1-Normal14"/>
              <w:spacing w:after="0"/>
              <w:rPr>
                <w:rFonts w:eastAsia="Times New Roman" w:cs="Times New Roman"/>
                <w:noProof/>
              </w:rPr>
            </w:pPr>
            <w:r>
              <w:rPr>
                <w:noProof/>
              </w:rPr>
              <w:t>Convocatoria de iniciativas innovadoras de producción de energías renovables (I-7.18)</w:t>
            </w:r>
          </w:p>
        </w:tc>
        <w:tc>
          <w:tcPr>
            <w:tcW w:w="348" w:type="pct"/>
            <w:shd w:val="clear" w:color="auto" w:fill="C6EFCE"/>
            <w:noWrap/>
            <w:vAlign w:val="center"/>
            <w:hideMark/>
          </w:tcPr>
          <w:p w14:paraId="46654B15"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36FE4909" w14:textId="77777777" w:rsidR="00F208CE" w:rsidRDefault="00513E84">
            <w:pPr>
              <w:pStyle w:val="P68B1DB1-Normal14"/>
              <w:spacing w:after="0"/>
              <w:rPr>
                <w:rFonts w:eastAsia="Times New Roman" w:cs="Times New Roman"/>
                <w:noProof/>
              </w:rPr>
            </w:pPr>
            <w:r>
              <w:rPr>
                <w:noProof/>
              </w:rPr>
              <w:t>Adjudicación de contratos en el marco de las convocatorias de proyectos</w:t>
            </w:r>
          </w:p>
        </w:tc>
      </w:tr>
      <w:tr w:rsidR="00F208CE" w14:paraId="7C2E77BD" w14:textId="77777777">
        <w:trPr>
          <w:trHeight w:val="315"/>
        </w:trPr>
        <w:tc>
          <w:tcPr>
            <w:tcW w:w="388" w:type="pct"/>
            <w:shd w:val="clear" w:color="auto" w:fill="C6EFCE"/>
            <w:noWrap/>
            <w:vAlign w:val="center"/>
            <w:hideMark/>
          </w:tcPr>
          <w:p w14:paraId="67E283AD" w14:textId="77777777" w:rsidR="00F208CE" w:rsidRDefault="00513E84">
            <w:pPr>
              <w:pStyle w:val="P68B1DB1-Normal14"/>
              <w:spacing w:after="0"/>
              <w:jc w:val="center"/>
              <w:rPr>
                <w:rFonts w:eastAsia="Times New Roman" w:cs="Times New Roman"/>
                <w:noProof/>
              </w:rPr>
            </w:pPr>
            <w:r>
              <w:rPr>
                <w:noProof/>
              </w:rPr>
              <w:t>248</w:t>
            </w:r>
          </w:p>
        </w:tc>
        <w:tc>
          <w:tcPr>
            <w:tcW w:w="2040" w:type="pct"/>
            <w:shd w:val="clear" w:color="auto" w:fill="C6EFCE"/>
            <w:noWrap/>
            <w:vAlign w:val="center"/>
            <w:hideMark/>
          </w:tcPr>
          <w:p w14:paraId="77E26088" w14:textId="455FEF0B" w:rsidR="00F208CE" w:rsidRDefault="00513E84">
            <w:pPr>
              <w:pStyle w:val="P68B1DB1-Normal14"/>
              <w:spacing w:after="0"/>
              <w:rPr>
                <w:rFonts w:eastAsia="Times New Roman" w:cs="Times New Roman"/>
                <w:noProof/>
              </w:rPr>
            </w:pPr>
            <w:r>
              <w:rPr>
                <w:noProof/>
              </w:rPr>
              <w:t>SMELD — ALIMENTADO (I-5.18)</w:t>
            </w:r>
          </w:p>
        </w:tc>
        <w:tc>
          <w:tcPr>
            <w:tcW w:w="348" w:type="pct"/>
            <w:shd w:val="clear" w:color="auto" w:fill="C6EFCE"/>
            <w:noWrap/>
            <w:vAlign w:val="center"/>
            <w:hideMark/>
          </w:tcPr>
          <w:p w14:paraId="429E35B2" w14:textId="77777777" w:rsidR="00F208CE" w:rsidRDefault="00513E84">
            <w:pPr>
              <w:pStyle w:val="P68B1DB1-Normal14"/>
              <w:spacing w:after="0"/>
              <w:jc w:val="center"/>
              <w:rPr>
                <w:rFonts w:eastAsia="Times New Roman" w:cs="Times New Roman"/>
                <w:noProof/>
              </w:rPr>
            </w:pPr>
            <w:r>
              <w:rPr>
                <w:noProof/>
              </w:rPr>
              <w:t>M</w:t>
            </w:r>
          </w:p>
        </w:tc>
        <w:tc>
          <w:tcPr>
            <w:tcW w:w="2224" w:type="pct"/>
            <w:shd w:val="clear" w:color="auto" w:fill="C6EFCE"/>
            <w:noWrap/>
            <w:vAlign w:val="center"/>
            <w:hideMark/>
          </w:tcPr>
          <w:p w14:paraId="4A7EC3E8" w14:textId="77777777" w:rsidR="00F208CE" w:rsidRDefault="00513E84">
            <w:pPr>
              <w:pStyle w:val="P68B1DB1-Normal14"/>
              <w:spacing w:after="0"/>
              <w:rPr>
                <w:rFonts w:eastAsia="Times New Roman" w:cs="Times New Roman"/>
                <w:noProof/>
              </w:rPr>
            </w:pPr>
            <w:r>
              <w:rPr>
                <w:noProof/>
              </w:rPr>
              <w:t>Estudio preparatorio sobre los requisitos para la instalación</w:t>
            </w:r>
            <w:r>
              <w:rPr>
                <w:noProof/>
              </w:rPr>
              <w:t xml:space="preserve"> del horno de fusión</w:t>
            </w:r>
          </w:p>
        </w:tc>
      </w:tr>
      <w:tr w:rsidR="00F208CE" w14:paraId="250541D0" w14:textId="77777777">
        <w:trPr>
          <w:trHeight w:val="315"/>
        </w:trPr>
        <w:tc>
          <w:tcPr>
            <w:tcW w:w="388" w:type="pct"/>
            <w:shd w:val="clear" w:color="auto" w:fill="C6EFCE"/>
            <w:noWrap/>
            <w:vAlign w:val="center"/>
          </w:tcPr>
          <w:p w14:paraId="1DB49369" w14:textId="77777777" w:rsidR="00F208CE" w:rsidRDefault="00F208CE">
            <w:pPr>
              <w:spacing w:after="0"/>
              <w:jc w:val="center"/>
              <w:rPr>
                <w:rFonts w:ascii="Times New Roman" w:eastAsia="Times New Roman" w:hAnsi="Times New Roman" w:cs="Times New Roman"/>
                <w:noProof/>
                <w:color w:val="006100"/>
                <w:sz w:val="20"/>
              </w:rPr>
            </w:pPr>
          </w:p>
        </w:tc>
        <w:tc>
          <w:tcPr>
            <w:tcW w:w="2388" w:type="pct"/>
            <w:gridSpan w:val="2"/>
            <w:shd w:val="clear" w:color="auto" w:fill="C6EFCE"/>
            <w:noWrap/>
            <w:vAlign w:val="center"/>
          </w:tcPr>
          <w:p w14:paraId="3387DF77" w14:textId="77777777" w:rsidR="00F208CE" w:rsidRDefault="00513E84">
            <w:pPr>
              <w:pStyle w:val="P68B1DB1-Normal14"/>
              <w:spacing w:after="0"/>
              <w:jc w:val="right"/>
              <w:rPr>
                <w:rFonts w:eastAsia="Times New Roman" w:cs="Times New Roman"/>
                <w:noProof/>
              </w:rPr>
            </w:pPr>
            <w:r>
              <w:rPr>
                <w:noProof/>
              </w:rPr>
              <w:t>Importe del tramo</w:t>
            </w:r>
          </w:p>
        </w:tc>
        <w:tc>
          <w:tcPr>
            <w:tcW w:w="2224" w:type="pct"/>
            <w:shd w:val="clear" w:color="auto" w:fill="C6EFCE"/>
            <w:noWrap/>
            <w:vAlign w:val="center"/>
          </w:tcPr>
          <w:p w14:paraId="7E94942B" w14:textId="6F0A7D26" w:rsidR="00F208CE" w:rsidRDefault="00513E84">
            <w:pPr>
              <w:pStyle w:val="P68B1DB1-Normal13"/>
              <w:spacing w:after="0"/>
              <w:rPr>
                <w:rFonts w:eastAsia="Times New Roman" w:cs="Times New Roman"/>
                <w:noProof/>
                <w:color w:val="006100"/>
                <w:sz w:val="20"/>
              </w:rPr>
            </w:pPr>
            <w:r>
              <w:rPr>
                <w:noProof/>
                <w:color w:val="006100"/>
              </w:rPr>
              <w:t>1 053 798 447 EUR</w:t>
            </w:r>
            <w:r>
              <w:rPr>
                <w:noProof/>
                <w:color w:val="FF0000"/>
                <w:sz w:val="20"/>
              </w:rPr>
              <w:t xml:space="preserve"> </w:t>
            </w:r>
          </w:p>
        </w:tc>
      </w:tr>
    </w:tbl>
    <w:p w14:paraId="58E55F75" w14:textId="57DDE897" w:rsidR="00F208CE" w:rsidRDefault="00F208CE">
      <w:pPr>
        <w:rPr>
          <w:rFonts w:ascii="Times New Roman" w:hAnsi="Times New Roman" w:cs="Times New Roman"/>
          <w:noProof/>
        </w:rPr>
      </w:pPr>
    </w:p>
    <w:p w14:paraId="6035AB0E" w14:textId="14278CE5" w:rsidR="00F208CE" w:rsidRDefault="00513E84">
      <w:pPr>
        <w:pStyle w:val="ManualNumPar1"/>
        <w:rPr>
          <w:noProof/>
        </w:rPr>
      </w:pPr>
      <w:bookmarkStart w:id="10" w:name="_Hlk148370212"/>
      <w:r>
        <w:rPr>
          <w:noProof/>
        </w:rPr>
        <w:t>Quinto tramo (ayudas no reembolsables):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999"/>
        <w:gridCol w:w="708"/>
        <w:gridCol w:w="4683"/>
      </w:tblGrid>
      <w:tr w:rsidR="00F208CE" w14:paraId="6AD6CA11" w14:textId="77777777">
        <w:trPr>
          <w:trHeight w:val="300"/>
          <w:tblHeader/>
        </w:trPr>
        <w:tc>
          <w:tcPr>
            <w:tcW w:w="400" w:type="pct"/>
            <w:tcBorders>
              <w:bottom w:val="single" w:sz="4" w:space="0" w:color="auto"/>
            </w:tcBorders>
            <w:shd w:val="clear" w:color="auto" w:fill="BDD7EE"/>
            <w:noWrap/>
            <w:vAlign w:val="center"/>
            <w:hideMark/>
          </w:tcPr>
          <w:bookmarkEnd w:id="10"/>
          <w:p w14:paraId="05F01048" w14:textId="77777777" w:rsidR="00F208CE" w:rsidRDefault="00513E84">
            <w:pPr>
              <w:pStyle w:val="P68B1DB1-Normal39"/>
              <w:spacing w:before="120" w:after="120"/>
              <w:jc w:val="center"/>
              <w:rPr>
                <w:rFonts w:eastAsia="Times New Roman" w:cs="Times New Roman"/>
                <w:noProof/>
              </w:rPr>
            </w:pPr>
            <w:r>
              <w:rPr>
                <w:noProof/>
              </w:rPr>
              <w:t>Siguientes nb</w:t>
            </w:r>
          </w:p>
        </w:tc>
        <w:tc>
          <w:tcPr>
            <w:tcW w:w="1959" w:type="pct"/>
            <w:tcBorders>
              <w:bottom w:val="single" w:sz="4" w:space="0" w:color="auto"/>
            </w:tcBorders>
            <w:shd w:val="clear" w:color="auto" w:fill="BDD7EE"/>
            <w:noWrap/>
            <w:vAlign w:val="center"/>
            <w:hideMark/>
          </w:tcPr>
          <w:p w14:paraId="65AD459D" w14:textId="77777777" w:rsidR="00F208CE" w:rsidRDefault="00513E84">
            <w:pPr>
              <w:pStyle w:val="P68B1DB1-Normal39"/>
              <w:spacing w:before="120" w:after="120"/>
              <w:jc w:val="center"/>
              <w:rPr>
                <w:rFonts w:eastAsia="Times New Roman" w:cs="Times New Roman"/>
                <w:noProof/>
              </w:rPr>
            </w:pPr>
            <w:r>
              <w:rPr>
                <w:noProof/>
              </w:rPr>
              <w:t>Nombre de la medida</w:t>
            </w:r>
          </w:p>
        </w:tc>
        <w:tc>
          <w:tcPr>
            <w:tcW w:w="347" w:type="pct"/>
            <w:tcBorders>
              <w:bottom w:val="single" w:sz="4" w:space="0" w:color="auto"/>
            </w:tcBorders>
            <w:shd w:val="clear" w:color="auto" w:fill="BDD7EE"/>
            <w:noWrap/>
            <w:vAlign w:val="center"/>
            <w:hideMark/>
          </w:tcPr>
          <w:p w14:paraId="43547F5D" w14:textId="77777777" w:rsidR="00F208CE" w:rsidRDefault="00513E84">
            <w:pPr>
              <w:pStyle w:val="P68B1DB1-Normal39"/>
              <w:spacing w:before="120" w:after="120"/>
              <w:jc w:val="center"/>
              <w:rPr>
                <w:rFonts w:eastAsia="Times New Roman" w:cs="Times New Roman"/>
                <w:noProof/>
              </w:rPr>
            </w:pPr>
            <w:r>
              <w:rPr>
                <w:noProof/>
              </w:rPr>
              <w:t>M/T</w:t>
            </w:r>
          </w:p>
        </w:tc>
        <w:tc>
          <w:tcPr>
            <w:tcW w:w="2294" w:type="pct"/>
            <w:tcBorders>
              <w:bottom w:val="single" w:sz="4" w:space="0" w:color="auto"/>
            </w:tcBorders>
            <w:shd w:val="clear" w:color="auto" w:fill="BDD7EE"/>
            <w:noWrap/>
            <w:vAlign w:val="center"/>
            <w:hideMark/>
          </w:tcPr>
          <w:p w14:paraId="1BA6D8C5" w14:textId="77777777" w:rsidR="00F208CE" w:rsidRDefault="00513E84">
            <w:pPr>
              <w:pStyle w:val="P68B1DB1-Normal39"/>
              <w:spacing w:before="120" w:after="120"/>
              <w:jc w:val="center"/>
              <w:rPr>
                <w:rFonts w:eastAsia="Times New Roman" w:cs="Times New Roman"/>
                <w:noProof/>
              </w:rPr>
            </w:pPr>
            <w:r>
              <w:rPr>
                <w:noProof/>
              </w:rPr>
              <w:t>Nombre</w:t>
            </w:r>
          </w:p>
        </w:tc>
      </w:tr>
      <w:tr w:rsidR="00F208CE" w14:paraId="06073AF1" w14:textId="77777777">
        <w:trPr>
          <w:trHeight w:val="315"/>
        </w:trPr>
        <w:tc>
          <w:tcPr>
            <w:tcW w:w="400" w:type="pct"/>
            <w:shd w:val="clear" w:color="000000" w:fill="C6EFCE"/>
            <w:noWrap/>
            <w:vAlign w:val="center"/>
            <w:hideMark/>
          </w:tcPr>
          <w:p w14:paraId="4D12D979" w14:textId="77777777" w:rsidR="00F208CE" w:rsidRDefault="00513E84">
            <w:pPr>
              <w:pStyle w:val="P68B1DB1-Normal14"/>
              <w:spacing w:after="0"/>
              <w:jc w:val="center"/>
              <w:rPr>
                <w:rFonts w:eastAsia="Times New Roman" w:cs="Times New Roman"/>
                <w:noProof/>
              </w:rPr>
            </w:pPr>
            <w:r>
              <w:rPr>
                <w:noProof/>
              </w:rPr>
              <w:t>7</w:t>
            </w:r>
          </w:p>
        </w:tc>
        <w:tc>
          <w:tcPr>
            <w:tcW w:w="1959" w:type="pct"/>
            <w:shd w:val="clear" w:color="000000" w:fill="C6EFCE"/>
            <w:noWrap/>
            <w:vAlign w:val="center"/>
            <w:hideMark/>
          </w:tcPr>
          <w:p w14:paraId="672DD4FD" w14:textId="77777777" w:rsidR="00F208CE" w:rsidRDefault="00513E84">
            <w:pPr>
              <w:pStyle w:val="P68B1DB1-Normal14"/>
              <w:spacing w:after="0"/>
              <w:rPr>
                <w:rFonts w:eastAsia="Times New Roman" w:cs="Times New Roman"/>
                <w:noProof/>
              </w:rPr>
            </w:pPr>
            <w:r>
              <w:rPr>
                <w:noProof/>
              </w:rPr>
              <w:t>Renovación de viviendas privadas y sociales (I-1A)</w:t>
            </w:r>
          </w:p>
        </w:tc>
        <w:tc>
          <w:tcPr>
            <w:tcW w:w="347" w:type="pct"/>
            <w:shd w:val="clear" w:color="000000" w:fill="C6EFCE"/>
            <w:noWrap/>
            <w:vAlign w:val="center"/>
            <w:hideMark/>
          </w:tcPr>
          <w:p w14:paraId="6450EC89"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0F8F42ED" w14:textId="77777777" w:rsidR="00F208CE" w:rsidRDefault="00513E84">
            <w:pPr>
              <w:pStyle w:val="P68B1DB1-Normal14"/>
              <w:spacing w:after="0"/>
              <w:rPr>
                <w:rFonts w:eastAsia="Times New Roman" w:cs="Times New Roman"/>
                <w:noProof/>
              </w:rPr>
            </w:pPr>
            <w:r>
              <w:rPr>
                <w:noProof/>
              </w:rPr>
              <w:t>Renovación de viviendas y viviendas sociales privadas</w:t>
            </w:r>
            <w:r>
              <w:rPr>
                <w:noProof/>
              </w:rPr>
              <w:t xml:space="preserve"> (etapa 3)</w:t>
            </w:r>
          </w:p>
        </w:tc>
      </w:tr>
      <w:tr w:rsidR="00F208CE" w14:paraId="19457967" w14:textId="77777777">
        <w:trPr>
          <w:trHeight w:val="315"/>
        </w:trPr>
        <w:tc>
          <w:tcPr>
            <w:tcW w:w="400" w:type="pct"/>
            <w:shd w:val="clear" w:color="000000" w:fill="C6EFCE"/>
            <w:noWrap/>
            <w:vAlign w:val="center"/>
            <w:hideMark/>
          </w:tcPr>
          <w:p w14:paraId="5E6CF5E8" w14:textId="77777777" w:rsidR="00F208CE" w:rsidRDefault="00513E84">
            <w:pPr>
              <w:pStyle w:val="P68B1DB1-Normal14"/>
              <w:spacing w:after="0"/>
              <w:jc w:val="center"/>
              <w:rPr>
                <w:rFonts w:eastAsia="Times New Roman" w:cs="Times New Roman"/>
                <w:noProof/>
              </w:rPr>
            </w:pPr>
            <w:r>
              <w:rPr>
                <w:noProof/>
              </w:rPr>
              <w:t>13</w:t>
            </w:r>
          </w:p>
        </w:tc>
        <w:tc>
          <w:tcPr>
            <w:tcW w:w="1959" w:type="pct"/>
            <w:shd w:val="clear" w:color="000000" w:fill="C6EFCE"/>
            <w:noWrap/>
            <w:vAlign w:val="center"/>
            <w:hideMark/>
          </w:tcPr>
          <w:p w14:paraId="1522B4A1" w14:textId="77777777" w:rsidR="00F208CE" w:rsidRDefault="00513E84">
            <w:pPr>
              <w:pStyle w:val="P68B1DB1-Normal14"/>
              <w:spacing w:after="0"/>
              <w:rPr>
                <w:rFonts w:eastAsia="Times New Roman" w:cs="Times New Roman"/>
                <w:noProof/>
              </w:rPr>
            </w:pPr>
            <w:r>
              <w:rPr>
                <w:noProof/>
              </w:rPr>
              <w:t>Renovación de edificios públicos (I-1b)</w:t>
            </w:r>
          </w:p>
        </w:tc>
        <w:tc>
          <w:tcPr>
            <w:tcW w:w="347" w:type="pct"/>
            <w:shd w:val="clear" w:color="000000" w:fill="C6EFCE"/>
            <w:noWrap/>
            <w:vAlign w:val="center"/>
            <w:hideMark/>
          </w:tcPr>
          <w:p w14:paraId="6F7834D1"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718F15D5" w14:textId="77777777" w:rsidR="00F208CE" w:rsidRDefault="00513E84">
            <w:pPr>
              <w:pStyle w:val="P68B1DB1-Normal14"/>
              <w:spacing w:after="0"/>
              <w:rPr>
                <w:rFonts w:eastAsia="Times New Roman" w:cs="Times New Roman"/>
                <w:noProof/>
              </w:rPr>
            </w:pPr>
            <w:r>
              <w:rPr>
                <w:noProof/>
              </w:rPr>
              <w:t>Renovación de edificios públicos (etapa 2)</w:t>
            </w:r>
          </w:p>
        </w:tc>
      </w:tr>
      <w:tr w:rsidR="00F208CE" w14:paraId="58A07644" w14:textId="77777777">
        <w:trPr>
          <w:trHeight w:val="315"/>
        </w:trPr>
        <w:tc>
          <w:tcPr>
            <w:tcW w:w="400" w:type="pct"/>
            <w:shd w:val="clear" w:color="000000" w:fill="C6EFCE"/>
            <w:noWrap/>
            <w:vAlign w:val="center"/>
            <w:hideMark/>
          </w:tcPr>
          <w:p w14:paraId="194F22FC" w14:textId="77777777" w:rsidR="00F208CE" w:rsidRDefault="00513E84">
            <w:pPr>
              <w:pStyle w:val="P68B1DB1-Normal14"/>
              <w:spacing w:after="0"/>
              <w:jc w:val="center"/>
              <w:rPr>
                <w:rFonts w:eastAsia="Times New Roman" w:cs="Times New Roman"/>
                <w:noProof/>
              </w:rPr>
            </w:pPr>
            <w:r>
              <w:rPr>
                <w:noProof/>
              </w:rPr>
              <w:t>20</w:t>
            </w:r>
          </w:p>
        </w:tc>
        <w:tc>
          <w:tcPr>
            <w:tcW w:w="1959" w:type="pct"/>
            <w:shd w:val="clear" w:color="000000" w:fill="C6EFCE"/>
            <w:noWrap/>
            <w:vAlign w:val="center"/>
            <w:hideMark/>
          </w:tcPr>
          <w:p w14:paraId="0BFDEABA" w14:textId="77777777" w:rsidR="00F208CE" w:rsidRDefault="00513E84">
            <w:pPr>
              <w:pStyle w:val="P68B1DB1-Normal14"/>
              <w:spacing w:after="0"/>
              <w:rPr>
                <w:rFonts w:eastAsia="Times New Roman" w:cs="Times New Roman"/>
                <w:noProof/>
              </w:rPr>
            </w:pPr>
            <w:r>
              <w:rPr>
                <w:noProof/>
              </w:rPr>
              <w:t>Una cadena de valor industrial para la transición del hidrógeno (I-1.15)</w:t>
            </w:r>
          </w:p>
        </w:tc>
        <w:tc>
          <w:tcPr>
            <w:tcW w:w="347" w:type="pct"/>
            <w:shd w:val="clear" w:color="000000" w:fill="C6EFCE"/>
            <w:noWrap/>
            <w:vAlign w:val="center"/>
            <w:hideMark/>
          </w:tcPr>
          <w:p w14:paraId="2722987F"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7540F914" w14:textId="48A070E8" w:rsidR="00F208CE" w:rsidRDefault="00513E84">
            <w:pPr>
              <w:pStyle w:val="P68B1DB1-Normal14"/>
              <w:spacing w:after="0"/>
              <w:rPr>
                <w:rFonts w:eastAsia="Times New Roman" w:cs="Times New Roman"/>
                <w:noProof/>
              </w:rPr>
            </w:pPr>
            <w:r>
              <w:rPr>
                <w:noProof/>
              </w:rPr>
              <w:t xml:space="preserve">Finalización de todos los proyectos adjudicados en las convocatorias de </w:t>
            </w:r>
            <w:r>
              <w:rPr>
                <w:noProof/>
              </w:rPr>
              <w:t>proyectos</w:t>
            </w:r>
          </w:p>
        </w:tc>
      </w:tr>
      <w:tr w:rsidR="00F208CE" w14:paraId="3139E518" w14:textId="77777777">
        <w:trPr>
          <w:trHeight w:val="315"/>
        </w:trPr>
        <w:tc>
          <w:tcPr>
            <w:tcW w:w="400" w:type="pct"/>
            <w:shd w:val="clear" w:color="000000" w:fill="C6EFCE"/>
            <w:noWrap/>
            <w:vAlign w:val="center"/>
            <w:hideMark/>
          </w:tcPr>
          <w:p w14:paraId="1EE5EE3D" w14:textId="77777777" w:rsidR="00F208CE" w:rsidRDefault="00513E84">
            <w:pPr>
              <w:pStyle w:val="P68B1DB1-Normal14"/>
              <w:spacing w:after="0"/>
              <w:jc w:val="center"/>
              <w:rPr>
                <w:rFonts w:eastAsia="Times New Roman" w:cs="Times New Roman"/>
                <w:noProof/>
              </w:rPr>
            </w:pPr>
            <w:r>
              <w:rPr>
                <w:noProof/>
              </w:rPr>
              <w:t>49</w:t>
            </w:r>
          </w:p>
        </w:tc>
        <w:tc>
          <w:tcPr>
            <w:tcW w:w="1959" w:type="pct"/>
            <w:shd w:val="clear" w:color="000000" w:fill="C6EFCE"/>
            <w:noWrap/>
            <w:vAlign w:val="center"/>
            <w:hideMark/>
          </w:tcPr>
          <w:p w14:paraId="75F16456" w14:textId="77777777" w:rsidR="00F208CE" w:rsidRDefault="00513E84">
            <w:pPr>
              <w:pStyle w:val="P68B1DB1-Normal14"/>
              <w:spacing w:after="0"/>
              <w:rPr>
                <w:rFonts w:eastAsia="Times New Roman" w:cs="Times New Roman"/>
                <w:noProof/>
              </w:rPr>
            </w:pPr>
            <w:r>
              <w:rPr>
                <w:noProof/>
              </w:rPr>
              <w:t>Ciberseguridad: 5G (I-2.02)</w:t>
            </w:r>
          </w:p>
        </w:tc>
        <w:tc>
          <w:tcPr>
            <w:tcW w:w="347" w:type="pct"/>
            <w:shd w:val="clear" w:color="000000" w:fill="C6EFCE"/>
            <w:noWrap/>
            <w:vAlign w:val="center"/>
            <w:hideMark/>
          </w:tcPr>
          <w:p w14:paraId="48A330B3"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37902DCD" w14:textId="77777777" w:rsidR="00F208CE" w:rsidRDefault="00513E84">
            <w:pPr>
              <w:pStyle w:val="P68B1DB1-Normal14"/>
              <w:spacing w:after="0"/>
              <w:rPr>
                <w:rFonts w:eastAsia="Times New Roman" w:cs="Times New Roman"/>
                <w:noProof/>
              </w:rPr>
            </w:pPr>
            <w:r>
              <w:rPr>
                <w:noProof/>
              </w:rPr>
              <w:t>Refuerzo de las capacidades de interceptación de la policía judicial en el contexto de la 5G</w:t>
            </w:r>
          </w:p>
        </w:tc>
      </w:tr>
      <w:tr w:rsidR="00F208CE" w14:paraId="4001DCD5" w14:textId="77777777">
        <w:trPr>
          <w:trHeight w:val="315"/>
        </w:trPr>
        <w:tc>
          <w:tcPr>
            <w:tcW w:w="400" w:type="pct"/>
            <w:shd w:val="clear" w:color="000000" w:fill="C6EFCE"/>
            <w:noWrap/>
            <w:vAlign w:val="center"/>
            <w:hideMark/>
          </w:tcPr>
          <w:p w14:paraId="15169879" w14:textId="77777777" w:rsidR="00F208CE" w:rsidRDefault="00513E84">
            <w:pPr>
              <w:pStyle w:val="P68B1DB1-Normal14"/>
              <w:spacing w:after="0"/>
              <w:jc w:val="center"/>
              <w:rPr>
                <w:rFonts w:eastAsia="Times New Roman" w:cs="Times New Roman"/>
                <w:noProof/>
              </w:rPr>
            </w:pPr>
            <w:r>
              <w:rPr>
                <w:noProof/>
              </w:rPr>
              <w:t>50</w:t>
            </w:r>
          </w:p>
        </w:tc>
        <w:tc>
          <w:tcPr>
            <w:tcW w:w="1959" w:type="pct"/>
            <w:shd w:val="clear" w:color="000000" w:fill="C6EFCE"/>
            <w:noWrap/>
            <w:vAlign w:val="center"/>
            <w:hideMark/>
          </w:tcPr>
          <w:p w14:paraId="1EE409C3" w14:textId="77777777" w:rsidR="00F208CE" w:rsidRDefault="00513E84">
            <w:pPr>
              <w:pStyle w:val="P68B1DB1-Normal14"/>
              <w:spacing w:after="0"/>
              <w:rPr>
                <w:rFonts w:eastAsia="Times New Roman" w:cs="Times New Roman"/>
                <w:noProof/>
              </w:rPr>
            </w:pPr>
            <w:r>
              <w:rPr>
                <w:noProof/>
              </w:rPr>
              <w:t>Ciberseguridad: Interceptación y salvaguardia NTSU/CTIF (I-2.03)</w:t>
            </w:r>
          </w:p>
        </w:tc>
        <w:tc>
          <w:tcPr>
            <w:tcW w:w="347" w:type="pct"/>
            <w:shd w:val="clear" w:color="000000" w:fill="C6EFCE"/>
            <w:noWrap/>
            <w:vAlign w:val="center"/>
            <w:hideMark/>
          </w:tcPr>
          <w:p w14:paraId="2D575356"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0A24C763" w14:textId="77777777" w:rsidR="00F208CE" w:rsidRDefault="00513E84">
            <w:pPr>
              <w:pStyle w:val="P68B1DB1-Normal14"/>
              <w:spacing w:after="0"/>
              <w:rPr>
                <w:rFonts w:eastAsia="Times New Roman" w:cs="Times New Roman"/>
                <w:noProof/>
              </w:rPr>
            </w:pPr>
            <w:r>
              <w:rPr>
                <w:noProof/>
              </w:rPr>
              <w:t xml:space="preserve">Registro digital de comunicaciones privadas </w:t>
            </w:r>
            <w:r>
              <w:rPr>
                <w:noProof/>
              </w:rPr>
              <w:t>interceptadas gestionado por la Unidad Nacional de Apoyo Técnico y Táctico de la Policía Federal belga</w:t>
            </w:r>
          </w:p>
        </w:tc>
      </w:tr>
      <w:tr w:rsidR="00F208CE" w14:paraId="399BE324" w14:textId="77777777">
        <w:trPr>
          <w:trHeight w:val="315"/>
        </w:trPr>
        <w:tc>
          <w:tcPr>
            <w:tcW w:w="400" w:type="pct"/>
            <w:shd w:val="clear" w:color="000000" w:fill="C6EFCE"/>
            <w:noWrap/>
            <w:vAlign w:val="center"/>
            <w:hideMark/>
          </w:tcPr>
          <w:p w14:paraId="2281B63E" w14:textId="77777777" w:rsidR="00F208CE" w:rsidRDefault="00513E84">
            <w:pPr>
              <w:pStyle w:val="P68B1DB1-Normal14"/>
              <w:spacing w:after="0"/>
              <w:jc w:val="center"/>
              <w:rPr>
                <w:rFonts w:eastAsia="Times New Roman" w:cs="Times New Roman"/>
                <w:noProof/>
              </w:rPr>
            </w:pPr>
            <w:r>
              <w:rPr>
                <w:noProof/>
              </w:rPr>
              <w:t>60</w:t>
            </w:r>
          </w:p>
        </w:tc>
        <w:tc>
          <w:tcPr>
            <w:tcW w:w="1959" w:type="pct"/>
            <w:shd w:val="clear" w:color="000000" w:fill="C6EFCE"/>
            <w:noWrap/>
            <w:vAlign w:val="center"/>
            <w:hideMark/>
          </w:tcPr>
          <w:p w14:paraId="65391A59" w14:textId="77777777" w:rsidR="00F208CE" w:rsidRDefault="00513E84">
            <w:pPr>
              <w:pStyle w:val="P68B1DB1-Normal14"/>
              <w:spacing w:after="0"/>
              <w:rPr>
                <w:rFonts w:eastAsia="Times New Roman" w:cs="Times New Roman"/>
                <w:noProof/>
              </w:rPr>
            </w:pPr>
            <w:r>
              <w:rPr>
                <w:noProof/>
              </w:rPr>
              <w:t>Fondo para pequeños proyectos de digitalización (I-2.05) (submedida 1: Transformación digital de la justicia)</w:t>
            </w:r>
          </w:p>
        </w:tc>
        <w:tc>
          <w:tcPr>
            <w:tcW w:w="347" w:type="pct"/>
            <w:shd w:val="clear" w:color="000000" w:fill="C6EFCE"/>
            <w:noWrap/>
            <w:vAlign w:val="center"/>
            <w:hideMark/>
          </w:tcPr>
          <w:p w14:paraId="5AB4C084"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634A6F47" w14:textId="77777777" w:rsidR="00F208CE" w:rsidRDefault="00513E84">
            <w:pPr>
              <w:pStyle w:val="P68B1DB1-Normal14"/>
              <w:spacing w:after="0"/>
              <w:rPr>
                <w:rFonts w:eastAsia="Times New Roman" w:cs="Times New Roman"/>
                <w:noProof/>
              </w:rPr>
            </w:pPr>
            <w:r>
              <w:rPr>
                <w:noProof/>
              </w:rPr>
              <w:t>Nuevo sistema de gestión de casos par</w:t>
            </w:r>
            <w:r>
              <w:rPr>
                <w:noProof/>
              </w:rPr>
              <w:t>a siete entidades</w:t>
            </w:r>
          </w:p>
        </w:tc>
      </w:tr>
      <w:tr w:rsidR="00F208CE" w14:paraId="6A99A105" w14:textId="77777777">
        <w:trPr>
          <w:trHeight w:val="315"/>
        </w:trPr>
        <w:tc>
          <w:tcPr>
            <w:tcW w:w="400" w:type="pct"/>
            <w:shd w:val="clear" w:color="000000" w:fill="C6EFCE"/>
            <w:noWrap/>
            <w:vAlign w:val="center"/>
            <w:hideMark/>
          </w:tcPr>
          <w:p w14:paraId="2C65A895" w14:textId="77777777" w:rsidR="00F208CE" w:rsidRDefault="00513E84">
            <w:pPr>
              <w:pStyle w:val="P68B1DB1-Normal14"/>
              <w:spacing w:after="0"/>
              <w:jc w:val="center"/>
              <w:rPr>
                <w:rFonts w:eastAsia="Times New Roman" w:cs="Times New Roman"/>
                <w:noProof/>
              </w:rPr>
            </w:pPr>
            <w:r>
              <w:rPr>
                <w:noProof/>
              </w:rPr>
              <w:t>61</w:t>
            </w:r>
          </w:p>
        </w:tc>
        <w:tc>
          <w:tcPr>
            <w:tcW w:w="1959" w:type="pct"/>
            <w:shd w:val="clear" w:color="000000" w:fill="C6EFCE"/>
            <w:noWrap/>
            <w:vAlign w:val="center"/>
            <w:hideMark/>
          </w:tcPr>
          <w:p w14:paraId="53012110" w14:textId="30B95A4E" w:rsidR="00F208CE" w:rsidRDefault="00513E84">
            <w:pPr>
              <w:pStyle w:val="P68B1DB1-Normal14"/>
              <w:spacing w:after="0"/>
              <w:rPr>
                <w:rFonts w:eastAsia="Times New Roman" w:cs="Times New Roman"/>
                <w:noProof/>
              </w:rPr>
            </w:pPr>
            <w:r>
              <w:rPr>
                <w:noProof/>
              </w:rPr>
              <w:t>Fondo para pequeños proyectos de digitalización (I-2.05) (submedida 10: Portal digital único)</w:t>
            </w:r>
          </w:p>
        </w:tc>
        <w:tc>
          <w:tcPr>
            <w:tcW w:w="347" w:type="pct"/>
            <w:shd w:val="clear" w:color="000000" w:fill="C6EFCE"/>
            <w:noWrap/>
            <w:vAlign w:val="center"/>
            <w:hideMark/>
          </w:tcPr>
          <w:p w14:paraId="6D5E40D8"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53EA9D19" w14:textId="77777777" w:rsidR="00F208CE" w:rsidRDefault="00513E84">
            <w:pPr>
              <w:pStyle w:val="P68B1DB1-Normal14"/>
              <w:spacing w:after="0"/>
              <w:rPr>
                <w:rFonts w:eastAsia="Times New Roman" w:cs="Times New Roman"/>
                <w:noProof/>
              </w:rPr>
            </w:pPr>
            <w:r>
              <w:rPr>
                <w:noProof/>
              </w:rPr>
              <w:t>Se desarrolla la interfaz frontal</w:t>
            </w:r>
          </w:p>
        </w:tc>
      </w:tr>
      <w:tr w:rsidR="00F208CE" w14:paraId="761D099C" w14:textId="77777777">
        <w:trPr>
          <w:trHeight w:val="315"/>
        </w:trPr>
        <w:tc>
          <w:tcPr>
            <w:tcW w:w="400" w:type="pct"/>
            <w:shd w:val="clear" w:color="000000" w:fill="C6EFCE"/>
            <w:noWrap/>
            <w:vAlign w:val="center"/>
            <w:hideMark/>
          </w:tcPr>
          <w:p w14:paraId="22C32DF6" w14:textId="77777777" w:rsidR="00F208CE" w:rsidRDefault="00513E84">
            <w:pPr>
              <w:pStyle w:val="P68B1DB1-Normal14"/>
              <w:spacing w:after="0"/>
              <w:jc w:val="center"/>
              <w:rPr>
                <w:rFonts w:eastAsia="Times New Roman" w:cs="Times New Roman"/>
                <w:noProof/>
              </w:rPr>
            </w:pPr>
            <w:r>
              <w:rPr>
                <w:noProof/>
              </w:rPr>
              <w:t>64</w:t>
            </w:r>
          </w:p>
        </w:tc>
        <w:tc>
          <w:tcPr>
            <w:tcW w:w="1959" w:type="pct"/>
            <w:shd w:val="clear" w:color="000000" w:fill="C6EFCE"/>
            <w:noWrap/>
            <w:vAlign w:val="center"/>
            <w:hideMark/>
          </w:tcPr>
          <w:p w14:paraId="34C6F47C" w14:textId="77777777" w:rsidR="00F208CE" w:rsidRDefault="00513E84">
            <w:pPr>
              <w:pStyle w:val="P68B1DB1-Normal14"/>
              <w:spacing w:after="0"/>
              <w:rPr>
                <w:rFonts w:eastAsia="Times New Roman" w:cs="Times New Roman"/>
                <w:noProof/>
              </w:rPr>
            </w:pPr>
            <w:r>
              <w:rPr>
                <w:noProof/>
              </w:rPr>
              <w:t>servicios de salud electrónica y datos sanitarios (I-2.06)</w:t>
            </w:r>
          </w:p>
        </w:tc>
        <w:tc>
          <w:tcPr>
            <w:tcW w:w="347" w:type="pct"/>
            <w:shd w:val="clear" w:color="000000" w:fill="C6EFCE"/>
            <w:noWrap/>
            <w:vAlign w:val="center"/>
            <w:hideMark/>
          </w:tcPr>
          <w:p w14:paraId="4F9E02C7"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7BDD5BF0" w14:textId="77777777" w:rsidR="00F208CE" w:rsidRDefault="00513E84">
            <w:pPr>
              <w:pStyle w:val="P68B1DB1-Normal14"/>
              <w:spacing w:after="0"/>
              <w:rPr>
                <w:rFonts w:eastAsia="Times New Roman" w:cs="Times New Roman"/>
                <w:noProof/>
              </w:rPr>
            </w:pPr>
            <w:r>
              <w:rPr>
                <w:noProof/>
              </w:rPr>
              <w:t>Pleno despliegue del proyecto</w:t>
            </w:r>
          </w:p>
        </w:tc>
      </w:tr>
      <w:tr w:rsidR="00F208CE" w14:paraId="7C9F8B7F" w14:textId="77777777">
        <w:trPr>
          <w:trHeight w:val="315"/>
        </w:trPr>
        <w:tc>
          <w:tcPr>
            <w:tcW w:w="400" w:type="pct"/>
            <w:shd w:val="clear" w:color="000000" w:fill="C6EFCE"/>
            <w:noWrap/>
            <w:vAlign w:val="center"/>
            <w:hideMark/>
          </w:tcPr>
          <w:p w14:paraId="53069697" w14:textId="77777777" w:rsidR="00F208CE" w:rsidRDefault="00513E84">
            <w:pPr>
              <w:pStyle w:val="P68B1DB1-Normal14"/>
              <w:spacing w:after="0"/>
              <w:jc w:val="center"/>
              <w:rPr>
                <w:rFonts w:eastAsia="Times New Roman" w:cs="Times New Roman"/>
                <w:noProof/>
              </w:rPr>
            </w:pPr>
            <w:r>
              <w:rPr>
                <w:noProof/>
              </w:rPr>
              <w:t>65</w:t>
            </w:r>
          </w:p>
        </w:tc>
        <w:tc>
          <w:tcPr>
            <w:tcW w:w="1959" w:type="pct"/>
            <w:shd w:val="clear" w:color="000000" w:fill="C6EFCE"/>
            <w:noWrap/>
            <w:vAlign w:val="center"/>
            <w:hideMark/>
          </w:tcPr>
          <w:p w14:paraId="3ECBEE81" w14:textId="77777777" w:rsidR="00F208CE" w:rsidRDefault="00513E84">
            <w:pPr>
              <w:pStyle w:val="P68B1DB1-Normal14"/>
              <w:spacing w:after="0"/>
              <w:rPr>
                <w:rFonts w:eastAsia="Times New Roman" w:cs="Times New Roman"/>
                <w:noProof/>
              </w:rPr>
            </w:pPr>
            <w:r>
              <w:rPr>
                <w:noProof/>
              </w:rPr>
              <w:t>Digitalización de ONE (I-2.07)</w:t>
            </w:r>
          </w:p>
        </w:tc>
        <w:tc>
          <w:tcPr>
            <w:tcW w:w="347" w:type="pct"/>
            <w:shd w:val="clear" w:color="000000" w:fill="C6EFCE"/>
            <w:noWrap/>
            <w:vAlign w:val="center"/>
            <w:hideMark/>
          </w:tcPr>
          <w:p w14:paraId="3089A7ED"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2BFBF981" w14:textId="77777777" w:rsidR="00F208CE" w:rsidRDefault="00513E84">
            <w:pPr>
              <w:pStyle w:val="P68B1DB1-Normal14"/>
              <w:spacing w:after="0"/>
              <w:rPr>
                <w:rFonts w:eastAsia="Times New Roman" w:cs="Times New Roman"/>
                <w:noProof/>
              </w:rPr>
            </w:pPr>
            <w:r>
              <w:rPr>
                <w:noProof/>
              </w:rPr>
              <w:t>Entrada en funcionamiento de nuevas plataformas digitales</w:t>
            </w:r>
          </w:p>
        </w:tc>
      </w:tr>
      <w:tr w:rsidR="00F208CE" w14:paraId="1BFC9812" w14:textId="77777777">
        <w:trPr>
          <w:trHeight w:val="315"/>
        </w:trPr>
        <w:tc>
          <w:tcPr>
            <w:tcW w:w="400" w:type="pct"/>
            <w:shd w:val="clear" w:color="000000" w:fill="C6EFCE"/>
            <w:noWrap/>
            <w:vAlign w:val="center"/>
            <w:hideMark/>
          </w:tcPr>
          <w:p w14:paraId="0FB78BD7" w14:textId="77777777" w:rsidR="00F208CE" w:rsidRDefault="00513E84">
            <w:pPr>
              <w:pStyle w:val="P68B1DB1-Normal14"/>
              <w:spacing w:after="0"/>
              <w:jc w:val="center"/>
              <w:rPr>
                <w:rFonts w:eastAsia="Times New Roman" w:cs="Times New Roman"/>
                <w:noProof/>
              </w:rPr>
            </w:pPr>
            <w:r>
              <w:rPr>
                <w:noProof/>
              </w:rPr>
              <w:t>69</w:t>
            </w:r>
          </w:p>
        </w:tc>
        <w:tc>
          <w:tcPr>
            <w:tcW w:w="1959" w:type="pct"/>
            <w:shd w:val="clear" w:color="000000" w:fill="C6EFCE"/>
            <w:noWrap/>
            <w:vAlign w:val="center"/>
            <w:hideMark/>
          </w:tcPr>
          <w:p w14:paraId="0F7C5E99" w14:textId="77777777" w:rsidR="00F208CE" w:rsidRDefault="00513E84">
            <w:pPr>
              <w:pStyle w:val="P68B1DB1-Normal14"/>
              <w:spacing w:after="0"/>
              <w:rPr>
                <w:rFonts w:eastAsia="Times New Roman" w:cs="Times New Roman"/>
                <w:noProof/>
              </w:rPr>
            </w:pPr>
            <w:r>
              <w:rPr>
                <w:noProof/>
              </w:rPr>
              <w:t>Digitalización del Gobierno flamenco (I-2.09)</w:t>
            </w:r>
          </w:p>
        </w:tc>
        <w:tc>
          <w:tcPr>
            <w:tcW w:w="347" w:type="pct"/>
            <w:shd w:val="clear" w:color="000000" w:fill="C6EFCE"/>
            <w:noWrap/>
            <w:vAlign w:val="center"/>
            <w:hideMark/>
          </w:tcPr>
          <w:p w14:paraId="3145BC7E"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5B5D0E5B" w14:textId="7601770C" w:rsidR="00F208CE" w:rsidRDefault="00513E84">
            <w:pPr>
              <w:pStyle w:val="P68B1DB1-Normal14"/>
              <w:spacing w:after="0"/>
              <w:rPr>
                <w:rFonts w:eastAsia="Times New Roman" w:cs="Times New Roman"/>
                <w:noProof/>
              </w:rPr>
            </w:pPr>
            <w:r>
              <w:rPr>
                <w:noProof/>
              </w:rPr>
              <w:t>Finalización de los proyectos</w:t>
            </w:r>
          </w:p>
        </w:tc>
      </w:tr>
      <w:tr w:rsidR="00F208CE" w14:paraId="03F4E47C" w14:textId="77777777">
        <w:trPr>
          <w:trHeight w:val="315"/>
        </w:trPr>
        <w:tc>
          <w:tcPr>
            <w:tcW w:w="400" w:type="pct"/>
            <w:shd w:val="clear" w:color="000000" w:fill="C6EFCE"/>
            <w:noWrap/>
            <w:vAlign w:val="center"/>
            <w:hideMark/>
          </w:tcPr>
          <w:p w14:paraId="4462AA4E" w14:textId="77777777" w:rsidR="00F208CE" w:rsidRDefault="00513E84">
            <w:pPr>
              <w:pStyle w:val="P68B1DB1-Normal14"/>
              <w:spacing w:after="0"/>
              <w:jc w:val="center"/>
              <w:rPr>
                <w:rFonts w:eastAsia="Times New Roman" w:cs="Times New Roman"/>
                <w:noProof/>
              </w:rPr>
            </w:pPr>
            <w:r>
              <w:rPr>
                <w:noProof/>
              </w:rPr>
              <w:t>73</w:t>
            </w:r>
          </w:p>
        </w:tc>
        <w:tc>
          <w:tcPr>
            <w:tcW w:w="1959" w:type="pct"/>
            <w:shd w:val="clear" w:color="000000" w:fill="C6EFCE"/>
            <w:noWrap/>
            <w:vAlign w:val="center"/>
            <w:hideMark/>
          </w:tcPr>
          <w:p w14:paraId="182C3BEB" w14:textId="77777777" w:rsidR="00F208CE" w:rsidRDefault="00513E84">
            <w:pPr>
              <w:pStyle w:val="P68B1DB1-Normal14"/>
              <w:spacing w:after="0"/>
              <w:rPr>
                <w:rFonts w:eastAsia="Times New Roman" w:cs="Times New Roman"/>
                <w:noProof/>
              </w:rPr>
            </w:pPr>
            <w:r>
              <w:rPr>
                <w:noProof/>
              </w:rPr>
              <w:t>Digitalización de los procesos de los ciudadanos y las empresas (I-2.11)</w:t>
            </w:r>
          </w:p>
        </w:tc>
        <w:tc>
          <w:tcPr>
            <w:tcW w:w="347" w:type="pct"/>
            <w:shd w:val="clear" w:color="000000" w:fill="C6EFCE"/>
            <w:noWrap/>
            <w:vAlign w:val="center"/>
            <w:hideMark/>
          </w:tcPr>
          <w:p w14:paraId="74036815"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41BCD2EF" w14:textId="77777777" w:rsidR="00F208CE" w:rsidRDefault="00513E84">
            <w:pPr>
              <w:pStyle w:val="P68B1DB1-Normal14"/>
              <w:spacing w:after="0"/>
              <w:rPr>
                <w:rFonts w:eastAsia="Times New Roman" w:cs="Times New Roman"/>
                <w:noProof/>
              </w:rPr>
            </w:pPr>
            <w:r>
              <w:rPr>
                <w:noProof/>
              </w:rPr>
              <w:t>Entrada en funcionamiento de 3 plataformas en línea (permiso de urbanismo, información urbanística y permiso medioambiental)</w:t>
            </w:r>
          </w:p>
        </w:tc>
      </w:tr>
      <w:tr w:rsidR="00F208CE" w14:paraId="4A12DA99" w14:textId="77777777">
        <w:trPr>
          <w:trHeight w:val="315"/>
        </w:trPr>
        <w:tc>
          <w:tcPr>
            <w:tcW w:w="400" w:type="pct"/>
            <w:shd w:val="clear" w:color="000000" w:fill="C6EFCE"/>
            <w:noWrap/>
            <w:vAlign w:val="center"/>
            <w:hideMark/>
          </w:tcPr>
          <w:p w14:paraId="64EE0B5D" w14:textId="77777777" w:rsidR="00F208CE" w:rsidRDefault="00513E84">
            <w:pPr>
              <w:pStyle w:val="P68B1DB1-Normal14"/>
              <w:spacing w:after="0"/>
              <w:jc w:val="center"/>
              <w:rPr>
                <w:rFonts w:eastAsia="Times New Roman" w:cs="Times New Roman"/>
                <w:noProof/>
              </w:rPr>
            </w:pPr>
            <w:r>
              <w:rPr>
                <w:noProof/>
              </w:rPr>
              <w:t>84</w:t>
            </w:r>
          </w:p>
        </w:tc>
        <w:tc>
          <w:tcPr>
            <w:tcW w:w="1959" w:type="pct"/>
            <w:shd w:val="clear" w:color="000000" w:fill="C6EFCE"/>
            <w:noWrap/>
            <w:vAlign w:val="center"/>
            <w:hideMark/>
          </w:tcPr>
          <w:p w14:paraId="1B36CFF8" w14:textId="77777777" w:rsidR="00F208CE" w:rsidRDefault="00513E84">
            <w:pPr>
              <w:pStyle w:val="P68B1DB1-Normal14"/>
              <w:spacing w:after="0"/>
              <w:rPr>
                <w:rFonts w:eastAsia="Times New Roman" w:cs="Times New Roman"/>
                <w:noProof/>
              </w:rPr>
            </w:pPr>
            <w:r>
              <w:rPr>
                <w:noProof/>
              </w:rPr>
              <w:t>Mejora de la conectividad de 35 parques empresariales en Valonia (I-2.15)</w:t>
            </w:r>
          </w:p>
        </w:tc>
        <w:tc>
          <w:tcPr>
            <w:tcW w:w="347" w:type="pct"/>
            <w:shd w:val="clear" w:color="000000" w:fill="C6EFCE"/>
            <w:noWrap/>
            <w:vAlign w:val="center"/>
            <w:hideMark/>
          </w:tcPr>
          <w:p w14:paraId="20D52720"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2C4ABBC9" w14:textId="77777777" w:rsidR="00F208CE" w:rsidRDefault="00513E84">
            <w:pPr>
              <w:pStyle w:val="P68B1DB1-Normal14"/>
              <w:spacing w:after="0"/>
              <w:rPr>
                <w:rFonts w:eastAsia="Times New Roman" w:cs="Times New Roman"/>
                <w:noProof/>
              </w:rPr>
            </w:pPr>
            <w:r>
              <w:rPr>
                <w:noProof/>
              </w:rPr>
              <w:t>Conectividad de fibra para 35 parques empresariales</w:t>
            </w:r>
          </w:p>
        </w:tc>
      </w:tr>
      <w:tr w:rsidR="00F208CE" w14:paraId="37F8C91C" w14:textId="77777777">
        <w:trPr>
          <w:trHeight w:val="315"/>
        </w:trPr>
        <w:tc>
          <w:tcPr>
            <w:tcW w:w="400" w:type="pct"/>
            <w:shd w:val="clear" w:color="000000" w:fill="C6EFCE"/>
            <w:noWrap/>
            <w:vAlign w:val="center"/>
            <w:hideMark/>
          </w:tcPr>
          <w:p w14:paraId="5058EB7C" w14:textId="77777777" w:rsidR="00F208CE" w:rsidRDefault="00513E84">
            <w:pPr>
              <w:pStyle w:val="P68B1DB1-Normal14"/>
              <w:spacing w:after="0"/>
              <w:jc w:val="center"/>
              <w:rPr>
                <w:rFonts w:eastAsia="Times New Roman" w:cs="Times New Roman"/>
                <w:noProof/>
              </w:rPr>
            </w:pPr>
            <w:r>
              <w:rPr>
                <w:noProof/>
              </w:rPr>
              <w:t>100</w:t>
            </w:r>
          </w:p>
        </w:tc>
        <w:tc>
          <w:tcPr>
            <w:tcW w:w="1959" w:type="pct"/>
            <w:shd w:val="clear" w:color="000000" w:fill="C6EFCE"/>
            <w:noWrap/>
            <w:vAlign w:val="center"/>
            <w:hideMark/>
          </w:tcPr>
          <w:p w14:paraId="7E4ECDF5" w14:textId="77777777" w:rsidR="00F208CE" w:rsidRDefault="00513E84">
            <w:pPr>
              <w:pStyle w:val="P68B1DB1-Normal14"/>
              <w:spacing w:after="0"/>
              <w:rPr>
                <w:rFonts w:eastAsia="Times New Roman" w:cs="Times New Roman"/>
                <w:noProof/>
              </w:rPr>
            </w:pPr>
            <w:r>
              <w:rPr>
                <w:noProof/>
              </w:rPr>
              <w:t>Mejora del transporte público en Valonia (I-3b)</w:t>
            </w:r>
          </w:p>
        </w:tc>
        <w:tc>
          <w:tcPr>
            <w:tcW w:w="347" w:type="pct"/>
            <w:shd w:val="clear" w:color="000000" w:fill="C6EFCE"/>
            <w:noWrap/>
            <w:vAlign w:val="center"/>
            <w:hideMark/>
          </w:tcPr>
          <w:p w14:paraId="30402F02"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29583512" w14:textId="16BBAB9F" w:rsidR="00F208CE" w:rsidRDefault="00513E84">
            <w:pPr>
              <w:pStyle w:val="P68B1DB1-Normal14"/>
              <w:spacing w:after="0"/>
              <w:rPr>
                <w:rFonts w:eastAsia="Times New Roman" w:cs="Times New Roman"/>
                <w:noProof/>
              </w:rPr>
            </w:pPr>
            <w:r>
              <w:rPr>
                <w:noProof/>
              </w:rPr>
              <w:t>Puesta en marcha de los semáforos inteligentes</w:t>
            </w:r>
          </w:p>
        </w:tc>
      </w:tr>
      <w:tr w:rsidR="00F208CE" w14:paraId="7FAE6E22" w14:textId="77777777">
        <w:trPr>
          <w:trHeight w:val="315"/>
        </w:trPr>
        <w:tc>
          <w:tcPr>
            <w:tcW w:w="400" w:type="pct"/>
            <w:shd w:val="clear" w:color="000000" w:fill="C6EFCE"/>
            <w:noWrap/>
            <w:vAlign w:val="center"/>
            <w:hideMark/>
          </w:tcPr>
          <w:p w14:paraId="5E47FB48" w14:textId="77777777" w:rsidR="00F208CE" w:rsidRDefault="00513E84">
            <w:pPr>
              <w:pStyle w:val="P68B1DB1-Normal14"/>
              <w:spacing w:after="0"/>
              <w:jc w:val="center"/>
              <w:rPr>
                <w:rFonts w:eastAsia="Times New Roman" w:cs="Times New Roman"/>
                <w:noProof/>
              </w:rPr>
            </w:pPr>
            <w:r>
              <w:rPr>
                <w:noProof/>
              </w:rPr>
              <w:t>106</w:t>
            </w:r>
          </w:p>
        </w:tc>
        <w:tc>
          <w:tcPr>
            <w:tcW w:w="1959" w:type="pct"/>
            <w:shd w:val="clear" w:color="000000" w:fill="C6EFCE"/>
            <w:noWrap/>
            <w:vAlign w:val="center"/>
            <w:hideMark/>
          </w:tcPr>
          <w:p w14:paraId="0A7FD745" w14:textId="77777777" w:rsidR="00F208CE" w:rsidRDefault="00513E84">
            <w:pPr>
              <w:pStyle w:val="P68B1DB1-Normal14"/>
              <w:spacing w:after="0"/>
              <w:rPr>
                <w:rFonts w:eastAsia="Times New Roman" w:cs="Times New Roman"/>
                <w:noProof/>
              </w:rPr>
            </w:pPr>
            <w:r>
              <w:rPr>
                <w:noProof/>
              </w:rPr>
              <w:t>Canal Albert y Trilogiport (I-3.11)</w:t>
            </w:r>
          </w:p>
        </w:tc>
        <w:tc>
          <w:tcPr>
            <w:tcW w:w="347" w:type="pct"/>
            <w:shd w:val="clear" w:color="000000" w:fill="C6EFCE"/>
            <w:noWrap/>
            <w:vAlign w:val="center"/>
            <w:hideMark/>
          </w:tcPr>
          <w:p w14:paraId="65722AEF"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67E60DDB" w14:textId="77777777" w:rsidR="00F208CE" w:rsidRDefault="00513E84">
            <w:pPr>
              <w:pStyle w:val="P68B1DB1-Normal14"/>
              <w:spacing w:after="0"/>
              <w:rPr>
                <w:rFonts w:eastAsia="Times New Roman" w:cs="Times New Roman"/>
                <w:noProof/>
              </w:rPr>
            </w:pPr>
            <w:r>
              <w:rPr>
                <w:noProof/>
              </w:rPr>
              <w:t>Adjudicación de contratos para las obras de los puentes sobre Canal Albert/y una nueva plataforma en Trilogipo</w:t>
            </w:r>
            <w:r>
              <w:rPr>
                <w:noProof/>
              </w:rPr>
              <w:t>rt</w:t>
            </w:r>
          </w:p>
        </w:tc>
      </w:tr>
      <w:tr w:rsidR="00F208CE" w14:paraId="0ACBC946" w14:textId="77777777">
        <w:trPr>
          <w:trHeight w:val="315"/>
        </w:trPr>
        <w:tc>
          <w:tcPr>
            <w:tcW w:w="400" w:type="pct"/>
            <w:shd w:val="clear" w:color="000000" w:fill="C6EFCE"/>
            <w:noWrap/>
            <w:vAlign w:val="center"/>
            <w:hideMark/>
          </w:tcPr>
          <w:p w14:paraId="61C41DEA" w14:textId="77777777" w:rsidR="00F208CE" w:rsidRDefault="00513E84">
            <w:pPr>
              <w:pStyle w:val="P68B1DB1-Normal14"/>
              <w:spacing w:after="0"/>
              <w:jc w:val="center"/>
              <w:rPr>
                <w:rFonts w:eastAsia="Times New Roman" w:cs="Times New Roman"/>
                <w:noProof/>
              </w:rPr>
            </w:pPr>
            <w:r>
              <w:rPr>
                <w:noProof/>
              </w:rPr>
              <w:t>108</w:t>
            </w:r>
          </w:p>
        </w:tc>
        <w:tc>
          <w:tcPr>
            <w:tcW w:w="1959" w:type="pct"/>
            <w:shd w:val="clear" w:color="000000" w:fill="C6EFCE"/>
            <w:noWrap/>
            <w:vAlign w:val="center"/>
            <w:hideMark/>
          </w:tcPr>
          <w:p w14:paraId="3BBC74BF" w14:textId="77777777" w:rsidR="00F208CE" w:rsidRDefault="00513E84">
            <w:pPr>
              <w:pStyle w:val="P68B1DB1-Normal14"/>
              <w:spacing w:after="0"/>
              <w:rPr>
                <w:rFonts w:eastAsia="Times New Roman" w:cs="Times New Roman"/>
                <w:noProof/>
              </w:rPr>
            </w:pPr>
            <w:r>
              <w:rPr>
                <w:noProof/>
              </w:rPr>
              <w:t xml:space="preserve">Desbloqueo de los datos abiertos para la aplicación de movilidad inteligente (I-3D) </w:t>
            </w:r>
          </w:p>
        </w:tc>
        <w:tc>
          <w:tcPr>
            <w:tcW w:w="347" w:type="pct"/>
            <w:shd w:val="clear" w:color="000000" w:fill="C6EFCE"/>
            <w:noWrap/>
            <w:vAlign w:val="center"/>
            <w:hideMark/>
          </w:tcPr>
          <w:p w14:paraId="47D79BF4"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3586ADF1" w14:textId="77777777" w:rsidR="00F208CE" w:rsidRDefault="00513E84">
            <w:pPr>
              <w:pStyle w:val="P68B1DB1-Normal14"/>
              <w:spacing w:after="0"/>
              <w:rPr>
                <w:rFonts w:eastAsia="Times New Roman" w:cs="Times New Roman"/>
                <w:noProof/>
              </w:rPr>
            </w:pPr>
            <w:r>
              <w:rPr>
                <w:noProof/>
              </w:rPr>
              <w:t xml:space="preserve">Desbloqueo de los datos abiertos para la aplicación de movilidad inteligente </w:t>
            </w:r>
          </w:p>
        </w:tc>
      </w:tr>
      <w:tr w:rsidR="00F208CE" w14:paraId="331A7D79" w14:textId="77777777">
        <w:trPr>
          <w:trHeight w:val="315"/>
        </w:trPr>
        <w:tc>
          <w:tcPr>
            <w:tcW w:w="400" w:type="pct"/>
            <w:shd w:val="clear" w:color="000000" w:fill="C6EFCE"/>
            <w:noWrap/>
            <w:vAlign w:val="center"/>
            <w:hideMark/>
          </w:tcPr>
          <w:p w14:paraId="46F54A49" w14:textId="77777777" w:rsidR="00F208CE" w:rsidRDefault="00513E84">
            <w:pPr>
              <w:pStyle w:val="P68B1DB1-Normal14"/>
              <w:spacing w:after="0"/>
              <w:jc w:val="center"/>
              <w:rPr>
                <w:rFonts w:eastAsia="Times New Roman" w:cs="Times New Roman"/>
                <w:noProof/>
              </w:rPr>
            </w:pPr>
            <w:r>
              <w:rPr>
                <w:noProof/>
              </w:rPr>
              <w:t>115</w:t>
            </w:r>
          </w:p>
        </w:tc>
        <w:tc>
          <w:tcPr>
            <w:tcW w:w="1959" w:type="pct"/>
            <w:shd w:val="clear" w:color="000000" w:fill="C6EFCE"/>
            <w:noWrap/>
            <w:vAlign w:val="center"/>
            <w:hideMark/>
          </w:tcPr>
          <w:p w14:paraId="4B2FB3C7" w14:textId="77777777" w:rsidR="00F208CE" w:rsidRDefault="00513E84">
            <w:pPr>
              <w:pStyle w:val="P68B1DB1-Normal14"/>
              <w:spacing w:after="0"/>
              <w:rPr>
                <w:rFonts w:eastAsia="Times New Roman" w:cs="Times New Roman"/>
                <w:noProof/>
              </w:rPr>
            </w:pPr>
            <w:r>
              <w:rPr>
                <w:noProof/>
              </w:rPr>
              <w:t>Ecologización de la flota de autobuses (I-3G)</w:t>
            </w:r>
          </w:p>
        </w:tc>
        <w:tc>
          <w:tcPr>
            <w:tcW w:w="347" w:type="pct"/>
            <w:shd w:val="clear" w:color="000000" w:fill="C6EFCE"/>
            <w:noWrap/>
            <w:vAlign w:val="center"/>
            <w:hideMark/>
          </w:tcPr>
          <w:p w14:paraId="0010AA4B"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1A61C049" w14:textId="38B3A1BE" w:rsidR="00F208CE" w:rsidRDefault="00513E84">
            <w:pPr>
              <w:pStyle w:val="P68B1DB1-Normal14"/>
              <w:spacing w:after="0"/>
              <w:rPr>
                <w:rFonts w:eastAsia="Times New Roman" w:cs="Times New Roman"/>
                <w:noProof/>
              </w:rPr>
            </w:pPr>
            <w:r>
              <w:rPr>
                <w:noProof/>
              </w:rPr>
              <w:t xml:space="preserve">Autobuses verdes puestos en </w:t>
            </w:r>
            <w:r>
              <w:rPr>
                <w:noProof/>
              </w:rPr>
              <w:t>servicio y depósitos técnicamente adaptados en Flandes, Bruselas y Valonia</w:t>
            </w:r>
          </w:p>
        </w:tc>
      </w:tr>
      <w:tr w:rsidR="00F208CE" w14:paraId="438DC717" w14:textId="77777777">
        <w:trPr>
          <w:trHeight w:val="315"/>
        </w:trPr>
        <w:tc>
          <w:tcPr>
            <w:tcW w:w="400" w:type="pct"/>
            <w:shd w:val="clear" w:color="000000" w:fill="C6EFCE"/>
            <w:noWrap/>
            <w:vAlign w:val="center"/>
            <w:hideMark/>
          </w:tcPr>
          <w:p w14:paraId="1A4C60FF" w14:textId="77777777" w:rsidR="00F208CE" w:rsidRDefault="00513E84">
            <w:pPr>
              <w:pStyle w:val="P68B1DB1-Normal14"/>
              <w:spacing w:after="0"/>
              <w:jc w:val="center"/>
              <w:rPr>
                <w:rFonts w:eastAsia="Times New Roman" w:cs="Times New Roman"/>
                <w:noProof/>
              </w:rPr>
            </w:pPr>
            <w:r>
              <w:rPr>
                <w:noProof/>
              </w:rPr>
              <w:t>122</w:t>
            </w:r>
          </w:p>
        </w:tc>
        <w:tc>
          <w:tcPr>
            <w:tcW w:w="1959" w:type="pct"/>
            <w:shd w:val="clear" w:color="000000" w:fill="C6EFCE"/>
            <w:noWrap/>
            <w:vAlign w:val="center"/>
            <w:hideMark/>
          </w:tcPr>
          <w:p w14:paraId="7F31D652" w14:textId="77777777" w:rsidR="00F208CE" w:rsidRDefault="00513E84">
            <w:pPr>
              <w:pStyle w:val="P68B1DB1-Normal14"/>
              <w:spacing w:after="0"/>
              <w:rPr>
                <w:rFonts w:eastAsia="Times New Roman" w:cs="Times New Roman"/>
                <w:noProof/>
              </w:rPr>
            </w:pPr>
            <w:r>
              <w:rPr>
                <w:noProof/>
              </w:rPr>
              <w:t>Estaciones de recarga (I-3F)</w:t>
            </w:r>
          </w:p>
        </w:tc>
        <w:tc>
          <w:tcPr>
            <w:tcW w:w="347" w:type="pct"/>
            <w:shd w:val="clear" w:color="000000" w:fill="C6EFCE"/>
            <w:noWrap/>
            <w:vAlign w:val="center"/>
            <w:hideMark/>
          </w:tcPr>
          <w:p w14:paraId="35F81721"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099C12E6" w14:textId="77777777" w:rsidR="00F208CE" w:rsidRDefault="00513E84">
            <w:pPr>
              <w:pStyle w:val="P68B1DB1-Normal14"/>
              <w:spacing w:after="0"/>
              <w:rPr>
                <w:rFonts w:eastAsia="Times New Roman" w:cs="Times New Roman"/>
                <w:noProof/>
              </w:rPr>
            </w:pPr>
            <w:r>
              <w:rPr>
                <w:noProof/>
              </w:rPr>
              <w:t>Puntos de recarga operativos adicionales privados, semipúblicos y públicos (etapa 2)</w:t>
            </w:r>
          </w:p>
        </w:tc>
      </w:tr>
      <w:tr w:rsidR="00F208CE" w14:paraId="343369DD" w14:textId="77777777">
        <w:trPr>
          <w:trHeight w:val="315"/>
        </w:trPr>
        <w:tc>
          <w:tcPr>
            <w:tcW w:w="400" w:type="pct"/>
            <w:shd w:val="clear" w:color="000000" w:fill="C6EFCE"/>
            <w:noWrap/>
            <w:vAlign w:val="center"/>
            <w:hideMark/>
          </w:tcPr>
          <w:p w14:paraId="311B8669" w14:textId="77777777" w:rsidR="00F208CE" w:rsidRDefault="00513E84">
            <w:pPr>
              <w:pStyle w:val="P68B1DB1-Normal14"/>
              <w:spacing w:after="0"/>
              <w:jc w:val="center"/>
              <w:rPr>
                <w:rFonts w:eastAsia="Times New Roman" w:cs="Times New Roman"/>
                <w:noProof/>
              </w:rPr>
            </w:pPr>
            <w:r>
              <w:rPr>
                <w:noProof/>
              </w:rPr>
              <w:t>145</w:t>
            </w:r>
          </w:p>
        </w:tc>
        <w:tc>
          <w:tcPr>
            <w:tcW w:w="1959" w:type="pct"/>
            <w:shd w:val="clear" w:color="000000" w:fill="C6EFCE"/>
            <w:noWrap/>
            <w:vAlign w:val="center"/>
            <w:hideMark/>
          </w:tcPr>
          <w:p w14:paraId="080047CF" w14:textId="77777777" w:rsidR="00F208CE" w:rsidRDefault="00513E84">
            <w:pPr>
              <w:pStyle w:val="P68B1DB1-Normal14"/>
              <w:spacing w:after="0"/>
              <w:rPr>
                <w:rFonts w:eastAsia="Times New Roman" w:cs="Times New Roman"/>
                <w:noProof/>
              </w:rPr>
            </w:pPr>
            <w:r>
              <w:rPr>
                <w:noProof/>
              </w:rPr>
              <w:t>Estrategia de recalificación (I-4.07)</w:t>
            </w:r>
          </w:p>
        </w:tc>
        <w:tc>
          <w:tcPr>
            <w:tcW w:w="347" w:type="pct"/>
            <w:shd w:val="clear" w:color="000000" w:fill="C6EFCE"/>
            <w:noWrap/>
            <w:vAlign w:val="center"/>
            <w:hideMark/>
          </w:tcPr>
          <w:p w14:paraId="0DCF85A0"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6D461228" w14:textId="77777777" w:rsidR="00F208CE" w:rsidRDefault="00513E84">
            <w:pPr>
              <w:pStyle w:val="P68B1DB1-Normal14"/>
              <w:spacing w:after="0"/>
              <w:rPr>
                <w:rFonts w:eastAsia="Times New Roman" w:cs="Times New Roman"/>
                <w:noProof/>
              </w:rPr>
            </w:pPr>
            <w:r>
              <w:rPr>
                <w:noProof/>
              </w:rPr>
              <w:t xml:space="preserve">Itinerario de </w:t>
            </w:r>
            <w:r>
              <w:rPr>
                <w:noProof/>
              </w:rPr>
              <w:t>integración sostenible para las personas con discapacidad</w:t>
            </w:r>
          </w:p>
        </w:tc>
      </w:tr>
      <w:tr w:rsidR="00F208CE" w14:paraId="3750C4F8" w14:textId="77777777">
        <w:trPr>
          <w:trHeight w:val="315"/>
        </w:trPr>
        <w:tc>
          <w:tcPr>
            <w:tcW w:w="400" w:type="pct"/>
            <w:shd w:val="clear" w:color="000000" w:fill="C6EFCE"/>
            <w:noWrap/>
            <w:vAlign w:val="center"/>
            <w:hideMark/>
          </w:tcPr>
          <w:p w14:paraId="33711B54" w14:textId="77777777" w:rsidR="00F208CE" w:rsidRDefault="00513E84">
            <w:pPr>
              <w:pStyle w:val="P68B1DB1-Normal14"/>
              <w:spacing w:after="0"/>
              <w:jc w:val="center"/>
              <w:rPr>
                <w:rFonts w:eastAsia="Times New Roman" w:cs="Times New Roman"/>
                <w:noProof/>
              </w:rPr>
            </w:pPr>
            <w:r>
              <w:rPr>
                <w:noProof/>
              </w:rPr>
              <w:t>152</w:t>
            </w:r>
          </w:p>
        </w:tc>
        <w:tc>
          <w:tcPr>
            <w:tcW w:w="1959" w:type="pct"/>
            <w:shd w:val="clear" w:color="000000" w:fill="C6EFCE"/>
            <w:noWrap/>
            <w:vAlign w:val="center"/>
            <w:hideMark/>
          </w:tcPr>
          <w:p w14:paraId="15322967" w14:textId="77777777" w:rsidR="00F208CE" w:rsidRDefault="00513E84">
            <w:pPr>
              <w:pStyle w:val="P68B1DB1-Normal14"/>
              <w:spacing w:after="0"/>
              <w:rPr>
                <w:rFonts w:eastAsia="Times New Roman" w:cs="Times New Roman"/>
                <w:noProof/>
              </w:rPr>
            </w:pPr>
            <w:r>
              <w:rPr>
                <w:noProof/>
              </w:rPr>
              <w:t>Desarrollo de viviendas de utilidad pública y vivienda para personas vulnerables (I-4.12)</w:t>
            </w:r>
          </w:p>
        </w:tc>
        <w:tc>
          <w:tcPr>
            <w:tcW w:w="347" w:type="pct"/>
            <w:shd w:val="clear" w:color="000000" w:fill="C6EFCE"/>
            <w:noWrap/>
            <w:vAlign w:val="center"/>
            <w:hideMark/>
          </w:tcPr>
          <w:p w14:paraId="406B1DA0"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685C485B" w14:textId="77777777" w:rsidR="00F208CE" w:rsidRDefault="00513E84">
            <w:pPr>
              <w:pStyle w:val="P68B1DB1-Normal14"/>
              <w:spacing w:after="0"/>
              <w:rPr>
                <w:rFonts w:eastAsia="Times New Roman" w:cs="Times New Roman"/>
                <w:noProof/>
              </w:rPr>
            </w:pPr>
            <w:r>
              <w:rPr>
                <w:noProof/>
              </w:rPr>
              <w:t>Instalación de asistencia a distancia para personas con pérdida de autonomía</w:t>
            </w:r>
          </w:p>
        </w:tc>
      </w:tr>
      <w:tr w:rsidR="00F208CE" w14:paraId="516961E4" w14:textId="77777777">
        <w:trPr>
          <w:trHeight w:val="315"/>
        </w:trPr>
        <w:tc>
          <w:tcPr>
            <w:tcW w:w="400" w:type="pct"/>
            <w:shd w:val="clear" w:color="000000" w:fill="C6EFCE"/>
            <w:noWrap/>
            <w:vAlign w:val="center"/>
            <w:hideMark/>
          </w:tcPr>
          <w:p w14:paraId="30A125E0" w14:textId="77777777" w:rsidR="00F208CE" w:rsidRDefault="00513E84">
            <w:pPr>
              <w:pStyle w:val="P68B1DB1-Normal14"/>
              <w:spacing w:after="0"/>
              <w:jc w:val="center"/>
              <w:rPr>
                <w:rFonts w:eastAsia="Times New Roman" w:cs="Times New Roman"/>
                <w:noProof/>
              </w:rPr>
            </w:pPr>
            <w:r>
              <w:rPr>
                <w:noProof/>
              </w:rPr>
              <w:t>160</w:t>
            </w:r>
          </w:p>
        </w:tc>
        <w:tc>
          <w:tcPr>
            <w:tcW w:w="1959" w:type="pct"/>
            <w:shd w:val="clear" w:color="000000" w:fill="C6EFCE"/>
            <w:noWrap/>
            <w:vAlign w:val="center"/>
            <w:hideMark/>
          </w:tcPr>
          <w:p w14:paraId="3136DCAA" w14:textId="77777777" w:rsidR="00F208CE" w:rsidRDefault="00513E84">
            <w:pPr>
              <w:pStyle w:val="P68B1DB1-Normal14"/>
              <w:spacing w:after="0"/>
              <w:rPr>
                <w:rFonts w:eastAsia="Times New Roman" w:cs="Times New Roman"/>
                <w:noProof/>
              </w:rPr>
            </w:pPr>
            <w:r>
              <w:rPr>
                <w:noProof/>
              </w:rPr>
              <w:t xml:space="preserve">Mejora de la </w:t>
            </w:r>
            <w:r>
              <w:rPr>
                <w:noProof/>
              </w:rPr>
              <w:t>infraestructura de formación avanzada (I-5.03)</w:t>
            </w:r>
          </w:p>
        </w:tc>
        <w:tc>
          <w:tcPr>
            <w:tcW w:w="347" w:type="pct"/>
            <w:shd w:val="clear" w:color="000000" w:fill="C6EFCE"/>
            <w:noWrap/>
            <w:vAlign w:val="center"/>
            <w:hideMark/>
          </w:tcPr>
          <w:p w14:paraId="20BC3AE1"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702B8A66" w14:textId="77777777" w:rsidR="00F208CE" w:rsidRDefault="00513E84">
            <w:pPr>
              <w:pStyle w:val="P68B1DB1-Normal14"/>
              <w:spacing w:after="0"/>
              <w:rPr>
                <w:rFonts w:eastAsia="Times New Roman" w:cs="Times New Roman"/>
                <w:noProof/>
              </w:rPr>
            </w:pPr>
            <w:r>
              <w:rPr>
                <w:noProof/>
              </w:rPr>
              <w:t xml:space="preserve">Edificios y equipos para la formación y los servicios de empleo </w:t>
            </w:r>
          </w:p>
        </w:tc>
      </w:tr>
      <w:tr w:rsidR="00F208CE" w14:paraId="02E7BC8B" w14:textId="77777777">
        <w:trPr>
          <w:trHeight w:val="315"/>
        </w:trPr>
        <w:tc>
          <w:tcPr>
            <w:tcW w:w="400" w:type="pct"/>
            <w:shd w:val="clear" w:color="000000" w:fill="C6EFCE"/>
            <w:noWrap/>
            <w:vAlign w:val="center"/>
            <w:hideMark/>
          </w:tcPr>
          <w:p w14:paraId="52DD44F7" w14:textId="77777777" w:rsidR="00F208CE" w:rsidRDefault="00513E84">
            <w:pPr>
              <w:pStyle w:val="P68B1DB1-Normal14"/>
              <w:spacing w:after="0"/>
              <w:jc w:val="center"/>
              <w:rPr>
                <w:rFonts w:eastAsia="Times New Roman" w:cs="Times New Roman"/>
                <w:noProof/>
              </w:rPr>
            </w:pPr>
            <w:r>
              <w:rPr>
                <w:noProof/>
              </w:rPr>
              <w:t>161</w:t>
            </w:r>
          </w:p>
        </w:tc>
        <w:tc>
          <w:tcPr>
            <w:tcW w:w="1959" w:type="pct"/>
            <w:shd w:val="clear" w:color="000000" w:fill="C6EFCE"/>
            <w:noWrap/>
            <w:vAlign w:val="center"/>
            <w:hideMark/>
          </w:tcPr>
          <w:p w14:paraId="0DAB891B" w14:textId="77777777" w:rsidR="00F208CE" w:rsidRDefault="00513E84">
            <w:pPr>
              <w:pStyle w:val="P68B1DB1-Normal14"/>
              <w:spacing w:after="0"/>
              <w:rPr>
                <w:rFonts w:eastAsia="Times New Roman" w:cs="Times New Roman"/>
                <w:noProof/>
              </w:rPr>
            </w:pPr>
            <w:r>
              <w:rPr>
                <w:noProof/>
              </w:rPr>
              <w:t>Escuela de Biotecnología y Centro de Salud de la UE (I-5.02)</w:t>
            </w:r>
          </w:p>
        </w:tc>
        <w:tc>
          <w:tcPr>
            <w:tcW w:w="347" w:type="pct"/>
            <w:shd w:val="clear" w:color="000000" w:fill="C6EFCE"/>
            <w:noWrap/>
            <w:vAlign w:val="center"/>
            <w:hideMark/>
          </w:tcPr>
          <w:p w14:paraId="08B78E54"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04DBE4DE" w14:textId="77777777" w:rsidR="00F208CE" w:rsidRDefault="00513E84">
            <w:pPr>
              <w:pStyle w:val="P68B1DB1-Normal14"/>
              <w:spacing w:after="0"/>
              <w:rPr>
                <w:rFonts w:eastAsia="Times New Roman" w:cs="Times New Roman"/>
                <w:noProof/>
              </w:rPr>
            </w:pPr>
            <w:r>
              <w:rPr>
                <w:noProof/>
              </w:rPr>
              <w:t>Construcción y equipamiento de la Escuela de Biotecnología y del Centro de</w:t>
            </w:r>
            <w:r>
              <w:rPr>
                <w:noProof/>
              </w:rPr>
              <w:t xml:space="preserve"> Salud de la UE</w:t>
            </w:r>
          </w:p>
        </w:tc>
      </w:tr>
      <w:tr w:rsidR="00F208CE" w14:paraId="10F60E87" w14:textId="77777777">
        <w:trPr>
          <w:trHeight w:val="315"/>
        </w:trPr>
        <w:tc>
          <w:tcPr>
            <w:tcW w:w="400" w:type="pct"/>
            <w:shd w:val="clear" w:color="000000" w:fill="C6EFCE"/>
            <w:noWrap/>
            <w:vAlign w:val="center"/>
            <w:hideMark/>
          </w:tcPr>
          <w:p w14:paraId="0F38D433" w14:textId="77777777" w:rsidR="00F208CE" w:rsidRDefault="00513E84">
            <w:pPr>
              <w:pStyle w:val="P68B1DB1-Normal14"/>
              <w:spacing w:after="0"/>
              <w:jc w:val="center"/>
              <w:rPr>
                <w:rFonts w:eastAsia="Times New Roman" w:cs="Times New Roman"/>
                <w:noProof/>
              </w:rPr>
            </w:pPr>
            <w:r>
              <w:rPr>
                <w:noProof/>
              </w:rPr>
              <w:t>190</w:t>
            </w:r>
          </w:p>
        </w:tc>
        <w:tc>
          <w:tcPr>
            <w:tcW w:w="1959" w:type="pct"/>
            <w:shd w:val="clear" w:color="000000" w:fill="C6EFCE"/>
            <w:noWrap/>
            <w:vAlign w:val="center"/>
            <w:hideMark/>
          </w:tcPr>
          <w:p w14:paraId="123168BF" w14:textId="77777777" w:rsidR="00F208CE" w:rsidRDefault="00513E84">
            <w:pPr>
              <w:pStyle w:val="P68B1DB1-Normal14"/>
              <w:spacing w:after="0"/>
              <w:rPr>
                <w:rFonts w:eastAsia="Times New Roman" w:cs="Times New Roman"/>
                <w:noProof/>
              </w:rPr>
            </w:pPr>
            <w:r>
              <w:rPr>
                <w:noProof/>
              </w:rPr>
              <w:t>Reubicación de alimentos y desarrollo de plataformas logísticas (I-5.12)</w:t>
            </w:r>
          </w:p>
        </w:tc>
        <w:tc>
          <w:tcPr>
            <w:tcW w:w="347" w:type="pct"/>
            <w:shd w:val="clear" w:color="000000" w:fill="C6EFCE"/>
            <w:noWrap/>
            <w:vAlign w:val="center"/>
            <w:hideMark/>
          </w:tcPr>
          <w:p w14:paraId="0C8C250E"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7776505E" w14:textId="5E50CB97" w:rsidR="00F208CE" w:rsidRDefault="00513E84">
            <w:pPr>
              <w:pStyle w:val="P68B1DB1-Normal14"/>
              <w:spacing w:after="0"/>
              <w:rPr>
                <w:rFonts w:eastAsia="Times New Roman" w:cs="Times New Roman"/>
                <w:noProof/>
              </w:rPr>
            </w:pPr>
            <w:r>
              <w:rPr>
                <w:noProof/>
              </w:rPr>
              <w:t>Finalización de la construcción de dos centros logísticos</w:t>
            </w:r>
          </w:p>
        </w:tc>
      </w:tr>
      <w:tr w:rsidR="00F208CE" w14:paraId="582D4972" w14:textId="77777777">
        <w:trPr>
          <w:trHeight w:val="315"/>
        </w:trPr>
        <w:tc>
          <w:tcPr>
            <w:tcW w:w="400" w:type="pct"/>
            <w:shd w:val="clear" w:color="000000" w:fill="C6EFCE"/>
            <w:noWrap/>
            <w:vAlign w:val="center"/>
            <w:hideMark/>
          </w:tcPr>
          <w:p w14:paraId="4A980591" w14:textId="77777777" w:rsidR="00F208CE" w:rsidRDefault="00513E84">
            <w:pPr>
              <w:pStyle w:val="P68B1DB1-Normal14"/>
              <w:spacing w:after="0"/>
              <w:jc w:val="center"/>
              <w:rPr>
                <w:rFonts w:eastAsia="Times New Roman" w:cs="Times New Roman"/>
                <w:noProof/>
              </w:rPr>
            </w:pPr>
            <w:r>
              <w:rPr>
                <w:noProof/>
              </w:rPr>
              <w:t>192</w:t>
            </w:r>
          </w:p>
        </w:tc>
        <w:tc>
          <w:tcPr>
            <w:tcW w:w="1959" w:type="pct"/>
            <w:shd w:val="clear" w:color="000000" w:fill="C6EFCE"/>
            <w:noWrap/>
            <w:vAlign w:val="center"/>
            <w:hideMark/>
          </w:tcPr>
          <w:p w14:paraId="451A722D" w14:textId="77777777" w:rsidR="00F208CE" w:rsidRDefault="00513E84">
            <w:pPr>
              <w:pStyle w:val="P68B1DB1-Normal14"/>
              <w:spacing w:after="0"/>
              <w:rPr>
                <w:rFonts w:eastAsia="Times New Roman" w:cs="Times New Roman"/>
                <w:noProof/>
              </w:rPr>
            </w:pPr>
            <w:r>
              <w:rPr>
                <w:noProof/>
              </w:rPr>
              <w:t>Digitalización del sector turístico valón (I-5.13)</w:t>
            </w:r>
          </w:p>
        </w:tc>
        <w:tc>
          <w:tcPr>
            <w:tcW w:w="347" w:type="pct"/>
            <w:shd w:val="clear" w:color="000000" w:fill="C6EFCE"/>
            <w:noWrap/>
            <w:vAlign w:val="center"/>
            <w:hideMark/>
          </w:tcPr>
          <w:p w14:paraId="229B14C5"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32789D0A" w14:textId="77777777" w:rsidR="00F208CE" w:rsidRDefault="00513E84">
            <w:pPr>
              <w:pStyle w:val="P68B1DB1-Normal14"/>
              <w:spacing w:after="0"/>
              <w:rPr>
                <w:rFonts w:eastAsia="Times New Roman" w:cs="Times New Roman"/>
                <w:noProof/>
              </w:rPr>
            </w:pPr>
            <w:r>
              <w:rPr>
                <w:noProof/>
              </w:rPr>
              <w:t xml:space="preserve">Número de usuarios activos de la «outil </w:t>
            </w:r>
            <w:r>
              <w:rPr>
                <w:noProof/>
              </w:rPr>
              <w:t>regional de comercialización»</w:t>
            </w:r>
          </w:p>
        </w:tc>
      </w:tr>
      <w:tr w:rsidR="00F208CE" w14:paraId="0583B047" w14:textId="77777777">
        <w:trPr>
          <w:trHeight w:val="315"/>
        </w:trPr>
        <w:tc>
          <w:tcPr>
            <w:tcW w:w="400" w:type="pct"/>
            <w:shd w:val="clear" w:color="000000" w:fill="C6EFCE"/>
            <w:noWrap/>
            <w:vAlign w:val="center"/>
            <w:hideMark/>
          </w:tcPr>
          <w:p w14:paraId="5C6778D3" w14:textId="77777777" w:rsidR="00F208CE" w:rsidRDefault="00513E84">
            <w:pPr>
              <w:pStyle w:val="P68B1DB1-Normal14"/>
              <w:spacing w:after="0"/>
              <w:jc w:val="center"/>
              <w:rPr>
                <w:rFonts w:eastAsia="Times New Roman" w:cs="Times New Roman"/>
                <w:noProof/>
              </w:rPr>
            </w:pPr>
            <w:r>
              <w:rPr>
                <w:noProof/>
              </w:rPr>
              <w:t>216</w:t>
            </w:r>
          </w:p>
        </w:tc>
        <w:tc>
          <w:tcPr>
            <w:tcW w:w="1959" w:type="pct"/>
            <w:shd w:val="clear" w:color="000000" w:fill="C6EFCE"/>
            <w:noWrap/>
            <w:vAlign w:val="center"/>
            <w:hideMark/>
          </w:tcPr>
          <w:p w14:paraId="08930B66" w14:textId="7237E23A" w:rsidR="00F208CE" w:rsidRDefault="00513E84">
            <w:pPr>
              <w:pStyle w:val="P68B1DB1-Normal14"/>
              <w:spacing w:after="0"/>
              <w:rPr>
                <w:rFonts w:eastAsia="Times New Roman" w:cs="Times New Roman"/>
                <w:noProof/>
              </w:rPr>
            </w:pPr>
            <w:r>
              <w:rPr>
                <w:noProof/>
              </w:rPr>
              <w:t>Medidas energéticas y climáticas en los edificios públicos — Estado federal (I-7.05)</w:t>
            </w:r>
          </w:p>
        </w:tc>
        <w:tc>
          <w:tcPr>
            <w:tcW w:w="347" w:type="pct"/>
            <w:shd w:val="clear" w:color="000000" w:fill="C6EFCE"/>
            <w:noWrap/>
            <w:vAlign w:val="center"/>
            <w:hideMark/>
          </w:tcPr>
          <w:p w14:paraId="0C290C3E" w14:textId="77777777" w:rsidR="00F208CE" w:rsidRDefault="00513E84">
            <w:pPr>
              <w:pStyle w:val="P68B1DB1-Normal40"/>
              <w:spacing w:after="0"/>
              <w:jc w:val="center"/>
              <w:rPr>
                <w:rFonts w:eastAsia="Times New Roman" w:cs="Times New Roman"/>
                <w:noProof/>
              </w:rPr>
            </w:pPr>
            <w:r>
              <w:rPr>
                <w:noProof/>
              </w:rPr>
              <w:t>T</w:t>
            </w:r>
          </w:p>
        </w:tc>
        <w:tc>
          <w:tcPr>
            <w:tcW w:w="2294" w:type="pct"/>
            <w:shd w:val="clear" w:color="000000" w:fill="C6EFCE"/>
            <w:noWrap/>
            <w:vAlign w:val="center"/>
            <w:hideMark/>
          </w:tcPr>
          <w:p w14:paraId="1DC7653E" w14:textId="77777777" w:rsidR="00F208CE" w:rsidRDefault="00513E84">
            <w:pPr>
              <w:pStyle w:val="P68B1DB1-Normal14"/>
              <w:spacing w:after="0"/>
              <w:rPr>
                <w:rFonts w:eastAsia="Times New Roman" w:cs="Times New Roman"/>
                <w:noProof/>
              </w:rPr>
            </w:pPr>
            <w:r>
              <w:rPr>
                <w:noProof/>
              </w:rPr>
              <w:t>Medidas energéticas finalizadas</w:t>
            </w:r>
          </w:p>
        </w:tc>
      </w:tr>
      <w:tr w:rsidR="00F208CE" w14:paraId="6D936969" w14:textId="77777777">
        <w:trPr>
          <w:trHeight w:val="315"/>
        </w:trPr>
        <w:tc>
          <w:tcPr>
            <w:tcW w:w="400" w:type="pct"/>
            <w:shd w:val="clear" w:color="000000" w:fill="C6EFCE"/>
            <w:noWrap/>
            <w:vAlign w:val="center"/>
            <w:hideMark/>
          </w:tcPr>
          <w:p w14:paraId="280E427A" w14:textId="77777777" w:rsidR="00F208CE" w:rsidRDefault="00513E84">
            <w:pPr>
              <w:pStyle w:val="P68B1DB1-Normal14"/>
              <w:spacing w:after="0"/>
              <w:jc w:val="center"/>
              <w:rPr>
                <w:rFonts w:eastAsia="Times New Roman" w:cs="Times New Roman"/>
                <w:noProof/>
              </w:rPr>
            </w:pPr>
            <w:r>
              <w:rPr>
                <w:noProof/>
              </w:rPr>
              <w:t>217</w:t>
            </w:r>
          </w:p>
        </w:tc>
        <w:tc>
          <w:tcPr>
            <w:tcW w:w="1959" w:type="pct"/>
            <w:shd w:val="clear" w:color="000000" w:fill="C6EFCE"/>
            <w:noWrap/>
            <w:vAlign w:val="center"/>
            <w:hideMark/>
          </w:tcPr>
          <w:p w14:paraId="4618FC04" w14:textId="59AD1604" w:rsidR="00F208CE" w:rsidRDefault="00513E84">
            <w:pPr>
              <w:pStyle w:val="P68B1DB1-Normal14"/>
              <w:spacing w:after="0"/>
              <w:rPr>
                <w:rFonts w:eastAsia="Times New Roman" w:cs="Times New Roman"/>
                <w:noProof/>
              </w:rPr>
            </w:pPr>
            <w:r>
              <w:rPr>
                <w:noProof/>
              </w:rPr>
              <w:t>Medidas energéticas en los edificios AWV (I-7.10)</w:t>
            </w:r>
          </w:p>
        </w:tc>
        <w:tc>
          <w:tcPr>
            <w:tcW w:w="347" w:type="pct"/>
            <w:shd w:val="clear" w:color="000000" w:fill="C6EFCE"/>
            <w:noWrap/>
            <w:vAlign w:val="center"/>
            <w:hideMark/>
          </w:tcPr>
          <w:p w14:paraId="4788FA0C" w14:textId="77777777" w:rsidR="00F208CE" w:rsidRDefault="00513E84">
            <w:pPr>
              <w:pStyle w:val="P68B1DB1-Normal14"/>
              <w:spacing w:after="0"/>
              <w:jc w:val="center"/>
              <w:rPr>
                <w:rFonts w:eastAsia="Times New Roman" w:cs="Times New Roman"/>
                <w:noProof/>
              </w:rPr>
            </w:pPr>
            <w:r>
              <w:rPr>
                <w:noProof/>
              </w:rPr>
              <w:t>T</w:t>
            </w:r>
          </w:p>
        </w:tc>
        <w:tc>
          <w:tcPr>
            <w:tcW w:w="2294" w:type="pct"/>
            <w:shd w:val="clear" w:color="000000" w:fill="C6EFCE"/>
            <w:noWrap/>
            <w:vAlign w:val="center"/>
            <w:hideMark/>
          </w:tcPr>
          <w:p w14:paraId="6CED7AF8" w14:textId="77777777" w:rsidR="00F208CE" w:rsidRDefault="00513E84">
            <w:pPr>
              <w:pStyle w:val="P68B1DB1-Normal14"/>
              <w:spacing w:after="0"/>
              <w:rPr>
                <w:rFonts w:eastAsia="Times New Roman" w:cs="Times New Roman"/>
                <w:noProof/>
              </w:rPr>
            </w:pPr>
            <w:r>
              <w:rPr>
                <w:noProof/>
              </w:rPr>
              <w:t>Proyectos de medidas energéticas finalizados</w:t>
            </w:r>
          </w:p>
        </w:tc>
      </w:tr>
      <w:tr w:rsidR="00F208CE" w14:paraId="2B1EE241" w14:textId="77777777">
        <w:trPr>
          <w:trHeight w:val="315"/>
        </w:trPr>
        <w:tc>
          <w:tcPr>
            <w:tcW w:w="400" w:type="pct"/>
            <w:shd w:val="clear" w:color="000000" w:fill="C6EFCE"/>
            <w:noWrap/>
            <w:vAlign w:val="center"/>
            <w:hideMark/>
          </w:tcPr>
          <w:p w14:paraId="4B3FE1F2" w14:textId="77777777" w:rsidR="00F208CE" w:rsidRDefault="00513E84">
            <w:pPr>
              <w:pStyle w:val="P68B1DB1-Normal14"/>
              <w:spacing w:after="0"/>
              <w:jc w:val="center"/>
              <w:rPr>
                <w:rFonts w:eastAsia="Times New Roman" w:cs="Times New Roman"/>
                <w:noProof/>
              </w:rPr>
            </w:pPr>
            <w:r>
              <w:rPr>
                <w:noProof/>
              </w:rPr>
              <w:t>220</w:t>
            </w:r>
          </w:p>
        </w:tc>
        <w:tc>
          <w:tcPr>
            <w:tcW w:w="1959" w:type="pct"/>
            <w:shd w:val="clear" w:color="000000" w:fill="C6EFCE"/>
            <w:noWrap/>
            <w:vAlign w:val="center"/>
            <w:hideMark/>
          </w:tcPr>
          <w:p w14:paraId="6CCBE40B" w14:textId="77777777" w:rsidR="00F208CE" w:rsidRDefault="00513E84">
            <w:pPr>
              <w:pStyle w:val="P68B1DB1-Normal14"/>
              <w:spacing w:after="0"/>
              <w:rPr>
                <w:rFonts w:eastAsia="Times New Roman" w:cs="Times New Roman"/>
                <w:noProof/>
              </w:rPr>
            </w:pPr>
            <w:r>
              <w:rPr>
                <w:noProof/>
              </w:rPr>
              <w:t>Plataforma de investigación para la transición energética (I-7.11)</w:t>
            </w:r>
          </w:p>
        </w:tc>
        <w:tc>
          <w:tcPr>
            <w:tcW w:w="347" w:type="pct"/>
            <w:shd w:val="clear" w:color="000000" w:fill="C6EFCE"/>
            <w:noWrap/>
            <w:vAlign w:val="center"/>
            <w:hideMark/>
          </w:tcPr>
          <w:p w14:paraId="64F85FBF"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277E1601" w14:textId="77777777" w:rsidR="00F208CE" w:rsidRDefault="00513E84">
            <w:pPr>
              <w:pStyle w:val="P68B1DB1-Normal14"/>
              <w:spacing w:after="0"/>
              <w:rPr>
                <w:rFonts w:eastAsia="Times New Roman" w:cs="Times New Roman"/>
                <w:noProof/>
              </w:rPr>
            </w:pPr>
            <w:r>
              <w:rPr>
                <w:noProof/>
              </w:rPr>
              <w:t>Adquisición de equipos</w:t>
            </w:r>
          </w:p>
        </w:tc>
      </w:tr>
      <w:tr w:rsidR="00F208CE" w14:paraId="74B43ADF" w14:textId="77777777">
        <w:trPr>
          <w:trHeight w:val="315"/>
        </w:trPr>
        <w:tc>
          <w:tcPr>
            <w:tcW w:w="400" w:type="pct"/>
            <w:shd w:val="clear" w:color="000000" w:fill="C6EFCE"/>
            <w:noWrap/>
            <w:vAlign w:val="center"/>
            <w:hideMark/>
          </w:tcPr>
          <w:p w14:paraId="3C2C21B6" w14:textId="77777777" w:rsidR="00F208CE" w:rsidRDefault="00513E84">
            <w:pPr>
              <w:pStyle w:val="P68B1DB1-Normal14"/>
              <w:spacing w:after="0"/>
              <w:jc w:val="center"/>
              <w:rPr>
                <w:rFonts w:eastAsia="Times New Roman" w:cs="Times New Roman"/>
                <w:noProof/>
              </w:rPr>
            </w:pPr>
            <w:r>
              <w:rPr>
                <w:noProof/>
              </w:rPr>
              <w:t>231</w:t>
            </w:r>
          </w:p>
        </w:tc>
        <w:tc>
          <w:tcPr>
            <w:tcW w:w="1959" w:type="pct"/>
            <w:shd w:val="clear" w:color="000000" w:fill="C6EFCE"/>
            <w:noWrap/>
            <w:vAlign w:val="center"/>
            <w:hideMark/>
          </w:tcPr>
          <w:p w14:paraId="04161F5C" w14:textId="77777777" w:rsidR="00F208CE" w:rsidRDefault="00513E84">
            <w:pPr>
              <w:pStyle w:val="P68B1DB1-Normal14"/>
              <w:spacing w:after="0"/>
              <w:rPr>
                <w:rFonts w:eastAsia="Times New Roman" w:cs="Times New Roman"/>
                <w:noProof/>
              </w:rPr>
            </w:pPr>
            <w:r>
              <w:rPr>
                <w:noProof/>
              </w:rPr>
              <w:t>Aceleración de la transición energética (R-7.04)</w:t>
            </w:r>
          </w:p>
        </w:tc>
        <w:tc>
          <w:tcPr>
            <w:tcW w:w="347" w:type="pct"/>
            <w:shd w:val="clear" w:color="000000" w:fill="C6EFCE"/>
            <w:noWrap/>
            <w:vAlign w:val="center"/>
            <w:hideMark/>
          </w:tcPr>
          <w:p w14:paraId="5FBDB089"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0B2A66BE" w14:textId="77777777" w:rsidR="00F208CE" w:rsidRDefault="00513E84">
            <w:pPr>
              <w:pStyle w:val="P68B1DB1-Normal14"/>
              <w:spacing w:after="0"/>
              <w:rPr>
                <w:rFonts w:eastAsia="Times New Roman" w:cs="Times New Roman"/>
                <w:noProof/>
              </w:rPr>
            </w:pPr>
            <w:r>
              <w:rPr>
                <w:noProof/>
              </w:rPr>
              <w:t>Entrada en vigor de la legislación</w:t>
            </w:r>
          </w:p>
        </w:tc>
      </w:tr>
      <w:tr w:rsidR="00F208CE" w14:paraId="7377BC3D" w14:textId="77777777">
        <w:trPr>
          <w:trHeight w:val="315"/>
        </w:trPr>
        <w:tc>
          <w:tcPr>
            <w:tcW w:w="400" w:type="pct"/>
            <w:shd w:val="clear" w:color="000000" w:fill="C6EFCE"/>
            <w:noWrap/>
            <w:vAlign w:val="center"/>
            <w:hideMark/>
          </w:tcPr>
          <w:p w14:paraId="41437187" w14:textId="77777777" w:rsidR="00F208CE" w:rsidRDefault="00513E84">
            <w:pPr>
              <w:pStyle w:val="P68B1DB1-Normal14"/>
              <w:spacing w:after="0"/>
              <w:jc w:val="center"/>
              <w:rPr>
                <w:rFonts w:eastAsia="Times New Roman" w:cs="Times New Roman"/>
                <w:noProof/>
              </w:rPr>
            </w:pPr>
            <w:r>
              <w:rPr>
                <w:noProof/>
              </w:rPr>
              <w:t>232</w:t>
            </w:r>
          </w:p>
        </w:tc>
        <w:tc>
          <w:tcPr>
            <w:tcW w:w="1959" w:type="pct"/>
            <w:shd w:val="clear" w:color="000000" w:fill="C6EFCE"/>
            <w:noWrap/>
            <w:vAlign w:val="center"/>
            <w:hideMark/>
          </w:tcPr>
          <w:p w14:paraId="53670CE7" w14:textId="77777777" w:rsidR="00F208CE" w:rsidRDefault="00513E84">
            <w:pPr>
              <w:pStyle w:val="P68B1DB1-Normal14"/>
              <w:spacing w:after="0"/>
              <w:rPr>
                <w:rFonts w:eastAsia="Times New Roman" w:cs="Times New Roman"/>
                <w:noProof/>
              </w:rPr>
            </w:pPr>
            <w:r>
              <w:rPr>
                <w:noProof/>
              </w:rPr>
              <w:t>Solar flotante (I-7.16)</w:t>
            </w:r>
          </w:p>
        </w:tc>
        <w:tc>
          <w:tcPr>
            <w:tcW w:w="347" w:type="pct"/>
            <w:shd w:val="clear" w:color="000000" w:fill="C6EFCE"/>
            <w:noWrap/>
            <w:vAlign w:val="center"/>
            <w:hideMark/>
          </w:tcPr>
          <w:p w14:paraId="3366D0FC"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000000" w:fill="C6EFCE"/>
            <w:noWrap/>
            <w:vAlign w:val="center"/>
            <w:hideMark/>
          </w:tcPr>
          <w:p w14:paraId="0A6C2FF0" w14:textId="77777777" w:rsidR="00F208CE" w:rsidRDefault="00513E84">
            <w:pPr>
              <w:pStyle w:val="P68B1DB1-Normal14"/>
              <w:spacing w:after="0"/>
              <w:rPr>
                <w:rFonts w:eastAsia="Times New Roman" w:cs="Times New Roman"/>
                <w:noProof/>
              </w:rPr>
            </w:pPr>
            <w:r>
              <w:rPr>
                <w:noProof/>
              </w:rPr>
              <w:t xml:space="preserve">Demostrador a escala completa </w:t>
            </w:r>
            <w:r>
              <w:rPr>
                <w:noProof/>
              </w:rPr>
              <w:t>operativo</w:t>
            </w:r>
          </w:p>
        </w:tc>
      </w:tr>
      <w:tr w:rsidR="00F208CE" w14:paraId="7CFBFA5D" w14:textId="77777777">
        <w:trPr>
          <w:trHeight w:val="315"/>
        </w:trPr>
        <w:tc>
          <w:tcPr>
            <w:tcW w:w="400" w:type="pct"/>
            <w:shd w:val="clear" w:color="000000" w:fill="C6EFCE"/>
            <w:noWrap/>
            <w:vAlign w:val="center"/>
          </w:tcPr>
          <w:p w14:paraId="537D56E3" w14:textId="77777777" w:rsidR="00F208CE" w:rsidRDefault="00F208CE">
            <w:pPr>
              <w:spacing w:after="0"/>
              <w:jc w:val="center"/>
              <w:rPr>
                <w:rFonts w:ascii="Times New Roman" w:eastAsia="Times New Roman" w:hAnsi="Times New Roman" w:cs="Times New Roman"/>
                <w:noProof/>
                <w:color w:val="006100"/>
                <w:sz w:val="20"/>
              </w:rPr>
            </w:pPr>
          </w:p>
        </w:tc>
        <w:tc>
          <w:tcPr>
            <w:tcW w:w="2306" w:type="pct"/>
            <w:gridSpan w:val="2"/>
            <w:shd w:val="clear" w:color="000000" w:fill="C6EFCE"/>
            <w:noWrap/>
            <w:vAlign w:val="center"/>
          </w:tcPr>
          <w:p w14:paraId="0A7B1D82" w14:textId="77777777" w:rsidR="00F208CE" w:rsidRDefault="00513E84">
            <w:pPr>
              <w:pStyle w:val="P68B1DB1-Normal14"/>
              <w:spacing w:after="0"/>
              <w:jc w:val="right"/>
              <w:rPr>
                <w:rFonts w:eastAsia="Times New Roman" w:cs="Times New Roman"/>
                <w:noProof/>
              </w:rPr>
            </w:pPr>
            <w:r>
              <w:rPr>
                <w:noProof/>
              </w:rPr>
              <w:t>Importe del tramo</w:t>
            </w:r>
          </w:p>
        </w:tc>
        <w:tc>
          <w:tcPr>
            <w:tcW w:w="2294" w:type="pct"/>
            <w:shd w:val="clear" w:color="000000" w:fill="C6EFCE"/>
            <w:noWrap/>
            <w:vAlign w:val="center"/>
          </w:tcPr>
          <w:p w14:paraId="3027ABF1" w14:textId="56B18E65" w:rsidR="00F208CE" w:rsidRDefault="00513E84">
            <w:pPr>
              <w:pStyle w:val="P68B1DB1-Normal14"/>
              <w:spacing w:after="0"/>
              <w:rPr>
                <w:rFonts w:eastAsia="Times New Roman" w:cs="Times New Roman"/>
                <w:noProof/>
              </w:rPr>
            </w:pPr>
            <w:r>
              <w:rPr>
                <w:noProof/>
              </w:rPr>
              <w:t>560 013 071 EUR</w:t>
            </w:r>
          </w:p>
        </w:tc>
      </w:tr>
    </w:tbl>
    <w:p w14:paraId="69C0BC5E" w14:textId="7CEBCBC1" w:rsidR="00F208CE" w:rsidRDefault="00F208CE">
      <w:pPr>
        <w:spacing w:before="120" w:after="120"/>
        <w:rPr>
          <w:rFonts w:ascii="Times New Roman" w:hAnsi="Times New Roman" w:cs="Times New Roman"/>
          <w:noProof/>
        </w:rPr>
      </w:pPr>
    </w:p>
    <w:p w14:paraId="7E4C2E0F" w14:textId="77777777" w:rsidR="00F208CE" w:rsidRDefault="00513E84">
      <w:pPr>
        <w:rPr>
          <w:rFonts w:ascii="Times New Roman" w:hAnsi="Times New Roman" w:cs="Times New Roman"/>
          <w:noProof/>
          <w:sz w:val="24"/>
        </w:rPr>
      </w:pPr>
      <w:r>
        <w:rPr>
          <w:noProof/>
        </w:rPr>
        <w:br w:type="page"/>
      </w:r>
    </w:p>
    <w:p w14:paraId="22074249" w14:textId="70A4D354" w:rsidR="00F208CE" w:rsidRDefault="00513E84">
      <w:pPr>
        <w:pStyle w:val="ManualNumPar1"/>
        <w:rPr>
          <w:noProof/>
        </w:rPr>
      </w:pPr>
      <w:r>
        <w:rPr>
          <w:noProof/>
        </w:rPr>
        <w:t>Sexto tramo (ayudas no reembolsables):</w:t>
      </w:r>
    </w:p>
    <w:tbl>
      <w:tblPr>
        <w:tblW w:w="10206" w:type="dxa"/>
        <w:tblLayout w:type="fixed"/>
        <w:tblLook w:val="04A0" w:firstRow="1" w:lastRow="0" w:firstColumn="1" w:lastColumn="0" w:noHBand="0" w:noVBand="1"/>
      </w:tblPr>
      <w:tblGrid>
        <w:gridCol w:w="704"/>
        <w:gridCol w:w="4111"/>
        <w:gridCol w:w="680"/>
        <w:gridCol w:w="4711"/>
      </w:tblGrid>
      <w:tr w:rsidR="00F208CE" w14:paraId="72A03E5E" w14:textId="77777777">
        <w:trPr>
          <w:trHeight w:val="300"/>
          <w:tblHeader/>
        </w:trPr>
        <w:tc>
          <w:tcPr>
            <w:tcW w:w="345" w:type="pct"/>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0B869FB9" w14:textId="77777777" w:rsidR="00F208CE" w:rsidRDefault="00513E84">
            <w:pPr>
              <w:pStyle w:val="P68B1DB1-Normal39"/>
              <w:spacing w:before="120" w:after="120"/>
              <w:jc w:val="center"/>
              <w:rPr>
                <w:rFonts w:eastAsia="Times New Roman" w:cs="Times New Roman"/>
                <w:noProof/>
              </w:rPr>
            </w:pPr>
            <w:r>
              <w:rPr>
                <w:noProof/>
              </w:rPr>
              <w:t>Siguientes nb</w:t>
            </w:r>
          </w:p>
        </w:tc>
        <w:tc>
          <w:tcPr>
            <w:tcW w:w="2014" w:type="pct"/>
            <w:tcBorders>
              <w:top w:val="single" w:sz="4" w:space="0" w:color="auto"/>
              <w:left w:val="nil"/>
              <w:bottom w:val="single" w:sz="4" w:space="0" w:color="auto"/>
              <w:right w:val="single" w:sz="4" w:space="0" w:color="auto"/>
            </w:tcBorders>
            <w:shd w:val="clear" w:color="auto" w:fill="BDD7EE"/>
            <w:noWrap/>
            <w:vAlign w:val="center"/>
            <w:hideMark/>
          </w:tcPr>
          <w:p w14:paraId="46AA2E55" w14:textId="77777777" w:rsidR="00F208CE" w:rsidRDefault="00513E84">
            <w:pPr>
              <w:pStyle w:val="P68B1DB1-Normal39"/>
              <w:spacing w:before="120" w:after="120"/>
              <w:jc w:val="center"/>
              <w:rPr>
                <w:rFonts w:eastAsia="Times New Roman" w:cs="Times New Roman"/>
                <w:noProof/>
              </w:rPr>
            </w:pPr>
            <w:r>
              <w:rPr>
                <w:noProof/>
              </w:rPr>
              <w:t>Nombre de la medida</w:t>
            </w:r>
          </w:p>
        </w:tc>
        <w:tc>
          <w:tcPr>
            <w:tcW w:w="333" w:type="pct"/>
            <w:tcBorders>
              <w:top w:val="single" w:sz="4" w:space="0" w:color="auto"/>
              <w:left w:val="nil"/>
              <w:bottom w:val="single" w:sz="4" w:space="0" w:color="auto"/>
              <w:right w:val="single" w:sz="4" w:space="0" w:color="auto"/>
            </w:tcBorders>
            <w:shd w:val="clear" w:color="auto" w:fill="BDD7EE"/>
            <w:noWrap/>
            <w:vAlign w:val="center"/>
            <w:hideMark/>
          </w:tcPr>
          <w:p w14:paraId="09C06094" w14:textId="77777777" w:rsidR="00F208CE" w:rsidRDefault="00513E84">
            <w:pPr>
              <w:pStyle w:val="P68B1DB1-Normal39"/>
              <w:spacing w:before="120" w:after="120"/>
              <w:jc w:val="center"/>
              <w:rPr>
                <w:rFonts w:eastAsia="Times New Roman" w:cs="Times New Roman"/>
                <w:noProof/>
              </w:rPr>
            </w:pPr>
            <w:r>
              <w:rPr>
                <w:noProof/>
              </w:rPr>
              <w:t>M/T</w:t>
            </w:r>
          </w:p>
        </w:tc>
        <w:tc>
          <w:tcPr>
            <w:tcW w:w="2308" w:type="pct"/>
            <w:tcBorders>
              <w:top w:val="single" w:sz="4" w:space="0" w:color="auto"/>
              <w:left w:val="nil"/>
              <w:bottom w:val="single" w:sz="4" w:space="0" w:color="auto"/>
              <w:right w:val="single" w:sz="4" w:space="0" w:color="auto"/>
            </w:tcBorders>
            <w:shd w:val="clear" w:color="auto" w:fill="BDD7EE"/>
            <w:noWrap/>
            <w:vAlign w:val="center"/>
            <w:hideMark/>
          </w:tcPr>
          <w:p w14:paraId="3445BE3F" w14:textId="77777777" w:rsidR="00F208CE" w:rsidRDefault="00513E84">
            <w:pPr>
              <w:pStyle w:val="P68B1DB1-Normal39"/>
              <w:spacing w:before="120" w:after="120"/>
              <w:jc w:val="center"/>
              <w:rPr>
                <w:rFonts w:eastAsia="Times New Roman" w:cs="Times New Roman"/>
                <w:noProof/>
              </w:rPr>
            </w:pPr>
            <w:r>
              <w:rPr>
                <w:noProof/>
              </w:rPr>
              <w:t>Nombre</w:t>
            </w:r>
          </w:p>
        </w:tc>
      </w:tr>
      <w:tr w:rsidR="00F208CE" w14:paraId="08E99167"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88580EE" w14:textId="77777777" w:rsidR="00F208CE" w:rsidRDefault="00513E84">
            <w:pPr>
              <w:pStyle w:val="P68B1DB1-Normal14"/>
              <w:spacing w:after="0"/>
              <w:jc w:val="center"/>
              <w:rPr>
                <w:rFonts w:eastAsia="Times New Roman" w:cs="Times New Roman"/>
                <w:noProof/>
              </w:rPr>
            </w:pPr>
            <w:r>
              <w:rPr>
                <w:noProof/>
              </w:rPr>
              <w:t>14</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4AFE9C7" w14:textId="77777777" w:rsidR="00F208CE" w:rsidRDefault="00513E84">
            <w:pPr>
              <w:pStyle w:val="P68B1DB1-Normal14"/>
              <w:spacing w:after="0"/>
              <w:rPr>
                <w:rFonts w:eastAsia="Times New Roman" w:cs="Times New Roman"/>
                <w:noProof/>
              </w:rPr>
            </w:pPr>
            <w:r>
              <w:rPr>
                <w:noProof/>
              </w:rPr>
              <w:t>Renovación de edificios públicos (I-1b)</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BA83D6C"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049590A" w14:textId="77777777" w:rsidR="00F208CE" w:rsidRDefault="00513E84">
            <w:pPr>
              <w:pStyle w:val="P68B1DB1-Normal14"/>
              <w:spacing w:after="0"/>
              <w:rPr>
                <w:rFonts w:eastAsia="Times New Roman" w:cs="Times New Roman"/>
                <w:noProof/>
              </w:rPr>
            </w:pPr>
            <w:r>
              <w:rPr>
                <w:noProof/>
              </w:rPr>
              <w:t>Renovación de edificios públicos (etapa 3)</w:t>
            </w:r>
          </w:p>
        </w:tc>
      </w:tr>
      <w:tr w:rsidR="00F208CE" w14:paraId="4E13EF53"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37BDBD0" w14:textId="77777777" w:rsidR="00F208CE" w:rsidRDefault="00513E84">
            <w:pPr>
              <w:pStyle w:val="P68B1DB1-Normal14"/>
              <w:spacing w:after="0"/>
              <w:jc w:val="center"/>
              <w:rPr>
                <w:rFonts w:eastAsia="Times New Roman" w:cs="Times New Roman"/>
                <w:noProof/>
              </w:rPr>
            </w:pPr>
            <w:r>
              <w:rPr>
                <w:noProof/>
              </w:rPr>
              <w:t>23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1AC614D" w14:textId="77777777" w:rsidR="00F208CE" w:rsidRDefault="00513E84">
            <w:pPr>
              <w:pStyle w:val="P68B1DB1-Normal14"/>
              <w:spacing w:after="0"/>
              <w:rPr>
                <w:rFonts w:eastAsia="Times New Roman" w:cs="Times New Roman"/>
                <w:noProof/>
              </w:rPr>
            </w:pPr>
            <w:r>
              <w:rPr>
                <w:noProof/>
              </w:rPr>
              <w:t xml:space="preserve">Una cadena de valor </w:t>
            </w:r>
            <w:r>
              <w:rPr>
                <w:noProof/>
              </w:rPr>
              <w:t>industrial para la transición del hidrógeno (I-1.16)</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1D9D4B"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280350" w14:textId="77777777" w:rsidR="00F208CE" w:rsidRDefault="00513E84">
            <w:pPr>
              <w:pStyle w:val="P68B1DB1-Normal14"/>
              <w:spacing w:after="0"/>
              <w:rPr>
                <w:rFonts w:eastAsia="Times New Roman" w:cs="Times New Roman"/>
                <w:noProof/>
              </w:rPr>
            </w:pPr>
            <w:r>
              <w:rPr>
                <w:noProof/>
              </w:rPr>
              <w:t>Finalización de los proyectos adjudicados en el marco de la licitación</w:t>
            </w:r>
          </w:p>
        </w:tc>
      </w:tr>
      <w:tr w:rsidR="00F208CE" w14:paraId="021DCF16"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DD12621" w14:textId="77777777" w:rsidR="00F208CE" w:rsidRDefault="00513E84">
            <w:pPr>
              <w:pStyle w:val="P68B1DB1-Normal14"/>
              <w:spacing w:after="0"/>
              <w:jc w:val="center"/>
              <w:rPr>
                <w:rFonts w:eastAsia="Times New Roman" w:cs="Times New Roman"/>
                <w:noProof/>
              </w:rPr>
            </w:pPr>
            <w:r>
              <w:rPr>
                <w:noProof/>
              </w:rPr>
              <w:t>26</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BB0BE2C" w14:textId="77777777" w:rsidR="00F208CE" w:rsidRDefault="00513E84">
            <w:pPr>
              <w:pStyle w:val="P68B1DB1-Normal14"/>
              <w:spacing w:after="0"/>
              <w:rPr>
                <w:rFonts w:eastAsia="Times New Roman" w:cs="Times New Roman"/>
                <w:noProof/>
              </w:rPr>
            </w:pPr>
            <w:r>
              <w:rPr>
                <w:noProof/>
              </w:rPr>
              <w:t>Una cadena de valor industrial para la transición del hidrógeno (I-1.17)</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67C4CF8"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9A1754D" w14:textId="77777777" w:rsidR="00F208CE" w:rsidRDefault="00513E84">
            <w:pPr>
              <w:pStyle w:val="P68B1DB1-Normal14"/>
              <w:spacing w:after="0"/>
              <w:rPr>
                <w:rFonts w:eastAsia="Times New Roman" w:cs="Times New Roman"/>
                <w:noProof/>
              </w:rPr>
            </w:pPr>
            <w:r>
              <w:rPr>
                <w:noProof/>
              </w:rPr>
              <w:t>Finalización de todos los proyectos PIICE adjudicad</w:t>
            </w:r>
            <w:r>
              <w:rPr>
                <w:noProof/>
              </w:rPr>
              <w:t>os en el marco de la licitación</w:t>
            </w:r>
          </w:p>
        </w:tc>
      </w:tr>
      <w:tr w:rsidR="00F208CE" w14:paraId="570D9B0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C9E36BD" w14:textId="77777777" w:rsidR="00F208CE" w:rsidRDefault="00513E84">
            <w:pPr>
              <w:pStyle w:val="P68B1DB1-Normal14"/>
              <w:spacing w:after="0"/>
              <w:jc w:val="center"/>
              <w:rPr>
                <w:rFonts w:eastAsia="Times New Roman" w:cs="Times New Roman"/>
                <w:noProof/>
              </w:rPr>
            </w:pPr>
            <w:r>
              <w:rPr>
                <w:noProof/>
              </w:rPr>
              <w:t>28</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CA6CFE5" w14:textId="77777777" w:rsidR="00F208CE" w:rsidRDefault="00513E84">
            <w:pPr>
              <w:pStyle w:val="P68B1DB1-Normal14"/>
              <w:spacing w:after="0"/>
              <w:rPr>
                <w:rFonts w:eastAsia="Times New Roman" w:cs="Times New Roman"/>
                <w:noProof/>
              </w:rPr>
            </w:pPr>
            <w:r>
              <w:rPr>
                <w:noProof/>
              </w:rPr>
              <w:t>Desarrollo de la industria hipocarbónica (I-1.18)</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6826FDD"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50A4BDF" w14:textId="77777777" w:rsidR="00F208CE" w:rsidRDefault="00513E84">
            <w:pPr>
              <w:pStyle w:val="P68B1DB1-Normal14"/>
              <w:spacing w:after="0"/>
              <w:rPr>
                <w:rFonts w:eastAsia="Times New Roman" w:cs="Times New Roman"/>
                <w:noProof/>
              </w:rPr>
            </w:pPr>
            <w:r>
              <w:rPr>
                <w:noProof/>
              </w:rPr>
              <w:t>Finalización de los proyectos adjudicados en el marco de la licitación</w:t>
            </w:r>
          </w:p>
        </w:tc>
      </w:tr>
      <w:tr w:rsidR="00F208CE" w14:paraId="3D4DDFEA"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0004BE8" w14:textId="77777777" w:rsidR="00F208CE" w:rsidRDefault="00513E84">
            <w:pPr>
              <w:pStyle w:val="P68B1DB1-Normal14"/>
              <w:spacing w:after="0"/>
              <w:jc w:val="center"/>
              <w:rPr>
                <w:rFonts w:eastAsia="Times New Roman" w:cs="Times New Roman"/>
                <w:noProof/>
              </w:rPr>
            </w:pPr>
            <w:r>
              <w:rPr>
                <w:noProof/>
              </w:rPr>
              <w:t>37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66CD540" w14:textId="77777777" w:rsidR="00F208CE" w:rsidRDefault="00513E84">
            <w:pPr>
              <w:pStyle w:val="P68B1DB1-Normal14"/>
              <w:spacing w:after="0"/>
              <w:rPr>
                <w:rFonts w:eastAsia="Times New Roman" w:cs="Times New Roman"/>
                <w:noProof/>
              </w:rPr>
            </w:pPr>
            <w:r>
              <w:rPr>
                <w:noProof/>
              </w:rPr>
              <w:t>Biodiversidad y adaptación al cambio climático (I-1.22)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83DED82"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ACD9EB1" w14:textId="77777777" w:rsidR="00F208CE" w:rsidRDefault="00513E84">
            <w:pPr>
              <w:pStyle w:val="P68B1DB1-Normal14"/>
              <w:spacing w:after="0"/>
              <w:rPr>
                <w:rFonts w:eastAsia="Times New Roman" w:cs="Times New Roman"/>
                <w:noProof/>
              </w:rPr>
            </w:pPr>
            <w:r>
              <w:rPr>
                <w:noProof/>
              </w:rPr>
              <w:t xml:space="preserve">Finalización de las medidas de </w:t>
            </w:r>
            <w:r>
              <w:rPr>
                <w:noProof/>
              </w:rPr>
              <w:t>gestión de la tierra aplicadas (bosques y zonas protegidas) y de los proyectos de ordenación territorial finalizados</w:t>
            </w:r>
          </w:p>
        </w:tc>
      </w:tr>
      <w:tr w:rsidR="00F208CE" w14:paraId="38EE674D"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F93F856" w14:textId="77777777" w:rsidR="00F208CE" w:rsidRDefault="00513E84">
            <w:pPr>
              <w:pStyle w:val="P68B1DB1-Normal14"/>
              <w:spacing w:after="0"/>
              <w:jc w:val="center"/>
              <w:rPr>
                <w:rFonts w:eastAsia="Times New Roman" w:cs="Times New Roman"/>
                <w:noProof/>
              </w:rPr>
            </w:pPr>
            <w:r>
              <w:rPr>
                <w:noProof/>
              </w:rPr>
              <w:t>39</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AAADD67" w14:textId="77777777" w:rsidR="00F208CE" w:rsidRDefault="00513E84">
            <w:pPr>
              <w:pStyle w:val="P68B1DB1-Normal14"/>
              <w:spacing w:after="0"/>
              <w:rPr>
                <w:rFonts w:eastAsia="Times New Roman" w:cs="Times New Roman"/>
                <w:noProof/>
              </w:rPr>
            </w:pPr>
            <w:r>
              <w:rPr>
                <w:noProof/>
              </w:rPr>
              <w:t>Biodiversidad y adaptación al cambio climático (I-1.22)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7FC6A19"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97F04F8" w14:textId="77777777" w:rsidR="00F208CE" w:rsidRDefault="00513E84">
            <w:pPr>
              <w:pStyle w:val="P68B1DB1-Normal14"/>
              <w:spacing w:after="0"/>
              <w:rPr>
                <w:rFonts w:eastAsia="Times New Roman" w:cs="Times New Roman"/>
                <w:noProof/>
              </w:rPr>
            </w:pPr>
            <w:r>
              <w:rPr>
                <w:noProof/>
              </w:rPr>
              <w:t>Finalización de dos proyectos para parques nacionales</w:t>
            </w:r>
          </w:p>
        </w:tc>
      </w:tr>
      <w:tr w:rsidR="00F208CE" w14:paraId="1CF87C1D"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CFDBA35" w14:textId="77777777" w:rsidR="00F208CE" w:rsidRDefault="00513E84">
            <w:pPr>
              <w:pStyle w:val="P68B1DB1-Normal14"/>
              <w:spacing w:after="0"/>
              <w:jc w:val="center"/>
              <w:rPr>
                <w:rFonts w:eastAsia="Times New Roman" w:cs="Times New Roman"/>
                <w:noProof/>
              </w:rPr>
            </w:pPr>
            <w:r>
              <w:rPr>
                <w:noProof/>
              </w:rPr>
              <w:t>40</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CDD56CD" w14:textId="77777777" w:rsidR="00F208CE" w:rsidRDefault="00513E84">
            <w:pPr>
              <w:pStyle w:val="P68B1DB1-Normal14"/>
              <w:spacing w:after="0"/>
              <w:rPr>
                <w:rFonts w:eastAsia="Times New Roman" w:cs="Times New Roman"/>
                <w:noProof/>
              </w:rPr>
            </w:pPr>
            <w:r>
              <w:rPr>
                <w:noProof/>
              </w:rPr>
              <w:t>Desfragmentación ec</w:t>
            </w:r>
            <w:r>
              <w:rPr>
                <w:noProof/>
              </w:rPr>
              <w:t>ológica (I-1.23)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257BE40"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B2A9DE7" w14:textId="77777777" w:rsidR="00F208CE" w:rsidRDefault="00513E84">
            <w:pPr>
              <w:pStyle w:val="P68B1DB1-Normal14"/>
              <w:spacing w:after="0"/>
              <w:rPr>
                <w:rFonts w:eastAsia="Times New Roman" w:cs="Times New Roman"/>
                <w:noProof/>
              </w:rPr>
            </w:pPr>
            <w:r>
              <w:rPr>
                <w:noProof/>
              </w:rPr>
              <w:t>Finalización de proyectos de desfragmentación ecológica</w:t>
            </w:r>
          </w:p>
        </w:tc>
      </w:tr>
      <w:tr w:rsidR="00F208CE" w14:paraId="6B116C7B"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3BE2C2C" w14:textId="77777777" w:rsidR="00F208CE" w:rsidRDefault="00513E84">
            <w:pPr>
              <w:pStyle w:val="P68B1DB1-Normal14"/>
              <w:spacing w:after="0"/>
              <w:jc w:val="center"/>
              <w:rPr>
                <w:rFonts w:eastAsia="Times New Roman" w:cs="Times New Roman"/>
                <w:noProof/>
              </w:rPr>
            </w:pPr>
            <w:r>
              <w:rPr>
                <w:noProof/>
              </w:rPr>
              <w:t>43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1B139F9" w14:textId="77777777" w:rsidR="00F208CE" w:rsidRDefault="00513E84">
            <w:pPr>
              <w:pStyle w:val="P68B1DB1-Normal14"/>
              <w:spacing w:after="0"/>
              <w:rPr>
                <w:rFonts w:eastAsia="Times New Roman" w:cs="Times New Roman"/>
                <w:noProof/>
              </w:rPr>
            </w:pPr>
            <w:r>
              <w:rPr>
                <w:noProof/>
              </w:rPr>
              <w:t>Acuerdo Azul (I-1.24)</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709E2D1"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14F5234" w14:textId="77777777" w:rsidR="00F208CE" w:rsidRDefault="00513E84">
            <w:pPr>
              <w:pStyle w:val="P68B1DB1-Normal14"/>
              <w:spacing w:after="0"/>
              <w:rPr>
                <w:rFonts w:eastAsia="Times New Roman" w:cs="Times New Roman"/>
                <w:noProof/>
              </w:rPr>
            </w:pPr>
            <w:r>
              <w:rPr>
                <w:noProof/>
              </w:rPr>
              <w:t>Finalización de los proyectos del Pacto Azul</w:t>
            </w:r>
          </w:p>
        </w:tc>
      </w:tr>
      <w:tr w:rsidR="00F208CE" w14:paraId="0BEEF4F0"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67B917D" w14:textId="77777777" w:rsidR="00F208CE" w:rsidRDefault="00513E84">
            <w:pPr>
              <w:pStyle w:val="P68B1DB1-Normal14"/>
              <w:spacing w:after="0"/>
              <w:jc w:val="center"/>
              <w:rPr>
                <w:rFonts w:eastAsia="Times New Roman" w:cs="Times New Roman"/>
                <w:noProof/>
              </w:rPr>
            </w:pPr>
            <w:r>
              <w:rPr>
                <w:noProof/>
              </w:rPr>
              <w:t>48</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8923FB" w14:textId="77777777" w:rsidR="00F208CE" w:rsidRDefault="00513E84">
            <w:pPr>
              <w:pStyle w:val="P68B1DB1-Normal14"/>
              <w:spacing w:after="0"/>
              <w:rPr>
                <w:rFonts w:eastAsia="Times New Roman" w:cs="Times New Roman"/>
                <w:noProof/>
              </w:rPr>
            </w:pPr>
            <w:r>
              <w:rPr>
                <w:noProof/>
              </w:rPr>
              <w:t>Sociedad digital cibersegura y resiliente (I-2.01)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136172C"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323B54D" w14:textId="77777777" w:rsidR="00F208CE" w:rsidRDefault="00513E84">
            <w:pPr>
              <w:pStyle w:val="P68B1DB1-Normal14"/>
              <w:spacing w:after="0"/>
              <w:rPr>
                <w:rFonts w:eastAsia="Times New Roman" w:cs="Times New Roman"/>
                <w:noProof/>
              </w:rPr>
            </w:pPr>
            <w:r>
              <w:rPr>
                <w:noProof/>
              </w:rPr>
              <w:t xml:space="preserve">Prestación de servicios de ciberresiliencia a la </w:t>
            </w:r>
            <w:r>
              <w:rPr>
                <w:noProof/>
              </w:rPr>
              <w:t>sociedad belga en general por el Ministerio de Defensa</w:t>
            </w:r>
          </w:p>
        </w:tc>
      </w:tr>
      <w:tr w:rsidR="00F208CE" w14:paraId="21A904DE"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93743E0" w14:textId="77777777" w:rsidR="00F208CE" w:rsidRDefault="00513E84">
            <w:pPr>
              <w:pStyle w:val="P68B1DB1-Normal14"/>
              <w:spacing w:after="0"/>
              <w:jc w:val="center"/>
              <w:rPr>
                <w:rFonts w:eastAsia="Times New Roman" w:cs="Times New Roman"/>
                <w:noProof/>
              </w:rPr>
            </w:pPr>
            <w:r>
              <w:rPr>
                <w:noProof/>
              </w:rPr>
              <w:t>52</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833CB0D" w14:textId="77777777" w:rsidR="00F208CE" w:rsidRDefault="00513E84">
            <w:pPr>
              <w:pStyle w:val="P68B1DB1-Normal14"/>
              <w:spacing w:after="0"/>
              <w:rPr>
                <w:rFonts w:eastAsia="Times New Roman" w:cs="Times New Roman"/>
                <w:noProof/>
              </w:rPr>
            </w:pPr>
            <w:r>
              <w:rPr>
                <w:noProof/>
              </w:rPr>
              <w:t>Digitalización IPSS (I-2.04) (submedida 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6015E61"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D8E92F8" w14:textId="77777777" w:rsidR="00F208CE" w:rsidRDefault="00513E84">
            <w:pPr>
              <w:pStyle w:val="P68B1DB1-Normal14"/>
              <w:spacing w:after="0"/>
              <w:rPr>
                <w:rFonts w:eastAsia="Times New Roman" w:cs="Times New Roman"/>
                <w:noProof/>
              </w:rPr>
            </w:pPr>
            <w:r>
              <w:rPr>
                <w:noProof/>
              </w:rPr>
              <w:t>Solución digital disponible — interfaz web (IPSS)</w:t>
            </w:r>
          </w:p>
        </w:tc>
      </w:tr>
      <w:tr w:rsidR="00F208CE" w14:paraId="1C35BF97"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C2C8B24" w14:textId="77777777" w:rsidR="00F208CE" w:rsidRDefault="00513E84">
            <w:pPr>
              <w:pStyle w:val="P68B1DB1-Normal14"/>
              <w:spacing w:after="0"/>
              <w:jc w:val="center"/>
              <w:rPr>
                <w:rFonts w:eastAsia="Times New Roman" w:cs="Times New Roman"/>
                <w:noProof/>
              </w:rPr>
            </w:pPr>
            <w:r>
              <w:rPr>
                <w:noProof/>
              </w:rPr>
              <w:t>53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3E2E3C3" w14:textId="77777777" w:rsidR="00F208CE" w:rsidRDefault="00513E84">
            <w:pPr>
              <w:pStyle w:val="P68B1DB1-Normal14"/>
              <w:spacing w:after="0"/>
              <w:rPr>
                <w:rFonts w:eastAsia="Times New Roman" w:cs="Times New Roman"/>
                <w:noProof/>
              </w:rPr>
            </w:pPr>
            <w:r>
              <w:rPr>
                <w:noProof/>
              </w:rPr>
              <w:t>Digitalización IPSS (I-2.04) (submedida — 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24850BC"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B4E0C2C" w14:textId="77777777" w:rsidR="00F208CE" w:rsidRDefault="00513E84">
            <w:pPr>
              <w:pStyle w:val="P68B1DB1-Normal14"/>
              <w:spacing w:after="0"/>
              <w:rPr>
                <w:rFonts w:eastAsia="Times New Roman" w:cs="Times New Roman"/>
                <w:noProof/>
              </w:rPr>
            </w:pPr>
            <w:r>
              <w:rPr>
                <w:noProof/>
              </w:rPr>
              <w:t xml:space="preserve">Solución digital disponible — Plataforma </w:t>
            </w:r>
            <w:r>
              <w:rPr>
                <w:noProof/>
              </w:rPr>
              <w:t>interactiva (IPSS)</w:t>
            </w:r>
          </w:p>
        </w:tc>
      </w:tr>
      <w:tr w:rsidR="00F208CE" w14:paraId="3AD6CD20"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503C1E5" w14:textId="77777777" w:rsidR="00F208CE" w:rsidRDefault="00513E84">
            <w:pPr>
              <w:pStyle w:val="P68B1DB1-Normal14"/>
              <w:spacing w:after="0"/>
              <w:jc w:val="center"/>
              <w:rPr>
                <w:rFonts w:eastAsia="Times New Roman" w:cs="Times New Roman"/>
                <w:noProof/>
              </w:rPr>
            </w:pPr>
            <w:r>
              <w:rPr>
                <w:noProof/>
              </w:rPr>
              <w:t>55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C325752" w14:textId="77777777" w:rsidR="00F208CE" w:rsidRDefault="00513E84">
            <w:pPr>
              <w:pStyle w:val="P68B1DB1-Normal14"/>
              <w:spacing w:after="0"/>
              <w:rPr>
                <w:rFonts w:eastAsia="Times New Roman" w:cs="Times New Roman"/>
                <w:noProof/>
              </w:rPr>
            </w:pPr>
            <w:r>
              <w:rPr>
                <w:noProof/>
              </w:rPr>
              <w:t>Fondo para pequeños proyectos de digitalización (I-2.05) (submedida: 2, 3, 4, 5, 6, 8, 9, 11 y 12)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24C9233"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E9164DA" w14:textId="77777777" w:rsidR="00F208CE" w:rsidRDefault="00513E84">
            <w:pPr>
              <w:pStyle w:val="P68B1DB1-Normal14"/>
              <w:spacing w:after="0"/>
              <w:rPr>
                <w:rFonts w:eastAsia="Times New Roman" w:cs="Times New Roman"/>
                <w:noProof/>
              </w:rPr>
            </w:pPr>
            <w:r>
              <w:rPr>
                <w:noProof/>
              </w:rPr>
              <w:t>Los proyectos se han completado y el resultado es operativo</w:t>
            </w:r>
          </w:p>
        </w:tc>
      </w:tr>
      <w:tr w:rsidR="00F208CE" w14:paraId="6622367E"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D880B81" w14:textId="77777777" w:rsidR="00F208CE" w:rsidRDefault="00513E84">
            <w:pPr>
              <w:pStyle w:val="P68B1DB1-Normal14"/>
              <w:spacing w:after="0"/>
              <w:jc w:val="center"/>
              <w:rPr>
                <w:rFonts w:eastAsia="Times New Roman" w:cs="Times New Roman"/>
                <w:noProof/>
              </w:rPr>
            </w:pPr>
            <w:r>
              <w:rPr>
                <w:noProof/>
              </w:rPr>
              <w:t>66</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72E4D9F" w14:textId="77777777" w:rsidR="00F208CE" w:rsidRDefault="00513E84">
            <w:pPr>
              <w:pStyle w:val="P68B1DB1-Normal14"/>
              <w:spacing w:after="0"/>
              <w:rPr>
                <w:rFonts w:eastAsia="Times New Roman" w:cs="Times New Roman"/>
                <w:noProof/>
              </w:rPr>
            </w:pPr>
            <w:r>
              <w:rPr>
                <w:noProof/>
              </w:rPr>
              <w:t>Digitalización del sector cultural y de los medios de comunicación (</w:t>
            </w:r>
            <w:r>
              <w:rPr>
                <w:noProof/>
              </w:rPr>
              <w:t>I-2.08)</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664ACF8"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F4C889F" w14:textId="77777777" w:rsidR="00F208CE" w:rsidRDefault="00513E84">
            <w:pPr>
              <w:pStyle w:val="P68B1DB1-Normal14"/>
              <w:spacing w:after="0"/>
              <w:rPr>
                <w:rFonts w:eastAsia="Times New Roman" w:cs="Times New Roman"/>
                <w:noProof/>
              </w:rPr>
            </w:pPr>
            <w:r>
              <w:rPr>
                <w:noProof/>
              </w:rPr>
              <w:t xml:space="preserve">Finalización de proyectos de obras audiovisuales y audio digitalizadas y mejoradas </w:t>
            </w:r>
          </w:p>
        </w:tc>
      </w:tr>
      <w:tr w:rsidR="00F208CE" w14:paraId="7014571C"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9916DFE" w14:textId="77777777" w:rsidR="00F208CE" w:rsidRDefault="00513E84">
            <w:pPr>
              <w:pStyle w:val="P68B1DB1-Normal14"/>
              <w:spacing w:after="0"/>
              <w:jc w:val="center"/>
              <w:rPr>
                <w:rFonts w:eastAsia="Times New Roman" w:cs="Times New Roman"/>
                <w:noProof/>
              </w:rPr>
            </w:pPr>
            <w:r>
              <w:rPr>
                <w:noProof/>
              </w:rPr>
              <w:t>67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B358A87" w14:textId="77777777" w:rsidR="00F208CE" w:rsidRDefault="00513E84">
            <w:pPr>
              <w:pStyle w:val="P68B1DB1-Normal14"/>
              <w:spacing w:after="0"/>
              <w:rPr>
                <w:rFonts w:eastAsia="Times New Roman" w:cs="Times New Roman"/>
                <w:noProof/>
              </w:rPr>
            </w:pPr>
            <w:r>
              <w:rPr>
                <w:noProof/>
              </w:rPr>
              <w:t>Digitalización del sector cultural y de los medios de comunicación (I-2.08)</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0105468"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82DAE6" w14:textId="77777777" w:rsidR="00F208CE" w:rsidRDefault="00513E84">
            <w:pPr>
              <w:pStyle w:val="P68B1DB1-Normal14"/>
              <w:spacing w:after="0"/>
              <w:rPr>
                <w:rFonts w:eastAsia="Times New Roman" w:cs="Times New Roman"/>
                <w:noProof/>
              </w:rPr>
            </w:pPr>
            <w:r>
              <w:rPr>
                <w:noProof/>
              </w:rPr>
              <w:t xml:space="preserve">Integración de herramientas tecnológicas por parte de operadores piloto </w:t>
            </w:r>
            <w:r>
              <w:rPr>
                <w:noProof/>
              </w:rPr>
              <w:t>culturales y mediáticos</w:t>
            </w:r>
          </w:p>
        </w:tc>
      </w:tr>
      <w:tr w:rsidR="00F208CE" w14:paraId="5E302F3B"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75EC573" w14:textId="77777777" w:rsidR="00F208CE" w:rsidRDefault="00513E84">
            <w:pPr>
              <w:pStyle w:val="P68B1DB1-Normal14"/>
              <w:spacing w:after="0"/>
              <w:jc w:val="center"/>
              <w:rPr>
                <w:rFonts w:eastAsia="Times New Roman" w:cs="Times New Roman"/>
                <w:noProof/>
              </w:rPr>
            </w:pPr>
            <w:r>
              <w:rPr>
                <w:noProof/>
              </w:rPr>
              <w:t>80</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9C9B35A" w14:textId="77777777" w:rsidR="00F208CE" w:rsidRDefault="00513E84">
            <w:pPr>
              <w:pStyle w:val="P68B1DB1-Normal14"/>
              <w:spacing w:after="0"/>
              <w:rPr>
                <w:rFonts w:eastAsia="Times New Roman" w:cs="Times New Roman"/>
                <w:noProof/>
              </w:rPr>
            </w:pPr>
            <w:r>
              <w:rPr>
                <w:noProof/>
              </w:rPr>
              <w:t>Cobertura de zonas blancas mediante el desarrollo de redes de fibra óptica de muy alta velocidad (I-2.13)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9F27715"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5CF5657" w14:textId="77777777" w:rsidR="00F208CE" w:rsidRDefault="00513E84">
            <w:pPr>
              <w:pStyle w:val="P68B1DB1-Normal14"/>
              <w:spacing w:after="0"/>
              <w:rPr>
                <w:rFonts w:eastAsia="Times New Roman" w:cs="Times New Roman"/>
                <w:noProof/>
              </w:rPr>
            </w:pPr>
            <w:r>
              <w:rPr>
                <w:noProof/>
              </w:rPr>
              <w:t>Cobertura</w:t>
            </w:r>
          </w:p>
        </w:tc>
      </w:tr>
      <w:tr w:rsidR="00F208CE" w14:paraId="0DBD2439"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990CC49" w14:textId="77777777" w:rsidR="00F208CE" w:rsidRDefault="00513E84">
            <w:pPr>
              <w:pStyle w:val="P68B1DB1-Normal14"/>
              <w:spacing w:after="0"/>
              <w:jc w:val="center"/>
              <w:rPr>
                <w:rFonts w:eastAsia="Times New Roman" w:cs="Times New Roman"/>
                <w:noProof/>
              </w:rPr>
            </w:pPr>
            <w:r>
              <w:rPr>
                <w:noProof/>
              </w:rPr>
              <w:t>96</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2FA1544" w14:textId="77777777" w:rsidR="00F208CE" w:rsidRDefault="00513E84">
            <w:pPr>
              <w:pStyle w:val="P68B1DB1-Normal14"/>
              <w:spacing w:after="0"/>
              <w:rPr>
                <w:rFonts w:eastAsia="Times New Roman" w:cs="Times New Roman"/>
                <w:noProof/>
              </w:rPr>
            </w:pPr>
            <w:r>
              <w:rPr>
                <w:noProof/>
              </w:rPr>
              <w:t>Infraestructura para bicicletas (I-3A)</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F0E9837"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DF22689" w14:textId="77777777" w:rsidR="00F208CE" w:rsidRDefault="00513E84">
            <w:pPr>
              <w:pStyle w:val="P68B1DB1-Normal14"/>
              <w:spacing w:after="0"/>
              <w:rPr>
                <w:rFonts w:eastAsia="Times New Roman" w:cs="Times New Roman"/>
                <w:noProof/>
              </w:rPr>
            </w:pPr>
            <w:r>
              <w:rPr>
                <w:noProof/>
              </w:rPr>
              <w:t>Carreteras ciclistas nuevas y renovadas</w:t>
            </w:r>
          </w:p>
        </w:tc>
      </w:tr>
      <w:tr w:rsidR="00F208CE" w14:paraId="7FC7DEA5"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C235901" w14:textId="77777777" w:rsidR="00F208CE" w:rsidRDefault="00513E84">
            <w:pPr>
              <w:pStyle w:val="P68B1DB1-Normal14"/>
              <w:spacing w:after="0"/>
              <w:jc w:val="center"/>
              <w:rPr>
                <w:rFonts w:eastAsia="Times New Roman" w:cs="Times New Roman"/>
                <w:noProof/>
              </w:rPr>
            </w:pPr>
            <w:r>
              <w:rPr>
                <w:noProof/>
              </w:rPr>
              <w:t>97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31A3AFA" w14:textId="33C7C503" w:rsidR="00F208CE" w:rsidRDefault="00513E84">
            <w:pPr>
              <w:pStyle w:val="P68B1DB1-Normal14"/>
              <w:spacing w:after="0"/>
              <w:rPr>
                <w:rFonts w:eastAsia="Times New Roman" w:cs="Times New Roman"/>
                <w:noProof/>
              </w:rPr>
            </w:pPr>
            <w:r>
              <w:rPr>
                <w:noProof/>
              </w:rPr>
              <w:t xml:space="preserve">Infraestructura para </w:t>
            </w:r>
            <w:r>
              <w:rPr>
                <w:noProof/>
              </w:rPr>
              <w:t>bicicletas — VeloPlus — RBC (I-3.03.a)</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0556AD5"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7F010F8" w14:textId="77777777" w:rsidR="00F208CE" w:rsidRDefault="00513E84">
            <w:pPr>
              <w:pStyle w:val="P68B1DB1-Normal14"/>
              <w:spacing w:after="0"/>
              <w:rPr>
                <w:rFonts w:eastAsia="Times New Roman" w:cs="Times New Roman"/>
                <w:noProof/>
              </w:rPr>
            </w:pPr>
            <w:r>
              <w:rPr>
                <w:noProof/>
              </w:rPr>
              <w:t>Nuevos aparcamientos públicos en bicicleta para residentes</w:t>
            </w:r>
          </w:p>
        </w:tc>
      </w:tr>
      <w:tr w:rsidR="00F208CE" w14:paraId="117DE3F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1B56564" w14:textId="77777777" w:rsidR="00F208CE" w:rsidRDefault="00513E84">
            <w:pPr>
              <w:pStyle w:val="P68B1DB1-Normal14"/>
              <w:spacing w:after="0"/>
              <w:jc w:val="center"/>
              <w:rPr>
                <w:rFonts w:eastAsia="Times New Roman" w:cs="Times New Roman"/>
                <w:noProof/>
              </w:rPr>
            </w:pPr>
            <w:r>
              <w:rPr>
                <w:noProof/>
              </w:rPr>
              <w:t>101</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6FF7423" w14:textId="77777777" w:rsidR="00F208CE" w:rsidRDefault="00513E84">
            <w:pPr>
              <w:pStyle w:val="P68B1DB1-Normal14"/>
              <w:spacing w:after="0"/>
              <w:rPr>
                <w:rFonts w:eastAsia="Times New Roman" w:cs="Times New Roman"/>
                <w:noProof/>
              </w:rPr>
            </w:pPr>
            <w:r>
              <w:rPr>
                <w:noProof/>
              </w:rPr>
              <w:t>Mejora del transporte público en Valonia (I-3b)</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1172F24"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1785C68" w14:textId="77777777" w:rsidR="00F208CE" w:rsidRDefault="00513E84">
            <w:pPr>
              <w:pStyle w:val="P68B1DB1-Normal14"/>
              <w:spacing w:after="0"/>
              <w:rPr>
                <w:rFonts w:eastAsia="Times New Roman" w:cs="Times New Roman"/>
                <w:noProof/>
              </w:rPr>
            </w:pPr>
            <w:r>
              <w:rPr>
                <w:noProof/>
              </w:rPr>
              <w:t>Finalización de las obras y encrucijada con semáforos inteligentes</w:t>
            </w:r>
          </w:p>
        </w:tc>
      </w:tr>
      <w:tr w:rsidR="00F208CE" w14:paraId="05920DD3"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59E4615" w14:textId="77777777" w:rsidR="00F208CE" w:rsidRDefault="00513E84">
            <w:pPr>
              <w:pStyle w:val="P68B1DB1-Normal14"/>
              <w:spacing w:after="0"/>
              <w:jc w:val="center"/>
              <w:rPr>
                <w:rFonts w:eastAsia="Times New Roman" w:cs="Times New Roman"/>
                <w:noProof/>
              </w:rPr>
            </w:pPr>
            <w:r>
              <w:rPr>
                <w:noProof/>
              </w:rPr>
              <w:t>105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3F34994" w14:textId="77777777" w:rsidR="00F208CE" w:rsidRDefault="00513E84">
            <w:pPr>
              <w:pStyle w:val="P68B1DB1-Normal14"/>
              <w:spacing w:after="0"/>
              <w:rPr>
                <w:rFonts w:eastAsia="Times New Roman" w:cs="Times New Roman"/>
                <w:noProof/>
              </w:rPr>
            </w:pPr>
            <w:r>
              <w:rPr>
                <w:noProof/>
              </w:rPr>
              <w:t xml:space="preserve">Obras de acondicionamiento y </w:t>
            </w:r>
            <w:r>
              <w:rPr>
                <w:noProof/>
              </w:rPr>
              <w:t>accesibilidad de las estaciones (I-3C)</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75A8436"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68EF678" w14:textId="77777777" w:rsidR="00F208CE" w:rsidRDefault="00513E84">
            <w:pPr>
              <w:pStyle w:val="P68B1DB1-Normal14"/>
              <w:spacing w:after="0"/>
              <w:rPr>
                <w:rFonts w:eastAsia="Times New Roman" w:cs="Times New Roman"/>
                <w:noProof/>
              </w:rPr>
            </w:pPr>
            <w:r>
              <w:rPr>
                <w:noProof/>
              </w:rPr>
              <w:t>Finalización de las obras de renovación y modernización de los ferrocarriles y de accesibilidad de las estaciones (etapa 3)</w:t>
            </w:r>
          </w:p>
        </w:tc>
      </w:tr>
      <w:tr w:rsidR="00F208CE" w14:paraId="0F6BA37A"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F28FBEB" w14:textId="77777777" w:rsidR="00F208CE" w:rsidRDefault="00513E84">
            <w:pPr>
              <w:pStyle w:val="P68B1DB1-Normal14"/>
              <w:spacing w:after="0"/>
              <w:jc w:val="center"/>
              <w:rPr>
                <w:rFonts w:eastAsia="Times New Roman" w:cs="Times New Roman"/>
                <w:noProof/>
              </w:rPr>
            </w:pPr>
            <w:r>
              <w:rPr>
                <w:noProof/>
              </w:rPr>
              <w:t>107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2553CE9" w14:textId="77777777" w:rsidR="00F208CE" w:rsidRDefault="00513E84">
            <w:pPr>
              <w:pStyle w:val="P68B1DB1-Normal14"/>
              <w:spacing w:after="0"/>
              <w:rPr>
                <w:rFonts w:eastAsia="Times New Roman" w:cs="Times New Roman"/>
                <w:noProof/>
              </w:rPr>
            </w:pPr>
            <w:r>
              <w:rPr>
                <w:noProof/>
              </w:rPr>
              <w:t>Canal Albert y Trilogiport (I-3.11)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B0EAEFB"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5BA23D" w14:textId="77777777" w:rsidR="00F208CE" w:rsidRDefault="00513E84">
            <w:pPr>
              <w:pStyle w:val="P68B1DB1-Normal14"/>
              <w:spacing w:after="0"/>
              <w:rPr>
                <w:rFonts w:eastAsia="Times New Roman" w:cs="Times New Roman"/>
                <w:noProof/>
              </w:rPr>
            </w:pPr>
            <w:r>
              <w:rPr>
                <w:noProof/>
              </w:rPr>
              <w:t xml:space="preserve">Finalización de las obras de los puentes sobre </w:t>
            </w:r>
            <w:r>
              <w:rPr>
                <w:noProof/>
              </w:rPr>
              <w:t>Canal Albert/y una nueva plataforma en Trilogiport</w:t>
            </w:r>
          </w:p>
        </w:tc>
      </w:tr>
      <w:tr w:rsidR="00F208CE" w14:paraId="34C38D8B"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tcPr>
          <w:p w14:paraId="7BA918BC" w14:textId="0228FBE9" w:rsidR="00F208CE" w:rsidRDefault="00513E84">
            <w:pPr>
              <w:pStyle w:val="P68B1DB1-Normal14"/>
              <w:spacing w:after="0"/>
              <w:rPr>
                <w:rFonts w:eastAsia="Times New Roman" w:cs="Times New Roman"/>
                <w:noProof/>
              </w:rPr>
            </w:pPr>
            <w:r>
              <w:rPr>
                <w:noProof/>
              </w:rPr>
              <w:t>115 b)</w:t>
            </w:r>
          </w:p>
        </w:tc>
        <w:tc>
          <w:tcPr>
            <w:tcW w:w="2014" w:type="pct"/>
            <w:tcBorders>
              <w:top w:val="single" w:sz="4" w:space="0" w:color="auto"/>
              <w:left w:val="single" w:sz="4" w:space="0" w:color="auto"/>
              <w:bottom w:val="single" w:sz="4" w:space="0" w:color="auto"/>
              <w:right w:val="single" w:sz="4" w:space="0" w:color="auto"/>
            </w:tcBorders>
            <w:shd w:val="clear" w:color="auto" w:fill="C6EFCE"/>
            <w:noWrap/>
          </w:tcPr>
          <w:p w14:paraId="2126DF1B" w14:textId="7954CE77" w:rsidR="00F208CE" w:rsidRDefault="00513E84">
            <w:pPr>
              <w:pStyle w:val="P68B1DB1-Normal14"/>
              <w:spacing w:after="0"/>
              <w:rPr>
                <w:rFonts w:eastAsia="Times New Roman" w:cs="Times New Roman"/>
                <w:noProof/>
              </w:rPr>
            </w:pPr>
            <w:r>
              <w:rPr>
                <w:noProof/>
              </w:rPr>
              <w:t>Ecologización de la flota de autobuses — (I-3G)</w:t>
            </w:r>
          </w:p>
        </w:tc>
        <w:tc>
          <w:tcPr>
            <w:tcW w:w="333" w:type="pct"/>
            <w:tcBorders>
              <w:top w:val="single" w:sz="4" w:space="0" w:color="auto"/>
              <w:left w:val="single" w:sz="4" w:space="0" w:color="auto"/>
              <w:bottom w:val="single" w:sz="4" w:space="0" w:color="auto"/>
              <w:right w:val="single" w:sz="4" w:space="0" w:color="auto"/>
            </w:tcBorders>
            <w:shd w:val="clear" w:color="auto" w:fill="C6EFCE"/>
            <w:noWrap/>
          </w:tcPr>
          <w:p w14:paraId="6B49DD8E" w14:textId="4581AD9C"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tcPr>
          <w:p w14:paraId="0BC58D1F" w14:textId="1AEE0653" w:rsidR="00F208CE" w:rsidRDefault="00513E84">
            <w:pPr>
              <w:pStyle w:val="P68B1DB1-Normal14"/>
              <w:spacing w:after="0"/>
              <w:rPr>
                <w:rFonts w:eastAsia="Times New Roman" w:cs="Times New Roman"/>
                <w:noProof/>
              </w:rPr>
            </w:pPr>
            <w:r>
              <w:rPr>
                <w:noProof/>
              </w:rPr>
              <w:t>Autobuses verdes puestos en servicio y depósito de nueva construcción en Valonia</w:t>
            </w:r>
          </w:p>
        </w:tc>
      </w:tr>
      <w:tr w:rsidR="00F208CE" w14:paraId="66CDB796"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F6B4455" w14:textId="77777777" w:rsidR="00F208CE" w:rsidRDefault="00513E84">
            <w:pPr>
              <w:pStyle w:val="P68B1DB1-Normal14"/>
              <w:spacing w:after="0"/>
              <w:jc w:val="center"/>
              <w:rPr>
                <w:rFonts w:eastAsia="Times New Roman" w:cs="Times New Roman"/>
                <w:noProof/>
              </w:rPr>
            </w:pPr>
            <w:r>
              <w:rPr>
                <w:noProof/>
              </w:rPr>
              <w:t>123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1292F85" w14:textId="77777777" w:rsidR="00F208CE" w:rsidRDefault="00513E84">
            <w:pPr>
              <w:pStyle w:val="P68B1DB1-Normal14"/>
              <w:spacing w:after="0"/>
              <w:rPr>
                <w:rFonts w:eastAsia="Times New Roman" w:cs="Times New Roman"/>
                <w:noProof/>
              </w:rPr>
            </w:pPr>
            <w:r>
              <w:rPr>
                <w:noProof/>
              </w:rPr>
              <w:t>Estaciones de recarga (I-3F)</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410D576"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4D9E907" w14:textId="77777777" w:rsidR="00F208CE" w:rsidRDefault="00513E84">
            <w:pPr>
              <w:pStyle w:val="P68B1DB1-Normal14"/>
              <w:spacing w:after="0"/>
              <w:rPr>
                <w:rFonts w:eastAsia="Times New Roman" w:cs="Times New Roman"/>
                <w:noProof/>
              </w:rPr>
            </w:pPr>
            <w:r>
              <w:rPr>
                <w:noProof/>
              </w:rPr>
              <w:t xml:space="preserve">Puntos de recarga operativos </w:t>
            </w:r>
            <w:r>
              <w:rPr>
                <w:noProof/>
              </w:rPr>
              <w:t>adicionales privados, semipúblicos y públicos (etapa 3)</w:t>
            </w:r>
          </w:p>
        </w:tc>
      </w:tr>
      <w:tr w:rsidR="00F208CE" w14:paraId="7CED010C"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D08F40B" w14:textId="77777777" w:rsidR="00F208CE" w:rsidRDefault="00513E84">
            <w:pPr>
              <w:pStyle w:val="P68B1DB1-Normal14"/>
              <w:spacing w:after="0"/>
              <w:jc w:val="center"/>
              <w:rPr>
                <w:rFonts w:eastAsia="Times New Roman" w:cs="Times New Roman"/>
                <w:noProof/>
              </w:rPr>
            </w:pPr>
            <w:r>
              <w:rPr>
                <w:noProof/>
              </w:rPr>
              <w:t>133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B87422E" w14:textId="77777777" w:rsidR="00F208CE" w:rsidRDefault="00513E84">
            <w:pPr>
              <w:pStyle w:val="P68B1DB1-Normal14"/>
              <w:spacing w:after="0"/>
              <w:rPr>
                <w:rFonts w:eastAsia="Times New Roman" w:cs="Times New Roman"/>
                <w:noProof/>
              </w:rPr>
            </w:pPr>
            <w:r>
              <w:rPr>
                <w:noProof/>
              </w:rPr>
              <w:t>Suministro de equipos digitales e infraestructura informática a las escuelas» (I-4)</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F02C609"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874339D" w14:textId="77777777" w:rsidR="00F208CE" w:rsidRDefault="00513E84">
            <w:pPr>
              <w:pStyle w:val="P68B1DB1-Normal14"/>
              <w:spacing w:after="0"/>
              <w:rPr>
                <w:rFonts w:eastAsia="Times New Roman" w:cs="Times New Roman"/>
                <w:noProof/>
              </w:rPr>
            </w:pPr>
            <w:r>
              <w:rPr>
                <w:noProof/>
              </w:rPr>
              <w:t xml:space="preserve">Dotar a las escuelas/instituciones de dispositivos e infraestructuras de TIC adecuados para mejorar el </w:t>
            </w:r>
            <w:r>
              <w:rPr>
                <w:noProof/>
              </w:rPr>
              <w:t>rendimiento global de los sistemas educativos</w:t>
            </w:r>
          </w:p>
        </w:tc>
      </w:tr>
      <w:tr w:rsidR="00F208CE" w14:paraId="060D5018"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B4E2298" w14:textId="77777777" w:rsidR="00F208CE" w:rsidRDefault="00513E84">
            <w:pPr>
              <w:pStyle w:val="P68B1DB1-Normal14"/>
              <w:spacing w:after="0"/>
              <w:jc w:val="center"/>
              <w:rPr>
                <w:rFonts w:eastAsia="Times New Roman" w:cs="Times New Roman"/>
                <w:noProof/>
              </w:rPr>
            </w:pPr>
            <w:r>
              <w:rPr>
                <w:noProof/>
              </w:rPr>
              <w:t>155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F91F729" w14:textId="77777777" w:rsidR="00F208CE" w:rsidRDefault="00513E84">
            <w:pPr>
              <w:pStyle w:val="P68B1DB1-Normal14"/>
              <w:spacing w:after="0"/>
              <w:rPr>
                <w:rFonts w:eastAsia="Times New Roman" w:cs="Times New Roman"/>
                <w:noProof/>
              </w:rPr>
            </w:pPr>
            <w:r>
              <w:rPr>
                <w:noProof/>
              </w:rPr>
              <w:t>Construcción y renovación de la infraestructura de guardería infantil (I-4.13)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DC3C6D8"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AB03C7C" w14:textId="77777777" w:rsidR="00F208CE" w:rsidRDefault="00513E84">
            <w:pPr>
              <w:pStyle w:val="P68B1DB1-Normal14"/>
              <w:spacing w:after="0"/>
              <w:rPr>
                <w:rFonts w:eastAsia="Times New Roman" w:cs="Times New Roman"/>
                <w:noProof/>
              </w:rPr>
            </w:pPr>
            <w:r>
              <w:rPr>
                <w:noProof/>
              </w:rPr>
              <w:t>Apertura de plazas de guardería</w:t>
            </w:r>
          </w:p>
        </w:tc>
      </w:tr>
      <w:tr w:rsidR="00F208CE" w14:paraId="613023AE"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7C6638A" w14:textId="77777777" w:rsidR="00F208CE" w:rsidRDefault="00513E84">
            <w:pPr>
              <w:pStyle w:val="P68B1DB1-Normal14"/>
              <w:spacing w:after="0"/>
              <w:jc w:val="center"/>
              <w:rPr>
                <w:rFonts w:eastAsia="Times New Roman" w:cs="Times New Roman"/>
                <w:noProof/>
              </w:rPr>
            </w:pPr>
            <w:r>
              <w:rPr>
                <w:noProof/>
              </w:rPr>
              <w:t>153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0E56F2A" w14:textId="77777777" w:rsidR="00F208CE" w:rsidRDefault="00513E84">
            <w:pPr>
              <w:pStyle w:val="P68B1DB1-Normal14"/>
              <w:spacing w:after="0"/>
              <w:rPr>
                <w:rFonts w:eastAsia="Times New Roman" w:cs="Times New Roman"/>
                <w:noProof/>
              </w:rPr>
            </w:pPr>
            <w:r>
              <w:rPr>
                <w:noProof/>
              </w:rPr>
              <w:t>Desarrollo de viviendas de utilidad pública y vivienda para personas vulnerables (I-4.1</w:t>
            </w:r>
            <w:r>
              <w:rPr>
                <w:noProof/>
              </w:rPr>
              <w:t>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CE6636B"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D80CC73" w14:textId="77777777" w:rsidR="00F208CE" w:rsidRDefault="00513E84">
            <w:pPr>
              <w:pStyle w:val="P68B1DB1-Normal14"/>
              <w:spacing w:after="0"/>
              <w:rPr>
                <w:rFonts w:eastAsia="Times New Roman" w:cs="Times New Roman"/>
                <w:noProof/>
              </w:rPr>
            </w:pPr>
            <w:r>
              <w:rPr>
                <w:noProof/>
              </w:rPr>
              <w:t>Viviendas listas para ser ocupadas</w:t>
            </w:r>
          </w:p>
        </w:tc>
      </w:tr>
      <w:tr w:rsidR="00F208CE" w14:paraId="78814FAD"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ED5A421" w14:textId="77777777" w:rsidR="00F208CE" w:rsidRDefault="00513E84">
            <w:pPr>
              <w:pStyle w:val="P68B1DB1-Normal14"/>
              <w:spacing w:after="0"/>
              <w:jc w:val="center"/>
              <w:rPr>
                <w:rFonts w:eastAsia="Times New Roman" w:cs="Times New Roman"/>
                <w:noProof/>
              </w:rPr>
            </w:pPr>
            <w:r>
              <w:rPr>
                <w:noProof/>
              </w:rPr>
              <w:t>162</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5063844" w14:textId="77777777" w:rsidR="00F208CE" w:rsidRDefault="00513E84">
            <w:pPr>
              <w:pStyle w:val="P68B1DB1-Normal14"/>
              <w:spacing w:after="0"/>
              <w:rPr>
                <w:rFonts w:eastAsia="Times New Roman" w:cs="Times New Roman"/>
                <w:noProof/>
              </w:rPr>
            </w:pPr>
            <w:r>
              <w:rPr>
                <w:noProof/>
              </w:rPr>
              <w:t>A6K/E6K Centro de Innovación y Formación Digitales y Tecnológicas (I-5.01)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AA95DF9"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E86E80E" w14:textId="77777777" w:rsidR="00F208CE" w:rsidRDefault="00513E84">
            <w:pPr>
              <w:pStyle w:val="P68B1DB1-Normal14"/>
              <w:spacing w:after="0"/>
              <w:rPr>
                <w:rFonts w:eastAsia="Times New Roman" w:cs="Times New Roman"/>
                <w:noProof/>
              </w:rPr>
            </w:pPr>
            <w:r>
              <w:rPr>
                <w:noProof/>
              </w:rPr>
              <w:t>Finalización de la renovación y ampliación de A6K-E6K</w:t>
            </w:r>
          </w:p>
        </w:tc>
      </w:tr>
      <w:tr w:rsidR="00F208CE" w14:paraId="684E43B3"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3DAA3F3" w14:textId="77777777" w:rsidR="00F208CE" w:rsidRDefault="00513E84">
            <w:pPr>
              <w:pStyle w:val="P68B1DB1-Normal14"/>
              <w:spacing w:after="0"/>
              <w:jc w:val="center"/>
              <w:rPr>
                <w:rFonts w:eastAsia="Times New Roman" w:cs="Times New Roman"/>
                <w:noProof/>
              </w:rPr>
            </w:pPr>
            <w:r>
              <w:rPr>
                <w:noProof/>
              </w:rPr>
              <w:t>163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5D05DBF" w14:textId="77777777" w:rsidR="00F208CE" w:rsidRDefault="00513E84">
            <w:pPr>
              <w:pStyle w:val="P68B1DB1-Normal14"/>
              <w:spacing w:after="0"/>
              <w:rPr>
                <w:rFonts w:eastAsia="Times New Roman" w:cs="Times New Roman"/>
                <w:noProof/>
              </w:rPr>
            </w:pPr>
            <w:r>
              <w:rPr>
                <w:noProof/>
              </w:rPr>
              <w:t>Mejora de la infraestructura de formación avanzada (I-5.03)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5A93244"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6FA384A" w14:textId="77777777" w:rsidR="00F208CE" w:rsidRDefault="00513E84">
            <w:pPr>
              <w:pStyle w:val="P68B1DB1-Normal14"/>
              <w:spacing w:after="0"/>
              <w:rPr>
                <w:rFonts w:eastAsia="Times New Roman" w:cs="Times New Roman"/>
                <w:noProof/>
              </w:rPr>
            </w:pPr>
            <w:r>
              <w:rPr>
                <w:noProof/>
              </w:rPr>
              <w:t xml:space="preserve">Edificios y </w:t>
            </w:r>
            <w:r>
              <w:rPr>
                <w:noProof/>
              </w:rPr>
              <w:t>equipos para la formación y los servicios de empleo</w:t>
            </w:r>
          </w:p>
        </w:tc>
      </w:tr>
      <w:tr w:rsidR="00F208CE" w14:paraId="5F37A18B"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881B8C" w14:textId="77777777" w:rsidR="00F208CE" w:rsidRDefault="00513E84">
            <w:pPr>
              <w:pStyle w:val="P68B1DB1-Normal14"/>
              <w:spacing w:after="0"/>
              <w:jc w:val="center"/>
              <w:rPr>
                <w:rFonts w:eastAsia="Times New Roman" w:cs="Times New Roman"/>
                <w:noProof/>
              </w:rPr>
            </w:pPr>
            <w:r>
              <w:rPr>
                <w:noProof/>
              </w:rPr>
              <w:t>171</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9958475" w14:textId="77777777" w:rsidR="00F208CE" w:rsidRDefault="00513E84">
            <w:pPr>
              <w:pStyle w:val="P68B1DB1-Normal14"/>
              <w:spacing w:after="0"/>
              <w:rPr>
                <w:rFonts w:eastAsia="Times New Roman" w:cs="Times New Roman"/>
                <w:noProof/>
              </w:rPr>
            </w:pPr>
            <w:r>
              <w:rPr>
                <w:noProof/>
              </w:rPr>
              <w:t>Aprendizaje permanente digital (I-5.07)</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80731A1"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707BF02" w14:textId="49AA5CCD" w:rsidR="00F208CE" w:rsidRDefault="00513E84">
            <w:pPr>
              <w:pStyle w:val="P68B1DB1-Normal14"/>
              <w:spacing w:after="0"/>
              <w:rPr>
                <w:rFonts w:eastAsia="Times New Roman" w:cs="Times New Roman"/>
                <w:noProof/>
              </w:rPr>
            </w:pPr>
            <w:r>
              <w:rPr>
                <w:noProof/>
              </w:rPr>
              <w:t>Modernización de la prestación de asesoramiento y formación en capacidades digitales, incluidas las capacidades digitales básicas en Valonia, a través de her</w:t>
            </w:r>
            <w:r>
              <w:rPr>
                <w:noProof/>
              </w:rPr>
              <w:t>ramientas digitales, infraestructuras de vanguardia, tutorías competentes y proyectos innovadores</w:t>
            </w:r>
          </w:p>
        </w:tc>
      </w:tr>
      <w:tr w:rsidR="00F208CE" w14:paraId="0C74D833"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43D27F6" w14:textId="77777777" w:rsidR="00F208CE" w:rsidRDefault="00513E84">
            <w:pPr>
              <w:pStyle w:val="P68B1DB1-Normal14"/>
              <w:spacing w:after="0"/>
              <w:jc w:val="center"/>
              <w:rPr>
                <w:rFonts w:eastAsia="Times New Roman" w:cs="Times New Roman"/>
                <w:noProof/>
              </w:rPr>
            </w:pPr>
            <w:r>
              <w:rPr>
                <w:noProof/>
              </w:rPr>
              <w:t>179</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932F9BB" w14:textId="77777777" w:rsidR="00F208CE" w:rsidRDefault="00513E84">
            <w:pPr>
              <w:pStyle w:val="P68B1DB1-Normal14"/>
              <w:spacing w:after="0"/>
              <w:rPr>
                <w:rFonts w:eastAsia="Times New Roman" w:cs="Times New Roman"/>
                <w:noProof/>
              </w:rPr>
            </w:pPr>
            <w:r>
              <w:rPr>
                <w:noProof/>
              </w:rPr>
              <w:t>Medicina nuclear (I-5.08)</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3A37464"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0B50B07" w14:textId="77777777" w:rsidR="00F208CE" w:rsidRDefault="00513E84">
            <w:pPr>
              <w:pStyle w:val="P68B1DB1-Normal14"/>
              <w:spacing w:after="0"/>
              <w:rPr>
                <w:rFonts w:eastAsia="Times New Roman" w:cs="Times New Roman"/>
                <w:noProof/>
              </w:rPr>
            </w:pPr>
            <w:r>
              <w:rPr>
                <w:noProof/>
              </w:rPr>
              <w:t>Instalación de radioisótopos construida y puesta en servicio (FANC y FAGG)</w:t>
            </w:r>
          </w:p>
        </w:tc>
      </w:tr>
      <w:tr w:rsidR="00F208CE" w14:paraId="309CB317"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996C908" w14:textId="77777777" w:rsidR="00F208CE" w:rsidRDefault="00513E84">
            <w:pPr>
              <w:pStyle w:val="P68B1DB1-Normal14"/>
              <w:spacing w:after="0"/>
              <w:jc w:val="center"/>
              <w:rPr>
                <w:rFonts w:eastAsia="Times New Roman" w:cs="Times New Roman"/>
                <w:noProof/>
              </w:rPr>
            </w:pPr>
            <w:r>
              <w:rPr>
                <w:noProof/>
              </w:rPr>
              <w:t>185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8AB3410" w14:textId="77777777" w:rsidR="00F208CE" w:rsidRDefault="00513E84">
            <w:pPr>
              <w:pStyle w:val="P68B1DB1-Normal14"/>
              <w:spacing w:after="0"/>
              <w:rPr>
                <w:rFonts w:eastAsia="Times New Roman" w:cs="Times New Roman"/>
                <w:noProof/>
              </w:rPr>
            </w:pPr>
            <w:r>
              <w:rPr>
                <w:noProof/>
              </w:rPr>
              <w:t xml:space="preserve">R — D: Minimización de residuos durante el </w:t>
            </w:r>
            <w:r>
              <w:rPr>
                <w:noProof/>
              </w:rPr>
              <w:t>desmantelamiento (I-5.10)</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AF922E7"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2BCD0A2" w14:textId="77777777" w:rsidR="00F208CE" w:rsidRDefault="00513E84">
            <w:pPr>
              <w:pStyle w:val="P68B1DB1-Normal14"/>
              <w:spacing w:after="0"/>
              <w:rPr>
                <w:rFonts w:eastAsia="Times New Roman" w:cs="Times New Roman"/>
                <w:noProof/>
              </w:rPr>
            </w:pPr>
            <w:r>
              <w:rPr>
                <w:noProof/>
              </w:rPr>
              <w:t>Construcción y puesta en servicio de una instalación de tratamiento de materiales (mat); finalización del estudio teórico</w:t>
            </w:r>
          </w:p>
        </w:tc>
      </w:tr>
      <w:tr w:rsidR="00F208CE" w14:paraId="0643E1E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68F43D7" w14:textId="77777777" w:rsidR="00F208CE" w:rsidRDefault="00513E84">
            <w:pPr>
              <w:pStyle w:val="P68B1DB1-Normal14"/>
              <w:spacing w:after="0"/>
              <w:jc w:val="center"/>
              <w:rPr>
                <w:rFonts w:eastAsia="Times New Roman" w:cs="Times New Roman"/>
                <w:noProof/>
              </w:rPr>
            </w:pPr>
            <w:r>
              <w:rPr>
                <w:noProof/>
              </w:rPr>
              <w:t>187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12A3159" w14:textId="77777777" w:rsidR="00F208CE" w:rsidRDefault="00513E84">
            <w:pPr>
              <w:pStyle w:val="P68B1DB1-Normal14"/>
              <w:spacing w:after="0"/>
              <w:rPr>
                <w:rFonts w:eastAsia="Times New Roman" w:cs="Times New Roman"/>
                <w:noProof/>
              </w:rPr>
            </w:pPr>
            <w:r>
              <w:rPr>
                <w:noProof/>
              </w:rPr>
              <w:t>Reforzar la I + D (I-5.11)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AB3FD8D" w14:textId="4B3146A6"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612B203" w14:textId="3C702F90" w:rsidR="00F208CE" w:rsidRDefault="00513E84">
            <w:pPr>
              <w:pStyle w:val="P68B1DB1-Normal14"/>
              <w:spacing w:after="0"/>
              <w:rPr>
                <w:rFonts w:eastAsia="Times New Roman" w:cs="Times New Roman"/>
                <w:noProof/>
              </w:rPr>
            </w:pPr>
            <w:r>
              <w:rPr>
                <w:noProof/>
              </w:rPr>
              <w:t>Proyectos de I + D I adjudicados y proyectos de infraestructura financia</w:t>
            </w:r>
            <w:r>
              <w:rPr>
                <w:noProof/>
              </w:rPr>
              <w:t>dos</w:t>
            </w:r>
          </w:p>
        </w:tc>
      </w:tr>
      <w:tr w:rsidR="00F208CE" w14:paraId="5F22E6A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53D1E78" w14:textId="77777777" w:rsidR="00F208CE" w:rsidRDefault="00513E84">
            <w:pPr>
              <w:pStyle w:val="P68B1DB1-Normal14"/>
              <w:spacing w:after="0"/>
              <w:jc w:val="center"/>
              <w:rPr>
                <w:rFonts w:eastAsia="Times New Roman" w:cs="Times New Roman"/>
                <w:noProof/>
              </w:rPr>
            </w:pPr>
            <w:r>
              <w:rPr>
                <w:noProof/>
              </w:rPr>
              <w:t>191</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C6E877" w14:textId="77777777" w:rsidR="00F208CE" w:rsidRDefault="00513E84">
            <w:pPr>
              <w:pStyle w:val="P68B1DB1-Normal14"/>
              <w:spacing w:after="0"/>
              <w:rPr>
                <w:rFonts w:eastAsia="Times New Roman" w:cs="Times New Roman"/>
                <w:noProof/>
              </w:rPr>
            </w:pPr>
            <w:r>
              <w:rPr>
                <w:noProof/>
              </w:rPr>
              <w:t>Reubicación de alimentos y desarrollo de plataformas logísticas (I-5.12)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D0F546"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45E4250" w14:textId="77777777" w:rsidR="00F208CE" w:rsidRDefault="00513E84">
            <w:pPr>
              <w:pStyle w:val="P68B1DB1-Normal14"/>
              <w:spacing w:after="0"/>
              <w:rPr>
                <w:rFonts w:eastAsia="Times New Roman" w:cs="Times New Roman"/>
                <w:noProof/>
              </w:rPr>
            </w:pPr>
            <w:r>
              <w:rPr>
                <w:noProof/>
              </w:rPr>
              <w:t xml:space="preserve">Se ha completado la construcción de al menos cinco infraestructuras, 30 infraestructuras a pequeña escala y 4 proyectos de estructuración de mayor envergadura. </w:t>
            </w:r>
          </w:p>
        </w:tc>
      </w:tr>
      <w:tr w:rsidR="00F208CE" w14:paraId="307BA119"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8F69A29" w14:textId="77777777" w:rsidR="00F208CE" w:rsidRDefault="00513E84">
            <w:pPr>
              <w:pStyle w:val="P68B1DB1-Normal14"/>
              <w:spacing w:after="0"/>
              <w:jc w:val="center"/>
              <w:rPr>
                <w:rFonts w:eastAsia="Times New Roman" w:cs="Times New Roman"/>
                <w:noProof/>
              </w:rPr>
            </w:pPr>
            <w:r>
              <w:rPr>
                <w:noProof/>
              </w:rPr>
              <w:t>198</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784F169" w14:textId="77777777" w:rsidR="00F208CE" w:rsidRDefault="00513E84">
            <w:pPr>
              <w:pStyle w:val="P68B1DB1-Normal14"/>
              <w:spacing w:after="0"/>
              <w:rPr>
                <w:rFonts w:eastAsia="Times New Roman" w:cs="Times New Roman"/>
                <w:noProof/>
              </w:rPr>
            </w:pPr>
            <w:r>
              <w:rPr>
                <w:noProof/>
              </w:rPr>
              <w:t>Centro</w:t>
            </w:r>
            <w:r>
              <w:rPr>
                <w:noProof/>
              </w:rPr>
              <w:t xml:space="preserve"> de reciclado (I-5.14)</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22E0CCF"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BAE1581" w14:textId="77777777" w:rsidR="00F208CE" w:rsidRDefault="00513E84">
            <w:pPr>
              <w:pStyle w:val="P68B1DB1-Normal14"/>
              <w:spacing w:after="0"/>
              <w:rPr>
                <w:rFonts w:eastAsia="Times New Roman" w:cs="Times New Roman"/>
                <w:noProof/>
              </w:rPr>
            </w:pPr>
            <w:r>
              <w:rPr>
                <w:noProof/>
              </w:rPr>
              <w:t>Finalización de las obras en seis instalaciones de reciclado</w:t>
            </w:r>
          </w:p>
        </w:tc>
      </w:tr>
      <w:tr w:rsidR="00F208CE" w14:paraId="2464DED7"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1E00E82" w14:textId="77777777" w:rsidR="00F208CE" w:rsidRDefault="00513E84">
            <w:pPr>
              <w:pStyle w:val="P68B1DB1-Normal14"/>
              <w:spacing w:after="0"/>
              <w:jc w:val="center"/>
              <w:rPr>
                <w:rFonts w:eastAsia="Times New Roman" w:cs="Times New Roman"/>
                <w:noProof/>
              </w:rPr>
            </w:pPr>
            <w:r>
              <w:rPr>
                <w:noProof/>
              </w:rPr>
              <w:t>200</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B993D35" w14:textId="77777777" w:rsidR="00F208CE" w:rsidRDefault="00513E84">
            <w:pPr>
              <w:pStyle w:val="P68B1DB1-Normal14"/>
              <w:spacing w:after="0"/>
              <w:rPr>
                <w:rFonts w:eastAsia="Times New Roman" w:cs="Times New Roman"/>
                <w:noProof/>
              </w:rPr>
            </w:pPr>
            <w:r>
              <w:rPr>
                <w:noProof/>
              </w:rPr>
              <w:t>Belgium Builds Back Circular (I-5.15)</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0CE0BFF"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BAF0523" w14:textId="77777777" w:rsidR="00F208CE" w:rsidRDefault="00513E84">
            <w:pPr>
              <w:pStyle w:val="P68B1DB1-Normal14"/>
              <w:spacing w:after="0"/>
              <w:rPr>
                <w:rFonts w:eastAsia="Times New Roman" w:cs="Times New Roman"/>
                <w:noProof/>
              </w:rPr>
            </w:pPr>
            <w:r>
              <w:rPr>
                <w:noProof/>
              </w:rPr>
              <w:t>Finalización de acciones de sensibilización e información para las PYME y proyectos circulares</w:t>
            </w:r>
          </w:p>
        </w:tc>
      </w:tr>
      <w:tr w:rsidR="00F208CE" w14:paraId="05B115D9"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CC5B0C0" w14:textId="77777777" w:rsidR="00F208CE" w:rsidRDefault="00513E84">
            <w:pPr>
              <w:pStyle w:val="P68B1DB1-Normal14"/>
              <w:spacing w:after="0"/>
              <w:jc w:val="center"/>
              <w:rPr>
                <w:rFonts w:eastAsia="Times New Roman" w:cs="Times New Roman"/>
                <w:noProof/>
              </w:rPr>
            </w:pPr>
            <w:r>
              <w:rPr>
                <w:noProof/>
              </w:rPr>
              <w:t>202</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71A9D00" w14:textId="77777777" w:rsidR="00F208CE" w:rsidRDefault="00513E84">
            <w:pPr>
              <w:pStyle w:val="P68B1DB1-Normal14"/>
              <w:spacing w:after="0"/>
              <w:rPr>
                <w:rFonts w:eastAsia="Times New Roman" w:cs="Times New Roman"/>
                <w:noProof/>
              </w:rPr>
            </w:pPr>
            <w:r>
              <w:rPr>
                <w:noProof/>
              </w:rPr>
              <w:t>Despliegue de la economía</w:t>
            </w:r>
            <w:r>
              <w:rPr>
                <w:noProof/>
              </w:rPr>
              <w:t xml:space="preserve"> circular en Valonia (I-5.16)</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305EE61"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596CFDD" w14:textId="77777777" w:rsidR="00F208CE" w:rsidRDefault="00513E84">
            <w:pPr>
              <w:pStyle w:val="P68B1DB1-Normal14"/>
              <w:spacing w:after="0"/>
              <w:rPr>
                <w:rFonts w:eastAsia="Times New Roman" w:cs="Times New Roman"/>
                <w:noProof/>
              </w:rPr>
            </w:pPr>
            <w:r>
              <w:rPr>
                <w:noProof/>
              </w:rPr>
              <w:t>Finalización de proyectos de fomento de la economía circular en Valonia</w:t>
            </w:r>
          </w:p>
        </w:tc>
      </w:tr>
      <w:tr w:rsidR="00F208CE" w14:paraId="4AA09217"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59FE106" w14:textId="77777777" w:rsidR="00F208CE" w:rsidRDefault="00513E84">
            <w:pPr>
              <w:pStyle w:val="P68B1DB1-Normal14"/>
              <w:spacing w:after="0"/>
              <w:jc w:val="center"/>
              <w:rPr>
                <w:rFonts w:eastAsia="Times New Roman" w:cs="Times New Roman"/>
                <w:noProof/>
              </w:rPr>
            </w:pPr>
            <w:r>
              <w:rPr>
                <w:noProof/>
              </w:rPr>
              <w:t>215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188900E" w14:textId="77777777" w:rsidR="00F208CE" w:rsidRDefault="00513E84">
            <w:pPr>
              <w:pStyle w:val="P68B1DB1-Normal14"/>
              <w:spacing w:after="0"/>
              <w:rPr>
                <w:rFonts w:eastAsia="Times New Roman" w:cs="Times New Roman"/>
                <w:noProof/>
              </w:rPr>
            </w:pPr>
            <w:r>
              <w:rPr>
                <w:noProof/>
              </w:rPr>
              <w:t>Renovación de viviendas sociales — WAL (I-7.04)</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F0B19B7"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7E656E7" w14:textId="77777777" w:rsidR="00F208CE" w:rsidRDefault="00513E84">
            <w:pPr>
              <w:pStyle w:val="P68B1DB1-Normal14"/>
              <w:spacing w:after="0"/>
              <w:rPr>
                <w:rFonts w:eastAsia="Times New Roman" w:cs="Times New Roman"/>
                <w:noProof/>
              </w:rPr>
            </w:pPr>
            <w:r>
              <w:rPr>
                <w:noProof/>
              </w:rPr>
              <w:t xml:space="preserve">Paneles solares y bombas de calor en viviendas sociales </w:t>
            </w:r>
          </w:p>
        </w:tc>
      </w:tr>
      <w:tr w:rsidR="00F208CE" w14:paraId="27564A24"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1162B6" w14:textId="77777777" w:rsidR="00F208CE" w:rsidRDefault="00513E84">
            <w:pPr>
              <w:pStyle w:val="P68B1DB1-Normal14"/>
              <w:spacing w:after="0"/>
              <w:jc w:val="center"/>
              <w:rPr>
                <w:rFonts w:eastAsia="Times New Roman" w:cs="Times New Roman"/>
                <w:noProof/>
              </w:rPr>
            </w:pPr>
            <w:r>
              <w:rPr>
                <w:noProof/>
              </w:rPr>
              <w:t>218</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F04983C" w14:textId="27A9A531" w:rsidR="00F208CE" w:rsidRDefault="00513E84">
            <w:pPr>
              <w:pStyle w:val="P68B1DB1-Normal14"/>
              <w:spacing w:after="0"/>
              <w:rPr>
                <w:rFonts w:eastAsia="Times New Roman" w:cs="Times New Roman"/>
                <w:noProof/>
              </w:rPr>
            </w:pPr>
            <w:r>
              <w:rPr>
                <w:noProof/>
              </w:rPr>
              <w:t xml:space="preserve">Ahorro de energía en los edificios </w:t>
            </w:r>
            <w:r>
              <w:rPr>
                <w:noProof/>
              </w:rPr>
              <w:t>públicos — VLA (I-7)</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E5137E0"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CD94C71" w14:textId="77777777" w:rsidR="00F208CE" w:rsidRDefault="00513E84">
            <w:pPr>
              <w:pStyle w:val="P68B1DB1-Normal14"/>
              <w:spacing w:after="0"/>
              <w:rPr>
                <w:rFonts w:eastAsia="Times New Roman" w:cs="Times New Roman"/>
                <w:noProof/>
              </w:rPr>
            </w:pPr>
            <w:r>
              <w:rPr>
                <w:noProof/>
              </w:rPr>
              <w:t>Renovación eficiente desde el punto de vista energético de los edificios públicos</w:t>
            </w:r>
          </w:p>
        </w:tc>
      </w:tr>
      <w:tr w:rsidR="00F208CE" w14:paraId="3ACE5E5B"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4671EAC" w14:textId="77777777" w:rsidR="00F208CE" w:rsidRDefault="00513E84">
            <w:pPr>
              <w:pStyle w:val="P68B1DB1-Normal14"/>
              <w:spacing w:after="0"/>
              <w:jc w:val="center"/>
              <w:rPr>
                <w:rFonts w:eastAsia="Times New Roman" w:cs="Times New Roman"/>
                <w:noProof/>
              </w:rPr>
            </w:pPr>
            <w:r>
              <w:rPr>
                <w:noProof/>
              </w:rPr>
              <w:t>222</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3106CEB" w14:textId="77777777" w:rsidR="00F208CE" w:rsidRDefault="00513E84">
            <w:pPr>
              <w:pStyle w:val="P68B1DB1-Normal14"/>
              <w:spacing w:after="0"/>
              <w:rPr>
                <w:rFonts w:eastAsia="Times New Roman" w:cs="Times New Roman"/>
                <w:noProof/>
              </w:rPr>
            </w:pPr>
            <w:r>
              <w:rPr>
                <w:noProof/>
              </w:rPr>
              <w:t>Infraestructuras de importación de energía (I-7.12)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82F7BAA"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0A8122F" w14:textId="77777777" w:rsidR="00F208CE" w:rsidRDefault="00513E84">
            <w:pPr>
              <w:pStyle w:val="P68B1DB1-Normal14"/>
              <w:spacing w:after="0"/>
              <w:rPr>
                <w:rFonts w:eastAsia="Times New Roman" w:cs="Times New Roman"/>
                <w:noProof/>
              </w:rPr>
            </w:pPr>
            <w:r>
              <w:rPr>
                <w:noProof/>
              </w:rPr>
              <w:t>Finalización de los proyectos adjudicados en el marco de las convocatorias de proyectos</w:t>
            </w:r>
          </w:p>
        </w:tc>
      </w:tr>
      <w:tr w:rsidR="00F208CE" w14:paraId="34B0B95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A069543" w14:textId="77777777" w:rsidR="00F208CE" w:rsidRDefault="00513E84">
            <w:pPr>
              <w:pStyle w:val="P68B1DB1-Normal14"/>
              <w:spacing w:after="0"/>
              <w:jc w:val="center"/>
              <w:rPr>
                <w:rFonts w:eastAsia="Times New Roman" w:cs="Times New Roman"/>
                <w:noProof/>
              </w:rPr>
            </w:pPr>
            <w:r>
              <w:rPr>
                <w:noProof/>
              </w:rPr>
              <w:t>224</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998FAC4" w14:textId="77777777" w:rsidR="00F208CE" w:rsidRDefault="00513E84">
            <w:pPr>
              <w:pStyle w:val="P68B1DB1-Normal14"/>
              <w:spacing w:after="0"/>
              <w:rPr>
                <w:rFonts w:eastAsia="Times New Roman" w:cs="Times New Roman"/>
                <w:noProof/>
              </w:rPr>
            </w:pPr>
            <w:r>
              <w:rPr>
                <w:noProof/>
              </w:rPr>
              <w:t>Llamamiento en favor de la descarbonización de la industria (I-7.13)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CD8F95C"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AE31531" w14:textId="77777777" w:rsidR="00F208CE" w:rsidRDefault="00513E84">
            <w:pPr>
              <w:pStyle w:val="P68B1DB1-Normal14"/>
              <w:spacing w:after="0"/>
              <w:rPr>
                <w:rFonts w:eastAsia="Times New Roman" w:cs="Times New Roman"/>
                <w:noProof/>
              </w:rPr>
            </w:pPr>
            <w:r>
              <w:rPr>
                <w:noProof/>
              </w:rPr>
              <w:t>Finalización de los proyectos adjudicados en el marco de las convocatorias de proyectos</w:t>
            </w:r>
          </w:p>
        </w:tc>
      </w:tr>
      <w:tr w:rsidR="00F208CE" w14:paraId="26797A80"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AC21AF5" w14:textId="77777777" w:rsidR="00F208CE" w:rsidRDefault="00513E84">
            <w:pPr>
              <w:pStyle w:val="P68B1DB1-Normal14"/>
              <w:spacing w:after="0"/>
              <w:jc w:val="center"/>
              <w:rPr>
                <w:rFonts w:eastAsia="Times New Roman" w:cs="Times New Roman"/>
                <w:noProof/>
              </w:rPr>
            </w:pPr>
            <w:r>
              <w:rPr>
                <w:noProof/>
              </w:rPr>
              <w:t>225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3913499" w14:textId="77777777" w:rsidR="00F208CE" w:rsidRDefault="00513E84">
            <w:pPr>
              <w:pStyle w:val="P68B1DB1-Normal14"/>
              <w:spacing w:after="0"/>
              <w:rPr>
                <w:rFonts w:eastAsia="Times New Roman" w:cs="Times New Roman"/>
                <w:noProof/>
              </w:rPr>
            </w:pPr>
            <w:r>
              <w:rPr>
                <w:noProof/>
              </w:rPr>
              <w:t>Convocatoria de medidas climáticas en la agricultura (I-7.14)</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49B9457"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F96C7BE" w14:textId="77777777" w:rsidR="00F208CE" w:rsidRDefault="00513E84">
            <w:pPr>
              <w:pStyle w:val="P68B1DB1-Normal14"/>
              <w:spacing w:after="0"/>
              <w:rPr>
                <w:rFonts w:eastAsia="Times New Roman" w:cs="Times New Roman"/>
                <w:noProof/>
              </w:rPr>
            </w:pPr>
            <w:r>
              <w:rPr>
                <w:noProof/>
              </w:rPr>
              <w:t>Finalización de los proyect</w:t>
            </w:r>
            <w:r>
              <w:rPr>
                <w:noProof/>
              </w:rPr>
              <w:t>os adjudicados en el marco de las convocatorias de propuestas</w:t>
            </w:r>
          </w:p>
        </w:tc>
      </w:tr>
      <w:tr w:rsidR="00F208CE" w14:paraId="3B96636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F8899CB" w14:textId="77777777" w:rsidR="00F208CE" w:rsidRDefault="00513E84">
            <w:pPr>
              <w:pStyle w:val="P68B1DB1-Normal14"/>
              <w:spacing w:after="0"/>
              <w:jc w:val="center"/>
              <w:rPr>
                <w:rFonts w:eastAsia="Times New Roman" w:cs="Times New Roman"/>
                <w:noProof/>
              </w:rPr>
            </w:pPr>
            <w:r>
              <w:rPr>
                <w:noProof/>
              </w:rPr>
              <w:t>234</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680E9B8" w14:textId="77777777" w:rsidR="00F208CE" w:rsidRDefault="00513E84">
            <w:pPr>
              <w:pStyle w:val="P68B1DB1-Normal14"/>
              <w:spacing w:after="0"/>
              <w:rPr>
                <w:rFonts w:eastAsia="Times New Roman" w:cs="Times New Roman"/>
                <w:noProof/>
              </w:rPr>
            </w:pPr>
            <w:r>
              <w:rPr>
                <w:noProof/>
              </w:rPr>
              <w:t>Optimización de la distribución de energía (I-7.17)</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A93241D" w14:textId="42C7D39E"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9DD586E" w14:textId="77777777" w:rsidR="00F208CE" w:rsidRDefault="00513E84">
            <w:pPr>
              <w:pStyle w:val="P68B1DB1-Normal14"/>
              <w:spacing w:after="0"/>
              <w:rPr>
                <w:rFonts w:eastAsia="Times New Roman" w:cs="Times New Roman"/>
                <w:noProof/>
              </w:rPr>
            </w:pPr>
            <w:r>
              <w:rPr>
                <w:noProof/>
              </w:rPr>
              <w:t>Finalización de los proyectos</w:t>
            </w:r>
          </w:p>
        </w:tc>
      </w:tr>
      <w:tr w:rsidR="00F208CE" w14:paraId="50A6A437"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36F5DFA" w14:textId="77777777" w:rsidR="00F208CE" w:rsidRDefault="00513E84">
            <w:pPr>
              <w:pStyle w:val="P68B1DB1-Normal14"/>
              <w:spacing w:after="0"/>
              <w:jc w:val="center"/>
              <w:rPr>
                <w:rFonts w:eastAsia="Times New Roman" w:cs="Times New Roman"/>
                <w:noProof/>
              </w:rPr>
            </w:pPr>
            <w:r>
              <w:rPr>
                <w:noProof/>
              </w:rPr>
              <w:t>236</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274FC37" w14:textId="77777777" w:rsidR="00F208CE" w:rsidRDefault="00513E84">
            <w:pPr>
              <w:pStyle w:val="P68B1DB1-Normal14"/>
              <w:spacing w:after="0"/>
              <w:rPr>
                <w:rFonts w:eastAsia="Times New Roman" w:cs="Times New Roman"/>
                <w:noProof/>
              </w:rPr>
            </w:pPr>
            <w:r>
              <w:rPr>
                <w:noProof/>
              </w:rPr>
              <w:t>Convocatoria de iniciativas innovadoras de producción de energías renovables (I-7.18)</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CFC8CE4"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FB5E88A" w14:textId="77777777" w:rsidR="00F208CE" w:rsidRDefault="00513E84">
            <w:pPr>
              <w:pStyle w:val="P68B1DB1-Normal14"/>
              <w:spacing w:after="0"/>
              <w:rPr>
                <w:rFonts w:eastAsia="Times New Roman" w:cs="Times New Roman"/>
                <w:noProof/>
              </w:rPr>
            </w:pPr>
            <w:r>
              <w:rPr>
                <w:noProof/>
              </w:rPr>
              <w:t>Finalización</w:t>
            </w:r>
            <w:r>
              <w:rPr>
                <w:noProof/>
              </w:rPr>
              <w:t xml:space="preserve"> de los proyectos</w:t>
            </w:r>
          </w:p>
        </w:tc>
      </w:tr>
      <w:tr w:rsidR="00F208CE" w14:paraId="737AB929"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3F6A0A8" w14:textId="77777777" w:rsidR="00F208CE" w:rsidRDefault="00513E84">
            <w:pPr>
              <w:pStyle w:val="P68B1DB1-Normal14"/>
              <w:spacing w:after="0"/>
              <w:jc w:val="center"/>
              <w:rPr>
                <w:rFonts w:eastAsia="Times New Roman" w:cs="Times New Roman"/>
                <w:noProof/>
              </w:rPr>
            </w:pPr>
            <w:r>
              <w:rPr>
                <w:noProof/>
              </w:rPr>
              <w:t>237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77E1C3B" w14:textId="77777777" w:rsidR="00F208CE" w:rsidRDefault="00513E84">
            <w:pPr>
              <w:pStyle w:val="P68B1DB1-Normal14"/>
              <w:spacing w:after="0"/>
              <w:rPr>
                <w:rFonts w:eastAsia="Times New Roman" w:cs="Times New Roman"/>
                <w:noProof/>
              </w:rPr>
            </w:pPr>
            <w:r>
              <w:rPr>
                <w:noProof/>
              </w:rPr>
              <w:t>Eliminar los obstáculos a las energías renovables (I-7.19)</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C0DDD0C"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AE5F87D" w14:textId="77777777" w:rsidR="00F208CE" w:rsidRDefault="00513E84">
            <w:pPr>
              <w:pStyle w:val="P68B1DB1-Normal14"/>
              <w:spacing w:after="0"/>
              <w:rPr>
                <w:rFonts w:eastAsia="Times New Roman" w:cs="Times New Roman"/>
                <w:noProof/>
              </w:rPr>
            </w:pPr>
            <w:r>
              <w:rPr>
                <w:noProof/>
              </w:rPr>
              <w:t>Finalización de los proyectos</w:t>
            </w:r>
          </w:p>
        </w:tc>
      </w:tr>
      <w:tr w:rsidR="00F208CE" w14:paraId="59793795"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61E4D5C" w14:textId="77777777" w:rsidR="00F208CE" w:rsidRDefault="00513E84">
            <w:pPr>
              <w:pStyle w:val="P68B1DB1-Normal14"/>
              <w:spacing w:after="0"/>
              <w:jc w:val="center"/>
              <w:rPr>
                <w:rFonts w:eastAsia="Times New Roman" w:cs="Times New Roman"/>
                <w:noProof/>
              </w:rPr>
            </w:pPr>
            <w:r>
              <w:rPr>
                <w:noProof/>
              </w:rPr>
              <w:t>238</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38A98D1" w14:textId="77777777" w:rsidR="00F208CE" w:rsidRDefault="00513E84">
            <w:pPr>
              <w:pStyle w:val="P68B1DB1-Normal14"/>
              <w:spacing w:after="0"/>
              <w:rPr>
                <w:rFonts w:eastAsia="Times New Roman" w:cs="Times New Roman"/>
                <w:noProof/>
              </w:rPr>
            </w:pPr>
            <w:r>
              <w:rPr>
                <w:noProof/>
              </w:rPr>
              <w:t>Eliminar los obstáculos a las energías renovables (I-7.19)</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7154DF6"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75CAD83" w14:textId="77777777" w:rsidR="00F208CE" w:rsidRDefault="00513E84">
            <w:pPr>
              <w:pStyle w:val="P68B1DB1-Normal14"/>
              <w:spacing w:after="0"/>
              <w:rPr>
                <w:rFonts w:eastAsia="Times New Roman" w:cs="Times New Roman"/>
                <w:noProof/>
              </w:rPr>
            </w:pPr>
            <w:r>
              <w:rPr>
                <w:noProof/>
              </w:rPr>
              <w:t>Entrada en vigor del Reglamento</w:t>
            </w:r>
          </w:p>
        </w:tc>
      </w:tr>
      <w:tr w:rsidR="00F208CE" w14:paraId="3BAC27BB"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A56236D" w14:textId="77777777" w:rsidR="00F208CE" w:rsidRDefault="00513E84">
            <w:pPr>
              <w:pStyle w:val="P68B1DB1-Normal14"/>
              <w:spacing w:after="0"/>
              <w:jc w:val="center"/>
              <w:rPr>
                <w:rFonts w:eastAsia="Times New Roman" w:cs="Times New Roman"/>
                <w:noProof/>
              </w:rPr>
            </w:pPr>
            <w:r>
              <w:rPr>
                <w:noProof/>
              </w:rPr>
              <w:t>242</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599CD55" w14:textId="0CCBFDEB" w:rsidR="00F208CE" w:rsidRDefault="00513E84">
            <w:pPr>
              <w:pStyle w:val="P68B1DB1-Normal14"/>
              <w:spacing w:after="0"/>
              <w:rPr>
                <w:rFonts w:eastAsia="Times New Roman" w:cs="Times New Roman"/>
                <w:noProof/>
              </w:rPr>
            </w:pPr>
            <w:r>
              <w:rPr>
                <w:noProof/>
              </w:rPr>
              <w:t xml:space="preserve">Ecologización de la flota de autobuses </w:t>
            </w:r>
            <w:r>
              <w:rPr>
                <w:noProof/>
              </w:rPr>
              <w:t>— BCR (I-7.21)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86733AF"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A369984" w14:textId="77777777" w:rsidR="00F208CE" w:rsidRDefault="00513E84">
            <w:pPr>
              <w:pStyle w:val="P68B1DB1-Normal14"/>
              <w:spacing w:after="0"/>
              <w:rPr>
                <w:rFonts w:eastAsia="Times New Roman" w:cs="Times New Roman"/>
                <w:noProof/>
              </w:rPr>
            </w:pPr>
            <w:r>
              <w:rPr>
                <w:noProof/>
              </w:rPr>
              <w:t>Autobuses eléctricos en servicio</w:t>
            </w:r>
          </w:p>
        </w:tc>
      </w:tr>
      <w:tr w:rsidR="00F208CE" w14:paraId="04B73ABF"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67D1569" w14:textId="77777777" w:rsidR="00F208CE" w:rsidRDefault="00513E84">
            <w:pPr>
              <w:pStyle w:val="P68B1DB1-Normal14"/>
              <w:spacing w:after="0"/>
              <w:jc w:val="center"/>
              <w:rPr>
                <w:rFonts w:eastAsia="Times New Roman" w:cs="Times New Roman"/>
                <w:noProof/>
              </w:rPr>
            </w:pPr>
            <w:r>
              <w:rPr>
                <w:noProof/>
              </w:rPr>
              <w:t>243</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7AB4D3D" w14:textId="77777777" w:rsidR="00F208CE" w:rsidRDefault="00513E84">
            <w:pPr>
              <w:pStyle w:val="P68B1DB1-Normal14"/>
              <w:spacing w:after="0"/>
              <w:rPr>
                <w:rFonts w:eastAsia="Times New Roman" w:cs="Times New Roman"/>
                <w:noProof/>
              </w:rPr>
            </w:pPr>
            <w:r>
              <w:rPr>
                <w:noProof/>
              </w:rPr>
              <w:t>Estaciones de recarga — FED (I-7.22)</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1BEECD0"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48F9E43" w14:textId="77777777" w:rsidR="00F208CE" w:rsidRDefault="00513E84">
            <w:pPr>
              <w:pStyle w:val="P68B1DB1-Normal14"/>
              <w:spacing w:after="0"/>
              <w:rPr>
                <w:rFonts w:eastAsia="Times New Roman" w:cs="Times New Roman"/>
                <w:noProof/>
              </w:rPr>
            </w:pPr>
            <w:r>
              <w:rPr>
                <w:noProof/>
              </w:rPr>
              <w:t>Despliegue de estaciones de recarga bidireccionales</w:t>
            </w:r>
          </w:p>
        </w:tc>
      </w:tr>
      <w:tr w:rsidR="00F208CE" w14:paraId="2C7F92DE"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4557307" w14:textId="77777777" w:rsidR="00F208CE" w:rsidRDefault="00513E84">
            <w:pPr>
              <w:pStyle w:val="P68B1DB1-Normal14"/>
              <w:spacing w:after="0"/>
              <w:jc w:val="center"/>
              <w:rPr>
                <w:rFonts w:eastAsia="Times New Roman" w:cs="Times New Roman"/>
                <w:noProof/>
              </w:rPr>
            </w:pPr>
            <w:r>
              <w:rPr>
                <w:noProof/>
              </w:rPr>
              <w:t>244</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D2A8B83" w14:textId="77777777" w:rsidR="00F208CE" w:rsidRDefault="00513E84">
            <w:pPr>
              <w:pStyle w:val="P68B1DB1-Normal14"/>
              <w:spacing w:after="0"/>
              <w:rPr>
                <w:rFonts w:eastAsia="Times New Roman" w:cs="Times New Roman"/>
                <w:noProof/>
              </w:rPr>
            </w:pPr>
            <w:r>
              <w:rPr>
                <w:noProof/>
              </w:rPr>
              <w:t>Iluminación pública LED — VLA (I-7.23)</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3714BB"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023123E" w14:textId="77777777" w:rsidR="00F208CE" w:rsidRDefault="00513E84">
            <w:pPr>
              <w:pStyle w:val="P68B1DB1-Normal14"/>
              <w:spacing w:after="0"/>
              <w:rPr>
                <w:rFonts w:eastAsia="Times New Roman" w:cs="Times New Roman"/>
                <w:noProof/>
              </w:rPr>
            </w:pPr>
            <w:r>
              <w:rPr>
                <w:noProof/>
              </w:rPr>
              <w:t>Iluminación LED instalada</w:t>
            </w:r>
          </w:p>
        </w:tc>
      </w:tr>
      <w:tr w:rsidR="00F208CE" w14:paraId="2938C27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53206EC" w14:textId="77777777" w:rsidR="00F208CE" w:rsidRDefault="00513E84">
            <w:pPr>
              <w:pStyle w:val="P68B1DB1-Normal14"/>
              <w:spacing w:after="0"/>
              <w:jc w:val="center"/>
              <w:rPr>
                <w:rFonts w:eastAsia="Times New Roman" w:cs="Times New Roman"/>
                <w:noProof/>
              </w:rPr>
            </w:pPr>
            <w:r>
              <w:rPr>
                <w:noProof/>
              </w:rPr>
              <w:t>245</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B404F05" w14:textId="08D8D666" w:rsidR="00F208CE" w:rsidRDefault="00513E84">
            <w:pPr>
              <w:pStyle w:val="P68B1DB1-Normal14"/>
              <w:spacing w:after="0"/>
              <w:rPr>
                <w:rFonts w:eastAsia="Times New Roman" w:cs="Times New Roman"/>
                <w:noProof/>
              </w:rPr>
            </w:pPr>
            <w:r>
              <w:rPr>
                <w:noProof/>
              </w:rPr>
              <w:t xml:space="preserve">Red ferroviaria eficiente — FED </w:t>
            </w:r>
            <w:r>
              <w:rPr>
                <w:noProof/>
              </w:rPr>
              <w:t>(I-7.24)</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D245100" w14:textId="77777777"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5445335" w14:textId="77777777" w:rsidR="00F208CE" w:rsidRDefault="00513E84">
            <w:pPr>
              <w:pStyle w:val="P68B1DB1-Normal14"/>
              <w:spacing w:after="0"/>
              <w:rPr>
                <w:rFonts w:eastAsia="Times New Roman" w:cs="Times New Roman"/>
                <w:noProof/>
              </w:rPr>
            </w:pPr>
            <w:r>
              <w:rPr>
                <w:noProof/>
              </w:rPr>
              <w:t>Electrificación de las líneas ferroviarias</w:t>
            </w:r>
          </w:p>
        </w:tc>
      </w:tr>
      <w:tr w:rsidR="00F208CE" w14:paraId="73E46F72"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tcPr>
          <w:p w14:paraId="34547237" w14:textId="073B9789" w:rsidR="00F208CE" w:rsidRDefault="00513E84">
            <w:pPr>
              <w:pStyle w:val="P68B1DB1-Normal14"/>
              <w:spacing w:after="0"/>
              <w:jc w:val="center"/>
              <w:rPr>
                <w:rFonts w:eastAsia="Times New Roman" w:cs="Times New Roman"/>
                <w:noProof/>
              </w:rPr>
            </w:pPr>
            <w:r>
              <w:rPr>
                <w:noProof/>
              </w:rPr>
              <w:t>246</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tcPr>
          <w:p w14:paraId="26AE85CB" w14:textId="70A33EBA" w:rsidR="00F208CE" w:rsidRDefault="00513E84">
            <w:pPr>
              <w:pStyle w:val="P68B1DB1-Normal14"/>
              <w:spacing w:after="0"/>
              <w:rPr>
                <w:rFonts w:eastAsia="Times New Roman" w:cs="Times New Roman"/>
                <w:noProof/>
              </w:rPr>
            </w:pPr>
            <w:r>
              <w:rPr>
                <w:noProof/>
              </w:rPr>
              <w:t>Infraestructura de recarga para autobuses — BCR (I-3.21)</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tcPr>
          <w:p w14:paraId="104F801C" w14:textId="155F4129" w:rsidR="00F208CE" w:rsidRDefault="00513E84">
            <w:pPr>
              <w:pStyle w:val="P68B1DB1-Normal14"/>
              <w:spacing w:after="0"/>
              <w:jc w:val="center"/>
              <w:rPr>
                <w:rFonts w:eastAsia="Times New Roman" w:cs="Times New Roman"/>
                <w:noProof/>
              </w:rPr>
            </w:pPr>
            <w:r>
              <w:rPr>
                <w:noProof/>
              </w:rPr>
              <w:t>T</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tcPr>
          <w:p w14:paraId="54F270F6" w14:textId="1162A28C" w:rsidR="00F208CE" w:rsidRDefault="00513E84">
            <w:pPr>
              <w:pStyle w:val="P68B1DB1-Normal14"/>
              <w:spacing w:after="0"/>
              <w:rPr>
                <w:rFonts w:eastAsia="Times New Roman" w:cs="Times New Roman"/>
                <w:noProof/>
              </w:rPr>
            </w:pPr>
            <w:r>
              <w:rPr>
                <w:noProof/>
              </w:rPr>
              <w:t>Infraestructura de recarga instalada</w:t>
            </w:r>
          </w:p>
        </w:tc>
      </w:tr>
      <w:tr w:rsidR="00F208CE" w14:paraId="20D748F1"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18826A5" w14:textId="77777777" w:rsidR="00F208CE" w:rsidRDefault="00513E84">
            <w:pPr>
              <w:pStyle w:val="P68B1DB1-Normal14"/>
              <w:spacing w:after="0"/>
              <w:jc w:val="center"/>
              <w:rPr>
                <w:rFonts w:eastAsia="Times New Roman" w:cs="Times New Roman"/>
                <w:noProof/>
              </w:rPr>
            </w:pPr>
            <w:r>
              <w:rPr>
                <w:noProof/>
              </w:rPr>
              <w:t>247</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F3F4741" w14:textId="030AA3F5" w:rsidR="00F208CE" w:rsidRDefault="00513E84">
            <w:pPr>
              <w:pStyle w:val="P68B1DB1-Normal14"/>
              <w:spacing w:after="0"/>
              <w:rPr>
                <w:rFonts w:eastAsia="Times New Roman" w:cs="Times New Roman"/>
                <w:noProof/>
              </w:rPr>
            </w:pPr>
            <w:r>
              <w:rPr>
                <w:noProof/>
              </w:rPr>
              <w:t>Medicina nuclear: el enfoque teranóstico (I-5.08 bis)</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99D751D"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8A29913" w14:textId="77777777" w:rsidR="00F208CE" w:rsidRDefault="00513E84">
            <w:pPr>
              <w:pStyle w:val="P68B1DB1-Normal14"/>
              <w:spacing w:after="0"/>
              <w:rPr>
                <w:rFonts w:eastAsia="Times New Roman" w:cs="Times New Roman"/>
                <w:noProof/>
              </w:rPr>
            </w:pPr>
            <w:r>
              <w:rPr>
                <w:noProof/>
              </w:rPr>
              <w:t xml:space="preserve">Finalización del desarrollo de la </w:t>
            </w:r>
            <w:r>
              <w:rPr>
                <w:noProof/>
              </w:rPr>
              <w:t>investigación y el desarrollo</w:t>
            </w:r>
          </w:p>
        </w:tc>
      </w:tr>
      <w:tr w:rsidR="00F208CE" w14:paraId="5327804C"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E16139F" w14:textId="77777777" w:rsidR="00F208CE" w:rsidRDefault="00513E84">
            <w:pPr>
              <w:pStyle w:val="P68B1DB1-Normal14"/>
              <w:spacing w:after="0"/>
              <w:jc w:val="center"/>
              <w:rPr>
                <w:rFonts w:eastAsia="Times New Roman" w:cs="Times New Roman"/>
                <w:noProof/>
              </w:rPr>
            </w:pPr>
            <w:r>
              <w:rPr>
                <w:noProof/>
              </w:rPr>
              <w:t>249</w:t>
            </w:r>
          </w:p>
        </w:tc>
        <w:tc>
          <w:tcPr>
            <w:tcW w:w="2014"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FFBC54E" w14:textId="3D0BBBAC" w:rsidR="00F208CE" w:rsidRDefault="00513E84">
            <w:pPr>
              <w:pStyle w:val="P68B1DB1-Normal14"/>
              <w:spacing w:after="0"/>
              <w:rPr>
                <w:rFonts w:eastAsia="Times New Roman" w:cs="Times New Roman"/>
                <w:noProof/>
              </w:rPr>
            </w:pPr>
            <w:r>
              <w:rPr>
                <w:noProof/>
              </w:rPr>
              <w:t>SMELD — ALIMENTADO (I-5.18)</w:t>
            </w:r>
          </w:p>
        </w:tc>
        <w:tc>
          <w:tcPr>
            <w:tcW w:w="333"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8CD15A1" w14:textId="77777777" w:rsidR="00F208CE" w:rsidRDefault="00513E84">
            <w:pPr>
              <w:pStyle w:val="P68B1DB1-Normal14"/>
              <w:spacing w:after="0"/>
              <w:jc w:val="center"/>
              <w:rPr>
                <w:rFonts w:eastAsia="Times New Roman" w:cs="Times New Roman"/>
                <w:noProof/>
              </w:rPr>
            </w:pPr>
            <w:r>
              <w:rPr>
                <w:noProof/>
              </w:rPr>
              <w:t>M</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EC3A898" w14:textId="77777777" w:rsidR="00F208CE" w:rsidRDefault="00513E84">
            <w:pPr>
              <w:pStyle w:val="P68B1DB1-Normal14"/>
              <w:spacing w:after="0"/>
              <w:rPr>
                <w:rFonts w:eastAsia="Times New Roman" w:cs="Times New Roman"/>
                <w:noProof/>
              </w:rPr>
            </w:pPr>
            <w:r>
              <w:rPr>
                <w:noProof/>
              </w:rPr>
              <w:t>Se crea un horno de fusión a escala industrial</w:t>
            </w:r>
          </w:p>
        </w:tc>
      </w:tr>
      <w:tr w:rsidR="00F208CE" w14:paraId="7450B435" w14:textId="77777777">
        <w:trPr>
          <w:trHeight w:val="315"/>
        </w:trPr>
        <w:tc>
          <w:tcPr>
            <w:tcW w:w="345" w:type="pct"/>
            <w:tcBorders>
              <w:top w:val="single" w:sz="4" w:space="0" w:color="auto"/>
              <w:left w:val="single" w:sz="4" w:space="0" w:color="auto"/>
              <w:bottom w:val="single" w:sz="4" w:space="0" w:color="auto"/>
              <w:right w:val="single" w:sz="4" w:space="0" w:color="auto"/>
            </w:tcBorders>
            <w:shd w:val="clear" w:color="auto" w:fill="C6EFCE"/>
            <w:noWrap/>
            <w:vAlign w:val="center"/>
          </w:tcPr>
          <w:p w14:paraId="2D71BC7A" w14:textId="77777777" w:rsidR="00F208CE" w:rsidRDefault="00F208CE">
            <w:pPr>
              <w:spacing w:after="0"/>
              <w:jc w:val="center"/>
              <w:rPr>
                <w:rFonts w:ascii="Times New Roman" w:eastAsia="Times New Roman" w:hAnsi="Times New Roman" w:cs="Times New Roman"/>
                <w:noProof/>
                <w:color w:val="006100"/>
                <w:sz w:val="20"/>
              </w:rPr>
            </w:pPr>
          </w:p>
        </w:tc>
        <w:tc>
          <w:tcPr>
            <w:tcW w:w="2347" w:type="pct"/>
            <w:gridSpan w:val="2"/>
            <w:tcBorders>
              <w:top w:val="single" w:sz="4" w:space="0" w:color="auto"/>
              <w:left w:val="single" w:sz="4" w:space="0" w:color="auto"/>
              <w:bottom w:val="single" w:sz="4" w:space="0" w:color="auto"/>
              <w:right w:val="single" w:sz="4" w:space="0" w:color="auto"/>
            </w:tcBorders>
            <w:shd w:val="clear" w:color="auto" w:fill="C6EFCE"/>
            <w:noWrap/>
            <w:vAlign w:val="center"/>
          </w:tcPr>
          <w:p w14:paraId="7F585820" w14:textId="77777777" w:rsidR="00F208CE" w:rsidRDefault="00513E84">
            <w:pPr>
              <w:pStyle w:val="P68B1DB1-Normal14"/>
              <w:spacing w:after="0"/>
              <w:jc w:val="right"/>
              <w:rPr>
                <w:rFonts w:eastAsia="Times New Roman" w:cs="Times New Roman"/>
                <w:noProof/>
              </w:rPr>
            </w:pPr>
            <w:r>
              <w:rPr>
                <w:noProof/>
              </w:rPr>
              <w:t>Importe del tramo</w:t>
            </w:r>
          </w:p>
        </w:tc>
        <w:tc>
          <w:tcPr>
            <w:tcW w:w="2308" w:type="pct"/>
            <w:tcBorders>
              <w:top w:val="single" w:sz="4" w:space="0" w:color="auto"/>
              <w:left w:val="single" w:sz="4" w:space="0" w:color="auto"/>
              <w:bottom w:val="single" w:sz="4" w:space="0" w:color="auto"/>
              <w:right w:val="single" w:sz="4" w:space="0" w:color="auto"/>
            </w:tcBorders>
            <w:shd w:val="clear" w:color="auto" w:fill="C6EFCE"/>
            <w:noWrap/>
            <w:vAlign w:val="center"/>
          </w:tcPr>
          <w:p w14:paraId="7B39D296" w14:textId="5C85AADF" w:rsidR="00F208CE" w:rsidRDefault="00513E84">
            <w:pPr>
              <w:pStyle w:val="P68B1DB1-Normal14"/>
              <w:spacing w:after="0"/>
              <w:rPr>
                <w:rFonts w:eastAsia="Times New Roman" w:cs="Times New Roman"/>
                <w:noProof/>
              </w:rPr>
            </w:pPr>
            <w:r>
              <w:rPr>
                <w:noProof/>
              </w:rPr>
              <w:t>781 699 616 EUR</w:t>
            </w:r>
          </w:p>
        </w:tc>
      </w:tr>
    </w:tbl>
    <w:p w14:paraId="571E4EDD" w14:textId="0AB29353" w:rsidR="00F208CE" w:rsidRDefault="00F208CE">
      <w:pPr>
        <w:rPr>
          <w:rFonts w:ascii="Times New Roman" w:hAnsi="Times New Roman" w:cs="Times New Roman"/>
          <w:noProof/>
        </w:rPr>
      </w:pPr>
    </w:p>
    <w:p w14:paraId="7FCA8588" w14:textId="77777777" w:rsidR="00F208CE" w:rsidRDefault="00513E84">
      <w:pPr>
        <w:pStyle w:val="P68B1DB1-Normal41"/>
        <w:rPr>
          <w:noProof/>
        </w:rPr>
      </w:pPr>
      <w:r>
        <w:rPr>
          <w:noProof/>
        </w:rPr>
        <w:br w:type="page"/>
      </w:r>
    </w:p>
    <w:p w14:paraId="4017CA72" w14:textId="40F8C210" w:rsidR="00F208CE" w:rsidRDefault="00513E84">
      <w:pPr>
        <w:pStyle w:val="ManualHeading2"/>
        <w:numPr>
          <w:ilvl w:val="0"/>
          <w:numId w:val="44"/>
        </w:numPr>
        <w:rPr>
          <w:noProof/>
        </w:rPr>
      </w:pPr>
      <w:r>
        <w:rPr>
          <w:noProof/>
        </w:rPr>
        <w:t>Préstamo</w:t>
      </w:r>
    </w:p>
    <w:p w14:paraId="5E5B330F" w14:textId="6BBE53E0" w:rsidR="00F208CE" w:rsidRDefault="00513E84">
      <w:pPr>
        <w:pStyle w:val="Text1"/>
        <w:spacing w:after="240"/>
        <w:ind w:left="851"/>
        <w:rPr>
          <w:noProof/>
        </w:rPr>
      </w:pPr>
      <w:r>
        <w:rPr>
          <w:noProof/>
        </w:rPr>
        <w:t>Los tramos a que se refiere el artículo 3, apartado 2, se organizarán de la siguiente manera:</w:t>
      </w:r>
    </w:p>
    <w:p w14:paraId="44D6803B" w14:textId="6C414CA7" w:rsidR="00F208CE" w:rsidRDefault="00513E84">
      <w:pPr>
        <w:pStyle w:val="ManualNumPar1"/>
        <w:rPr>
          <w:noProof/>
        </w:rPr>
      </w:pPr>
      <w:r>
        <w:rPr>
          <w:noProof/>
        </w:rPr>
        <w:t>Primer tramo (préstamos):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ook w:val="04A0" w:firstRow="1" w:lastRow="0" w:firstColumn="1" w:lastColumn="0" w:noHBand="0" w:noVBand="1"/>
      </w:tblPr>
      <w:tblGrid>
        <w:gridCol w:w="1356"/>
        <w:gridCol w:w="5082"/>
        <w:gridCol w:w="594"/>
        <w:gridCol w:w="5049"/>
      </w:tblGrid>
      <w:tr w:rsidR="00F208CE" w14:paraId="00FD99EE" w14:textId="77777777">
        <w:trPr>
          <w:trHeight w:val="300"/>
        </w:trPr>
        <w:tc>
          <w:tcPr>
            <w:tcW w:w="417" w:type="pct"/>
            <w:shd w:val="clear" w:color="auto" w:fill="BDD7EE"/>
            <w:noWrap/>
            <w:vAlign w:val="bottom"/>
            <w:hideMark/>
          </w:tcPr>
          <w:p w14:paraId="740226EE" w14:textId="77777777" w:rsidR="00F208CE" w:rsidRDefault="00513E84">
            <w:pPr>
              <w:pStyle w:val="P68B1DB1-Normal39"/>
              <w:spacing w:before="120" w:after="120"/>
              <w:rPr>
                <w:rFonts w:eastAsia="Times New Roman" w:cs="Times New Roman"/>
                <w:noProof/>
              </w:rPr>
            </w:pPr>
            <w:r>
              <w:rPr>
                <w:noProof/>
              </w:rPr>
              <w:t>Siguientes nb</w:t>
            </w:r>
          </w:p>
        </w:tc>
        <w:tc>
          <w:tcPr>
            <w:tcW w:w="1789" w:type="pct"/>
            <w:shd w:val="clear" w:color="auto" w:fill="BDD7EE"/>
            <w:noWrap/>
            <w:vAlign w:val="bottom"/>
            <w:hideMark/>
          </w:tcPr>
          <w:p w14:paraId="119C6DF4" w14:textId="77777777" w:rsidR="00F208CE" w:rsidRDefault="00513E84">
            <w:pPr>
              <w:pStyle w:val="P68B1DB1-Normal39"/>
              <w:spacing w:before="120" w:after="120"/>
              <w:rPr>
                <w:rFonts w:eastAsia="Times New Roman" w:cs="Times New Roman"/>
                <w:noProof/>
              </w:rPr>
            </w:pPr>
            <w:r>
              <w:rPr>
                <w:noProof/>
              </w:rPr>
              <w:t>Nombre de la medida</w:t>
            </w:r>
          </w:p>
        </w:tc>
        <w:tc>
          <w:tcPr>
            <w:tcW w:w="412" w:type="pct"/>
            <w:shd w:val="clear" w:color="auto" w:fill="BDD7EE"/>
            <w:noWrap/>
            <w:vAlign w:val="bottom"/>
            <w:hideMark/>
          </w:tcPr>
          <w:p w14:paraId="3932D5ED" w14:textId="77777777" w:rsidR="00F208CE" w:rsidRDefault="00513E84">
            <w:pPr>
              <w:pStyle w:val="P68B1DB1-Normal39"/>
              <w:spacing w:before="120" w:after="120"/>
              <w:jc w:val="center"/>
              <w:rPr>
                <w:rFonts w:eastAsia="Times New Roman" w:cs="Times New Roman"/>
                <w:noProof/>
              </w:rPr>
            </w:pPr>
            <w:r>
              <w:rPr>
                <w:noProof/>
              </w:rPr>
              <w:t>M/T</w:t>
            </w:r>
          </w:p>
        </w:tc>
        <w:tc>
          <w:tcPr>
            <w:tcW w:w="2382" w:type="pct"/>
            <w:shd w:val="clear" w:color="auto" w:fill="BDD7EE"/>
            <w:noWrap/>
            <w:vAlign w:val="bottom"/>
            <w:hideMark/>
          </w:tcPr>
          <w:p w14:paraId="6E45A5FC" w14:textId="77777777" w:rsidR="00F208CE" w:rsidRDefault="00513E84">
            <w:pPr>
              <w:pStyle w:val="P68B1DB1-Normal39"/>
              <w:spacing w:before="120" w:after="120"/>
              <w:rPr>
                <w:rFonts w:eastAsia="Times New Roman" w:cs="Times New Roman"/>
                <w:noProof/>
              </w:rPr>
            </w:pPr>
            <w:r>
              <w:rPr>
                <w:noProof/>
              </w:rPr>
              <w:t>Nombre</w:t>
            </w:r>
          </w:p>
        </w:tc>
      </w:tr>
      <w:tr w:rsidR="00F208CE" w14:paraId="1A527FC6" w14:textId="77777777">
        <w:trPr>
          <w:trHeight w:val="315"/>
        </w:trPr>
        <w:tc>
          <w:tcPr>
            <w:tcW w:w="417" w:type="pct"/>
            <w:shd w:val="clear" w:color="auto" w:fill="C6EFCE"/>
            <w:noWrap/>
            <w:vAlign w:val="center"/>
            <w:hideMark/>
          </w:tcPr>
          <w:p w14:paraId="1C06E9CC" w14:textId="2A8F2783" w:rsidR="00F208CE" w:rsidRDefault="00513E84">
            <w:pPr>
              <w:pStyle w:val="P68B1DB1-Normal14"/>
              <w:spacing w:after="0"/>
              <w:jc w:val="center"/>
              <w:rPr>
                <w:rFonts w:eastAsia="Times New Roman" w:cs="Times New Roman"/>
                <w:noProof/>
              </w:rPr>
            </w:pPr>
            <w:r>
              <w:rPr>
                <w:noProof/>
              </w:rPr>
              <w:t>54b</w:t>
            </w:r>
          </w:p>
        </w:tc>
        <w:tc>
          <w:tcPr>
            <w:tcW w:w="1789" w:type="pct"/>
            <w:shd w:val="clear" w:color="auto" w:fill="C6EFCE"/>
            <w:noWrap/>
            <w:vAlign w:val="center"/>
            <w:hideMark/>
          </w:tcPr>
          <w:p w14:paraId="504402A3" w14:textId="5B9FE583" w:rsidR="00F208CE" w:rsidRDefault="00513E84">
            <w:pPr>
              <w:pStyle w:val="P68B1DB1-Normal14"/>
              <w:spacing w:after="0"/>
              <w:rPr>
                <w:rFonts w:eastAsia="Times New Roman" w:cs="Times New Roman"/>
                <w:noProof/>
              </w:rPr>
            </w:pPr>
            <w:r>
              <w:rPr>
                <w:noProof/>
              </w:rPr>
              <w:t>Fondo para pequeños proyectos de digitalización (I-2.05 bis)</w:t>
            </w:r>
          </w:p>
        </w:tc>
        <w:tc>
          <w:tcPr>
            <w:tcW w:w="412" w:type="pct"/>
            <w:shd w:val="clear" w:color="auto" w:fill="C6EFCE"/>
            <w:noWrap/>
            <w:vAlign w:val="center"/>
            <w:hideMark/>
          </w:tcPr>
          <w:p w14:paraId="5C261027" w14:textId="77777777" w:rsidR="00F208CE" w:rsidRDefault="00513E84">
            <w:pPr>
              <w:pStyle w:val="P68B1DB1-Normal14"/>
              <w:spacing w:after="0"/>
              <w:jc w:val="center"/>
              <w:rPr>
                <w:rFonts w:eastAsia="Times New Roman" w:cs="Times New Roman"/>
                <w:noProof/>
              </w:rPr>
            </w:pPr>
            <w:r>
              <w:rPr>
                <w:noProof/>
              </w:rPr>
              <w:t>M</w:t>
            </w:r>
          </w:p>
        </w:tc>
        <w:tc>
          <w:tcPr>
            <w:tcW w:w="2382" w:type="pct"/>
            <w:shd w:val="clear" w:color="auto" w:fill="C6EFCE"/>
            <w:noWrap/>
            <w:vAlign w:val="center"/>
            <w:hideMark/>
          </w:tcPr>
          <w:p w14:paraId="3B467DBD" w14:textId="77777777" w:rsidR="00F208CE" w:rsidRDefault="00513E84">
            <w:pPr>
              <w:pStyle w:val="P68B1DB1-Normal14"/>
              <w:spacing w:after="0"/>
              <w:rPr>
                <w:rFonts w:eastAsia="Times New Roman" w:cs="Times New Roman"/>
                <w:noProof/>
              </w:rPr>
            </w:pPr>
            <w:r>
              <w:rPr>
                <w:noProof/>
              </w:rPr>
              <w:t>Se definen los requisitos</w:t>
            </w:r>
          </w:p>
        </w:tc>
      </w:tr>
      <w:tr w:rsidR="00F208CE" w14:paraId="7AC291A2" w14:textId="77777777">
        <w:trPr>
          <w:trHeight w:val="315"/>
        </w:trPr>
        <w:tc>
          <w:tcPr>
            <w:tcW w:w="417" w:type="pct"/>
            <w:shd w:val="clear" w:color="auto" w:fill="C6EFCE"/>
            <w:noWrap/>
            <w:vAlign w:val="center"/>
            <w:hideMark/>
          </w:tcPr>
          <w:p w14:paraId="69FC86AD" w14:textId="77777777" w:rsidR="00F208CE" w:rsidRDefault="00513E84">
            <w:pPr>
              <w:pStyle w:val="P68B1DB1-Normal14"/>
              <w:spacing w:after="0"/>
              <w:jc w:val="center"/>
              <w:rPr>
                <w:rFonts w:eastAsia="Times New Roman" w:cs="Times New Roman"/>
                <w:noProof/>
              </w:rPr>
            </w:pPr>
            <w:r>
              <w:rPr>
                <w:noProof/>
              </w:rPr>
              <w:t>239</w:t>
            </w:r>
          </w:p>
        </w:tc>
        <w:tc>
          <w:tcPr>
            <w:tcW w:w="1789" w:type="pct"/>
            <w:shd w:val="clear" w:color="auto" w:fill="C6EFCE"/>
            <w:noWrap/>
            <w:vAlign w:val="center"/>
            <w:hideMark/>
          </w:tcPr>
          <w:p w14:paraId="17C77A16" w14:textId="01A5B91C" w:rsidR="00F208CE" w:rsidRDefault="00513E84">
            <w:pPr>
              <w:pStyle w:val="P68B1DB1-Normal14"/>
              <w:spacing w:after="0"/>
              <w:rPr>
                <w:rFonts w:eastAsia="Times New Roman" w:cs="Times New Roman"/>
                <w:noProof/>
              </w:rPr>
            </w:pPr>
            <w:r>
              <w:rPr>
                <w:noProof/>
              </w:rPr>
              <w:t>Isla de energía en alta mar (I-7.20)</w:t>
            </w:r>
          </w:p>
        </w:tc>
        <w:tc>
          <w:tcPr>
            <w:tcW w:w="412" w:type="pct"/>
            <w:shd w:val="clear" w:color="auto" w:fill="C6EFCE"/>
            <w:noWrap/>
            <w:vAlign w:val="center"/>
            <w:hideMark/>
          </w:tcPr>
          <w:p w14:paraId="5AA34C4C" w14:textId="77777777" w:rsidR="00F208CE" w:rsidRDefault="00513E84">
            <w:pPr>
              <w:pStyle w:val="P68B1DB1-Normal14"/>
              <w:spacing w:after="0"/>
              <w:jc w:val="center"/>
              <w:rPr>
                <w:rFonts w:eastAsia="Times New Roman" w:cs="Times New Roman"/>
                <w:noProof/>
              </w:rPr>
            </w:pPr>
            <w:r>
              <w:rPr>
                <w:noProof/>
              </w:rPr>
              <w:t>M</w:t>
            </w:r>
          </w:p>
        </w:tc>
        <w:tc>
          <w:tcPr>
            <w:tcW w:w="2382" w:type="pct"/>
            <w:shd w:val="clear" w:color="auto" w:fill="C6EFCE"/>
            <w:noWrap/>
            <w:vAlign w:val="center"/>
            <w:hideMark/>
          </w:tcPr>
          <w:p w14:paraId="45B2E330" w14:textId="77777777" w:rsidR="00F208CE" w:rsidRDefault="00513E84">
            <w:pPr>
              <w:pStyle w:val="P68B1DB1-Normal14"/>
              <w:spacing w:after="0"/>
              <w:rPr>
                <w:rFonts w:eastAsia="Times New Roman" w:cs="Times New Roman"/>
                <w:noProof/>
              </w:rPr>
            </w:pPr>
            <w:r>
              <w:rPr>
                <w:noProof/>
              </w:rPr>
              <w:t xml:space="preserve">Finalización de los estudios sobre piensos y </w:t>
            </w:r>
            <w:r>
              <w:rPr>
                <w:noProof/>
              </w:rPr>
              <w:t>medio ambiente</w:t>
            </w:r>
          </w:p>
        </w:tc>
      </w:tr>
      <w:tr w:rsidR="00F208CE" w14:paraId="6CFE1C32" w14:textId="77777777">
        <w:trPr>
          <w:trHeight w:val="315"/>
        </w:trPr>
        <w:tc>
          <w:tcPr>
            <w:tcW w:w="417" w:type="pct"/>
            <w:shd w:val="clear" w:color="auto" w:fill="C6EFCE"/>
            <w:noWrap/>
            <w:vAlign w:val="center"/>
          </w:tcPr>
          <w:p w14:paraId="1559F4F5" w14:textId="77777777" w:rsidR="00F208CE" w:rsidRDefault="00F208CE">
            <w:pPr>
              <w:spacing w:after="0"/>
              <w:jc w:val="center"/>
              <w:rPr>
                <w:rFonts w:ascii="Times New Roman" w:eastAsia="Times New Roman" w:hAnsi="Times New Roman" w:cs="Times New Roman"/>
                <w:noProof/>
                <w:color w:val="006100"/>
                <w:sz w:val="20"/>
              </w:rPr>
            </w:pPr>
          </w:p>
        </w:tc>
        <w:tc>
          <w:tcPr>
            <w:tcW w:w="2201" w:type="pct"/>
            <w:gridSpan w:val="2"/>
            <w:shd w:val="clear" w:color="auto" w:fill="C6EFCE"/>
            <w:noWrap/>
            <w:vAlign w:val="center"/>
          </w:tcPr>
          <w:p w14:paraId="37170D48" w14:textId="77777777" w:rsidR="00F208CE" w:rsidRDefault="00513E84">
            <w:pPr>
              <w:pStyle w:val="P68B1DB1-Normal14"/>
              <w:spacing w:after="0"/>
              <w:jc w:val="right"/>
              <w:rPr>
                <w:rFonts w:eastAsia="Times New Roman" w:cs="Times New Roman"/>
                <w:noProof/>
              </w:rPr>
            </w:pPr>
            <w:r>
              <w:rPr>
                <w:noProof/>
              </w:rPr>
              <w:t>Importe del tramo</w:t>
            </w:r>
          </w:p>
        </w:tc>
        <w:tc>
          <w:tcPr>
            <w:tcW w:w="2382" w:type="pct"/>
            <w:shd w:val="clear" w:color="auto" w:fill="C6EFCE"/>
            <w:noWrap/>
            <w:vAlign w:val="center"/>
          </w:tcPr>
          <w:p w14:paraId="0A65586E" w14:textId="1B9995A4" w:rsidR="00F208CE" w:rsidRDefault="00513E84">
            <w:pPr>
              <w:pStyle w:val="P68B1DB1-Normal14"/>
              <w:spacing w:after="0"/>
              <w:rPr>
                <w:rFonts w:eastAsia="Times New Roman" w:cs="Times New Roman"/>
                <w:noProof/>
              </w:rPr>
            </w:pPr>
            <w:r>
              <w:rPr>
                <w:noProof/>
              </w:rPr>
              <w:t>48 840 000 EUR</w:t>
            </w:r>
          </w:p>
        </w:tc>
      </w:tr>
    </w:tbl>
    <w:p w14:paraId="6B8C98C2" w14:textId="77777777" w:rsidR="00F208CE" w:rsidRDefault="00F208CE">
      <w:pPr>
        <w:rPr>
          <w:rFonts w:ascii="Times New Roman" w:hAnsi="Times New Roman" w:cs="Times New Roman"/>
          <w:noProof/>
        </w:rPr>
      </w:pPr>
    </w:p>
    <w:p w14:paraId="0BCD2837" w14:textId="77B8F02C" w:rsidR="00F208CE" w:rsidRDefault="00513E84">
      <w:pPr>
        <w:pStyle w:val="ManualNumPar1"/>
        <w:rPr>
          <w:noProof/>
        </w:rPr>
      </w:pPr>
      <w:r>
        <w:rPr>
          <w:noProof/>
        </w:rPr>
        <w:t>Segundo tramo (préstamos):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ayout w:type="fixed"/>
        <w:tblLook w:val="04A0" w:firstRow="1" w:lastRow="0" w:firstColumn="1" w:lastColumn="0" w:noHBand="0" w:noVBand="1"/>
      </w:tblPr>
      <w:tblGrid>
        <w:gridCol w:w="959"/>
        <w:gridCol w:w="3544"/>
        <w:gridCol w:w="851"/>
        <w:gridCol w:w="4852"/>
      </w:tblGrid>
      <w:tr w:rsidR="00F208CE" w14:paraId="6C667E7F" w14:textId="77777777">
        <w:trPr>
          <w:trHeight w:val="300"/>
        </w:trPr>
        <w:tc>
          <w:tcPr>
            <w:tcW w:w="470" w:type="pct"/>
            <w:shd w:val="clear" w:color="auto" w:fill="BDD7EE"/>
            <w:noWrap/>
            <w:vAlign w:val="bottom"/>
            <w:hideMark/>
          </w:tcPr>
          <w:p w14:paraId="588C8272" w14:textId="77777777" w:rsidR="00F208CE" w:rsidRDefault="00513E84">
            <w:pPr>
              <w:pStyle w:val="P68B1DB1-Normal39"/>
              <w:spacing w:before="120" w:after="120"/>
              <w:rPr>
                <w:rFonts w:eastAsia="Times New Roman" w:cs="Times New Roman"/>
                <w:noProof/>
              </w:rPr>
            </w:pPr>
            <w:r>
              <w:rPr>
                <w:noProof/>
              </w:rPr>
              <w:t>Siguientes nb</w:t>
            </w:r>
          </w:p>
        </w:tc>
        <w:tc>
          <w:tcPr>
            <w:tcW w:w="1736" w:type="pct"/>
            <w:shd w:val="clear" w:color="auto" w:fill="BDD7EE"/>
            <w:noWrap/>
            <w:vAlign w:val="bottom"/>
            <w:hideMark/>
          </w:tcPr>
          <w:p w14:paraId="21753FA9" w14:textId="77777777" w:rsidR="00F208CE" w:rsidRDefault="00513E84">
            <w:pPr>
              <w:pStyle w:val="P68B1DB1-Normal39"/>
              <w:spacing w:before="120" w:after="120"/>
              <w:rPr>
                <w:rFonts w:eastAsia="Times New Roman" w:cs="Times New Roman"/>
                <w:noProof/>
              </w:rPr>
            </w:pPr>
            <w:r>
              <w:rPr>
                <w:noProof/>
              </w:rPr>
              <w:t>Nombre de la medida</w:t>
            </w:r>
          </w:p>
        </w:tc>
        <w:tc>
          <w:tcPr>
            <w:tcW w:w="417" w:type="pct"/>
            <w:shd w:val="clear" w:color="auto" w:fill="BDD7EE"/>
            <w:noWrap/>
            <w:vAlign w:val="bottom"/>
            <w:hideMark/>
          </w:tcPr>
          <w:p w14:paraId="2A17ED9E" w14:textId="77777777" w:rsidR="00F208CE" w:rsidRDefault="00513E84">
            <w:pPr>
              <w:pStyle w:val="P68B1DB1-Normal39"/>
              <w:spacing w:before="120" w:after="120"/>
              <w:jc w:val="center"/>
              <w:rPr>
                <w:rFonts w:eastAsia="Times New Roman" w:cs="Times New Roman"/>
                <w:noProof/>
              </w:rPr>
            </w:pPr>
            <w:r>
              <w:rPr>
                <w:noProof/>
              </w:rPr>
              <w:t>M/T</w:t>
            </w:r>
          </w:p>
        </w:tc>
        <w:tc>
          <w:tcPr>
            <w:tcW w:w="2377" w:type="pct"/>
            <w:shd w:val="clear" w:color="auto" w:fill="BDD7EE"/>
            <w:noWrap/>
            <w:vAlign w:val="bottom"/>
            <w:hideMark/>
          </w:tcPr>
          <w:p w14:paraId="73039B37" w14:textId="77777777" w:rsidR="00F208CE" w:rsidRDefault="00513E84">
            <w:pPr>
              <w:pStyle w:val="P68B1DB1-Normal39"/>
              <w:spacing w:before="120" w:after="120"/>
              <w:rPr>
                <w:rFonts w:eastAsia="Times New Roman" w:cs="Times New Roman"/>
                <w:noProof/>
              </w:rPr>
            </w:pPr>
            <w:r>
              <w:rPr>
                <w:noProof/>
              </w:rPr>
              <w:t>Nombre</w:t>
            </w:r>
          </w:p>
        </w:tc>
      </w:tr>
      <w:tr w:rsidR="00F208CE" w14:paraId="0894DB2C" w14:textId="77777777">
        <w:trPr>
          <w:trHeight w:val="315"/>
        </w:trPr>
        <w:tc>
          <w:tcPr>
            <w:tcW w:w="470" w:type="pct"/>
            <w:shd w:val="clear" w:color="auto" w:fill="C6EFCE"/>
            <w:noWrap/>
            <w:vAlign w:val="center"/>
            <w:hideMark/>
          </w:tcPr>
          <w:p w14:paraId="330FAF2C" w14:textId="77777777" w:rsidR="00F208CE" w:rsidRDefault="00513E84">
            <w:pPr>
              <w:pStyle w:val="P68B1DB1-Normal14"/>
              <w:spacing w:after="0"/>
              <w:jc w:val="center"/>
              <w:rPr>
                <w:rFonts w:eastAsia="Times New Roman" w:cs="Times New Roman"/>
                <w:noProof/>
              </w:rPr>
            </w:pPr>
            <w:r>
              <w:rPr>
                <w:noProof/>
              </w:rPr>
              <w:t>226</w:t>
            </w:r>
          </w:p>
        </w:tc>
        <w:tc>
          <w:tcPr>
            <w:tcW w:w="1736" w:type="pct"/>
            <w:shd w:val="clear" w:color="auto" w:fill="C6EFCE"/>
            <w:noWrap/>
            <w:vAlign w:val="center"/>
            <w:hideMark/>
          </w:tcPr>
          <w:p w14:paraId="7BBFE726" w14:textId="77777777" w:rsidR="00F208CE" w:rsidRDefault="00513E84">
            <w:pPr>
              <w:pStyle w:val="P68B1DB1-Normal14"/>
              <w:spacing w:after="0"/>
              <w:rPr>
                <w:rFonts w:eastAsia="Times New Roman" w:cs="Times New Roman"/>
                <w:noProof/>
              </w:rPr>
            </w:pPr>
            <w:r>
              <w:rPr>
                <w:noProof/>
              </w:rPr>
              <w:t>Columna vertebral para H2 (I-7.15) [L]</w:t>
            </w:r>
          </w:p>
        </w:tc>
        <w:tc>
          <w:tcPr>
            <w:tcW w:w="417" w:type="pct"/>
            <w:shd w:val="clear" w:color="auto" w:fill="C6EFCE"/>
            <w:noWrap/>
            <w:vAlign w:val="center"/>
            <w:hideMark/>
          </w:tcPr>
          <w:p w14:paraId="0C13978A" w14:textId="77777777" w:rsidR="00F208CE" w:rsidRDefault="00513E84">
            <w:pPr>
              <w:pStyle w:val="P68B1DB1-Normal14"/>
              <w:spacing w:after="0"/>
              <w:jc w:val="center"/>
              <w:rPr>
                <w:rFonts w:eastAsia="Times New Roman" w:cs="Times New Roman"/>
                <w:noProof/>
              </w:rPr>
            </w:pPr>
            <w:r>
              <w:rPr>
                <w:noProof/>
              </w:rPr>
              <w:t>M</w:t>
            </w:r>
          </w:p>
        </w:tc>
        <w:tc>
          <w:tcPr>
            <w:tcW w:w="2377" w:type="pct"/>
            <w:shd w:val="clear" w:color="auto" w:fill="C6EFCE"/>
            <w:noWrap/>
            <w:vAlign w:val="center"/>
            <w:hideMark/>
          </w:tcPr>
          <w:p w14:paraId="66A950FD" w14:textId="77777777" w:rsidR="00F208CE" w:rsidRDefault="00513E84">
            <w:pPr>
              <w:pStyle w:val="P68B1DB1-Normal14"/>
              <w:spacing w:after="0"/>
              <w:rPr>
                <w:rFonts w:eastAsia="Times New Roman" w:cs="Times New Roman"/>
                <w:noProof/>
              </w:rPr>
            </w:pPr>
            <w:r>
              <w:rPr>
                <w:noProof/>
              </w:rPr>
              <w:t>Adopción del plan de inversiones para la infraestructura troncal de Horizonte 2</w:t>
            </w:r>
          </w:p>
        </w:tc>
      </w:tr>
      <w:tr w:rsidR="00F208CE" w14:paraId="46B0DD7E" w14:textId="77777777">
        <w:trPr>
          <w:trHeight w:val="315"/>
        </w:trPr>
        <w:tc>
          <w:tcPr>
            <w:tcW w:w="470" w:type="pct"/>
            <w:shd w:val="clear" w:color="auto" w:fill="C6EFCE"/>
            <w:noWrap/>
            <w:vAlign w:val="center"/>
            <w:hideMark/>
          </w:tcPr>
          <w:p w14:paraId="51A8D19E" w14:textId="77777777" w:rsidR="00F208CE" w:rsidRDefault="00513E84">
            <w:pPr>
              <w:pStyle w:val="P68B1DB1-Normal14"/>
              <w:spacing w:after="0"/>
              <w:jc w:val="center"/>
              <w:rPr>
                <w:rFonts w:eastAsia="Times New Roman" w:cs="Times New Roman"/>
                <w:noProof/>
              </w:rPr>
            </w:pPr>
            <w:r>
              <w:rPr>
                <w:noProof/>
              </w:rPr>
              <w:t>240</w:t>
            </w:r>
          </w:p>
        </w:tc>
        <w:tc>
          <w:tcPr>
            <w:tcW w:w="1736" w:type="pct"/>
            <w:shd w:val="clear" w:color="auto" w:fill="C6EFCE"/>
            <w:noWrap/>
            <w:vAlign w:val="center"/>
            <w:hideMark/>
          </w:tcPr>
          <w:p w14:paraId="547E81CC" w14:textId="4DBB2789" w:rsidR="00F208CE" w:rsidRDefault="00513E84">
            <w:pPr>
              <w:pStyle w:val="P68B1DB1-Normal14"/>
              <w:spacing w:after="0"/>
              <w:rPr>
                <w:rFonts w:eastAsia="Times New Roman" w:cs="Times New Roman"/>
                <w:noProof/>
              </w:rPr>
            </w:pPr>
            <w:r>
              <w:rPr>
                <w:noProof/>
              </w:rPr>
              <w:t>Isla de energía en alta mar (I-7.20)</w:t>
            </w:r>
          </w:p>
        </w:tc>
        <w:tc>
          <w:tcPr>
            <w:tcW w:w="417" w:type="pct"/>
            <w:shd w:val="clear" w:color="auto" w:fill="C6EFCE"/>
            <w:noWrap/>
            <w:vAlign w:val="center"/>
            <w:hideMark/>
          </w:tcPr>
          <w:p w14:paraId="1446626D" w14:textId="77777777" w:rsidR="00F208CE" w:rsidRDefault="00513E84">
            <w:pPr>
              <w:pStyle w:val="P68B1DB1-Normal14"/>
              <w:spacing w:after="0"/>
              <w:jc w:val="center"/>
              <w:rPr>
                <w:rFonts w:eastAsia="Times New Roman" w:cs="Times New Roman"/>
                <w:noProof/>
              </w:rPr>
            </w:pPr>
            <w:r>
              <w:rPr>
                <w:noProof/>
              </w:rPr>
              <w:t>M</w:t>
            </w:r>
          </w:p>
        </w:tc>
        <w:tc>
          <w:tcPr>
            <w:tcW w:w="2377" w:type="pct"/>
            <w:shd w:val="clear" w:color="auto" w:fill="C6EFCE"/>
            <w:noWrap/>
            <w:vAlign w:val="center"/>
            <w:hideMark/>
          </w:tcPr>
          <w:p w14:paraId="6B3AB7FA" w14:textId="77777777" w:rsidR="00F208CE" w:rsidRDefault="00513E84">
            <w:pPr>
              <w:pStyle w:val="P68B1DB1-Normal14"/>
              <w:spacing w:after="0"/>
              <w:rPr>
                <w:rFonts w:eastAsia="Times New Roman" w:cs="Times New Roman"/>
                <w:noProof/>
              </w:rPr>
            </w:pPr>
            <w:r>
              <w:rPr>
                <w:noProof/>
              </w:rPr>
              <w:t>Obtención de permisos medioambientales para la isla energética</w:t>
            </w:r>
          </w:p>
        </w:tc>
      </w:tr>
      <w:tr w:rsidR="00F208CE" w14:paraId="47101CB2" w14:textId="77777777">
        <w:trPr>
          <w:trHeight w:val="315"/>
        </w:trPr>
        <w:tc>
          <w:tcPr>
            <w:tcW w:w="470" w:type="pct"/>
            <w:shd w:val="clear" w:color="auto" w:fill="C6EFCE"/>
            <w:noWrap/>
            <w:vAlign w:val="center"/>
          </w:tcPr>
          <w:p w14:paraId="0A2E055E" w14:textId="77777777" w:rsidR="00F208CE" w:rsidRDefault="00F208CE">
            <w:pPr>
              <w:spacing w:after="0"/>
              <w:jc w:val="center"/>
              <w:rPr>
                <w:rFonts w:ascii="Times New Roman" w:eastAsia="Times New Roman" w:hAnsi="Times New Roman" w:cs="Times New Roman"/>
                <w:noProof/>
                <w:color w:val="006100"/>
                <w:sz w:val="20"/>
              </w:rPr>
            </w:pPr>
          </w:p>
        </w:tc>
        <w:tc>
          <w:tcPr>
            <w:tcW w:w="2153" w:type="pct"/>
            <w:gridSpan w:val="2"/>
            <w:shd w:val="clear" w:color="auto" w:fill="C6EFCE"/>
            <w:noWrap/>
            <w:vAlign w:val="center"/>
          </w:tcPr>
          <w:p w14:paraId="22908B6A" w14:textId="77777777" w:rsidR="00F208CE" w:rsidRDefault="00513E84">
            <w:pPr>
              <w:pStyle w:val="P68B1DB1-Normal14"/>
              <w:spacing w:after="0"/>
              <w:jc w:val="right"/>
              <w:rPr>
                <w:rFonts w:eastAsia="Times New Roman" w:cs="Times New Roman"/>
                <w:noProof/>
              </w:rPr>
            </w:pPr>
            <w:r>
              <w:rPr>
                <w:noProof/>
              </w:rPr>
              <w:t>Importe del tramo</w:t>
            </w:r>
          </w:p>
        </w:tc>
        <w:tc>
          <w:tcPr>
            <w:tcW w:w="2377" w:type="pct"/>
            <w:shd w:val="clear" w:color="auto" w:fill="C6EFCE"/>
            <w:noWrap/>
            <w:vAlign w:val="center"/>
          </w:tcPr>
          <w:p w14:paraId="1E41380D" w14:textId="10282212" w:rsidR="00F208CE" w:rsidRDefault="00513E84">
            <w:pPr>
              <w:pStyle w:val="P68B1DB1-Normal14"/>
              <w:spacing w:after="0"/>
              <w:rPr>
                <w:rFonts w:eastAsia="Times New Roman" w:cs="Times New Roman"/>
                <w:noProof/>
              </w:rPr>
            </w:pPr>
            <w:r>
              <w:rPr>
                <w:noProof/>
              </w:rPr>
              <w:t>48 840 000 EUR</w:t>
            </w:r>
          </w:p>
        </w:tc>
      </w:tr>
    </w:tbl>
    <w:p w14:paraId="5029A790" w14:textId="77777777" w:rsidR="00F208CE" w:rsidRDefault="00F208CE">
      <w:pPr>
        <w:rPr>
          <w:rFonts w:ascii="Times New Roman" w:hAnsi="Times New Roman" w:cs="Times New Roman"/>
          <w:noProof/>
        </w:rPr>
      </w:pPr>
    </w:p>
    <w:p w14:paraId="5E718D1F" w14:textId="4246E60A" w:rsidR="00F208CE" w:rsidRDefault="00513E84">
      <w:pPr>
        <w:pStyle w:val="ManualNumPar1"/>
        <w:rPr>
          <w:noProof/>
        </w:rPr>
      </w:pPr>
      <w:bookmarkStart w:id="11" w:name="_Hlk148370962"/>
      <w:r>
        <w:rPr>
          <w:noProof/>
        </w:rPr>
        <w:t>Tercer tramo (préstamos)</w:t>
      </w:r>
      <w:bookmarkEnd w:id="11"/>
      <w:r>
        <w:rPr>
          <w:noProof/>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ayout w:type="fixed"/>
        <w:tblLook w:val="04A0" w:firstRow="1" w:lastRow="0" w:firstColumn="1" w:lastColumn="0" w:noHBand="0" w:noVBand="1"/>
      </w:tblPr>
      <w:tblGrid>
        <w:gridCol w:w="959"/>
        <w:gridCol w:w="3856"/>
        <w:gridCol w:w="708"/>
        <w:gridCol w:w="4683"/>
      </w:tblGrid>
      <w:tr w:rsidR="00F208CE" w14:paraId="6601024A" w14:textId="77777777">
        <w:trPr>
          <w:trHeight w:val="300"/>
        </w:trPr>
        <w:tc>
          <w:tcPr>
            <w:tcW w:w="470" w:type="pct"/>
            <w:shd w:val="clear" w:color="auto" w:fill="BDD7EE"/>
            <w:noWrap/>
            <w:vAlign w:val="center"/>
            <w:hideMark/>
          </w:tcPr>
          <w:p w14:paraId="453FC284" w14:textId="77777777" w:rsidR="00F208CE" w:rsidRDefault="00513E84">
            <w:pPr>
              <w:pStyle w:val="P68B1DB1-Normal39"/>
              <w:spacing w:before="120" w:after="120"/>
              <w:rPr>
                <w:rFonts w:eastAsia="Times New Roman" w:cs="Times New Roman"/>
                <w:noProof/>
              </w:rPr>
            </w:pPr>
            <w:r>
              <w:rPr>
                <w:noProof/>
              </w:rPr>
              <w:t>Siguientes nb</w:t>
            </w:r>
          </w:p>
        </w:tc>
        <w:tc>
          <w:tcPr>
            <w:tcW w:w="1889" w:type="pct"/>
            <w:shd w:val="clear" w:color="auto" w:fill="BDD7EE"/>
            <w:noWrap/>
            <w:vAlign w:val="center"/>
            <w:hideMark/>
          </w:tcPr>
          <w:p w14:paraId="3A161D24" w14:textId="77777777" w:rsidR="00F208CE" w:rsidRDefault="00513E84">
            <w:pPr>
              <w:pStyle w:val="P68B1DB1-Normal39"/>
              <w:spacing w:before="120" w:after="120"/>
              <w:rPr>
                <w:rFonts w:eastAsia="Times New Roman" w:cs="Times New Roman"/>
                <w:noProof/>
              </w:rPr>
            </w:pPr>
            <w:r>
              <w:rPr>
                <w:noProof/>
              </w:rPr>
              <w:t>Nombre de la medida</w:t>
            </w:r>
          </w:p>
        </w:tc>
        <w:tc>
          <w:tcPr>
            <w:tcW w:w="347" w:type="pct"/>
            <w:shd w:val="clear" w:color="auto" w:fill="BDD7EE"/>
            <w:noWrap/>
            <w:vAlign w:val="center"/>
            <w:hideMark/>
          </w:tcPr>
          <w:p w14:paraId="7D68CA16" w14:textId="77777777" w:rsidR="00F208CE" w:rsidRDefault="00513E84">
            <w:pPr>
              <w:pStyle w:val="P68B1DB1-Normal39"/>
              <w:spacing w:before="120" w:after="120"/>
              <w:jc w:val="center"/>
              <w:rPr>
                <w:rFonts w:eastAsia="Times New Roman" w:cs="Times New Roman"/>
                <w:noProof/>
              </w:rPr>
            </w:pPr>
            <w:r>
              <w:rPr>
                <w:noProof/>
              </w:rPr>
              <w:t>M/T</w:t>
            </w:r>
          </w:p>
        </w:tc>
        <w:tc>
          <w:tcPr>
            <w:tcW w:w="2294" w:type="pct"/>
            <w:shd w:val="clear" w:color="auto" w:fill="BDD7EE"/>
            <w:noWrap/>
            <w:vAlign w:val="center"/>
            <w:hideMark/>
          </w:tcPr>
          <w:p w14:paraId="381DB04B" w14:textId="77777777" w:rsidR="00F208CE" w:rsidRDefault="00513E84">
            <w:pPr>
              <w:pStyle w:val="P68B1DB1-Normal39"/>
              <w:spacing w:before="120" w:after="120"/>
              <w:rPr>
                <w:rFonts w:eastAsia="Times New Roman" w:cs="Times New Roman"/>
                <w:noProof/>
              </w:rPr>
            </w:pPr>
            <w:r>
              <w:rPr>
                <w:noProof/>
              </w:rPr>
              <w:t>Nombre</w:t>
            </w:r>
          </w:p>
        </w:tc>
      </w:tr>
      <w:tr w:rsidR="00F208CE" w14:paraId="5AE6F25C" w14:textId="77777777">
        <w:trPr>
          <w:trHeight w:val="315"/>
        </w:trPr>
        <w:tc>
          <w:tcPr>
            <w:tcW w:w="470" w:type="pct"/>
            <w:shd w:val="clear" w:color="auto" w:fill="C6EFCE"/>
            <w:noWrap/>
            <w:vAlign w:val="center"/>
            <w:hideMark/>
          </w:tcPr>
          <w:p w14:paraId="4FC1B0F1" w14:textId="77777777" w:rsidR="00F208CE" w:rsidRDefault="00513E84">
            <w:pPr>
              <w:pStyle w:val="P68B1DB1-Normal14"/>
              <w:spacing w:after="0"/>
              <w:jc w:val="center"/>
              <w:rPr>
                <w:rFonts w:eastAsia="Times New Roman" w:cs="Times New Roman"/>
                <w:noProof/>
              </w:rPr>
            </w:pPr>
            <w:r>
              <w:rPr>
                <w:noProof/>
              </w:rPr>
              <w:t>96.a</w:t>
            </w:r>
          </w:p>
        </w:tc>
        <w:tc>
          <w:tcPr>
            <w:tcW w:w="1889" w:type="pct"/>
            <w:shd w:val="clear" w:color="auto" w:fill="C6EFCE"/>
            <w:noWrap/>
            <w:vAlign w:val="center"/>
            <w:hideMark/>
          </w:tcPr>
          <w:p w14:paraId="54ADE225" w14:textId="7D6702B3" w:rsidR="00F208CE" w:rsidRDefault="00513E84">
            <w:pPr>
              <w:pStyle w:val="P68B1DB1-Normal14"/>
              <w:spacing w:after="0"/>
              <w:rPr>
                <w:rFonts w:eastAsia="Times New Roman" w:cs="Times New Roman"/>
                <w:noProof/>
              </w:rPr>
            </w:pPr>
            <w:r>
              <w:rPr>
                <w:noProof/>
              </w:rPr>
              <w:t xml:space="preserve">Infraestructura para bicicletas — Vélo </w:t>
            </w:r>
            <w:r>
              <w:rPr>
                <w:noProof/>
              </w:rPr>
              <w:t>Plus — Estado Federal (I-3.03b)</w:t>
            </w:r>
          </w:p>
        </w:tc>
        <w:tc>
          <w:tcPr>
            <w:tcW w:w="347" w:type="pct"/>
            <w:shd w:val="clear" w:color="auto" w:fill="C6EFCE"/>
            <w:noWrap/>
            <w:vAlign w:val="center"/>
            <w:hideMark/>
          </w:tcPr>
          <w:p w14:paraId="2DC9820E" w14:textId="77777777" w:rsidR="00F208CE" w:rsidRDefault="00513E84">
            <w:pPr>
              <w:pStyle w:val="P68B1DB1-Normal14"/>
              <w:spacing w:after="0"/>
              <w:jc w:val="center"/>
              <w:rPr>
                <w:rFonts w:eastAsia="Times New Roman" w:cs="Times New Roman"/>
                <w:noProof/>
              </w:rPr>
            </w:pPr>
            <w:r>
              <w:rPr>
                <w:noProof/>
              </w:rPr>
              <w:t>M</w:t>
            </w:r>
          </w:p>
        </w:tc>
        <w:tc>
          <w:tcPr>
            <w:tcW w:w="2294" w:type="pct"/>
            <w:shd w:val="clear" w:color="auto" w:fill="C6EFCE"/>
            <w:noWrap/>
            <w:vAlign w:val="center"/>
            <w:hideMark/>
          </w:tcPr>
          <w:p w14:paraId="268F1A0B" w14:textId="77777777" w:rsidR="00F208CE" w:rsidRDefault="00513E84">
            <w:pPr>
              <w:pStyle w:val="P68B1DB1-Normal14"/>
              <w:spacing w:after="0"/>
              <w:rPr>
                <w:rFonts w:eastAsia="Times New Roman" w:cs="Times New Roman"/>
                <w:noProof/>
              </w:rPr>
            </w:pPr>
            <w:r>
              <w:rPr>
                <w:noProof/>
              </w:rPr>
              <w:t>Inicio de todos los proyectos en bicicleta y a pie</w:t>
            </w:r>
          </w:p>
        </w:tc>
      </w:tr>
      <w:tr w:rsidR="00F208CE" w14:paraId="2652BBFE" w14:textId="77777777">
        <w:trPr>
          <w:trHeight w:val="315"/>
        </w:trPr>
        <w:tc>
          <w:tcPr>
            <w:tcW w:w="470" w:type="pct"/>
            <w:shd w:val="clear" w:color="auto" w:fill="C6EFCE"/>
            <w:noWrap/>
            <w:vAlign w:val="center"/>
          </w:tcPr>
          <w:p w14:paraId="68EC8F82" w14:textId="77777777" w:rsidR="00F208CE" w:rsidRDefault="00F208CE">
            <w:pPr>
              <w:spacing w:after="0"/>
              <w:jc w:val="center"/>
              <w:rPr>
                <w:rFonts w:ascii="Times New Roman" w:eastAsia="Times New Roman" w:hAnsi="Times New Roman" w:cs="Times New Roman"/>
                <w:noProof/>
                <w:color w:val="006100"/>
                <w:sz w:val="20"/>
              </w:rPr>
            </w:pPr>
          </w:p>
        </w:tc>
        <w:tc>
          <w:tcPr>
            <w:tcW w:w="2236" w:type="pct"/>
            <w:gridSpan w:val="2"/>
            <w:shd w:val="clear" w:color="auto" w:fill="C6EFCE"/>
            <w:noWrap/>
            <w:vAlign w:val="center"/>
          </w:tcPr>
          <w:p w14:paraId="564A5122" w14:textId="77777777" w:rsidR="00F208CE" w:rsidRDefault="00513E84">
            <w:pPr>
              <w:pStyle w:val="P68B1DB1-Normal14"/>
              <w:spacing w:after="0"/>
              <w:jc w:val="right"/>
              <w:rPr>
                <w:rFonts w:eastAsia="Times New Roman" w:cs="Times New Roman"/>
                <w:noProof/>
              </w:rPr>
            </w:pPr>
            <w:r>
              <w:rPr>
                <w:noProof/>
              </w:rPr>
              <w:t>Importe del tramo</w:t>
            </w:r>
          </w:p>
        </w:tc>
        <w:tc>
          <w:tcPr>
            <w:tcW w:w="2294" w:type="pct"/>
            <w:shd w:val="clear" w:color="auto" w:fill="C6EFCE"/>
            <w:noWrap/>
            <w:vAlign w:val="center"/>
          </w:tcPr>
          <w:p w14:paraId="7C175632" w14:textId="2522B152" w:rsidR="00F208CE" w:rsidRDefault="00513E84">
            <w:pPr>
              <w:pStyle w:val="P68B1DB1-Normal14"/>
              <w:spacing w:after="0"/>
              <w:rPr>
                <w:rFonts w:eastAsia="Times New Roman" w:cs="Times New Roman"/>
                <w:noProof/>
              </w:rPr>
            </w:pPr>
            <w:r>
              <w:rPr>
                <w:noProof/>
              </w:rPr>
              <w:t>24 420 000 EUR</w:t>
            </w:r>
          </w:p>
        </w:tc>
      </w:tr>
    </w:tbl>
    <w:p w14:paraId="704D3265" w14:textId="77777777" w:rsidR="00F208CE" w:rsidRDefault="00F208CE">
      <w:pPr>
        <w:rPr>
          <w:rFonts w:ascii="Times New Roman" w:hAnsi="Times New Roman" w:cs="Times New Roman"/>
          <w:noProof/>
        </w:rPr>
      </w:pPr>
    </w:p>
    <w:p w14:paraId="2E7D9C34" w14:textId="56E11C13" w:rsidR="00F208CE" w:rsidRDefault="00513E84">
      <w:pPr>
        <w:pStyle w:val="ManualNumPar1"/>
        <w:rPr>
          <w:noProof/>
        </w:rPr>
      </w:pPr>
      <w:r>
        <w:rPr>
          <w:noProof/>
        </w:rPr>
        <w:t>Cuarto plazo (préstamos):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EFCE"/>
        <w:tblLayout w:type="fixed"/>
        <w:tblLook w:val="04A0" w:firstRow="1" w:lastRow="0" w:firstColumn="1" w:lastColumn="0" w:noHBand="0" w:noVBand="1"/>
      </w:tblPr>
      <w:tblGrid>
        <w:gridCol w:w="868"/>
        <w:gridCol w:w="3635"/>
        <w:gridCol w:w="849"/>
        <w:gridCol w:w="4854"/>
      </w:tblGrid>
      <w:tr w:rsidR="00F208CE" w14:paraId="51FF6866" w14:textId="77777777">
        <w:trPr>
          <w:trHeight w:val="300"/>
        </w:trPr>
        <w:tc>
          <w:tcPr>
            <w:tcW w:w="425" w:type="pct"/>
            <w:shd w:val="clear" w:color="auto" w:fill="BDD7EE"/>
            <w:noWrap/>
            <w:vAlign w:val="bottom"/>
            <w:hideMark/>
          </w:tcPr>
          <w:p w14:paraId="23DE5501" w14:textId="77777777" w:rsidR="00F208CE" w:rsidRDefault="00513E84">
            <w:pPr>
              <w:pStyle w:val="P68B1DB1-Normal39"/>
              <w:spacing w:before="120" w:after="120"/>
              <w:rPr>
                <w:rFonts w:eastAsia="Times New Roman" w:cs="Times New Roman"/>
                <w:noProof/>
              </w:rPr>
            </w:pPr>
            <w:r>
              <w:rPr>
                <w:noProof/>
              </w:rPr>
              <w:t>Siguientes nb</w:t>
            </w:r>
          </w:p>
        </w:tc>
        <w:tc>
          <w:tcPr>
            <w:tcW w:w="1781" w:type="pct"/>
            <w:shd w:val="clear" w:color="auto" w:fill="BDD7EE"/>
            <w:noWrap/>
            <w:vAlign w:val="bottom"/>
            <w:hideMark/>
          </w:tcPr>
          <w:p w14:paraId="236FC03C" w14:textId="77777777" w:rsidR="00F208CE" w:rsidRDefault="00513E84">
            <w:pPr>
              <w:pStyle w:val="P68B1DB1-Normal39"/>
              <w:spacing w:before="120" w:after="120"/>
              <w:rPr>
                <w:rFonts w:eastAsia="Times New Roman" w:cs="Times New Roman"/>
                <w:noProof/>
              </w:rPr>
            </w:pPr>
            <w:r>
              <w:rPr>
                <w:noProof/>
              </w:rPr>
              <w:t>Nombre de la medida</w:t>
            </w:r>
          </w:p>
        </w:tc>
        <w:tc>
          <w:tcPr>
            <w:tcW w:w="416" w:type="pct"/>
            <w:shd w:val="clear" w:color="auto" w:fill="BDD7EE"/>
            <w:noWrap/>
            <w:vAlign w:val="bottom"/>
            <w:hideMark/>
          </w:tcPr>
          <w:p w14:paraId="112E9278" w14:textId="77777777" w:rsidR="00F208CE" w:rsidRDefault="00513E84">
            <w:pPr>
              <w:pStyle w:val="P68B1DB1-Normal39"/>
              <w:spacing w:before="120" w:after="120"/>
              <w:jc w:val="center"/>
              <w:rPr>
                <w:rFonts w:eastAsia="Times New Roman" w:cs="Times New Roman"/>
                <w:noProof/>
              </w:rPr>
            </w:pPr>
            <w:r>
              <w:rPr>
                <w:noProof/>
              </w:rPr>
              <w:t>M/T</w:t>
            </w:r>
          </w:p>
        </w:tc>
        <w:tc>
          <w:tcPr>
            <w:tcW w:w="2378" w:type="pct"/>
            <w:shd w:val="clear" w:color="auto" w:fill="BDD7EE"/>
            <w:noWrap/>
            <w:vAlign w:val="bottom"/>
            <w:hideMark/>
          </w:tcPr>
          <w:p w14:paraId="42B5C2CF" w14:textId="77777777" w:rsidR="00F208CE" w:rsidRDefault="00513E84">
            <w:pPr>
              <w:pStyle w:val="P68B1DB1-Normal39"/>
              <w:spacing w:before="120" w:after="120"/>
              <w:rPr>
                <w:rFonts w:eastAsia="Times New Roman" w:cs="Times New Roman"/>
                <w:noProof/>
              </w:rPr>
            </w:pPr>
            <w:r>
              <w:rPr>
                <w:noProof/>
              </w:rPr>
              <w:t>Nombre</w:t>
            </w:r>
          </w:p>
        </w:tc>
      </w:tr>
      <w:tr w:rsidR="00F208CE" w14:paraId="54D44F15" w14:textId="77777777">
        <w:trPr>
          <w:trHeight w:val="315"/>
        </w:trPr>
        <w:tc>
          <w:tcPr>
            <w:tcW w:w="425" w:type="pct"/>
            <w:shd w:val="clear" w:color="auto" w:fill="C6EFCE"/>
            <w:noWrap/>
            <w:vAlign w:val="center"/>
            <w:hideMark/>
          </w:tcPr>
          <w:p w14:paraId="4E54EBCB" w14:textId="7EBCAA14" w:rsidR="00F208CE" w:rsidRDefault="00513E84">
            <w:pPr>
              <w:pStyle w:val="P68B1DB1-Normal14"/>
              <w:spacing w:after="0"/>
              <w:jc w:val="center"/>
              <w:rPr>
                <w:rFonts w:eastAsia="Times New Roman" w:cs="Times New Roman"/>
                <w:noProof/>
              </w:rPr>
            </w:pPr>
            <w:r>
              <w:rPr>
                <w:noProof/>
              </w:rPr>
              <w:t>55b</w:t>
            </w:r>
          </w:p>
        </w:tc>
        <w:tc>
          <w:tcPr>
            <w:tcW w:w="1781" w:type="pct"/>
            <w:shd w:val="clear" w:color="auto" w:fill="C6EFCE"/>
            <w:noWrap/>
            <w:vAlign w:val="center"/>
            <w:hideMark/>
          </w:tcPr>
          <w:p w14:paraId="2AE6A350" w14:textId="4E0A31E7" w:rsidR="00F208CE" w:rsidRDefault="00513E84">
            <w:pPr>
              <w:pStyle w:val="P68B1DB1-Normal14"/>
              <w:spacing w:after="0"/>
              <w:rPr>
                <w:rFonts w:eastAsia="Times New Roman" w:cs="Times New Roman"/>
                <w:noProof/>
              </w:rPr>
            </w:pPr>
            <w:r>
              <w:rPr>
                <w:noProof/>
              </w:rPr>
              <w:t xml:space="preserve">Fondo para pequeños proyectos de digitalización (I-2.05 </w:t>
            </w:r>
            <w:r>
              <w:rPr>
                <w:noProof/>
              </w:rPr>
              <w:t>bis)</w:t>
            </w:r>
          </w:p>
        </w:tc>
        <w:tc>
          <w:tcPr>
            <w:tcW w:w="416" w:type="pct"/>
            <w:shd w:val="clear" w:color="auto" w:fill="C6EFCE"/>
            <w:noWrap/>
            <w:vAlign w:val="center"/>
            <w:hideMark/>
          </w:tcPr>
          <w:p w14:paraId="6D14025C" w14:textId="6C45C50C" w:rsidR="00F208CE" w:rsidRDefault="00513E84">
            <w:pPr>
              <w:pStyle w:val="P68B1DB1-Normal14"/>
              <w:spacing w:after="0"/>
              <w:jc w:val="center"/>
              <w:rPr>
                <w:rFonts w:eastAsia="Times New Roman" w:cs="Times New Roman"/>
                <w:noProof/>
              </w:rPr>
            </w:pPr>
            <w:r>
              <w:rPr>
                <w:noProof/>
              </w:rPr>
              <w:t>M</w:t>
            </w:r>
          </w:p>
        </w:tc>
        <w:tc>
          <w:tcPr>
            <w:tcW w:w="2378" w:type="pct"/>
            <w:shd w:val="clear" w:color="auto" w:fill="C6EFCE"/>
            <w:noWrap/>
            <w:vAlign w:val="center"/>
            <w:hideMark/>
          </w:tcPr>
          <w:p w14:paraId="33AB7C82" w14:textId="61EF1BC5" w:rsidR="00F208CE" w:rsidRDefault="00513E84">
            <w:pPr>
              <w:pStyle w:val="P68B1DB1-Normal14"/>
              <w:spacing w:after="0"/>
              <w:rPr>
                <w:rFonts w:eastAsia="Times New Roman" w:cs="Times New Roman"/>
                <w:noProof/>
              </w:rPr>
            </w:pPr>
            <w:r>
              <w:rPr>
                <w:noProof/>
              </w:rPr>
              <w:t>El proyecto se ha completado y los resultados están operativos</w:t>
            </w:r>
          </w:p>
        </w:tc>
      </w:tr>
      <w:tr w:rsidR="00F208CE" w14:paraId="3637FE17" w14:textId="77777777">
        <w:trPr>
          <w:trHeight w:val="315"/>
        </w:trPr>
        <w:tc>
          <w:tcPr>
            <w:tcW w:w="425" w:type="pct"/>
            <w:shd w:val="clear" w:color="auto" w:fill="C6EFCE"/>
            <w:noWrap/>
            <w:vAlign w:val="center"/>
            <w:hideMark/>
          </w:tcPr>
          <w:p w14:paraId="6FEAB9E2" w14:textId="459DE915" w:rsidR="00F208CE" w:rsidRDefault="00513E84">
            <w:pPr>
              <w:pStyle w:val="P68B1DB1-Normal14"/>
              <w:spacing w:after="0"/>
              <w:jc w:val="center"/>
              <w:rPr>
                <w:rFonts w:eastAsia="Times New Roman" w:cs="Times New Roman"/>
                <w:noProof/>
              </w:rPr>
            </w:pPr>
            <w:r>
              <w:rPr>
                <w:noProof/>
              </w:rPr>
              <w:t>96b</w:t>
            </w:r>
          </w:p>
        </w:tc>
        <w:tc>
          <w:tcPr>
            <w:tcW w:w="1781" w:type="pct"/>
            <w:shd w:val="clear" w:color="auto" w:fill="C6EFCE"/>
            <w:noWrap/>
            <w:vAlign w:val="center"/>
            <w:hideMark/>
          </w:tcPr>
          <w:p w14:paraId="1AEA0A77" w14:textId="2D092E68" w:rsidR="00F208CE" w:rsidRDefault="00513E84">
            <w:pPr>
              <w:pStyle w:val="P68B1DB1-Normal14"/>
              <w:spacing w:after="0"/>
              <w:rPr>
                <w:rFonts w:eastAsia="Times New Roman" w:cs="Times New Roman"/>
                <w:noProof/>
              </w:rPr>
            </w:pPr>
            <w:r>
              <w:rPr>
                <w:noProof/>
              </w:rPr>
              <w:t>Infraestructura para bicicletas — Vélo Plus — Estado Federal (I-3.03b)</w:t>
            </w:r>
          </w:p>
        </w:tc>
        <w:tc>
          <w:tcPr>
            <w:tcW w:w="416" w:type="pct"/>
            <w:shd w:val="clear" w:color="auto" w:fill="C6EFCE"/>
            <w:noWrap/>
            <w:vAlign w:val="center"/>
            <w:hideMark/>
          </w:tcPr>
          <w:p w14:paraId="1FA03858" w14:textId="77DB50B9" w:rsidR="00F208CE" w:rsidRDefault="00513E84">
            <w:pPr>
              <w:pStyle w:val="P68B1DB1-Normal14"/>
              <w:spacing w:after="0"/>
              <w:jc w:val="center"/>
              <w:rPr>
                <w:rFonts w:eastAsia="Times New Roman" w:cs="Times New Roman"/>
                <w:noProof/>
              </w:rPr>
            </w:pPr>
            <w:r>
              <w:rPr>
                <w:noProof/>
              </w:rPr>
              <w:t>T</w:t>
            </w:r>
          </w:p>
        </w:tc>
        <w:tc>
          <w:tcPr>
            <w:tcW w:w="2378" w:type="pct"/>
            <w:shd w:val="clear" w:color="auto" w:fill="C6EFCE"/>
            <w:noWrap/>
            <w:vAlign w:val="center"/>
            <w:hideMark/>
          </w:tcPr>
          <w:p w14:paraId="609E5BE3" w14:textId="3AADC6BC" w:rsidR="00F208CE" w:rsidRDefault="00513E84">
            <w:pPr>
              <w:pStyle w:val="P68B1DB1-Normal14"/>
              <w:spacing w:after="0"/>
              <w:rPr>
                <w:rFonts w:eastAsia="Times New Roman" w:cs="Times New Roman"/>
                <w:noProof/>
              </w:rPr>
            </w:pPr>
            <w:r>
              <w:rPr>
                <w:noProof/>
              </w:rPr>
              <w:t>Carreteras ciclistas nuevas y renovadas</w:t>
            </w:r>
          </w:p>
        </w:tc>
      </w:tr>
      <w:tr w:rsidR="00F208CE" w14:paraId="13E67943" w14:textId="77777777">
        <w:trPr>
          <w:trHeight w:val="315"/>
        </w:trPr>
        <w:tc>
          <w:tcPr>
            <w:tcW w:w="425" w:type="pct"/>
            <w:shd w:val="clear" w:color="auto" w:fill="C6EFCE"/>
            <w:noWrap/>
            <w:vAlign w:val="center"/>
            <w:hideMark/>
          </w:tcPr>
          <w:p w14:paraId="1D1B7E0B" w14:textId="27E60F9A" w:rsidR="00F208CE" w:rsidRDefault="00513E84">
            <w:pPr>
              <w:pStyle w:val="P68B1DB1-Normal14"/>
              <w:spacing w:after="0"/>
              <w:jc w:val="center"/>
              <w:rPr>
                <w:rFonts w:eastAsia="Times New Roman" w:cs="Times New Roman"/>
                <w:noProof/>
              </w:rPr>
            </w:pPr>
            <w:r>
              <w:rPr>
                <w:noProof/>
              </w:rPr>
              <w:t>98</w:t>
            </w:r>
          </w:p>
        </w:tc>
        <w:tc>
          <w:tcPr>
            <w:tcW w:w="1781" w:type="pct"/>
            <w:shd w:val="clear" w:color="auto" w:fill="C6EFCE"/>
            <w:noWrap/>
            <w:vAlign w:val="center"/>
            <w:hideMark/>
          </w:tcPr>
          <w:p w14:paraId="42BF1CA0" w14:textId="54461D74" w:rsidR="00F208CE" w:rsidRDefault="00513E84">
            <w:pPr>
              <w:pStyle w:val="P68B1DB1-Normal14"/>
              <w:spacing w:after="0"/>
              <w:rPr>
                <w:rFonts w:eastAsia="Times New Roman" w:cs="Times New Roman"/>
                <w:noProof/>
              </w:rPr>
            </w:pPr>
            <w:r>
              <w:rPr>
                <w:noProof/>
              </w:rPr>
              <w:t xml:space="preserve">Infraestructura para desplazamientos en bicicleta a pie — </w:t>
            </w:r>
            <w:r>
              <w:rPr>
                <w:noProof/>
              </w:rPr>
              <w:t>Schuman (I-3.04)</w:t>
            </w:r>
          </w:p>
        </w:tc>
        <w:tc>
          <w:tcPr>
            <w:tcW w:w="416" w:type="pct"/>
            <w:shd w:val="clear" w:color="auto" w:fill="C6EFCE"/>
            <w:noWrap/>
            <w:vAlign w:val="center"/>
            <w:hideMark/>
          </w:tcPr>
          <w:p w14:paraId="38B9FB8B" w14:textId="724258F1" w:rsidR="00F208CE" w:rsidRDefault="00513E84">
            <w:pPr>
              <w:pStyle w:val="P68B1DB1-Normal14"/>
              <w:spacing w:after="0"/>
              <w:jc w:val="center"/>
              <w:rPr>
                <w:rFonts w:eastAsia="Times New Roman" w:cs="Times New Roman"/>
                <w:noProof/>
              </w:rPr>
            </w:pPr>
            <w:r>
              <w:rPr>
                <w:noProof/>
              </w:rPr>
              <w:t>T</w:t>
            </w:r>
          </w:p>
        </w:tc>
        <w:tc>
          <w:tcPr>
            <w:tcW w:w="2378" w:type="pct"/>
            <w:shd w:val="clear" w:color="auto" w:fill="C6EFCE"/>
            <w:noWrap/>
            <w:vAlign w:val="center"/>
            <w:hideMark/>
          </w:tcPr>
          <w:p w14:paraId="51F3E008" w14:textId="1F4FFF95" w:rsidR="00F208CE" w:rsidRDefault="00513E84">
            <w:pPr>
              <w:pStyle w:val="P68B1DB1-Normal14"/>
              <w:spacing w:after="0"/>
              <w:rPr>
                <w:rFonts w:eastAsia="Times New Roman" w:cs="Times New Roman"/>
                <w:noProof/>
              </w:rPr>
            </w:pPr>
            <w:r>
              <w:rPr>
                <w:noProof/>
              </w:rPr>
              <w:t>Nuevo espacio público para peatones, ciclistas y transporte público en Schuman</w:t>
            </w:r>
          </w:p>
        </w:tc>
      </w:tr>
      <w:tr w:rsidR="00F208CE" w14:paraId="25128B5B" w14:textId="77777777">
        <w:trPr>
          <w:trHeight w:val="315"/>
        </w:trPr>
        <w:tc>
          <w:tcPr>
            <w:tcW w:w="425" w:type="pct"/>
            <w:shd w:val="clear" w:color="auto" w:fill="C6EFCE"/>
            <w:noWrap/>
            <w:vAlign w:val="center"/>
            <w:hideMark/>
          </w:tcPr>
          <w:p w14:paraId="0BC6B777" w14:textId="77777777" w:rsidR="00F208CE" w:rsidRDefault="00513E84">
            <w:pPr>
              <w:pStyle w:val="P68B1DB1-Normal14"/>
              <w:spacing w:after="0"/>
              <w:jc w:val="center"/>
              <w:rPr>
                <w:rFonts w:eastAsia="Times New Roman" w:cs="Times New Roman"/>
                <w:noProof/>
              </w:rPr>
            </w:pPr>
            <w:r>
              <w:rPr>
                <w:noProof/>
              </w:rPr>
              <w:t>241</w:t>
            </w:r>
          </w:p>
        </w:tc>
        <w:tc>
          <w:tcPr>
            <w:tcW w:w="1781" w:type="pct"/>
            <w:shd w:val="clear" w:color="auto" w:fill="C6EFCE"/>
            <w:noWrap/>
            <w:vAlign w:val="center"/>
            <w:hideMark/>
          </w:tcPr>
          <w:p w14:paraId="61790594" w14:textId="1B4A6B9E" w:rsidR="00F208CE" w:rsidRDefault="00513E84">
            <w:pPr>
              <w:pStyle w:val="P68B1DB1-Normal14"/>
              <w:spacing w:after="0"/>
              <w:rPr>
                <w:rFonts w:eastAsia="Times New Roman" w:cs="Times New Roman"/>
                <w:noProof/>
              </w:rPr>
            </w:pPr>
            <w:r>
              <w:rPr>
                <w:noProof/>
              </w:rPr>
              <w:t>Isla de energía en alta mar (I-7.20)</w:t>
            </w:r>
          </w:p>
        </w:tc>
        <w:tc>
          <w:tcPr>
            <w:tcW w:w="416" w:type="pct"/>
            <w:shd w:val="clear" w:color="auto" w:fill="C6EFCE"/>
            <w:noWrap/>
            <w:vAlign w:val="center"/>
            <w:hideMark/>
          </w:tcPr>
          <w:p w14:paraId="7AD7E530" w14:textId="77777777" w:rsidR="00F208CE" w:rsidRDefault="00513E84">
            <w:pPr>
              <w:pStyle w:val="P68B1DB1-Normal14"/>
              <w:spacing w:after="0"/>
              <w:jc w:val="center"/>
              <w:rPr>
                <w:rFonts w:eastAsia="Times New Roman" w:cs="Times New Roman"/>
                <w:noProof/>
              </w:rPr>
            </w:pPr>
            <w:r>
              <w:rPr>
                <w:noProof/>
              </w:rPr>
              <w:t>M</w:t>
            </w:r>
          </w:p>
        </w:tc>
        <w:tc>
          <w:tcPr>
            <w:tcW w:w="2378" w:type="pct"/>
            <w:shd w:val="clear" w:color="auto" w:fill="C6EFCE"/>
            <w:noWrap/>
            <w:vAlign w:val="center"/>
            <w:hideMark/>
          </w:tcPr>
          <w:p w14:paraId="47806E41" w14:textId="77777777" w:rsidR="00F208CE" w:rsidRDefault="00513E84">
            <w:pPr>
              <w:pStyle w:val="P68B1DB1-Normal14"/>
              <w:spacing w:after="0"/>
              <w:rPr>
                <w:rFonts w:eastAsia="Times New Roman" w:cs="Times New Roman"/>
                <w:noProof/>
              </w:rPr>
            </w:pPr>
            <w:r>
              <w:rPr>
                <w:noProof/>
              </w:rPr>
              <w:t>Finalización de las obras relacionadas con la isla energética</w:t>
            </w:r>
          </w:p>
        </w:tc>
      </w:tr>
      <w:tr w:rsidR="00F208CE" w14:paraId="7D12C803" w14:textId="77777777">
        <w:trPr>
          <w:trHeight w:val="315"/>
        </w:trPr>
        <w:tc>
          <w:tcPr>
            <w:tcW w:w="425" w:type="pct"/>
            <w:shd w:val="clear" w:color="auto" w:fill="C6EFCE"/>
            <w:noWrap/>
            <w:vAlign w:val="center"/>
            <w:hideMark/>
          </w:tcPr>
          <w:p w14:paraId="5378F06F" w14:textId="6E5C6265" w:rsidR="00F208CE" w:rsidRDefault="00513E84">
            <w:pPr>
              <w:pStyle w:val="P68B1DB1-Normal14"/>
              <w:spacing w:after="0"/>
              <w:jc w:val="center"/>
              <w:rPr>
                <w:rFonts w:eastAsia="Times New Roman" w:cs="Times New Roman"/>
                <w:noProof/>
              </w:rPr>
            </w:pPr>
            <w:r>
              <w:rPr>
                <w:noProof/>
              </w:rPr>
              <w:t>227</w:t>
            </w:r>
          </w:p>
        </w:tc>
        <w:tc>
          <w:tcPr>
            <w:tcW w:w="1781" w:type="pct"/>
            <w:shd w:val="clear" w:color="auto" w:fill="C6EFCE"/>
            <w:noWrap/>
            <w:vAlign w:val="center"/>
            <w:hideMark/>
          </w:tcPr>
          <w:p w14:paraId="61ACAC03" w14:textId="16349E88" w:rsidR="00F208CE" w:rsidRDefault="00513E84">
            <w:pPr>
              <w:pStyle w:val="P68B1DB1-Normal14"/>
              <w:spacing w:after="0"/>
              <w:rPr>
                <w:rFonts w:eastAsia="Times New Roman" w:cs="Times New Roman"/>
                <w:noProof/>
              </w:rPr>
            </w:pPr>
            <w:r>
              <w:rPr>
                <w:noProof/>
              </w:rPr>
              <w:t>Columna vertebral para H2 (I-7.15) [L]</w:t>
            </w:r>
          </w:p>
        </w:tc>
        <w:tc>
          <w:tcPr>
            <w:tcW w:w="416" w:type="pct"/>
            <w:shd w:val="clear" w:color="auto" w:fill="C6EFCE"/>
            <w:noWrap/>
            <w:vAlign w:val="center"/>
            <w:hideMark/>
          </w:tcPr>
          <w:p w14:paraId="384FD930" w14:textId="0D28F359" w:rsidR="00F208CE" w:rsidRDefault="00513E84">
            <w:pPr>
              <w:pStyle w:val="P68B1DB1-Normal14"/>
              <w:spacing w:after="0"/>
              <w:jc w:val="center"/>
              <w:rPr>
                <w:rFonts w:eastAsia="Times New Roman" w:cs="Times New Roman"/>
                <w:noProof/>
              </w:rPr>
            </w:pPr>
            <w:r>
              <w:rPr>
                <w:noProof/>
              </w:rPr>
              <w:t>T</w:t>
            </w:r>
          </w:p>
        </w:tc>
        <w:tc>
          <w:tcPr>
            <w:tcW w:w="2378" w:type="pct"/>
            <w:shd w:val="clear" w:color="auto" w:fill="C6EFCE"/>
            <w:noWrap/>
            <w:vAlign w:val="center"/>
            <w:hideMark/>
          </w:tcPr>
          <w:p w14:paraId="6A4BE811" w14:textId="30F78AAE" w:rsidR="00F208CE" w:rsidRDefault="00513E84">
            <w:pPr>
              <w:pStyle w:val="P68B1DB1-Normal14"/>
              <w:spacing w:after="0"/>
              <w:rPr>
                <w:rFonts w:eastAsia="Times New Roman" w:cs="Times New Roman"/>
                <w:noProof/>
              </w:rPr>
            </w:pPr>
            <w:r>
              <w:rPr>
                <w:noProof/>
              </w:rPr>
              <w:t>Construcción y explotación de 150 km de gasoducto para H2</w:t>
            </w:r>
          </w:p>
        </w:tc>
      </w:tr>
      <w:tr w:rsidR="00F208CE" w14:paraId="255A59E4" w14:textId="77777777">
        <w:trPr>
          <w:trHeight w:val="315"/>
        </w:trPr>
        <w:tc>
          <w:tcPr>
            <w:tcW w:w="425" w:type="pct"/>
            <w:shd w:val="clear" w:color="auto" w:fill="C6EFCE"/>
            <w:noWrap/>
            <w:vAlign w:val="center"/>
          </w:tcPr>
          <w:p w14:paraId="03E1737A" w14:textId="77777777" w:rsidR="00F208CE" w:rsidRDefault="00F208CE">
            <w:pPr>
              <w:spacing w:after="0"/>
              <w:jc w:val="center"/>
              <w:rPr>
                <w:rFonts w:ascii="Times New Roman" w:eastAsia="Times New Roman" w:hAnsi="Times New Roman" w:cs="Times New Roman"/>
                <w:noProof/>
                <w:color w:val="006100"/>
                <w:sz w:val="20"/>
              </w:rPr>
            </w:pPr>
          </w:p>
        </w:tc>
        <w:tc>
          <w:tcPr>
            <w:tcW w:w="2197" w:type="pct"/>
            <w:gridSpan w:val="2"/>
            <w:shd w:val="clear" w:color="auto" w:fill="C6EFCE"/>
            <w:noWrap/>
            <w:vAlign w:val="center"/>
          </w:tcPr>
          <w:p w14:paraId="7B17C0D8" w14:textId="77777777" w:rsidR="00F208CE" w:rsidRDefault="00513E84">
            <w:pPr>
              <w:pStyle w:val="P68B1DB1-Normal14"/>
              <w:spacing w:after="0"/>
              <w:jc w:val="right"/>
              <w:rPr>
                <w:rFonts w:eastAsia="Times New Roman" w:cs="Times New Roman"/>
                <w:noProof/>
              </w:rPr>
            </w:pPr>
            <w:r>
              <w:rPr>
                <w:noProof/>
              </w:rPr>
              <w:t>Importe del tramo</w:t>
            </w:r>
          </w:p>
        </w:tc>
        <w:tc>
          <w:tcPr>
            <w:tcW w:w="2378" w:type="pct"/>
            <w:shd w:val="clear" w:color="auto" w:fill="C6EFCE"/>
            <w:noWrap/>
            <w:vAlign w:val="center"/>
          </w:tcPr>
          <w:p w14:paraId="594E2124" w14:textId="0C05A352" w:rsidR="00F208CE" w:rsidRDefault="00513E84">
            <w:pPr>
              <w:pStyle w:val="P68B1DB1-Normal14"/>
              <w:spacing w:after="0"/>
              <w:rPr>
                <w:rFonts w:eastAsia="Times New Roman" w:cs="Times New Roman"/>
                <w:noProof/>
              </w:rPr>
            </w:pPr>
            <w:r>
              <w:rPr>
                <w:noProof/>
              </w:rPr>
              <w:t>122 100 000 EUR</w:t>
            </w:r>
          </w:p>
        </w:tc>
      </w:tr>
    </w:tbl>
    <w:p w14:paraId="16374451" w14:textId="77777777" w:rsidR="00F208CE" w:rsidRDefault="00F208CE">
      <w:pPr>
        <w:rPr>
          <w:rFonts w:ascii="Times New Roman" w:hAnsi="Times New Roman" w:cs="Times New Roman"/>
          <w:noProof/>
        </w:rPr>
      </w:pPr>
    </w:p>
    <w:sectPr w:rsidR="00F208CE">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FBF6" w14:textId="77777777" w:rsidR="00774AD0" w:rsidRDefault="00774AD0">
      <w:pPr>
        <w:spacing w:after="0" w:line="240" w:lineRule="auto"/>
      </w:pPr>
      <w:r>
        <w:separator/>
      </w:r>
    </w:p>
  </w:endnote>
  <w:endnote w:type="continuationSeparator" w:id="0">
    <w:p w14:paraId="5004074C" w14:textId="77777777" w:rsidR="00774AD0" w:rsidRDefault="00774AD0">
      <w:pPr>
        <w:spacing w:after="0" w:line="240" w:lineRule="auto"/>
      </w:pPr>
      <w:r>
        <w:continuationSeparator/>
      </w:r>
    </w:p>
  </w:endnote>
  <w:endnote w:type="continuationNotice" w:id="1">
    <w:p w14:paraId="1498EF8F" w14:textId="77777777" w:rsidR="00774AD0" w:rsidRDefault="00774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94CD" w14:textId="08B6E92D" w:rsidR="00513E84" w:rsidRPr="00513E84" w:rsidRDefault="00513E84" w:rsidP="00513E84">
    <w:pPr>
      <w:pStyle w:val="FooterCoverPage"/>
      <w:rPr>
        <w:rFonts w:ascii="Arial" w:hAnsi="Arial" w:cs="Arial"/>
        <w:b/>
        <w:sz w:val="48"/>
      </w:rPr>
    </w:pPr>
    <w:r w:rsidRPr="00513E84">
      <w:rPr>
        <w:rFonts w:ascii="Arial" w:hAnsi="Arial" w:cs="Arial"/>
        <w:b/>
        <w:sz w:val="48"/>
      </w:rPr>
      <w:t>ES</w:t>
    </w:r>
    <w:r w:rsidRPr="00513E84">
      <w:rPr>
        <w:rFonts w:ascii="Arial" w:hAnsi="Arial" w:cs="Arial"/>
        <w:b/>
        <w:sz w:val="48"/>
      </w:rPr>
      <w:tab/>
    </w:r>
    <w:r w:rsidRPr="00513E84">
      <w:rPr>
        <w:rFonts w:ascii="Arial" w:hAnsi="Arial" w:cs="Arial"/>
        <w:b/>
        <w:sz w:val="48"/>
      </w:rPr>
      <w:tab/>
    </w:r>
    <w:r w:rsidRPr="00513E84">
      <w:tab/>
    </w:r>
    <w:r w:rsidRPr="00513E84">
      <w:rPr>
        <w:rFonts w:ascii="Arial" w:hAnsi="Arial" w:cs="Arial"/>
        <w:b/>
        <w:sz w:val="48"/>
      </w:rPr>
      <w:t>ES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2FF5" w14:textId="77777777" w:rsidR="00F208CE" w:rsidRDefault="00F208CE">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0518" w14:textId="77777777" w:rsidR="00F208CE" w:rsidRDefault="00F208CE">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65655"/>
      <w:docPartObj>
        <w:docPartGallery w:val="Page Numbers (Bottom of Page)"/>
        <w:docPartUnique/>
      </w:docPartObj>
    </w:sdtPr>
    <w:sdtEndPr>
      <w:rPr>
        <w:noProof/>
      </w:rPr>
    </w:sdtEndPr>
    <w:sdtContent>
      <w:p w14:paraId="798AC8C3" w14:textId="77777777" w:rsidR="00F208CE" w:rsidRDefault="00513E84">
        <w:pPr>
          <w:pStyle w:val="Footer"/>
          <w:jc w:val="center"/>
        </w:pPr>
        <w:r>
          <w:fldChar w:fldCharType="begin"/>
        </w:r>
        <w:r>
          <w:instrText xml:space="preserve"> PAGE   \* MERGEFORMAT </w:instrText>
        </w:r>
        <w:r>
          <w:fldChar w:fldCharType="separate"/>
        </w:r>
        <w:r>
          <w:t>153</w:t>
        </w:r>
        <w:r>
          <w:fldChar w:fldCharType="end"/>
        </w:r>
      </w:p>
    </w:sdtContent>
  </w:sdt>
  <w:p w14:paraId="5C44D56D" w14:textId="77777777" w:rsidR="00F208CE" w:rsidRDefault="00F208CE">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04C9" w14:textId="77777777" w:rsidR="00F208CE" w:rsidRDefault="00F208CE">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933399"/>
      <w:docPartObj>
        <w:docPartGallery w:val="Page Numbers (Bottom of Page)"/>
        <w:docPartUnique/>
      </w:docPartObj>
    </w:sdtPr>
    <w:sdtEndPr>
      <w:rPr>
        <w:noProof/>
      </w:rPr>
    </w:sdtEndPr>
    <w:sdtContent>
      <w:p w14:paraId="12E5F2C2" w14:textId="46574ADF" w:rsidR="00F208CE" w:rsidRDefault="00513E84">
        <w:pPr>
          <w:pStyle w:val="Footer"/>
          <w:jc w:val="center"/>
        </w:pPr>
        <w:r>
          <w:fldChar w:fldCharType="begin"/>
        </w:r>
        <w:r>
          <w:instrText xml:space="preserve"> PAGE   \* MERGEFORMAT </w:instrText>
        </w:r>
        <w:r>
          <w:fldChar w:fldCharType="separate"/>
        </w:r>
        <w:r>
          <w:t>155</w:t>
        </w:r>
        <w:r>
          <w:fldChar w:fldCharType="end"/>
        </w:r>
      </w:p>
    </w:sdtContent>
  </w:sdt>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6469" w14:textId="77777777" w:rsidR="00F208CE" w:rsidRDefault="00F208CE">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309499"/>
      <w:docPartObj>
        <w:docPartGallery w:val="Page Numbers (Bottom of Page)"/>
        <w:docPartUnique/>
      </w:docPartObj>
    </w:sdtPr>
    <w:sdtEndPr>
      <w:rPr>
        <w:noProof/>
      </w:rPr>
    </w:sdtEndPr>
    <w:sdtContent>
      <w:p w14:paraId="6EBE9940" w14:textId="77777777" w:rsidR="00F208CE" w:rsidRDefault="00513E84">
        <w:pPr>
          <w:pStyle w:val="Footer"/>
          <w:jc w:val="center"/>
        </w:pPr>
        <w:r>
          <w:fldChar w:fldCharType="begin"/>
        </w:r>
        <w:r>
          <w:instrText xml:space="preserve"> PAGE   \* MERGEFORMAT </w:instrText>
        </w:r>
        <w:r>
          <w:fldChar w:fldCharType="separate"/>
        </w:r>
        <w:r>
          <w:t>155</w:t>
        </w:r>
        <w:r>
          <w:fldChar w:fldCharType="end"/>
        </w:r>
      </w:p>
    </w:sdtContent>
  </w:sdt>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BE35" w14:textId="77777777" w:rsidR="00F208CE" w:rsidRDefault="00F208CE">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947630"/>
      <w:docPartObj>
        <w:docPartGallery w:val="Page Numbers (Bottom of Page)"/>
        <w:docPartUnique/>
      </w:docPartObj>
    </w:sdtPr>
    <w:sdtEndPr>
      <w:rPr>
        <w:noProof/>
      </w:rPr>
    </w:sdtEndPr>
    <w:sdtContent>
      <w:p w14:paraId="04A7AE11" w14:textId="077AE6FA" w:rsidR="00F208CE" w:rsidRDefault="00513E84">
        <w:pPr>
          <w:pStyle w:val="Footer"/>
          <w:jc w:val="center"/>
        </w:pPr>
        <w:r>
          <w:fldChar w:fldCharType="begin"/>
        </w:r>
        <w:r>
          <w:instrText xml:space="preserve"> PAGE   \* MERGEFORMAT </w:instrText>
        </w:r>
        <w:r>
          <w:fldChar w:fldCharType="separate"/>
        </w:r>
        <w:r>
          <w:t>158</w:t>
        </w:r>
        <w:r>
          <w:fldChar w:fldCharType="end"/>
        </w:r>
      </w:p>
    </w:sdtContent>
  </w:sdt>
  <w:p w14:paraId="6461F06E" w14:textId="77777777" w:rsidR="00F208CE" w:rsidRDefault="00F208CE">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5434" w14:textId="77777777" w:rsidR="00F208CE" w:rsidRDefault="00F208CE">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7629" w14:textId="77777777" w:rsidR="00F208CE" w:rsidRDefault="00F208C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69962"/>
      <w:docPartObj>
        <w:docPartGallery w:val="Page Numbers (Bottom of Page)"/>
        <w:docPartUnique/>
      </w:docPartObj>
    </w:sdtPr>
    <w:sdtEndPr>
      <w:rPr>
        <w:noProof/>
      </w:rPr>
    </w:sdtEndPr>
    <w:sdtContent>
      <w:p w14:paraId="1E0F5D3F" w14:textId="77777777" w:rsidR="00F208CE" w:rsidRDefault="00513E84">
        <w:pPr>
          <w:pStyle w:val="Footer"/>
          <w:jc w:val="center"/>
        </w:pPr>
        <w:r>
          <w:fldChar w:fldCharType="begin"/>
        </w:r>
        <w:r>
          <w:instrText xml:space="preserve"> PAGE   \* MERGEFORMAT </w:instrText>
        </w:r>
        <w:r>
          <w:fldChar w:fldCharType="separate"/>
        </w:r>
        <w:r>
          <w:t>24</w:t>
        </w:r>
        <w:r>
          <w:fldChar w:fldCharType="end"/>
        </w:r>
      </w:p>
    </w:sdtContent>
  </w:sdt>
  <w:p w14:paraId="4E7902CB" w14:textId="77777777" w:rsidR="00F208CE" w:rsidRDefault="00F208CE">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647596"/>
      <w:docPartObj>
        <w:docPartGallery w:val="Page Numbers (Bottom of Page)"/>
        <w:docPartUnique/>
      </w:docPartObj>
    </w:sdtPr>
    <w:sdtEndPr>
      <w:rPr>
        <w:noProof/>
      </w:rPr>
    </w:sdtEndPr>
    <w:sdtContent>
      <w:p w14:paraId="2856AF03" w14:textId="42937EDE" w:rsidR="00F208CE" w:rsidRDefault="00513E84">
        <w:pPr>
          <w:pStyle w:val="Footer"/>
          <w:jc w:val="center"/>
        </w:pPr>
        <w:r>
          <w:fldChar w:fldCharType="begin"/>
        </w:r>
        <w:r>
          <w:instrText xml:space="preserve"> PAGE   \* MERGEFORMAT </w:instrText>
        </w:r>
        <w:r>
          <w:fldChar w:fldCharType="separate"/>
        </w:r>
        <w:r>
          <w:t>161</w:t>
        </w:r>
        <w:r>
          <w:fldChar w:fldCharType="end"/>
        </w:r>
      </w:p>
    </w:sdtContent>
  </w:sdt>
  <w:p w14:paraId="264EB9EA" w14:textId="77777777" w:rsidR="00F208CE" w:rsidRDefault="00F208CE">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7229" w14:textId="77777777" w:rsidR="00F208CE" w:rsidRDefault="00F208CE">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B141" w14:textId="77777777" w:rsidR="00F208CE" w:rsidRDefault="00F208CE">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479618"/>
      <w:docPartObj>
        <w:docPartGallery w:val="Page Numbers (Bottom of Page)"/>
        <w:docPartUnique/>
      </w:docPartObj>
    </w:sdtPr>
    <w:sdtEndPr>
      <w:rPr>
        <w:noProof/>
      </w:rPr>
    </w:sdtEndPr>
    <w:sdtContent>
      <w:p w14:paraId="2158C8D9" w14:textId="76A86715" w:rsidR="00F208CE" w:rsidRDefault="00513E84">
        <w:pPr>
          <w:pStyle w:val="Footer"/>
          <w:jc w:val="center"/>
        </w:pPr>
        <w:r>
          <w:fldChar w:fldCharType="begin"/>
        </w:r>
        <w:r>
          <w:instrText xml:space="preserve"> PAGE   \* MERGEFORMAT </w:instrText>
        </w:r>
        <w:r>
          <w:fldChar w:fldCharType="separate"/>
        </w:r>
        <w:r>
          <w:t>171</w:t>
        </w:r>
        <w:r>
          <w:fldChar w:fldCharType="end"/>
        </w:r>
      </w:p>
    </w:sdtContent>
  </w:sdt>
  <w:p w14:paraId="1A4F4124" w14:textId="77777777" w:rsidR="00F208CE" w:rsidRDefault="00F208CE">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801E" w14:textId="77777777" w:rsidR="00F208CE" w:rsidRDefault="00F208C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5D02" w14:textId="77777777" w:rsidR="00F208CE" w:rsidRDefault="00F208C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3650"/>
      <w:docPartObj>
        <w:docPartGallery w:val="Page Numbers (Bottom of Page)"/>
        <w:docPartUnique/>
      </w:docPartObj>
    </w:sdtPr>
    <w:sdtEndPr>
      <w:rPr>
        <w:noProof/>
      </w:rPr>
    </w:sdtEndPr>
    <w:sdtContent>
      <w:p w14:paraId="5155E43F" w14:textId="0D7DE7C8" w:rsidR="00F208CE" w:rsidRDefault="00513E84">
        <w:pPr>
          <w:pStyle w:val="Footer"/>
          <w:jc w:val="center"/>
        </w:pPr>
        <w:r>
          <w:fldChar w:fldCharType="begin"/>
        </w:r>
        <w:r>
          <w:instrText xml:space="preserve"> PAGE   \* MERGEFORMAT </w:instrText>
        </w:r>
        <w:r>
          <w:fldChar w:fldCharType="separate"/>
        </w:r>
        <w:r>
          <w:t>27</w:t>
        </w:r>
        <w:r>
          <w:fldChar w:fldCharType="end"/>
        </w:r>
      </w:p>
    </w:sdtContent>
  </w:sdt>
  <w:p w14:paraId="21400900" w14:textId="77777777" w:rsidR="00F208CE" w:rsidRDefault="00F208CE">
    <w:pPr>
      <w:pStyle w:val="FooterCouncil"/>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96E" w14:textId="77777777" w:rsidR="00F208CE" w:rsidRDefault="00F208C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517687"/>
      <w:docPartObj>
        <w:docPartGallery w:val="Page Numbers (Bottom of Page)"/>
        <w:docPartUnique/>
      </w:docPartObj>
    </w:sdtPr>
    <w:sdtEndPr>
      <w:rPr>
        <w:noProof/>
      </w:rPr>
    </w:sdtEndPr>
    <w:sdtContent>
      <w:p w14:paraId="4966E30E" w14:textId="77777777" w:rsidR="00F208CE" w:rsidRDefault="00513E84">
        <w:pPr>
          <w:pStyle w:val="Footer"/>
          <w:jc w:val="center"/>
        </w:pPr>
        <w:r>
          <w:fldChar w:fldCharType="begin"/>
        </w:r>
        <w:r>
          <w:instrText xml:space="preserve"> PAGE   \* MERGEFORMAT </w:instrText>
        </w:r>
        <w:r>
          <w:fldChar w:fldCharType="separate"/>
        </w:r>
        <w:r>
          <w:t>27</w:t>
        </w:r>
        <w:r>
          <w:fldChar w:fldCharType="end"/>
        </w:r>
      </w:p>
    </w:sdtContent>
  </w:sdt>
  <w:p w14:paraId="0B215CBE" w14:textId="77777777" w:rsidR="00F208CE" w:rsidRDefault="00F208CE">
    <w:pPr>
      <w:pStyle w:val="FooterCouncil"/>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9640" w14:textId="77777777" w:rsidR="00F208CE" w:rsidRDefault="00F208C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62172"/>
      <w:docPartObj>
        <w:docPartGallery w:val="Page Numbers (Bottom of Page)"/>
        <w:docPartUnique/>
      </w:docPartObj>
    </w:sdtPr>
    <w:sdtEndPr>
      <w:rPr>
        <w:noProof/>
      </w:rPr>
    </w:sdtEndPr>
    <w:sdtContent>
      <w:p w14:paraId="769B9689" w14:textId="1E555484" w:rsidR="00F208CE" w:rsidRDefault="00513E84">
        <w:pPr>
          <w:pStyle w:val="Footer"/>
          <w:jc w:val="center"/>
        </w:pPr>
        <w:r>
          <w:fldChar w:fldCharType="begin"/>
        </w:r>
        <w:r>
          <w:instrText xml:space="preserve"> PAGE   \* MERGEFORMAT </w:instrText>
        </w:r>
        <w:r>
          <w:fldChar w:fldCharType="separate"/>
        </w:r>
        <w:r>
          <w:t>32</w:t>
        </w:r>
        <w:r>
          <w:fldChar w:fldCharType="end"/>
        </w:r>
      </w:p>
    </w:sdtContent>
  </w:sdt>
  <w:p w14:paraId="5CF0BF9A" w14:textId="77777777" w:rsidR="00F208CE" w:rsidRDefault="00F208CE">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5C4E4" w14:textId="77777777" w:rsidR="00F208CE" w:rsidRDefault="00F208C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522775"/>
      <w:docPartObj>
        <w:docPartGallery w:val="Page Numbers (Bottom of Page)"/>
        <w:docPartUnique/>
      </w:docPartObj>
    </w:sdtPr>
    <w:sdtEndPr>
      <w:rPr>
        <w:noProof/>
      </w:rPr>
    </w:sdtEndPr>
    <w:sdtContent>
      <w:p w14:paraId="112631BB" w14:textId="77777777" w:rsidR="00F208CE" w:rsidRDefault="00513E84">
        <w:pPr>
          <w:pStyle w:val="Footer"/>
          <w:jc w:val="center"/>
        </w:pPr>
        <w:r>
          <w:fldChar w:fldCharType="begin"/>
        </w:r>
        <w:r>
          <w:instrText xml:space="preserve"> PAGE   \* MERGEFORMAT </w:instrText>
        </w:r>
        <w:r>
          <w:fldChar w:fldCharType="separate"/>
        </w:r>
        <w:r>
          <w:t>32</w:t>
        </w:r>
        <w:r>
          <w:fldChar w:fldCharType="end"/>
        </w:r>
      </w:p>
    </w:sdtContent>
  </w:sdt>
  <w:p w14:paraId="014E82F7" w14:textId="77777777" w:rsidR="00F208CE" w:rsidRDefault="00F208CE">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2BC7" w14:textId="5529C9F5" w:rsidR="00513E84" w:rsidRPr="00513E84" w:rsidRDefault="00513E84" w:rsidP="00513E84">
    <w:pPr>
      <w:pStyle w:val="FooterCoverPage"/>
      <w:rPr>
        <w:rFonts w:ascii="Arial" w:hAnsi="Arial" w:cs="Arial"/>
        <w:b/>
        <w:sz w:val="48"/>
      </w:rPr>
    </w:pPr>
    <w:r w:rsidRPr="00513E84">
      <w:rPr>
        <w:rFonts w:ascii="Arial" w:hAnsi="Arial" w:cs="Arial"/>
        <w:b/>
        <w:sz w:val="48"/>
      </w:rPr>
      <w:t>ES</w:t>
    </w:r>
    <w:r w:rsidRPr="00513E84">
      <w:rPr>
        <w:rFonts w:ascii="Arial" w:hAnsi="Arial" w:cs="Arial"/>
        <w:b/>
        <w:sz w:val="48"/>
      </w:rPr>
      <w:tab/>
    </w:r>
    <w:r w:rsidRPr="00513E84">
      <w:rPr>
        <w:rFonts w:ascii="Arial" w:hAnsi="Arial" w:cs="Arial"/>
        <w:b/>
        <w:sz w:val="48"/>
      </w:rPr>
      <w:tab/>
    </w:r>
    <w:r w:rsidRPr="00513E84">
      <w:tab/>
    </w:r>
    <w:r w:rsidRPr="00513E84">
      <w:rPr>
        <w:rFonts w:ascii="Arial" w:hAnsi="Arial" w:cs="Arial"/>
        <w:b/>
        <w:sz w:val="48"/>
      </w:rPr>
      <w:t>ES</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8306" w14:textId="77777777" w:rsidR="00F208CE" w:rsidRDefault="00F208C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540123"/>
      <w:docPartObj>
        <w:docPartGallery w:val="Page Numbers (Bottom of Page)"/>
        <w:docPartUnique/>
      </w:docPartObj>
    </w:sdtPr>
    <w:sdtEndPr>
      <w:rPr>
        <w:noProof/>
      </w:rPr>
    </w:sdtEndPr>
    <w:sdtContent>
      <w:p w14:paraId="2852CDD1" w14:textId="0D73EAF1" w:rsidR="00F208CE" w:rsidRDefault="00513E84">
        <w:pPr>
          <w:pStyle w:val="Footer"/>
          <w:jc w:val="center"/>
        </w:pPr>
        <w:r>
          <w:fldChar w:fldCharType="begin"/>
        </w:r>
        <w:r>
          <w:instrText xml:space="preserve"> PA</w:instrText>
        </w:r>
        <w:r>
          <w:instrText xml:space="preserve">GE   \* MERGEFORMAT </w:instrText>
        </w:r>
        <w:r>
          <w:fldChar w:fldCharType="separate"/>
        </w:r>
        <w:r>
          <w:t>49</w:t>
        </w:r>
        <w:r>
          <w:fldChar w:fldCharType="end"/>
        </w:r>
      </w:p>
    </w:sdtContent>
  </w:sdt>
  <w:p w14:paraId="6196E79E" w14:textId="77777777" w:rsidR="00F208CE" w:rsidRDefault="00F208CE">
    <w:pPr>
      <w:pStyle w:val="FooterCouncil"/>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12F5" w14:textId="77777777" w:rsidR="00F208CE" w:rsidRDefault="00F208C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835155"/>
      <w:docPartObj>
        <w:docPartGallery w:val="Page Numbers (Bottom of Page)"/>
        <w:docPartUnique/>
      </w:docPartObj>
    </w:sdtPr>
    <w:sdtEndPr>
      <w:rPr>
        <w:noProof/>
      </w:rPr>
    </w:sdtEndPr>
    <w:sdtContent>
      <w:p w14:paraId="08BBB7EA" w14:textId="77777777" w:rsidR="00F208CE" w:rsidRDefault="00513E84">
        <w:pPr>
          <w:pStyle w:val="Footer"/>
          <w:jc w:val="center"/>
        </w:pPr>
        <w:r>
          <w:fldChar w:fldCharType="begin"/>
        </w:r>
        <w:r>
          <w:instrText xml:space="preserve"> PAGE   \* MERGEFORMAT </w:instrText>
        </w:r>
        <w:r>
          <w:fldChar w:fldCharType="separate"/>
        </w:r>
        <w:r>
          <w:t>49</w:t>
        </w:r>
        <w:r>
          <w:fldChar w:fldCharType="end"/>
        </w:r>
      </w:p>
    </w:sdtContent>
  </w:sdt>
  <w:p w14:paraId="248B493A" w14:textId="77777777" w:rsidR="00F208CE" w:rsidRDefault="00F208CE">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1E94" w14:textId="77777777" w:rsidR="00F208CE" w:rsidRDefault="00F208C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26315"/>
      <w:docPartObj>
        <w:docPartGallery w:val="Page Numbers (Bottom of Page)"/>
        <w:docPartUnique/>
      </w:docPartObj>
    </w:sdtPr>
    <w:sdtEndPr>
      <w:rPr>
        <w:noProof/>
      </w:rPr>
    </w:sdtEndPr>
    <w:sdtContent>
      <w:p w14:paraId="5FB2E0A8" w14:textId="09CC0B9D" w:rsidR="00F208CE" w:rsidRDefault="00513E84">
        <w:pPr>
          <w:pStyle w:val="Footer"/>
          <w:jc w:val="center"/>
        </w:pPr>
        <w:r>
          <w:fldChar w:fldCharType="begin"/>
        </w:r>
        <w:r>
          <w:instrText xml:space="preserve"> PAGE   \* MERGEFORMAT </w:instrText>
        </w:r>
        <w:r>
          <w:fldChar w:fldCharType="separate"/>
        </w:r>
        <w:r>
          <w:t>52</w:t>
        </w:r>
        <w:r>
          <w:fldChar w:fldCharType="end"/>
        </w:r>
      </w:p>
    </w:sdtContent>
  </w:sdt>
  <w:p w14:paraId="33431617" w14:textId="77777777" w:rsidR="00F208CE" w:rsidRDefault="00F208CE">
    <w:pPr>
      <w:pStyle w:val="FooterCouncil"/>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8EBE" w14:textId="77777777" w:rsidR="00F208CE" w:rsidRDefault="00F208C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A2CC" w14:textId="77777777" w:rsidR="00F208CE" w:rsidRDefault="00F208C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20764"/>
      <w:docPartObj>
        <w:docPartGallery w:val="Page Numbers (Bottom of Page)"/>
        <w:docPartUnique/>
      </w:docPartObj>
    </w:sdtPr>
    <w:sdtEndPr>
      <w:rPr>
        <w:noProof/>
      </w:rPr>
    </w:sdtEndPr>
    <w:sdtContent>
      <w:p w14:paraId="7B5069F8" w14:textId="2D5EB67A" w:rsidR="00F208CE" w:rsidRDefault="00513E84">
        <w:pPr>
          <w:pStyle w:val="Footer"/>
          <w:jc w:val="center"/>
        </w:pPr>
        <w:r>
          <w:fldChar w:fldCharType="begin"/>
        </w:r>
        <w:r>
          <w:instrText xml:space="preserve"> PAGE   \* MERGEFORMAT </w:instrText>
        </w:r>
        <w:r>
          <w:fldChar w:fldCharType="separate"/>
        </w:r>
        <w:r>
          <w:t>53</w:t>
        </w:r>
        <w:r>
          <w:fldChar w:fldCharType="end"/>
        </w:r>
      </w:p>
    </w:sdtContent>
  </w:sdt>
  <w:p w14:paraId="1FBB1861" w14:textId="77777777" w:rsidR="00F208CE" w:rsidRDefault="00F208CE">
    <w:pPr>
      <w:pStyle w:val="FooterCouncil"/>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3572" w14:textId="77777777" w:rsidR="00F208CE" w:rsidRDefault="00F2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E385" w14:textId="77777777" w:rsidR="00513E84" w:rsidRPr="00513E84" w:rsidRDefault="00513E84" w:rsidP="00513E84">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3EB1C" w14:textId="77777777" w:rsidR="00F208CE" w:rsidRDefault="00F208C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298273"/>
      <w:docPartObj>
        <w:docPartGallery w:val="Page Numbers (Bottom of Page)"/>
        <w:docPartUnique/>
      </w:docPartObj>
    </w:sdtPr>
    <w:sdtEndPr>
      <w:rPr>
        <w:noProof/>
      </w:rPr>
    </w:sdtEndPr>
    <w:sdtContent>
      <w:p w14:paraId="2DD6240F" w14:textId="3E6EFCC5" w:rsidR="00F208CE" w:rsidRDefault="00513E84">
        <w:pPr>
          <w:pStyle w:val="Footer"/>
          <w:jc w:val="center"/>
        </w:pPr>
        <w:r>
          <w:fldChar w:fldCharType="begin"/>
        </w:r>
        <w:r>
          <w:instrText xml:space="preserve"> PAGE   \* MERGEFORMAT </w:instrText>
        </w:r>
        <w:r>
          <w:fldChar w:fldCharType="separate"/>
        </w:r>
        <w:r>
          <w:t>59</w:t>
        </w:r>
        <w:r>
          <w:fldChar w:fldCharType="end"/>
        </w:r>
      </w:p>
    </w:sdtContent>
  </w:sdt>
  <w:p w14:paraId="14AADCFF" w14:textId="77777777" w:rsidR="00F208CE" w:rsidRDefault="00F208CE">
    <w:pPr>
      <w:pStyle w:val="FooterCouncil"/>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9687" w14:textId="77777777" w:rsidR="00F208CE" w:rsidRDefault="00F208C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77005"/>
      <w:docPartObj>
        <w:docPartGallery w:val="Page Numbers (Bottom of Page)"/>
        <w:docPartUnique/>
      </w:docPartObj>
    </w:sdtPr>
    <w:sdtEndPr>
      <w:rPr>
        <w:noProof/>
      </w:rPr>
    </w:sdtEndPr>
    <w:sdtContent>
      <w:p w14:paraId="5CBFCA06" w14:textId="77777777" w:rsidR="00F208CE" w:rsidRDefault="00513E84">
        <w:pPr>
          <w:pStyle w:val="Footer"/>
          <w:jc w:val="center"/>
        </w:pPr>
        <w:r>
          <w:fldChar w:fldCharType="begin"/>
        </w:r>
        <w:r>
          <w:instrText xml:space="preserve"> PAGE   \* MERGEFORMAT </w:instrText>
        </w:r>
        <w:r>
          <w:fldChar w:fldCharType="separate"/>
        </w:r>
        <w:r>
          <w:t>59</w:t>
        </w:r>
        <w:r>
          <w:fldChar w:fldCharType="end"/>
        </w:r>
      </w:p>
    </w:sdtContent>
  </w:sdt>
  <w:p w14:paraId="44B63B7F" w14:textId="77777777" w:rsidR="00F208CE" w:rsidRDefault="00F208CE">
    <w:pPr>
      <w:pStyle w:val="FooterCouncil"/>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13F4" w14:textId="77777777" w:rsidR="00F208CE" w:rsidRDefault="00F208C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393808"/>
      <w:docPartObj>
        <w:docPartGallery w:val="Page Numbers (Bottom of Page)"/>
        <w:docPartUnique/>
      </w:docPartObj>
    </w:sdtPr>
    <w:sdtEndPr>
      <w:rPr>
        <w:noProof/>
      </w:rPr>
    </w:sdtEndPr>
    <w:sdtContent>
      <w:p w14:paraId="57FFEAD7" w14:textId="08BF8138" w:rsidR="00F208CE" w:rsidRDefault="00513E84">
        <w:pPr>
          <w:pStyle w:val="Footer"/>
          <w:jc w:val="center"/>
        </w:pPr>
        <w:r>
          <w:fldChar w:fldCharType="begin"/>
        </w:r>
        <w:r>
          <w:instrText xml:space="preserve"> PAGE   \* MERGEFORMAT </w:instrText>
        </w:r>
        <w:r>
          <w:fldChar w:fldCharType="separate"/>
        </w:r>
        <w:r>
          <w:t>62</w:t>
        </w:r>
        <w:r>
          <w:fldChar w:fldCharType="end"/>
        </w:r>
      </w:p>
    </w:sdtContent>
  </w:sdt>
  <w:p w14:paraId="5FFEC52D" w14:textId="77777777" w:rsidR="00F208CE" w:rsidRDefault="00F208CE">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BF08" w14:textId="77777777" w:rsidR="00F208CE" w:rsidRDefault="00F208C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446480"/>
      <w:docPartObj>
        <w:docPartGallery w:val="Page Numbers (Bottom of Page)"/>
        <w:docPartUnique/>
      </w:docPartObj>
    </w:sdtPr>
    <w:sdtEndPr>
      <w:rPr>
        <w:noProof/>
      </w:rPr>
    </w:sdtEndPr>
    <w:sdtContent>
      <w:p w14:paraId="16227AC2" w14:textId="77777777" w:rsidR="00F208CE" w:rsidRDefault="00513E84">
        <w:pPr>
          <w:pStyle w:val="Footer"/>
          <w:jc w:val="center"/>
        </w:pPr>
        <w:r>
          <w:fldChar w:fldCharType="begin"/>
        </w:r>
        <w:r>
          <w:instrText xml:space="preserve"> PAGE   </w:instrText>
        </w:r>
        <w:r>
          <w:instrText xml:space="preserve">\* MERGEFORMAT </w:instrText>
        </w:r>
        <w:r>
          <w:fldChar w:fldCharType="separate"/>
        </w:r>
        <w:r>
          <w:t>62</w:t>
        </w:r>
        <w:r>
          <w:fldChar w:fldCharType="end"/>
        </w:r>
      </w:p>
    </w:sdtContent>
  </w:sdt>
  <w:p w14:paraId="43CC33FA" w14:textId="77777777" w:rsidR="00F208CE" w:rsidRDefault="00F208CE">
    <w:pPr>
      <w:pStyle w:val="FooterCouncil"/>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AF16" w14:textId="77777777" w:rsidR="00F208CE" w:rsidRDefault="00F208C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49622"/>
      <w:docPartObj>
        <w:docPartGallery w:val="Page Numbers (Bottom of Page)"/>
        <w:docPartUnique/>
      </w:docPartObj>
    </w:sdtPr>
    <w:sdtEndPr>
      <w:rPr>
        <w:noProof/>
      </w:rPr>
    </w:sdtEndPr>
    <w:sdtContent>
      <w:p w14:paraId="7E2671D1" w14:textId="4A61D58E" w:rsidR="00F208CE" w:rsidRDefault="00513E84">
        <w:pPr>
          <w:pStyle w:val="Footer"/>
          <w:jc w:val="center"/>
        </w:pPr>
        <w:r>
          <w:fldChar w:fldCharType="begin"/>
        </w:r>
        <w:r>
          <w:instrText xml:space="preserve"> PAGE   \* MERGEFORMAT </w:instrText>
        </w:r>
        <w:r>
          <w:fldChar w:fldCharType="separate"/>
        </w:r>
        <w:r>
          <w:t>64</w:t>
        </w:r>
        <w:r>
          <w:fldChar w:fldCharType="end"/>
        </w:r>
      </w:p>
    </w:sdtContent>
  </w:sdt>
  <w:p w14:paraId="0776DC3D" w14:textId="77777777" w:rsidR="00F208CE" w:rsidRDefault="00F208CE">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07FC" w14:textId="77777777" w:rsidR="00F208CE" w:rsidRDefault="00F208C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0EE4" w14:textId="77777777" w:rsidR="00F208CE" w:rsidRDefault="00F208C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959761"/>
      <w:docPartObj>
        <w:docPartGallery w:val="Page Numbers (Bottom of Page)"/>
        <w:docPartUnique/>
      </w:docPartObj>
    </w:sdtPr>
    <w:sdtEndPr>
      <w:rPr>
        <w:noProof/>
      </w:rPr>
    </w:sdtEndPr>
    <w:sdtContent>
      <w:p w14:paraId="3D64266F" w14:textId="77777777" w:rsidR="00F208CE" w:rsidRDefault="00513E84">
        <w:pPr>
          <w:pStyle w:val="Footer"/>
          <w:jc w:val="center"/>
        </w:pPr>
        <w:r>
          <w:fldChar w:fldCharType="begin"/>
        </w:r>
        <w:r>
          <w:instrText xml:space="preserve"> PAGE   \* MERGEFORMAT </w:instrText>
        </w:r>
        <w:r>
          <w:fldChar w:fldCharType="separate"/>
        </w:r>
        <w:r>
          <w:t>64</w:t>
        </w:r>
        <w:r>
          <w:fldChar w:fldCharType="end"/>
        </w:r>
      </w:p>
    </w:sdtContent>
  </w:sdt>
  <w:p w14:paraId="46234285" w14:textId="77777777" w:rsidR="00F208CE" w:rsidRDefault="00F208CE">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D3A3" w14:textId="77777777" w:rsidR="00F208CE" w:rsidRDefault="00F208C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29198"/>
      <w:docPartObj>
        <w:docPartGallery w:val="Page Numbers (Bottom of Page)"/>
        <w:docPartUnique/>
      </w:docPartObj>
    </w:sdtPr>
    <w:sdtEndPr>
      <w:rPr>
        <w:noProof/>
      </w:rPr>
    </w:sdtEndPr>
    <w:sdtContent>
      <w:p w14:paraId="10BF910B" w14:textId="60EB352F" w:rsidR="00F208CE" w:rsidRDefault="00513E84">
        <w:pPr>
          <w:pStyle w:val="Footer"/>
          <w:jc w:val="center"/>
        </w:pPr>
        <w:r>
          <w:fldChar w:fldCharType="begin"/>
        </w:r>
        <w:r>
          <w:instrText xml:space="preserve"> PAGE   \* MERGEFORMAT </w:instrText>
        </w:r>
        <w:r>
          <w:fldChar w:fldCharType="separate"/>
        </w:r>
        <w:r>
          <w:t>72</w:t>
        </w:r>
        <w:r>
          <w:fldChar w:fldCharType="end"/>
        </w:r>
      </w:p>
    </w:sdtContent>
  </w:sdt>
  <w:p w14:paraId="488B47B5" w14:textId="77777777" w:rsidR="00F208CE" w:rsidRDefault="00F208CE">
    <w:pPr>
      <w:pStyle w:val="FooterCouncil"/>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A3E" w14:textId="77777777" w:rsidR="00F208CE" w:rsidRDefault="00F208C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12815"/>
      <w:docPartObj>
        <w:docPartGallery w:val="Page Numbers (Bottom of Page)"/>
        <w:docPartUnique/>
      </w:docPartObj>
    </w:sdtPr>
    <w:sdtEndPr>
      <w:rPr>
        <w:noProof/>
      </w:rPr>
    </w:sdtEndPr>
    <w:sdtContent>
      <w:p w14:paraId="2F636C95" w14:textId="77777777" w:rsidR="00F208CE" w:rsidRDefault="00513E84">
        <w:pPr>
          <w:pStyle w:val="Footer"/>
          <w:jc w:val="center"/>
        </w:pPr>
        <w:r>
          <w:fldChar w:fldCharType="begin"/>
        </w:r>
        <w:r>
          <w:instrText xml:space="preserve"> PAGE   \* MERGEFORMAT </w:instrText>
        </w:r>
        <w:r>
          <w:fldChar w:fldCharType="separate"/>
        </w:r>
        <w:r>
          <w:t>72</w:t>
        </w:r>
        <w:r>
          <w:fldChar w:fldCharType="end"/>
        </w:r>
      </w:p>
    </w:sdtContent>
  </w:sdt>
  <w:p w14:paraId="14496DB8" w14:textId="77777777" w:rsidR="00F208CE" w:rsidRDefault="00F208CE">
    <w:pPr>
      <w:pStyle w:val="FooterCouncil"/>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FC1C" w14:textId="77777777" w:rsidR="00F208CE" w:rsidRDefault="00F208C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299349"/>
      <w:docPartObj>
        <w:docPartGallery w:val="Page Numbers (Bottom of Page)"/>
        <w:docPartUnique/>
      </w:docPartObj>
    </w:sdtPr>
    <w:sdtEndPr>
      <w:rPr>
        <w:noProof/>
      </w:rPr>
    </w:sdtEndPr>
    <w:sdtContent>
      <w:p w14:paraId="47EEDFEC" w14:textId="02132117" w:rsidR="00F208CE" w:rsidRDefault="00513E84">
        <w:pPr>
          <w:pStyle w:val="Footer"/>
          <w:jc w:val="center"/>
        </w:pPr>
        <w:r>
          <w:fldChar w:fldCharType="begin"/>
        </w:r>
        <w:r>
          <w:instrText xml:space="preserve"> PAGE   \* MERGEFORMAT </w:instrText>
        </w:r>
        <w:r>
          <w:fldChar w:fldCharType="separate"/>
        </w:r>
        <w:r>
          <w:t>82</w:t>
        </w:r>
        <w:r>
          <w:fldChar w:fldCharType="end"/>
        </w:r>
      </w:p>
    </w:sdtContent>
  </w:sdt>
  <w:p w14:paraId="1420C27B" w14:textId="77777777" w:rsidR="00F208CE" w:rsidRDefault="00F208CE">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0FE2" w14:textId="77777777" w:rsidR="00F208CE" w:rsidRDefault="00F208C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719176"/>
      <w:docPartObj>
        <w:docPartGallery w:val="Page Numbers (Bottom of Page)"/>
        <w:docPartUnique/>
      </w:docPartObj>
    </w:sdtPr>
    <w:sdtEndPr>
      <w:rPr>
        <w:noProof/>
      </w:rPr>
    </w:sdtEndPr>
    <w:sdtContent>
      <w:p w14:paraId="2247AD8D" w14:textId="77777777" w:rsidR="00F208CE" w:rsidRDefault="00513E84">
        <w:pPr>
          <w:pStyle w:val="Footer"/>
          <w:jc w:val="center"/>
        </w:pPr>
        <w:r>
          <w:fldChar w:fldCharType="begin"/>
        </w:r>
        <w:r>
          <w:instrText xml:space="preserve"> PAGE   \* MERGEFORMAT </w:instrText>
        </w:r>
        <w:r>
          <w:fldChar w:fldCharType="separate"/>
        </w:r>
        <w:r>
          <w:t>82</w:t>
        </w:r>
        <w:r>
          <w:fldChar w:fldCharType="end"/>
        </w:r>
      </w:p>
    </w:sdtContent>
  </w:sdt>
  <w:p w14:paraId="32D9B2CB" w14:textId="77777777" w:rsidR="00F208CE" w:rsidRDefault="00F208CE">
    <w:pPr>
      <w:pStyle w:val="FooterCounci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85841"/>
      <w:docPartObj>
        <w:docPartGallery w:val="Page Numbers (Bottom of Page)"/>
        <w:docPartUnique/>
      </w:docPartObj>
    </w:sdtPr>
    <w:sdtEndPr>
      <w:rPr>
        <w:noProof/>
      </w:rPr>
    </w:sdtEndPr>
    <w:sdtContent>
      <w:p w14:paraId="627B7EB4" w14:textId="29B0CCB8" w:rsidR="00F208CE" w:rsidRDefault="00513E84">
        <w:pPr>
          <w:pStyle w:val="Footer"/>
          <w:jc w:val="center"/>
        </w:pPr>
        <w:r>
          <w:fldChar w:fldCharType="begin"/>
        </w:r>
        <w:r>
          <w:instrText xml:space="preserve"> PAGE   \* MERGEFO</w:instrText>
        </w:r>
        <w:r>
          <w:instrText xml:space="preserve">RMAT </w:instrText>
        </w:r>
        <w:r>
          <w:fldChar w:fldCharType="separate"/>
        </w:r>
        <w:r>
          <w:rPr>
            <w:noProof/>
          </w:rPr>
          <w:t>7</w:t>
        </w:r>
        <w:r>
          <w:fldChar w:fldCharType="end"/>
        </w:r>
      </w:p>
    </w:sdtContent>
  </w:sdt>
  <w:p w14:paraId="2E48480C" w14:textId="77777777" w:rsidR="00F208CE" w:rsidRDefault="00F208CE">
    <w:pPr>
      <w:pStyle w:val="FooterCouncil"/>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878D" w14:textId="77777777" w:rsidR="00F208CE" w:rsidRDefault="00F208C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080785"/>
      <w:docPartObj>
        <w:docPartGallery w:val="Page Numbers (Bottom of Page)"/>
        <w:docPartUnique/>
      </w:docPartObj>
    </w:sdtPr>
    <w:sdtEndPr>
      <w:rPr>
        <w:noProof/>
      </w:rPr>
    </w:sdtEndPr>
    <w:sdtContent>
      <w:p w14:paraId="1511CE68" w14:textId="4752C77D" w:rsidR="00F208CE" w:rsidRDefault="00513E84">
        <w:pPr>
          <w:pStyle w:val="Footer"/>
          <w:jc w:val="center"/>
        </w:pPr>
        <w:r>
          <w:fldChar w:fldCharType="begin"/>
        </w:r>
        <w:r>
          <w:instrText xml:space="preserve"> PAGE   \* MERGEFORMAT </w:instrText>
        </w:r>
        <w:r>
          <w:fldChar w:fldCharType="separate"/>
        </w:r>
        <w:r>
          <w:t>90</w:t>
        </w:r>
        <w:r>
          <w:fldChar w:fldCharType="end"/>
        </w:r>
      </w:p>
    </w:sdtContent>
  </w:sdt>
  <w:p w14:paraId="4D6EA2B2" w14:textId="77777777" w:rsidR="00F208CE" w:rsidRDefault="00F208CE">
    <w:pPr>
      <w:pStyle w:val="FooterCouncil"/>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B8C6" w14:textId="77777777" w:rsidR="00F208CE" w:rsidRDefault="00F208C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03471"/>
      <w:docPartObj>
        <w:docPartGallery w:val="Page Numbers (Bottom of Page)"/>
        <w:docPartUnique/>
      </w:docPartObj>
    </w:sdtPr>
    <w:sdtEndPr>
      <w:rPr>
        <w:noProof/>
      </w:rPr>
    </w:sdtEndPr>
    <w:sdtContent>
      <w:p w14:paraId="5FDDBD68" w14:textId="77777777" w:rsidR="00F208CE" w:rsidRDefault="00513E84">
        <w:pPr>
          <w:pStyle w:val="Footer"/>
          <w:jc w:val="center"/>
        </w:pPr>
        <w:r>
          <w:fldChar w:fldCharType="begin"/>
        </w:r>
        <w:r>
          <w:instrText xml:space="preserve"> PAGE   \* MERGEFORMAT </w:instrText>
        </w:r>
        <w:r>
          <w:fldChar w:fldCharType="separate"/>
        </w:r>
        <w:r>
          <w:t>90</w:t>
        </w:r>
        <w:r>
          <w:fldChar w:fldCharType="end"/>
        </w:r>
      </w:p>
    </w:sdtContent>
  </w:sdt>
  <w:p w14:paraId="58B816AC" w14:textId="77777777" w:rsidR="00F208CE" w:rsidRDefault="00F208CE">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776F" w14:textId="77777777" w:rsidR="00F208CE" w:rsidRDefault="00F208CE">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579829"/>
      <w:docPartObj>
        <w:docPartGallery w:val="Page Numbers (Bottom of Page)"/>
        <w:docPartUnique/>
      </w:docPartObj>
    </w:sdtPr>
    <w:sdtEndPr>
      <w:rPr>
        <w:noProof/>
      </w:rPr>
    </w:sdtEndPr>
    <w:sdtContent>
      <w:p w14:paraId="47A04B30" w14:textId="305C3739" w:rsidR="00F208CE" w:rsidRDefault="00513E84">
        <w:pPr>
          <w:pStyle w:val="Footer"/>
          <w:jc w:val="center"/>
        </w:pPr>
        <w:r>
          <w:fldChar w:fldCharType="begin"/>
        </w:r>
        <w:r>
          <w:instrText xml:space="preserve"> PAGE   \* MERGEFORMAT </w:instrText>
        </w:r>
        <w:r>
          <w:fldChar w:fldCharType="separate"/>
        </w:r>
        <w:r>
          <w:t>96</w:t>
        </w:r>
        <w:r>
          <w:fldChar w:fldCharType="end"/>
        </w:r>
      </w:p>
    </w:sdtContent>
  </w:sdt>
  <w:p w14:paraId="4E6D8B2E" w14:textId="77777777" w:rsidR="00F208CE" w:rsidRDefault="00F208CE">
    <w:pPr>
      <w:pStyle w:val="FooterCouncil"/>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84CB" w14:textId="77777777" w:rsidR="00F208CE" w:rsidRDefault="00F208CE">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088421"/>
      <w:docPartObj>
        <w:docPartGallery w:val="Page Numbers (Bottom of Page)"/>
        <w:docPartUnique/>
      </w:docPartObj>
    </w:sdtPr>
    <w:sdtEndPr>
      <w:rPr>
        <w:noProof/>
      </w:rPr>
    </w:sdtEndPr>
    <w:sdtContent>
      <w:p w14:paraId="05A967D9" w14:textId="77777777" w:rsidR="00F208CE" w:rsidRDefault="00513E84">
        <w:pPr>
          <w:pStyle w:val="Footer"/>
          <w:jc w:val="center"/>
        </w:pPr>
        <w:r>
          <w:fldChar w:fldCharType="begin"/>
        </w:r>
        <w:r>
          <w:instrText xml:space="preserve"> PAGE   \* MERGEFORMAT </w:instrText>
        </w:r>
        <w:r>
          <w:fldChar w:fldCharType="separate"/>
        </w:r>
        <w:r>
          <w:t>96</w:t>
        </w:r>
        <w:r>
          <w:fldChar w:fldCharType="end"/>
        </w:r>
      </w:p>
    </w:sdtContent>
  </w:sdt>
  <w:p w14:paraId="4F019718" w14:textId="77777777" w:rsidR="00F208CE" w:rsidRDefault="00F208CE">
    <w:pPr>
      <w:pStyle w:val="FooterCouncil"/>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9918" w14:textId="77777777" w:rsidR="00F208CE" w:rsidRDefault="00F208CE">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083674"/>
      <w:docPartObj>
        <w:docPartGallery w:val="Page Numbers (Bottom of Page)"/>
        <w:docPartUnique/>
      </w:docPartObj>
    </w:sdtPr>
    <w:sdtEndPr>
      <w:rPr>
        <w:noProof/>
      </w:rPr>
    </w:sdtEndPr>
    <w:sdtContent>
      <w:p w14:paraId="1CEED687" w14:textId="27860054" w:rsidR="00F208CE" w:rsidRDefault="00513E84">
        <w:pPr>
          <w:pStyle w:val="Footer"/>
          <w:jc w:val="center"/>
        </w:pPr>
        <w:r>
          <w:fldChar w:fldCharType="begin"/>
        </w:r>
        <w:r>
          <w:instrText xml:space="preserve"> PAGE   \* MERGEFORMAT </w:instrText>
        </w:r>
        <w:r>
          <w:fldChar w:fldCharType="separate"/>
        </w:r>
        <w:r>
          <w:t>99</w:t>
        </w:r>
        <w:r>
          <w:fldChar w:fldCharType="end"/>
        </w:r>
      </w:p>
    </w:sdtContent>
  </w:sdt>
  <w:p w14:paraId="1D677FD7" w14:textId="77777777" w:rsidR="00F208CE" w:rsidRDefault="00F208CE">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5405" w14:textId="77777777" w:rsidR="00F208CE" w:rsidRDefault="00F208C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4C2E" w14:textId="77777777" w:rsidR="00F208CE" w:rsidRDefault="00F208CE">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49606"/>
      <w:docPartObj>
        <w:docPartGallery w:val="Page Numbers (Bottom of Page)"/>
        <w:docPartUnique/>
      </w:docPartObj>
    </w:sdtPr>
    <w:sdtEndPr>
      <w:rPr>
        <w:noProof/>
      </w:rPr>
    </w:sdtEndPr>
    <w:sdtContent>
      <w:p w14:paraId="7C93C8C1" w14:textId="77777777" w:rsidR="00F208CE" w:rsidRDefault="00513E84">
        <w:pPr>
          <w:pStyle w:val="Footer"/>
          <w:jc w:val="center"/>
        </w:pPr>
        <w:r>
          <w:fldChar w:fldCharType="begin"/>
        </w:r>
        <w:r>
          <w:instrText xml:space="preserve"> PAGE   \* MERGEFORMAT </w:instrText>
        </w:r>
        <w:r>
          <w:fldChar w:fldCharType="separate"/>
        </w:r>
        <w:r>
          <w:t>99</w:t>
        </w:r>
        <w:r>
          <w:fldChar w:fldCharType="end"/>
        </w:r>
      </w:p>
    </w:sdtContent>
  </w:sdt>
  <w:p w14:paraId="4C89973D" w14:textId="77777777" w:rsidR="00F208CE" w:rsidRDefault="00F208CE">
    <w:pPr>
      <w:pStyle w:val="FooterCouncil"/>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6900" w14:textId="77777777" w:rsidR="00F208CE" w:rsidRDefault="00F208CE">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263084"/>
      <w:docPartObj>
        <w:docPartGallery w:val="Page Numbers (Bottom of Page)"/>
        <w:docPartUnique/>
      </w:docPartObj>
    </w:sdtPr>
    <w:sdtEndPr>
      <w:rPr>
        <w:noProof/>
      </w:rPr>
    </w:sdtEndPr>
    <w:sdtContent>
      <w:p w14:paraId="33C787DA" w14:textId="6D00694B" w:rsidR="00F208CE" w:rsidRDefault="00513E84">
        <w:pPr>
          <w:pStyle w:val="Footer"/>
          <w:jc w:val="center"/>
        </w:pPr>
        <w:r>
          <w:fldChar w:fldCharType="begin"/>
        </w:r>
        <w:r>
          <w:instrText xml:space="preserve"> PAGE   \* MERGEFORMAT </w:instrText>
        </w:r>
        <w:r>
          <w:fldChar w:fldCharType="separate"/>
        </w:r>
        <w:r>
          <w:t>102</w:t>
        </w:r>
        <w:r>
          <w:fldChar w:fldCharType="end"/>
        </w:r>
      </w:p>
    </w:sdtContent>
  </w:sdt>
  <w:p w14:paraId="48DC2319" w14:textId="77777777" w:rsidR="00F208CE" w:rsidRDefault="00F208CE">
    <w:pPr>
      <w:pStyle w:val="FooterCouncil"/>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0385" w14:textId="77777777" w:rsidR="00F208CE" w:rsidRDefault="00F208CE">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61864"/>
      <w:docPartObj>
        <w:docPartGallery w:val="Page Numbers (Bottom of Page)"/>
        <w:docPartUnique/>
      </w:docPartObj>
    </w:sdtPr>
    <w:sdtEndPr>
      <w:rPr>
        <w:noProof/>
      </w:rPr>
    </w:sdtEndPr>
    <w:sdtContent>
      <w:p w14:paraId="09CCCA5E" w14:textId="77777777" w:rsidR="00F208CE" w:rsidRDefault="00513E84">
        <w:pPr>
          <w:pStyle w:val="Footer"/>
          <w:jc w:val="center"/>
        </w:pPr>
        <w:r>
          <w:fldChar w:fldCharType="begin"/>
        </w:r>
        <w:r>
          <w:instrText xml:space="preserve"> PAGE   \* MERGEFORMAT </w:instrText>
        </w:r>
        <w:r>
          <w:fldChar w:fldCharType="separate"/>
        </w:r>
        <w:r>
          <w:t>102</w:t>
        </w:r>
        <w:r>
          <w:fldChar w:fldCharType="end"/>
        </w:r>
      </w:p>
    </w:sdtContent>
  </w:sdt>
  <w:p w14:paraId="107C2B41" w14:textId="77777777" w:rsidR="00F208CE" w:rsidRDefault="00F208CE">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B63A" w14:textId="77777777" w:rsidR="00F208CE" w:rsidRDefault="00F208CE">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52693"/>
      <w:docPartObj>
        <w:docPartGallery w:val="Page Numbers (Bottom of Page)"/>
        <w:docPartUnique/>
      </w:docPartObj>
    </w:sdtPr>
    <w:sdtEndPr>
      <w:rPr>
        <w:noProof/>
      </w:rPr>
    </w:sdtEndPr>
    <w:sdtContent>
      <w:p w14:paraId="759897C8" w14:textId="06A29413" w:rsidR="00F208CE" w:rsidRDefault="00513E84">
        <w:pPr>
          <w:pStyle w:val="Footer"/>
          <w:jc w:val="center"/>
        </w:pPr>
        <w:r>
          <w:fldChar w:fldCharType="begin"/>
        </w:r>
        <w:r>
          <w:instrText xml:space="preserve"> PAGE </w:instrText>
        </w:r>
        <w:r>
          <w:instrText xml:space="preserve">  \* MERGEFORMAT </w:instrText>
        </w:r>
        <w:r>
          <w:fldChar w:fldCharType="separate"/>
        </w:r>
        <w:r>
          <w:t>111</w:t>
        </w:r>
        <w:r>
          <w:fldChar w:fldCharType="end"/>
        </w:r>
      </w:p>
    </w:sdtContent>
  </w:sdt>
  <w:p w14:paraId="5F13A896" w14:textId="77777777" w:rsidR="00F208CE" w:rsidRDefault="00F208CE">
    <w:pPr>
      <w:pStyle w:val="FooterCouncil"/>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1765" w14:textId="77777777" w:rsidR="00F208CE" w:rsidRDefault="00F208CE">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73762"/>
      <w:docPartObj>
        <w:docPartGallery w:val="Page Numbers (Bottom of Page)"/>
        <w:docPartUnique/>
      </w:docPartObj>
    </w:sdtPr>
    <w:sdtEndPr>
      <w:rPr>
        <w:noProof/>
      </w:rPr>
    </w:sdtEndPr>
    <w:sdtContent>
      <w:p w14:paraId="41A1E655" w14:textId="77777777" w:rsidR="00F208CE" w:rsidRDefault="00513E84">
        <w:pPr>
          <w:pStyle w:val="Footer"/>
          <w:jc w:val="center"/>
        </w:pPr>
        <w:r>
          <w:fldChar w:fldCharType="begin"/>
        </w:r>
        <w:r>
          <w:instrText xml:space="preserve"> PAGE   \* MERGEFORMAT </w:instrText>
        </w:r>
        <w:r>
          <w:fldChar w:fldCharType="separate"/>
        </w:r>
        <w:r>
          <w:t>111</w:t>
        </w:r>
        <w:r>
          <w:fldChar w:fldCharType="end"/>
        </w:r>
      </w:p>
    </w:sdtContent>
  </w:sdt>
  <w:p w14:paraId="7B0E1E15" w14:textId="77777777" w:rsidR="00F208CE" w:rsidRDefault="00F208CE">
    <w:pPr>
      <w:pStyle w:val="FooterCounci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04412"/>
      <w:docPartObj>
        <w:docPartGallery w:val="Page Numbers (Bottom of Page)"/>
        <w:docPartUnique/>
      </w:docPartObj>
    </w:sdtPr>
    <w:sdtEndPr>
      <w:rPr>
        <w:noProof/>
      </w:rPr>
    </w:sdtEndPr>
    <w:sdtContent>
      <w:p w14:paraId="48EA9950" w14:textId="137D9130" w:rsidR="00F208CE" w:rsidRDefault="00513E84">
        <w:pPr>
          <w:pStyle w:val="Footer"/>
          <w:jc w:val="center"/>
        </w:pPr>
        <w:r>
          <w:fldChar w:fldCharType="begin"/>
        </w:r>
        <w:r>
          <w:instrText xml:space="preserve"> PAGE   \* MERGEFORMAT </w:instrText>
        </w:r>
        <w:r>
          <w:fldChar w:fldCharType="separate"/>
        </w:r>
        <w:r>
          <w:rPr>
            <w:noProof/>
          </w:rPr>
          <w:t>11</w:t>
        </w:r>
        <w:r>
          <w:fldChar w:fldCharType="end"/>
        </w:r>
      </w:p>
    </w:sdtContent>
  </w:sdt>
  <w:p w14:paraId="6B0870EB" w14:textId="77777777" w:rsidR="00F208CE" w:rsidRDefault="00F208CE">
    <w:pPr>
      <w:pStyle w:val="FooterCouncil"/>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FAAF" w14:textId="77777777" w:rsidR="00F208CE" w:rsidRDefault="00F208CE">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88115"/>
      <w:docPartObj>
        <w:docPartGallery w:val="Page Numbers (Bottom of Page)"/>
        <w:docPartUnique/>
      </w:docPartObj>
    </w:sdtPr>
    <w:sdtEndPr>
      <w:rPr>
        <w:noProof/>
      </w:rPr>
    </w:sdtEndPr>
    <w:sdtContent>
      <w:p w14:paraId="688C38D8" w14:textId="52D8533A" w:rsidR="00F208CE" w:rsidRDefault="00513E84">
        <w:pPr>
          <w:pStyle w:val="Footer"/>
          <w:jc w:val="center"/>
        </w:pPr>
        <w:r>
          <w:fldChar w:fldCharType="begin"/>
        </w:r>
        <w:r>
          <w:instrText xml:space="preserve"> PAGE   \* MERGEFORMAT </w:instrText>
        </w:r>
        <w:r>
          <w:fldChar w:fldCharType="separate"/>
        </w:r>
        <w:r>
          <w:t>121</w:t>
        </w:r>
        <w:r>
          <w:fldChar w:fldCharType="end"/>
        </w:r>
      </w:p>
    </w:sdtContent>
  </w:sdt>
  <w:p w14:paraId="797F70CD" w14:textId="77777777" w:rsidR="00F208CE" w:rsidRDefault="00F208CE">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46D5" w14:textId="77777777" w:rsidR="00F208CE" w:rsidRDefault="00F208CE">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21842"/>
      <w:docPartObj>
        <w:docPartGallery w:val="Page Numbers (Bottom of Page)"/>
        <w:docPartUnique/>
      </w:docPartObj>
    </w:sdtPr>
    <w:sdtEndPr>
      <w:rPr>
        <w:noProof/>
      </w:rPr>
    </w:sdtEndPr>
    <w:sdtContent>
      <w:p w14:paraId="22560493" w14:textId="77777777" w:rsidR="00F208CE" w:rsidRDefault="00513E84">
        <w:pPr>
          <w:pStyle w:val="Footer"/>
          <w:jc w:val="center"/>
        </w:pPr>
        <w:r>
          <w:fldChar w:fldCharType="begin"/>
        </w:r>
        <w:r>
          <w:instrText xml:space="preserve"> PAGE   \* MERGEFORMAT </w:instrText>
        </w:r>
        <w:r>
          <w:fldChar w:fldCharType="separate"/>
        </w:r>
        <w:r>
          <w:t>121</w:t>
        </w:r>
        <w:r>
          <w:fldChar w:fldCharType="end"/>
        </w:r>
      </w:p>
    </w:sdtContent>
  </w:sdt>
  <w:p w14:paraId="58FA3253" w14:textId="77777777" w:rsidR="00F208CE" w:rsidRDefault="00F208CE">
    <w:pPr>
      <w:pStyle w:val="FooterCouncil"/>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E6E4" w14:textId="77777777" w:rsidR="00F208CE" w:rsidRDefault="00F208CE">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188473"/>
      <w:docPartObj>
        <w:docPartGallery w:val="Page Numbers (Bottom of Page)"/>
        <w:docPartUnique/>
      </w:docPartObj>
    </w:sdtPr>
    <w:sdtEndPr>
      <w:rPr>
        <w:noProof/>
      </w:rPr>
    </w:sdtEndPr>
    <w:sdtContent>
      <w:p w14:paraId="2BC03894" w14:textId="1F904C5B" w:rsidR="00F208CE" w:rsidRDefault="00513E84">
        <w:pPr>
          <w:pStyle w:val="Footer"/>
          <w:jc w:val="center"/>
        </w:pPr>
        <w:r>
          <w:fldChar w:fldCharType="begin"/>
        </w:r>
        <w:r>
          <w:instrText xml:space="preserve"> P</w:instrText>
        </w:r>
        <w:r>
          <w:instrText xml:space="preserve">AGE   \* MERGEFORMAT </w:instrText>
        </w:r>
        <w:r>
          <w:fldChar w:fldCharType="separate"/>
        </w:r>
        <w:r>
          <w:t>127</w:t>
        </w:r>
        <w:r>
          <w:fldChar w:fldCharType="end"/>
        </w:r>
      </w:p>
    </w:sdtContent>
  </w:sdt>
  <w:p w14:paraId="1871E377" w14:textId="77777777" w:rsidR="00F208CE" w:rsidRDefault="00F208CE">
    <w:pPr>
      <w:pStyle w:val="FooterCouncil"/>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386AB" w14:textId="77777777" w:rsidR="00F208CE" w:rsidRDefault="00F208CE">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77416"/>
      <w:docPartObj>
        <w:docPartGallery w:val="Page Numbers (Bottom of Page)"/>
        <w:docPartUnique/>
      </w:docPartObj>
    </w:sdtPr>
    <w:sdtEndPr>
      <w:rPr>
        <w:noProof/>
      </w:rPr>
    </w:sdtEndPr>
    <w:sdtContent>
      <w:p w14:paraId="21778AD8" w14:textId="77777777" w:rsidR="00F208CE" w:rsidRDefault="00513E84">
        <w:pPr>
          <w:pStyle w:val="Footer"/>
          <w:jc w:val="center"/>
        </w:pPr>
        <w:r>
          <w:fldChar w:fldCharType="begin"/>
        </w:r>
        <w:r>
          <w:instrText xml:space="preserve"> PAGE   \* MERGEFORMAT </w:instrText>
        </w:r>
        <w:r>
          <w:fldChar w:fldCharType="separate"/>
        </w:r>
        <w:r>
          <w:t>127</w:t>
        </w:r>
        <w:r>
          <w:fldChar w:fldCharType="end"/>
        </w:r>
      </w:p>
    </w:sdtContent>
  </w:sdt>
  <w:p w14:paraId="021644A8" w14:textId="77777777" w:rsidR="00F208CE" w:rsidRDefault="00F208CE">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B780" w14:textId="77777777" w:rsidR="00F208CE" w:rsidRDefault="00F208CE">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814609"/>
      <w:docPartObj>
        <w:docPartGallery w:val="Page Numbers (Bottom of Page)"/>
        <w:docPartUnique/>
      </w:docPartObj>
    </w:sdtPr>
    <w:sdtEndPr>
      <w:rPr>
        <w:noProof/>
      </w:rPr>
    </w:sdtEndPr>
    <w:sdtContent>
      <w:p w14:paraId="77109D7D" w14:textId="2E3951F3" w:rsidR="00F208CE" w:rsidRDefault="00513E84">
        <w:pPr>
          <w:pStyle w:val="Footer"/>
          <w:jc w:val="center"/>
        </w:pPr>
        <w:r>
          <w:fldChar w:fldCharType="begin"/>
        </w:r>
        <w:r>
          <w:instrText xml:space="preserve"> PAGE   \* MERGEFORMAT </w:instrText>
        </w:r>
        <w:r>
          <w:fldChar w:fldCharType="separate"/>
        </w:r>
        <w:r>
          <w:t>131</w:t>
        </w:r>
        <w:r>
          <w:fldChar w:fldCharType="end"/>
        </w:r>
      </w:p>
    </w:sdtContent>
  </w:sdt>
  <w:p w14:paraId="41BE66E3" w14:textId="77777777" w:rsidR="00F208CE" w:rsidRDefault="00F208CE">
    <w:pPr>
      <w:pStyle w:val="FooterCouncil"/>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1356" w14:textId="77777777" w:rsidR="00F208CE" w:rsidRDefault="00F208CE">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BC88" w14:textId="77777777" w:rsidR="00F208CE" w:rsidRDefault="00F208CE">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875957"/>
      <w:docPartObj>
        <w:docPartGallery w:val="Page Numbers (Bottom of Page)"/>
        <w:docPartUnique/>
      </w:docPartObj>
    </w:sdtPr>
    <w:sdtEndPr>
      <w:rPr>
        <w:noProof/>
      </w:rPr>
    </w:sdtEndPr>
    <w:sdtContent>
      <w:p w14:paraId="4B0CEF59" w14:textId="77777777" w:rsidR="00F208CE" w:rsidRDefault="00513E84">
        <w:pPr>
          <w:pStyle w:val="Footer"/>
          <w:jc w:val="center"/>
        </w:pPr>
        <w:r>
          <w:fldChar w:fldCharType="begin"/>
        </w:r>
        <w:r>
          <w:instrText xml:space="preserve"> PAGE   \* MERGEFORMAT </w:instrText>
        </w:r>
        <w:r>
          <w:fldChar w:fldCharType="separate"/>
        </w:r>
        <w:r>
          <w:t>131</w:t>
        </w:r>
        <w:r>
          <w:fldChar w:fldCharType="end"/>
        </w:r>
      </w:p>
    </w:sdtContent>
  </w:sdt>
  <w:p w14:paraId="4A4716BA" w14:textId="77777777" w:rsidR="00F208CE" w:rsidRDefault="00F208CE">
    <w:pPr>
      <w:pStyle w:val="FooterCouncil"/>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4EEC" w14:textId="77777777" w:rsidR="00F208CE" w:rsidRDefault="00F208CE">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56742"/>
      <w:docPartObj>
        <w:docPartGallery w:val="Page Numbers (Bottom of Page)"/>
        <w:docPartUnique/>
      </w:docPartObj>
    </w:sdtPr>
    <w:sdtEndPr>
      <w:rPr>
        <w:noProof/>
      </w:rPr>
    </w:sdtEndPr>
    <w:sdtContent>
      <w:p w14:paraId="457E2232" w14:textId="0E2A609F" w:rsidR="00F208CE" w:rsidRDefault="00513E84">
        <w:pPr>
          <w:pStyle w:val="Footer"/>
          <w:jc w:val="center"/>
        </w:pPr>
        <w:r>
          <w:fldChar w:fldCharType="begin"/>
        </w:r>
        <w:r>
          <w:instrText xml:space="preserve"> PAGE   \* MERGEFORMAT </w:instrText>
        </w:r>
        <w:r>
          <w:fldChar w:fldCharType="separate"/>
        </w:r>
        <w:r>
          <w:t>1</w:t>
        </w:r>
        <w:r>
          <w:t>36</w:t>
        </w:r>
        <w:r>
          <w:fldChar w:fldCharType="end"/>
        </w:r>
      </w:p>
    </w:sdtContent>
  </w:sdt>
  <w:p w14:paraId="46CC286B" w14:textId="77777777" w:rsidR="00F208CE" w:rsidRDefault="00F208CE">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6993" w14:textId="77777777" w:rsidR="00F208CE" w:rsidRDefault="00F208CE">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9265"/>
      <w:docPartObj>
        <w:docPartGallery w:val="Page Numbers (Bottom of Page)"/>
        <w:docPartUnique/>
      </w:docPartObj>
    </w:sdtPr>
    <w:sdtEndPr>
      <w:rPr>
        <w:noProof/>
      </w:rPr>
    </w:sdtEndPr>
    <w:sdtContent>
      <w:p w14:paraId="58354D06" w14:textId="77777777" w:rsidR="00F208CE" w:rsidRDefault="00513E84">
        <w:pPr>
          <w:pStyle w:val="Footer"/>
          <w:jc w:val="center"/>
        </w:pPr>
        <w:r>
          <w:fldChar w:fldCharType="begin"/>
        </w:r>
        <w:r>
          <w:instrText xml:space="preserve"> PAGE   \* MERGEFORMAT </w:instrText>
        </w:r>
        <w:r>
          <w:fldChar w:fldCharType="separate"/>
        </w:r>
        <w:r>
          <w:t>136</w:t>
        </w:r>
        <w:r>
          <w:fldChar w:fldCharType="end"/>
        </w:r>
      </w:p>
    </w:sdtContent>
  </w:sdt>
  <w:p w14:paraId="0FD8BAE5" w14:textId="77777777" w:rsidR="00F208CE" w:rsidRDefault="00F208CE">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D803" w14:textId="77777777" w:rsidR="00F208CE" w:rsidRDefault="00F208CE">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311461"/>
      <w:docPartObj>
        <w:docPartGallery w:val="Page Numbers (Bottom of Page)"/>
        <w:docPartUnique/>
      </w:docPartObj>
    </w:sdtPr>
    <w:sdtEndPr>
      <w:rPr>
        <w:noProof/>
      </w:rPr>
    </w:sdtEndPr>
    <w:sdtContent>
      <w:p w14:paraId="04A7AD82" w14:textId="2C687E14" w:rsidR="00F208CE" w:rsidRDefault="00513E84">
        <w:pPr>
          <w:pStyle w:val="Footer"/>
          <w:jc w:val="center"/>
        </w:pPr>
        <w:r>
          <w:fldChar w:fldCharType="begin"/>
        </w:r>
        <w:r>
          <w:instrText xml:space="preserve"> PAGE   \* MERGEFORMAT </w:instrText>
        </w:r>
        <w:r>
          <w:fldChar w:fldCharType="separate"/>
        </w:r>
        <w:r>
          <w:t>141</w:t>
        </w:r>
        <w:r>
          <w:fldChar w:fldCharType="end"/>
        </w:r>
      </w:p>
    </w:sdtContent>
  </w:sdt>
  <w:p w14:paraId="6219B736" w14:textId="77777777" w:rsidR="00F208CE" w:rsidRDefault="00F208CE">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3FBB" w14:textId="77777777" w:rsidR="00F208CE" w:rsidRDefault="00F208CE">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94917"/>
      <w:docPartObj>
        <w:docPartGallery w:val="Page Numbers (Bottom of Page)"/>
        <w:docPartUnique/>
      </w:docPartObj>
    </w:sdtPr>
    <w:sdtEndPr>
      <w:rPr>
        <w:noProof/>
      </w:rPr>
    </w:sdtEndPr>
    <w:sdtContent>
      <w:p w14:paraId="6D3C7BDF" w14:textId="77777777" w:rsidR="00F208CE" w:rsidRDefault="00513E84">
        <w:pPr>
          <w:pStyle w:val="Footer"/>
          <w:jc w:val="center"/>
        </w:pPr>
        <w:r>
          <w:fldChar w:fldCharType="begin"/>
        </w:r>
        <w:r>
          <w:instrText xml:space="preserve"> PAGE   \* MERGEFORMAT </w:instrText>
        </w:r>
        <w:r>
          <w:fldChar w:fldCharType="separate"/>
        </w:r>
        <w:r>
          <w:t>141</w:t>
        </w:r>
        <w:r>
          <w:fldChar w:fldCharType="end"/>
        </w:r>
      </w:p>
    </w:sdtContent>
  </w:sdt>
  <w:p w14:paraId="446907EE" w14:textId="77777777" w:rsidR="00F208CE" w:rsidRDefault="00F208C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992000"/>
      <w:docPartObj>
        <w:docPartGallery w:val="Page Numbers (Bottom of Page)"/>
        <w:docPartUnique/>
      </w:docPartObj>
    </w:sdtPr>
    <w:sdtEndPr>
      <w:rPr>
        <w:noProof/>
      </w:rPr>
    </w:sdtEndPr>
    <w:sdtContent>
      <w:p w14:paraId="4ECDC784" w14:textId="7A5ED1FC" w:rsidR="00F208CE" w:rsidRDefault="00513E84">
        <w:pPr>
          <w:pStyle w:val="Footer"/>
          <w:jc w:val="center"/>
        </w:pPr>
        <w:r>
          <w:fldChar w:fldCharType="begin"/>
        </w:r>
        <w:r>
          <w:instrText xml:space="preserve"> PAGE   \* MERGEFORMAT </w:instrText>
        </w:r>
        <w:r>
          <w:fldChar w:fldCharType="separate"/>
        </w:r>
        <w:r w:rsidR="00CF0B6C">
          <w:rPr>
            <w:noProof/>
          </w:rPr>
          <w:t>16</w:t>
        </w:r>
        <w:r>
          <w:fldChar w:fldCharType="end"/>
        </w:r>
      </w:p>
    </w:sdtContent>
  </w:sdt>
  <w:p w14:paraId="33C0740A" w14:textId="77777777" w:rsidR="00F208CE" w:rsidRDefault="00F208CE">
    <w:pPr>
      <w:pStyle w:val="FooterCouncil"/>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4FC8" w14:textId="77777777" w:rsidR="00F208CE" w:rsidRDefault="00F208CE">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1183"/>
      <w:docPartObj>
        <w:docPartGallery w:val="Page Numbers (Bottom of Page)"/>
        <w:docPartUnique/>
      </w:docPartObj>
    </w:sdtPr>
    <w:sdtEndPr>
      <w:rPr>
        <w:noProof/>
      </w:rPr>
    </w:sdtEndPr>
    <w:sdtContent>
      <w:p w14:paraId="28199534" w14:textId="3E15CA3B" w:rsidR="00F208CE" w:rsidRDefault="00513E84">
        <w:pPr>
          <w:pStyle w:val="Footer"/>
          <w:jc w:val="center"/>
        </w:pPr>
        <w:r>
          <w:fldChar w:fldCharType="begin"/>
        </w:r>
        <w:r>
          <w:instrText xml:space="preserve"> PAGE   \* MERGEFORMAT </w:instrText>
        </w:r>
        <w:r>
          <w:fldChar w:fldCharType="separate"/>
        </w:r>
        <w:r>
          <w:t>144</w:t>
        </w:r>
        <w:r>
          <w:fldChar w:fldCharType="end"/>
        </w:r>
      </w:p>
    </w:sdtContent>
  </w:sdt>
  <w:p w14:paraId="7DEA5894" w14:textId="77777777" w:rsidR="00F208CE" w:rsidRDefault="00F208CE">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15805" w14:textId="77777777" w:rsidR="00F208CE" w:rsidRDefault="00F208CE">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20351"/>
      <w:docPartObj>
        <w:docPartGallery w:val="Page Numbers (Bottom of Page)"/>
        <w:docPartUnique/>
      </w:docPartObj>
    </w:sdtPr>
    <w:sdtEndPr>
      <w:rPr>
        <w:noProof/>
      </w:rPr>
    </w:sdtEndPr>
    <w:sdtContent>
      <w:p w14:paraId="568B136E" w14:textId="77777777" w:rsidR="00F208CE" w:rsidRDefault="00513E84">
        <w:pPr>
          <w:pStyle w:val="Footer"/>
          <w:jc w:val="center"/>
        </w:pPr>
        <w:r>
          <w:fldChar w:fldCharType="begin"/>
        </w:r>
        <w:r>
          <w:instrText xml:space="preserve"> PAGE   \* MERGEFORMAT </w:instrText>
        </w:r>
        <w:r>
          <w:fldChar w:fldCharType="separate"/>
        </w:r>
        <w:r>
          <w:t>144</w:t>
        </w:r>
        <w:r>
          <w:fldChar w:fldCharType="end"/>
        </w:r>
      </w:p>
    </w:sdtContent>
  </w:sdt>
  <w:p w14:paraId="30753C5A" w14:textId="77777777" w:rsidR="00F208CE" w:rsidRDefault="00F208CE">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D368" w14:textId="77777777" w:rsidR="00F208CE" w:rsidRDefault="00F208CE">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301385"/>
      <w:docPartObj>
        <w:docPartGallery w:val="Page Numbers (Bottom of Page)"/>
        <w:docPartUnique/>
      </w:docPartObj>
    </w:sdtPr>
    <w:sdtEndPr>
      <w:rPr>
        <w:noProof/>
      </w:rPr>
    </w:sdtEndPr>
    <w:sdtContent>
      <w:p w14:paraId="75B2B65B" w14:textId="101D5520" w:rsidR="00F208CE" w:rsidRDefault="00513E84">
        <w:pPr>
          <w:pStyle w:val="Footer"/>
          <w:jc w:val="center"/>
        </w:pPr>
        <w:r>
          <w:fldChar w:fldCharType="begin"/>
        </w:r>
        <w:r>
          <w:instrText xml:space="preserve"> PAGE   \* MERGEFORMAT </w:instrText>
        </w:r>
        <w:r>
          <w:fldChar w:fldCharType="separate"/>
        </w:r>
        <w:r>
          <w:t>151</w:t>
        </w:r>
        <w:r>
          <w:fldChar w:fldCharType="end"/>
        </w:r>
      </w:p>
    </w:sdtContent>
  </w:sdt>
  <w:p w14:paraId="6DE2ABCD" w14:textId="77777777" w:rsidR="00F208CE" w:rsidRDefault="00F208CE">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49DF" w14:textId="77777777" w:rsidR="00F208CE" w:rsidRDefault="00F208CE">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90604"/>
      <w:docPartObj>
        <w:docPartGallery w:val="Page Numbers (Bottom of Page)"/>
        <w:docPartUnique/>
      </w:docPartObj>
    </w:sdtPr>
    <w:sdtEndPr>
      <w:rPr>
        <w:noProof/>
      </w:rPr>
    </w:sdtEndPr>
    <w:sdtContent>
      <w:p w14:paraId="7996BE48" w14:textId="77777777" w:rsidR="00F208CE" w:rsidRDefault="00513E84">
        <w:pPr>
          <w:pStyle w:val="Footer"/>
          <w:jc w:val="center"/>
        </w:pPr>
        <w:r>
          <w:fldChar w:fldCharType="begin"/>
        </w:r>
        <w:r>
          <w:instrText xml:space="preserve"> PAGE   \* MERGEFORMAT </w:instrText>
        </w:r>
        <w:r>
          <w:fldChar w:fldCharType="separate"/>
        </w:r>
        <w:r>
          <w:t>151</w:t>
        </w:r>
        <w:r>
          <w:fldChar w:fldCharType="end"/>
        </w:r>
      </w:p>
    </w:sdtContent>
  </w:sdt>
  <w:p w14:paraId="270EC4E5" w14:textId="77777777" w:rsidR="00F208CE" w:rsidRDefault="00F208CE">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D98D" w14:textId="77777777" w:rsidR="00F208CE" w:rsidRDefault="00F208CE">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8300"/>
      <w:docPartObj>
        <w:docPartGallery w:val="Page Numbers (Bottom of Page)"/>
        <w:docPartUnique/>
      </w:docPartObj>
    </w:sdtPr>
    <w:sdtEndPr>
      <w:rPr>
        <w:noProof/>
      </w:rPr>
    </w:sdtEndPr>
    <w:sdtContent>
      <w:p w14:paraId="2C933E71" w14:textId="04C2C9D9" w:rsidR="00F208CE" w:rsidRDefault="00513E84">
        <w:pPr>
          <w:pStyle w:val="Footer"/>
          <w:jc w:val="center"/>
        </w:pPr>
        <w:r>
          <w:fldChar w:fldCharType="begin"/>
        </w:r>
        <w:r>
          <w:instrText xml:space="preserve"> PAGE   \* MERGEFORMAT </w:instrText>
        </w:r>
        <w:r>
          <w:fldChar w:fldCharType="separate"/>
        </w:r>
        <w:r>
          <w:t>153</w:t>
        </w:r>
        <w:r>
          <w:fldChar w:fldCharType="end"/>
        </w:r>
      </w:p>
    </w:sdtContent>
  </w:sdt>
  <w:p w14:paraId="110AAA11" w14:textId="77777777" w:rsidR="00F208CE" w:rsidRDefault="00F2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E9E2" w14:textId="77777777" w:rsidR="00774AD0" w:rsidRDefault="00774AD0">
      <w:pPr>
        <w:spacing w:after="0" w:line="240" w:lineRule="auto"/>
      </w:pPr>
      <w:r>
        <w:separator/>
      </w:r>
    </w:p>
  </w:footnote>
  <w:footnote w:type="continuationSeparator" w:id="0">
    <w:p w14:paraId="0E4B4FD8" w14:textId="77777777" w:rsidR="00774AD0" w:rsidRDefault="00774AD0">
      <w:pPr>
        <w:spacing w:after="0" w:line="240" w:lineRule="auto"/>
      </w:pPr>
      <w:r>
        <w:continuationSeparator/>
      </w:r>
    </w:p>
  </w:footnote>
  <w:footnote w:type="continuationNotice" w:id="1">
    <w:p w14:paraId="719DE626" w14:textId="77777777" w:rsidR="00774AD0" w:rsidRDefault="00774AD0">
      <w:pPr>
        <w:spacing w:after="0" w:line="240" w:lineRule="auto"/>
      </w:pPr>
    </w:p>
  </w:footnote>
  <w:footnote w:id="2">
    <w:p w14:paraId="1FBF9012" w14:textId="77777777" w:rsidR="00F208CE" w:rsidRDefault="00513E84">
      <w:pPr>
        <w:pStyle w:val="FootnoteText"/>
      </w:pPr>
      <w:r>
        <w:rPr>
          <w:rStyle w:val="FootnoteReference"/>
        </w:rPr>
        <w:footnoteRef/>
      </w:r>
      <w:r>
        <w:t xml:space="preserve"> </w:t>
      </w:r>
      <w:r>
        <w:tab/>
        <w:t xml:space="preserve">Los PIICE están sujetos a la obligación de notificación y a la obligación de suspensión prevista en el </w:t>
      </w:r>
      <w:r>
        <w:t>artículo 108, apartado 3, del Tratado de Funcionamiento de la Unión Europea. La selección y las especificidades de los proyectos propuestos pueden requerir ajustes para garantizar el cumplimiento de las normas aplicables.</w:t>
      </w:r>
    </w:p>
  </w:footnote>
  <w:footnote w:id="3">
    <w:p w14:paraId="1306B678" w14:textId="76698751" w:rsidR="00F208CE" w:rsidRDefault="00513E84">
      <w:pPr>
        <w:pStyle w:val="FootnoteText"/>
      </w:pPr>
      <w:r>
        <w:rPr>
          <w:rStyle w:val="FootnoteReference"/>
        </w:rPr>
        <w:footnoteRef/>
      </w:r>
      <w:r>
        <w:t xml:space="preserve"> </w:t>
      </w:r>
      <w:r>
        <w:tab/>
        <w:t xml:space="preserve">Véase la nota 1. </w:t>
      </w:r>
    </w:p>
  </w:footnote>
  <w:footnote w:id="4">
    <w:p w14:paraId="683152FB" w14:textId="77777777" w:rsidR="00F208CE" w:rsidRDefault="00513E84">
      <w:pPr>
        <w:pStyle w:val="FootnoteText"/>
        <w:ind w:left="0" w:firstLine="0"/>
        <w:rPr>
          <w:sz w:val="22"/>
        </w:rPr>
      </w:pPr>
      <w:r>
        <w:rPr>
          <w:rStyle w:val="FootnoteReference"/>
          <w:rFonts w:eastAsia="Calibri"/>
          <w:sz w:val="18"/>
        </w:rPr>
        <w:footnoteRef/>
      </w:r>
      <w:r>
        <w:rPr>
          <w:sz w:val="18"/>
        </w:rPr>
        <w:t xml:space="preserve"> Los control</w:t>
      </w:r>
      <w:r>
        <w:rPr>
          <w:sz w:val="18"/>
        </w:rPr>
        <w:t>es críticos de seguridad para unas normas eficaces de ciberdefensa de la CIS 20 (Centro para la Seguridad de Internet) son los mejores</w:t>
      </w:r>
    </w:p>
    <w:p w14:paraId="47494658" w14:textId="77777777" w:rsidR="00F208CE" w:rsidRDefault="00513E84">
      <w:pPr>
        <w:pStyle w:val="P68B1DB1-FootnoteText42"/>
        <w:ind w:left="0" w:firstLine="0"/>
        <w:rPr>
          <w:sz w:val="22"/>
        </w:rPr>
      </w:pPr>
      <w:r>
        <w:t>directrices prácticas para la seguridad informática.</w:t>
      </w:r>
    </w:p>
  </w:footnote>
  <w:footnote w:id="5">
    <w:p w14:paraId="581B6924" w14:textId="77777777" w:rsidR="00F208CE" w:rsidRDefault="00513E84">
      <w:pPr>
        <w:pStyle w:val="FootnoteText"/>
        <w:ind w:left="0" w:firstLine="0"/>
        <w:rPr>
          <w:sz w:val="22"/>
        </w:rPr>
      </w:pPr>
      <w:r>
        <w:rPr>
          <w:rStyle w:val="FootnoteReference"/>
          <w:rFonts w:eastAsia="Calibri"/>
          <w:sz w:val="18"/>
        </w:rPr>
        <w:footnoteRef/>
      </w:r>
      <w:r>
        <w:rPr>
          <w:sz w:val="18"/>
        </w:rPr>
        <w:t xml:space="preserve"> La norma ISO 27000 (también conocida como «familia de normas ISMS»</w:t>
      </w:r>
      <w:r>
        <w:rPr>
          <w:sz w:val="18"/>
        </w:rPr>
        <w:t xml:space="preserve"> o «ISO27K») comprende la seguridad de la información.</w:t>
      </w:r>
    </w:p>
    <w:p w14:paraId="2E9D6B7C" w14:textId="77777777" w:rsidR="00F208CE" w:rsidRDefault="00513E84">
      <w:pPr>
        <w:pStyle w:val="P68B1DB1-FootnoteText42"/>
        <w:ind w:left="0" w:firstLine="0"/>
        <w:rPr>
          <w:sz w:val="22"/>
        </w:rPr>
      </w:pPr>
      <w:r>
        <w:t xml:space="preserve">normas publicadas conjuntamente por la Organización Internacional de Normalización (ISO) y la Comisión Electrotécnica Internacional (CEI). </w:t>
      </w:r>
    </w:p>
  </w:footnote>
  <w:footnote w:id="6">
    <w:p w14:paraId="611C6BAB" w14:textId="397E623C" w:rsidR="00F208CE" w:rsidRDefault="00513E84">
      <w:pPr>
        <w:pStyle w:val="FootnoteText"/>
      </w:pPr>
      <w:r>
        <w:rPr>
          <w:rStyle w:val="FootnoteReference"/>
        </w:rPr>
        <w:footnoteRef/>
      </w:r>
      <w:r>
        <w:t xml:space="preserve"> </w:t>
      </w:r>
      <w:r>
        <w:tab/>
      </w:r>
      <w:r>
        <w:rPr>
          <w:color w:val="000000" w:themeColor="text1"/>
          <w:sz w:val="19"/>
        </w:rPr>
        <w:t xml:space="preserve">El calendario para la aplicación de este hito se entiende </w:t>
      </w:r>
      <w:r>
        <w:rPr>
          <w:color w:val="000000" w:themeColor="text1"/>
          <w:sz w:val="19"/>
        </w:rPr>
        <w:t xml:space="preserve">sin perjuicio de las obligaciones de Bélgica en virtud del Reglamento (UE) 2018/1724 del Parlamento Europeo y del Consejo, de 2 de octubre de 2018, relativo a la creación de una pasarela digital única de acceso a información, procedimientos y servicios de </w:t>
      </w:r>
      <w:r>
        <w:rPr>
          <w:color w:val="000000" w:themeColor="text1"/>
          <w:sz w:val="19"/>
        </w:rPr>
        <w:t>asistencia y resolución de problemas y por el que se modifica el Reglamento (UE) n.º 1024/2012.</w:t>
      </w:r>
    </w:p>
  </w:footnote>
  <w:footnote w:id="7">
    <w:p w14:paraId="1A5B66D3" w14:textId="77777777" w:rsidR="00F208CE" w:rsidRDefault="00513E84">
      <w:pPr>
        <w:pStyle w:val="FootnoteText"/>
        <w:ind w:left="0" w:firstLine="0"/>
      </w:pPr>
      <w:r>
        <w:rPr>
          <w:rStyle w:val="FootnoteReference"/>
          <w:rFonts w:ascii="Calibri" w:eastAsia="Calibri" w:hAnsi="Calibri" w:cs="Calibri"/>
          <w:sz w:val="16"/>
        </w:rPr>
        <w:footnoteRef/>
      </w:r>
      <w:r>
        <w:rPr>
          <w:rFonts w:ascii="Calibri" w:hAnsi="Calibri"/>
          <w:sz w:val="16"/>
        </w:rPr>
        <w:t xml:space="preserve"> Los gemelos digitales son replicas virtuales de objetos, procesos o lugares del mundo físico.</w:t>
      </w:r>
    </w:p>
  </w:footnote>
  <w:footnote w:id="8">
    <w:p w14:paraId="41762E8B" w14:textId="77777777" w:rsidR="00F208CE" w:rsidRDefault="00513E84">
      <w:pPr>
        <w:pStyle w:val="FootnoteText"/>
        <w:ind w:left="0" w:firstLine="0"/>
      </w:pPr>
      <w:r>
        <w:rPr>
          <w:rStyle w:val="FootnoteReference"/>
        </w:rPr>
        <w:footnoteRef/>
      </w:r>
      <w:r>
        <w:t xml:space="preserve"> Véase el anexo I bis de la Loi portant assentiment à l’accord </w:t>
      </w:r>
      <w:r>
        <w:t>de coopération du 5 octobre 2018 entre l’Etat fédéral, la Région flamande, la Région wallonne et la Région de Bruxelles-Capitale relatif au financement des infraaires stratégiques/Wet houdende instemming met het samenwerkingsakkoord van 5 oktober 2018 tuss</w:t>
      </w:r>
      <w:r>
        <w:t>en de Federale Staat, het Vlaamse Gewest, het Waalse Gewest en het Brusselse Hoofdstetuende de gefbetdelist de Gefwerg</w:t>
      </w:r>
    </w:p>
  </w:footnote>
  <w:footnote w:id="9">
    <w:p w14:paraId="6DE45EB7" w14:textId="77777777" w:rsidR="00F208CE" w:rsidRDefault="00513E84">
      <w:pPr>
        <w:pStyle w:val="FootnoteText"/>
        <w:ind w:left="0" w:firstLine="0"/>
      </w:pPr>
      <w:r>
        <w:rPr>
          <w:rStyle w:val="FootnoteReference"/>
        </w:rPr>
        <w:footnoteRef/>
      </w:r>
      <w:r>
        <w:t xml:space="preserve"> Esto da continuidad a la REP 3 2018: «Abordar los crecientes retos en materia de movilidad, en particular a través de la inversión en i</w:t>
      </w:r>
      <w:r>
        <w:t>nfraestructuras de transporte nuevas o existentes, y el refuerzo de los incentivos a la utilización del transporte público y con bajas emisiones»</w:t>
      </w:r>
    </w:p>
  </w:footnote>
  <w:footnote w:id="10">
    <w:p w14:paraId="6D12729C" w14:textId="77777777" w:rsidR="00F208CE" w:rsidRDefault="00513E84">
      <w:pPr>
        <w:pStyle w:val="FootnoteText"/>
      </w:pPr>
      <w:r>
        <w:rPr>
          <w:rStyle w:val="FootnoteReference"/>
        </w:rPr>
        <w:footnoteRef/>
      </w:r>
      <w:r>
        <w:t xml:space="preserve"> Diest, Gent Dampoort, Herentals, Lovaina, Mechelen-Nekkerspoel</w:t>
      </w:r>
    </w:p>
  </w:footnote>
  <w:footnote w:id="11">
    <w:p w14:paraId="2D8FC205" w14:textId="614146E1" w:rsidR="00F208CE" w:rsidRDefault="00513E84">
      <w:pPr>
        <w:pStyle w:val="FootnoteText"/>
        <w:ind w:left="0" w:firstLine="0"/>
      </w:pPr>
      <w:r>
        <w:rPr>
          <w:rStyle w:val="FootnoteReference"/>
        </w:rPr>
        <w:footnoteRef/>
      </w:r>
      <w:r>
        <w:t xml:space="preserve"> Barvaux, Dinant, Fexche-le-haut-clocher, Ma</w:t>
      </w:r>
      <w:r>
        <w:t>rche-en-famenne, Zwijndrecht, Alken, Buggenhout, Eupen, Fleurus, Louvain-la-Neuve, Sint-Agatha-Berchem, Watermael, Ans, Antwerpen-Zuid, Blankenberge, Diest, Mechelen-Nekkerspoel, Visé, Huy, Luttre, Meiser, Sint-Job, Tubise, Verviers-Central, Waremme, Kiewi</w:t>
      </w:r>
      <w:r>
        <w:t>t, Sint-Truiden y Diepenbeek.</w:t>
      </w:r>
    </w:p>
  </w:footnote>
  <w:footnote w:id="12">
    <w:p w14:paraId="0CF8E67D" w14:textId="77777777" w:rsidR="00F208CE" w:rsidRDefault="00513E84">
      <w:pPr>
        <w:pStyle w:val="FootnoteText"/>
        <w:ind w:left="0" w:firstLine="0"/>
      </w:pPr>
      <w:r>
        <w:rPr>
          <w:rStyle w:val="FootnoteReference"/>
        </w:rPr>
        <w:footnoteRef/>
      </w:r>
      <w:r>
        <w:t xml:space="preserve"> Cuando la actividad subvencionada logre emisiones de gases de efecto invernadero previstas que no sean significativamente inferiores a los parámetros de referencia pertinentes, deberá facilitarse una explicación de las razon</w:t>
      </w:r>
      <w:r>
        <w:t>es por las que esto no es posible. Parámetros de referencia establecidos para la asignación gratuita de las actividades que entran en el ámbito de aplicación del régimen de comercio de derechos de emisión, tal como se establece en el Reglamento de Ejecució</w:t>
      </w:r>
      <w:r>
        <w:t>n (UE) 2021/447 de la Comisión.</w:t>
      </w:r>
    </w:p>
  </w:footnote>
  <w:footnote w:id="13">
    <w:p w14:paraId="43AEF82A" w14:textId="77777777" w:rsidR="00F208CE" w:rsidRDefault="00513E84">
      <w:pPr>
        <w:pStyle w:val="FootnoteText"/>
        <w:ind w:left="0" w:firstLine="0"/>
      </w:pPr>
      <w:r>
        <w:rPr>
          <w:rStyle w:val="FootnoteReference"/>
        </w:rPr>
        <w:footnoteRef/>
      </w:r>
      <w:r>
        <w:t xml:space="preserve"> Esta exclusión no se aplicará a las acciones en el marco de esta medida en instalaciones dedicadas exclusivamente al tratamiento de residuos peligrosos no reciclables, ni a las instalaciones existentes, cuando las acciones</w:t>
      </w:r>
      <w:r>
        <w:t xml:space="preserve"> en el marco de esta medida tengan por objeto aumentar la eficiencia energética, capturar gases de escape para su almacenamiento o uso o recuperar materiales de las cenizas de incineración, siempre que tales acciones en el marco de esta medida no den lugar</w:t>
      </w:r>
      <w:r>
        <w:t xml:space="preserve"> a un aumento de la capacidad de tratamiento de residuos de las instalaciones o a una ampliación de la vida útil de las instalaciones; respecto de las cuales se aportan pruebas a nivel de planta.</w:t>
      </w:r>
    </w:p>
  </w:footnote>
  <w:footnote w:id="14">
    <w:p w14:paraId="2A734A49" w14:textId="77777777" w:rsidR="00F208CE" w:rsidRDefault="00513E84">
      <w:pPr>
        <w:pStyle w:val="FootnoteText"/>
        <w:ind w:left="0" w:firstLine="0"/>
      </w:pPr>
      <w:r>
        <w:rPr>
          <w:rStyle w:val="FootnoteReference"/>
        </w:rPr>
        <w:footnoteRef/>
      </w:r>
      <w:r>
        <w:t xml:space="preserve"> Esta exclusión no se aplicará a las acciones en el marco d</w:t>
      </w:r>
      <w:r>
        <w:t>e esta medida en las instalaciones de tratamiento mecánico-biológico existentes, cuando las acciones en el marco de esta medida tengan por objeto aumentar la eficiencia energética o la adaptación a las operaciones de reciclado de residuos separados para co</w:t>
      </w:r>
      <w:r>
        <w:t>mpost biorresiduos y la digestión anaeróbica de los biorresiduos, siempre que tales acciones en el marco de esta medida no den lugar a un aumento de la capacidad de tratamiento de residuos de las instalaciones o a una ampliación de la vida útil de las plan</w:t>
      </w:r>
      <w:r>
        <w:t>tas; respecto de las cuales se aportan pruebas a nivel de planta.</w:t>
      </w:r>
    </w:p>
  </w:footnote>
  <w:footnote w:id="15">
    <w:p w14:paraId="23F5A2FF" w14:textId="77777777" w:rsidR="00F208CE" w:rsidRDefault="00513E84">
      <w:pPr>
        <w:pStyle w:val="FootnoteText"/>
        <w:ind w:left="0" w:firstLine="0"/>
      </w:pPr>
      <w:r>
        <w:rPr>
          <w:rStyle w:val="FootnoteReference"/>
        </w:rPr>
        <w:footnoteRef/>
      </w:r>
      <w:r>
        <w:t xml:space="preserve"> Esta exclusión no se aplicará a las acciones en el marco de esta medida en las instalaciones de tratamiento mecánico-biológico existentes, cuando las acciones en el marco de esta medida te</w:t>
      </w:r>
      <w:r>
        <w:t>ngan por objeto aumentar la eficiencia energética o la adaptación a las operaciones de reciclado de residuos separados para compost biorresiduos y la digestión anaeróbica de los biorresiduos, siempre que tales acciones en el marco de esta medida no den lug</w:t>
      </w:r>
      <w:r>
        <w:t>ar a un aumento de la capacidad de tratamiento de residuos de las instalaciones o a una ampliación de la vida útil de las plantas; respecto de las cuales se aportan pruebas a nivel de planta.</w:t>
      </w:r>
    </w:p>
  </w:footnote>
  <w:footnote w:id="16">
    <w:p w14:paraId="217AC743" w14:textId="77777777" w:rsidR="00F208CE" w:rsidRDefault="00513E84">
      <w:pPr>
        <w:pStyle w:val="FootnoteText"/>
        <w:ind w:left="0" w:firstLine="0"/>
      </w:pPr>
      <w:r>
        <w:rPr>
          <w:rStyle w:val="FootnoteReference"/>
        </w:rPr>
        <w:footnoteRef/>
      </w:r>
      <w:r>
        <w:t xml:space="preserve"> Esta exclusión no se aplicará a las acciones en el marco de es</w:t>
      </w:r>
      <w:r>
        <w:t xml:space="preserve">ta medida en instalaciones dedicadas exclusivamente al tratamiento de residuos peligrosos no reciclables, ni a las instalaciones existentes, cuando las acciones en el marco de esta medida tengan por objeto aumentar la eficiencia energética, capturar gases </w:t>
      </w:r>
      <w:r>
        <w:t>de escape para su almacenamiento o uso o recuperar materiales de las cenizas de incineración, siempre que tales acciones en el marco de esta medida no den lugar a un aumento de la capacidad de tratamiento de residuos de las instalaciones o a una ampliación</w:t>
      </w:r>
      <w:r>
        <w:t xml:space="preserve"> de la vida útil de las instalaciones; respecto de las cuales se aportan pruebas a nivel de planta.</w:t>
      </w:r>
    </w:p>
  </w:footnote>
  <w:footnote w:id="17">
    <w:p w14:paraId="7E3B18C6" w14:textId="77777777" w:rsidR="00F208CE" w:rsidRDefault="00513E84">
      <w:pPr>
        <w:pStyle w:val="FootnoteText"/>
        <w:ind w:left="0" w:firstLine="0"/>
      </w:pPr>
      <w:r>
        <w:rPr>
          <w:rStyle w:val="FootnoteReference"/>
        </w:rPr>
        <w:footnoteRef/>
      </w:r>
      <w:r>
        <w:t xml:space="preserve"> Esta exclusión no se aplicará a las acciones en el marco de esta medida en las instalaciones de tratamiento mecánico-biológico existentes, cuando las acci</w:t>
      </w:r>
      <w:r>
        <w:t xml:space="preserve">ones en el marco de esta medida tengan por objeto aumentar la eficiencia energética o la adaptación a las operaciones de reciclado de residuos separados para compost biorresiduos y la digestión anaeróbica de los biorresiduos, siempre que tales acciones en </w:t>
      </w:r>
      <w:r>
        <w:t>el marco de esta medida no den lugar a un aumento de la capacidad de tratamiento de residuos de las instalaciones o a una ampliación de la vida útil de las plantas; respecto de las cuales se aportan pruebas a nivel de planta.</w:t>
      </w:r>
    </w:p>
  </w:footnote>
  <w:footnote w:id="18">
    <w:p w14:paraId="3C32500D" w14:textId="77777777" w:rsidR="00F208CE" w:rsidRDefault="00513E84">
      <w:pPr>
        <w:pStyle w:val="FootnoteText"/>
        <w:ind w:left="0" w:firstLine="0"/>
      </w:pPr>
      <w:r>
        <w:rPr>
          <w:rStyle w:val="FootnoteReference"/>
        </w:rPr>
        <w:footnoteRef/>
      </w:r>
      <w:r>
        <w:t xml:space="preserve"> Cuando la actividad subvenci</w:t>
      </w:r>
      <w:r>
        <w:t xml:space="preserve">onada logre emisiones de gases de efecto invernadero previstas que no sean significativamente inferiores a los parámetros de referencia pertinentes, deberá facilitarse una explicación de las razones por las que esto no es posible. Parámetros de referencia </w:t>
      </w:r>
      <w:r>
        <w:t>establecidos para la asignación gratuita de las actividades que entran en el ámbito de aplicación del régimen de comercio de derechos de emisión, tal como se establece en el Reglamento de Ejecución (UE) 2021/447 de la Comisión.</w:t>
      </w:r>
    </w:p>
  </w:footnote>
  <w:footnote w:id="19">
    <w:p w14:paraId="7135E0C1" w14:textId="77777777" w:rsidR="00F208CE" w:rsidRDefault="00513E84">
      <w:pPr>
        <w:pStyle w:val="FootnoteText"/>
        <w:ind w:left="0" w:firstLine="0"/>
      </w:pPr>
      <w:r>
        <w:rPr>
          <w:rStyle w:val="FootnoteReference"/>
        </w:rPr>
        <w:footnoteRef/>
      </w:r>
      <w:r>
        <w:t xml:space="preserve"> Esta exclusión no se aplic</w:t>
      </w:r>
      <w:r>
        <w:t>ará a las acciones en el marco de esta medida en instalaciones dedicadas exclusivamente al tratamiento de residuos peligrosos no reciclables, ni a las instalaciones existentes, cuando las acciones en el marco de esta medida tengan por objeto aumentar la ef</w:t>
      </w:r>
      <w:r>
        <w:t xml:space="preserve">iciencia energética, capturar gases de escape para su almacenamiento o uso o recuperar materiales de las cenizas de incineración, siempre que tales acciones en el marco de esta medida no den lugar a un aumento de la capacidad de tratamiento de residuos de </w:t>
      </w:r>
      <w:r>
        <w:t>las instalaciones o a una ampliación de la vida útil de las instalaciones; respecto de las cuales se aportan pruebas a nivel de planta.</w:t>
      </w:r>
    </w:p>
  </w:footnote>
  <w:footnote w:id="20">
    <w:p w14:paraId="3AFC4ABE" w14:textId="77777777" w:rsidR="00F208CE" w:rsidRDefault="00513E84">
      <w:pPr>
        <w:pStyle w:val="FootnoteText"/>
        <w:ind w:left="0" w:firstLine="0"/>
      </w:pPr>
      <w:r>
        <w:rPr>
          <w:rStyle w:val="FootnoteReference"/>
        </w:rPr>
        <w:footnoteRef/>
      </w:r>
      <w:r>
        <w:t xml:space="preserve"> Esta exclusión no se aplicará a las acciones en el marco de esta medida en las instalaciones de tratamiento mecánico-b</w:t>
      </w:r>
      <w:r>
        <w:t>iológico existentes, cuando las acciones en el marco de esta medida tengan por objeto aumentar la eficiencia energética o la adaptación a las operaciones de reciclado de residuos separados para compost biorresiduos y la digestión anaeróbica de los biorresi</w:t>
      </w:r>
      <w:r>
        <w:t>duos, siempre que tales acciones en el marco de esta medida no den lugar a un aumento de la capacidad de tratamiento de residuos de las instalaciones o a una ampliación de la vida útil de las plantas; respecto de las cuales se aportan pruebas a nivel de pl</w:t>
      </w:r>
      <w:r>
        <w:t>anta.</w:t>
      </w:r>
    </w:p>
  </w:footnote>
  <w:footnote w:id="21">
    <w:p w14:paraId="7BCC33F6" w14:textId="77777777" w:rsidR="00F208CE" w:rsidRDefault="00513E84">
      <w:pPr>
        <w:pStyle w:val="FootnoteText"/>
        <w:ind w:left="0" w:firstLine="0"/>
      </w:pPr>
      <w:r>
        <w:rPr>
          <w:rStyle w:val="FootnoteReference"/>
        </w:rPr>
        <w:footnoteRef/>
      </w:r>
      <w:r>
        <w:t xml:space="preserve"> Cuando la actividad subvencionada logre emisiones de gases de efecto invernadero previstas que no sean significativamente inferiores a los parámetros de referencia pertinentes, deberá facilitarse una explicación de las razones por las que esto no e</w:t>
      </w:r>
      <w:r>
        <w:t>s posible. Parámetros de referencia establecidos para la asignación gratuita de las actividades que entran en el ámbito de aplicación del régimen de comercio de derechos de emisión, tal como se establece en el Reglamento de Ejecución (UE) 2021/447 de la Co</w:t>
      </w:r>
      <w:r>
        <w:t>misión.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0654" w14:textId="77777777" w:rsidR="00513E84" w:rsidRPr="00513E84" w:rsidRDefault="00513E84" w:rsidP="00513E84">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B6CF" w14:textId="77777777" w:rsidR="00F208CE" w:rsidRDefault="00F208CE">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904A" w14:textId="77777777" w:rsidR="00F208CE" w:rsidRDefault="00F208CE">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124F" w14:textId="77777777" w:rsidR="00F208CE" w:rsidRDefault="00F208CE">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3FE4" w14:textId="77777777" w:rsidR="00F208CE" w:rsidRDefault="00F208CE">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BF04" w14:textId="77777777" w:rsidR="00F208CE" w:rsidRDefault="00F208CE">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8097" w14:textId="77777777" w:rsidR="00F208CE" w:rsidRDefault="00F208CE">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A962" w14:textId="77777777" w:rsidR="00F208CE" w:rsidRDefault="00F208CE">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EA17" w14:textId="77777777" w:rsidR="00F208CE" w:rsidRDefault="00F208CE">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C5DA" w14:textId="77777777" w:rsidR="00F208CE" w:rsidRDefault="00F208CE">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B8F1" w14:textId="77777777" w:rsidR="00F208CE" w:rsidRDefault="00F208CE">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A4FC" w14:textId="77777777" w:rsidR="00F208CE" w:rsidRDefault="00F208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AC92" w14:textId="77777777" w:rsidR="00F208CE" w:rsidRDefault="00F208CE">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94A8" w14:textId="77777777" w:rsidR="00F208CE" w:rsidRDefault="00F208CE">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A2C2" w14:textId="77777777" w:rsidR="00F208CE" w:rsidRDefault="00F208CE">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075B" w14:textId="77777777" w:rsidR="00F208CE" w:rsidRDefault="00F208CE">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FD6E" w14:textId="77777777" w:rsidR="00F208CE" w:rsidRDefault="00F208CE">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801B" w14:textId="77777777" w:rsidR="00F208CE" w:rsidRDefault="00F208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3FA7" w14:textId="77777777" w:rsidR="00F208CE" w:rsidRDefault="00F208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8B6A" w14:textId="77777777" w:rsidR="00F208CE" w:rsidRDefault="00F208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0FCB" w14:textId="77777777" w:rsidR="00F208CE" w:rsidRDefault="00F208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2069" w14:textId="77777777" w:rsidR="00F208CE" w:rsidRDefault="00F208C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8E4D" w14:textId="77777777" w:rsidR="00F208CE" w:rsidRDefault="00F208C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CD81" w14:textId="77777777" w:rsidR="00F208CE" w:rsidRDefault="00F208C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A260" w14:textId="77777777" w:rsidR="00F208CE" w:rsidRDefault="00F208C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518B" w14:textId="77777777" w:rsidR="00F208CE" w:rsidRDefault="00F2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D36E" w14:textId="77777777" w:rsidR="00513E84" w:rsidRPr="00513E84" w:rsidRDefault="00513E84" w:rsidP="00513E84">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B717" w14:textId="77777777" w:rsidR="00F208CE" w:rsidRDefault="00F208C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78A3" w14:textId="77777777" w:rsidR="00F208CE" w:rsidRDefault="00F208C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E8AF" w14:textId="77777777" w:rsidR="00F208CE" w:rsidRDefault="00F208C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85C9" w14:textId="77777777" w:rsidR="00F208CE" w:rsidRDefault="00F208C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A767" w14:textId="77777777" w:rsidR="00F208CE" w:rsidRDefault="00F208C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B4B2" w14:textId="77777777" w:rsidR="00F208CE" w:rsidRDefault="00F208C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E625" w14:textId="77777777" w:rsidR="00F208CE" w:rsidRDefault="00F208C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7FB8" w14:textId="77777777" w:rsidR="00F208CE" w:rsidRDefault="00F208C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E3AF" w14:textId="77777777" w:rsidR="00F208CE" w:rsidRDefault="00F208C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938D" w14:textId="77777777" w:rsidR="00F208CE" w:rsidRDefault="00F20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3A80" w14:textId="77777777" w:rsidR="00513E84" w:rsidRPr="00513E84" w:rsidRDefault="00513E84" w:rsidP="00513E84">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247D" w14:textId="77777777" w:rsidR="00F208CE" w:rsidRDefault="00F208C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7BB3" w14:textId="77777777" w:rsidR="00F208CE" w:rsidRDefault="00F208C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12E0" w14:textId="77777777" w:rsidR="00F208CE" w:rsidRDefault="00F208C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1362" w14:textId="77777777" w:rsidR="00F208CE" w:rsidRDefault="00F208C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EB08" w14:textId="77777777" w:rsidR="00F208CE" w:rsidRDefault="00F208C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8B17" w14:textId="77777777" w:rsidR="00F208CE" w:rsidRDefault="00F208C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9A66" w14:textId="77777777" w:rsidR="00F208CE" w:rsidRDefault="00F208C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52A4" w14:textId="77777777" w:rsidR="00F208CE" w:rsidRDefault="00F208C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97148" w14:textId="77777777" w:rsidR="00F208CE" w:rsidRDefault="00F208C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09F4" w14:textId="77777777" w:rsidR="00F208CE" w:rsidRDefault="00F208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7D8D" w14:textId="77777777" w:rsidR="00F208CE" w:rsidRDefault="00F208C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245E" w14:textId="77777777" w:rsidR="00F208CE" w:rsidRDefault="00F208C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7F34" w14:textId="77777777" w:rsidR="00F208CE" w:rsidRDefault="00F208C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574F" w14:textId="77777777" w:rsidR="00F208CE" w:rsidRDefault="00F208C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B57F" w14:textId="77777777" w:rsidR="00F208CE" w:rsidRDefault="00F208C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DC69" w14:textId="77777777" w:rsidR="00F208CE" w:rsidRDefault="00F208C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89BE" w14:textId="77777777" w:rsidR="00F208CE" w:rsidRDefault="00F208C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C9B7" w14:textId="77777777" w:rsidR="00F208CE" w:rsidRDefault="00F208C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756A" w14:textId="77777777" w:rsidR="00F208CE" w:rsidRDefault="00F208C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A3A1" w14:textId="77777777" w:rsidR="00F208CE" w:rsidRDefault="00F208C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B795" w14:textId="77777777" w:rsidR="00F208CE" w:rsidRDefault="00F208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24D4" w14:textId="77777777" w:rsidR="00F208CE" w:rsidRDefault="00F208C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EADD" w14:textId="77777777" w:rsidR="00F208CE" w:rsidRDefault="00F208C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A959" w14:textId="77777777" w:rsidR="00F208CE" w:rsidRDefault="00F208C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7AA3" w14:textId="77777777" w:rsidR="00F208CE" w:rsidRDefault="00F208C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C5E2" w14:textId="77777777" w:rsidR="00F208CE" w:rsidRDefault="00F208C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2B" w14:textId="77777777" w:rsidR="00F208CE" w:rsidRDefault="00F208C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3B01" w14:textId="77777777" w:rsidR="00F208CE" w:rsidRDefault="00F208C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14B6" w14:textId="77777777" w:rsidR="00F208CE" w:rsidRDefault="00F208C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C96F" w14:textId="77777777" w:rsidR="00F208CE" w:rsidRDefault="00F208C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1E7C" w14:textId="77777777" w:rsidR="00F208CE" w:rsidRDefault="00F208C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10C2" w14:textId="77777777" w:rsidR="00F208CE" w:rsidRDefault="00F208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E36D" w14:textId="77777777" w:rsidR="00F208CE" w:rsidRDefault="00F208C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D331" w14:textId="77777777" w:rsidR="00F208CE" w:rsidRDefault="00F208C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1317" w14:textId="77777777" w:rsidR="00F208CE" w:rsidRDefault="00F208C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B29D" w14:textId="77777777" w:rsidR="00F208CE" w:rsidRDefault="00F208C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4964" w14:textId="77777777" w:rsidR="00F208CE" w:rsidRDefault="00F208C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BD1B" w14:textId="77777777" w:rsidR="00F208CE" w:rsidRDefault="00F208C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74DF" w14:textId="77777777" w:rsidR="00F208CE" w:rsidRDefault="00F208C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8B94" w14:textId="77777777" w:rsidR="00F208CE" w:rsidRDefault="00F208C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A329" w14:textId="77777777" w:rsidR="00F208CE" w:rsidRDefault="00F208C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7805" w14:textId="77777777" w:rsidR="00F208CE" w:rsidRDefault="00F208C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84B7" w14:textId="77777777" w:rsidR="00F208CE" w:rsidRDefault="00F208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F168" w14:textId="77777777" w:rsidR="00F208CE" w:rsidRDefault="00F208C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26B8" w14:textId="77777777" w:rsidR="00F208CE" w:rsidRDefault="00F208C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0185" w14:textId="77777777" w:rsidR="00F208CE" w:rsidRDefault="00F208C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19DF" w14:textId="77777777" w:rsidR="00F208CE" w:rsidRDefault="00F208CE">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E33" w14:textId="77777777" w:rsidR="00F208CE" w:rsidRDefault="00F208C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C420" w14:textId="77777777" w:rsidR="00F208CE" w:rsidRDefault="00F208CE">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9C25" w14:textId="77777777" w:rsidR="00F208CE" w:rsidRDefault="00F208CE">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28B7" w14:textId="77777777" w:rsidR="00F208CE" w:rsidRDefault="00F208C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5752" w14:textId="77777777" w:rsidR="00F208CE" w:rsidRDefault="00F208C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D5E4" w14:textId="77777777" w:rsidR="00F208CE" w:rsidRDefault="00F208CE">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F9D" w14:textId="77777777" w:rsidR="00F208CE" w:rsidRDefault="00F208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8855" w14:textId="77777777" w:rsidR="00F208CE" w:rsidRDefault="00F208CE">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0302" w14:textId="77777777" w:rsidR="00F208CE" w:rsidRDefault="00F208C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438C" w14:textId="77777777" w:rsidR="00F208CE" w:rsidRDefault="00F208CE">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351B" w14:textId="77777777" w:rsidR="00F208CE" w:rsidRDefault="00F208C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386C" w14:textId="77777777" w:rsidR="00F208CE" w:rsidRDefault="00F208C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AE84" w14:textId="77777777" w:rsidR="00F208CE" w:rsidRDefault="00F208CE">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7062" w14:textId="77777777" w:rsidR="00F208CE" w:rsidRDefault="00F208C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8164" w14:textId="77777777" w:rsidR="00F208CE" w:rsidRDefault="00F208C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163F" w14:textId="77777777" w:rsidR="00F208CE" w:rsidRDefault="00F208CE">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03EF" w14:textId="77777777" w:rsidR="00F208CE" w:rsidRDefault="00F208CE">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95C5" w14:textId="77777777" w:rsidR="00F208CE" w:rsidRDefault="00F208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08D6" w14:textId="77777777" w:rsidR="00F208CE" w:rsidRDefault="00F208CE">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7348" w14:textId="77777777" w:rsidR="00F208CE" w:rsidRDefault="00F208CE">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1828" w14:textId="77777777" w:rsidR="00F208CE" w:rsidRDefault="00F208CE">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F086" w14:textId="77777777" w:rsidR="00F208CE" w:rsidRDefault="00F208CE">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4AF17" w14:textId="77777777" w:rsidR="00F208CE" w:rsidRDefault="00F208CE">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B2DD" w14:textId="77777777" w:rsidR="00F208CE" w:rsidRDefault="00F208CE">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D43A" w14:textId="77777777" w:rsidR="00F208CE" w:rsidRDefault="00F208CE">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641D" w14:textId="77777777" w:rsidR="00F208CE" w:rsidRDefault="00F208CE">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B264" w14:textId="77777777" w:rsidR="00F208CE" w:rsidRDefault="00F208CE">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4DF7" w14:textId="77777777" w:rsidR="00F208CE" w:rsidRDefault="00F208CE">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7C62" w14:textId="77777777" w:rsidR="00F208CE" w:rsidRDefault="00F2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D6568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B76F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F6A5B4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0268B5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CB5F8F"/>
    <w:multiLevelType w:val="hybridMultilevel"/>
    <w:tmpl w:val="79D685A2"/>
    <w:lvl w:ilvl="0" w:tplc="F0F2FA58">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45B5649"/>
    <w:multiLevelType w:val="hybridMultilevel"/>
    <w:tmpl w:val="08840EB2"/>
    <w:lvl w:ilvl="0" w:tplc="DA882816">
      <w:start w:val="8"/>
      <w:numFmt w:val="bullet"/>
      <w:lvlText w:val="-"/>
      <w:lvlJc w:val="left"/>
      <w:pPr>
        <w:ind w:left="360" w:hanging="360"/>
      </w:pPr>
      <w:rPr>
        <w:rFonts w:ascii="Times New Roman" w:eastAsiaTheme="minorHAnsi" w:hAnsi="Times New Roman" w:cs="Times New Roman"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6115E9"/>
    <w:multiLevelType w:val="hybridMultilevel"/>
    <w:tmpl w:val="0AEEC2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06C60A37"/>
    <w:multiLevelType w:val="hybridMultilevel"/>
    <w:tmpl w:val="4716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5467A"/>
    <w:multiLevelType w:val="hybridMultilevel"/>
    <w:tmpl w:val="FEFCC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3A144A"/>
    <w:multiLevelType w:val="hybridMultilevel"/>
    <w:tmpl w:val="3F726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E5D0DF6"/>
    <w:multiLevelType w:val="hybridMultilevel"/>
    <w:tmpl w:val="A55A1E30"/>
    <w:name w:val="Considérant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E44180"/>
    <w:multiLevelType w:val="multilevel"/>
    <w:tmpl w:val="72C4330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3F5575"/>
    <w:multiLevelType w:val="hybridMultilevel"/>
    <w:tmpl w:val="4F3C0CCC"/>
    <w:lvl w:ilvl="0" w:tplc="ED5C6F18">
      <w:start w:val="1"/>
      <w:numFmt w:val="decimal"/>
      <w:pStyle w:val="Titresection"/>
      <w:lvlText w:val="%1."/>
      <w:lvlJc w:val="left"/>
      <w:pPr>
        <w:ind w:left="720" w:hanging="360"/>
      </w:pPr>
      <w:rPr>
        <w:rFonts w:hint="default"/>
      </w:rPr>
    </w:lvl>
    <w:lvl w:ilvl="1" w:tplc="61D6B87C">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43D67C3"/>
    <w:multiLevelType w:val="hybridMultilevel"/>
    <w:tmpl w:val="E17CF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353A97"/>
    <w:multiLevelType w:val="hybridMultilevel"/>
    <w:tmpl w:val="E46C8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9321018"/>
    <w:multiLevelType w:val="hybridMultilevel"/>
    <w:tmpl w:val="4446B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A4013CF"/>
    <w:multiLevelType w:val="hybridMultilevel"/>
    <w:tmpl w:val="4C20B872"/>
    <w:lvl w:ilvl="0" w:tplc="DA882816">
      <w:start w:val="8"/>
      <w:numFmt w:val="bullet"/>
      <w:lvlText w:val="-"/>
      <w:lvlJc w:val="left"/>
      <w:pPr>
        <w:ind w:left="1210" w:hanging="360"/>
      </w:pPr>
      <w:rPr>
        <w:rFonts w:ascii="Times New Roman" w:eastAsiaTheme="minorHAnsi" w:hAnsi="Times New Roman" w:cs="Times New Roman"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B08044A"/>
    <w:multiLevelType w:val="hybridMultilevel"/>
    <w:tmpl w:val="612642C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CAA4342"/>
    <w:multiLevelType w:val="hybridMultilevel"/>
    <w:tmpl w:val="D7243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6" w15:restartNumberingAfterBreak="0">
    <w:nsid w:val="2FB02DCC"/>
    <w:multiLevelType w:val="hybridMultilevel"/>
    <w:tmpl w:val="736EABCC"/>
    <w:lvl w:ilvl="0" w:tplc="18090001">
      <w:start w:val="1"/>
      <w:numFmt w:val="bullet"/>
      <w:lvlText w:val=""/>
      <w:lvlJc w:val="left"/>
      <w:pPr>
        <w:ind w:left="1210" w:hanging="360"/>
      </w:pPr>
      <w:rPr>
        <w:rFonts w:ascii="Symbol" w:hAnsi="Symbol"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0031E7D"/>
    <w:multiLevelType w:val="hybridMultilevel"/>
    <w:tmpl w:val="B40CB8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3772CE6"/>
    <w:multiLevelType w:val="hybridMultilevel"/>
    <w:tmpl w:val="E406802C"/>
    <w:lvl w:ilvl="0" w:tplc="FFFFFFFF">
      <w:start w:val="1"/>
      <w:numFmt w:val="lowerLetter"/>
      <w:pStyle w:val="Titresous-section"/>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3A61FA6"/>
    <w:multiLevelType w:val="hybridMultilevel"/>
    <w:tmpl w:val="C832ACE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15:restartNumberingAfterBreak="0">
    <w:nsid w:val="3BC94B12"/>
    <w:multiLevelType w:val="hybridMultilevel"/>
    <w:tmpl w:val="7BFC1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C850ACC"/>
    <w:multiLevelType w:val="hybridMultilevel"/>
    <w:tmpl w:val="A4F02504"/>
    <w:lvl w:ilvl="0" w:tplc="080C0001">
      <w:start w:val="1"/>
      <w:numFmt w:val="bullet"/>
      <w:lvlText w:val=""/>
      <w:lvlJc w:val="left"/>
      <w:pPr>
        <w:ind w:left="3010" w:hanging="360"/>
      </w:pPr>
      <w:rPr>
        <w:rFonts w:ascii="Symbol" w:hAnsi="Symbol" w:hint="default"/>
      </w:rPr>
    </w:lvl>
    <w:lvl w:ilvl="1" w:tplc="080C0003" w:tentative="1">
      <w:start w:val="1"/>
      <w:numFmt w:val="bullet"/>
      <w:lvlText w:val="o"/>
      <w:lvlJc w:val="left"/>
      <w:pPr>
        <w:ind w:left="3730" w:hanging="360"/>
      </w:pPr>
      <w:rPr>
        <w:rFonts w:ascii="Courier New" w:hAnsi="Courier New" w:cs="Courier New" w:hint="default"/>
      </w:rPr>
    </w:lvl>
    <w:lvl w:ilvl="2" w:tplc="080C0005" w:tentative="1">
      <w:start w:val="1"/>
      <w:numFmt w:val="bullet"/>
      <w:lvlText w:val=""/>
      <w:lvlJc w:val="left"/>
      <w:pPr>
        <w:ind w:left="4450" w:hanging="360"/>
      </w:pPr>
      <w:rPr>
        <w:rFonts w:ascii="Wingdings" w:hAnsi="Wingdings" w:hint="default"/>
      </w:rPr>
    </w:lvl>
    <w:lvl w:ilvl="3" w:tplc="080C0001" w:tentative="1">
      <w:start w:val="1"/>
      <w:numFmt w:val="bullet"/>
      <w:lvlText w:val=""/>
      <w:lvlJc w:val="left"/>
      <w:pPr>
        <w:ind w:left="5170" w:hanging="360"/>
      </w:pPr>
      <w:rPr>
        <w:rFonts w:ascii="Symbol" w:hAnsi="Symbol" w:hint="default"/>
      </w:rPr>
    </w:lvl>
    <w:lvl w:ilvl="4" w:tplc="080C0003" w:tentative="1">
      <w:start w:val="1"/>
      <w:numFmt w:val="bullet"/>
      <w:lvlText w:val="o"/>
      <w:lvlJc w:val="left"/>
      <w:pPr>
        <w:ind w:left="5890" w:hanging="360"/>
      </w:pPr>
      <w:rPr>
        <w:rFonts w:ascii="Courier New" w:hAnsi="Courier New" w:cs="Courier New" w:hint="default"/>
      </w:rPr>
    </w:lvl>
    <w:lvl w:ilvl="5" w:tplc="080C0005" w:tentative="1">
      <w:start w:val="1"/>
      <w:numFmt w:val="bullet"/>
      <w:lvlText w:val=""/>
      <w:lvlJc w:val="left"/>
      <w:pPr>
        <w:ind w:left="6610" w:hanging="360"/>
      </w:pPr>
      <w:rPr>
        <w:rFonts w:ascii="Wingdings" w:hAnsi="Wingdings" w:hint="default"/>
      </w:rPr>
    </w:lvl>
    <w:lvl w:ilvl="6" w:tplc="080C0001" w:tentative="1">
      <w:start w:val="1"/>
      <w:numFmt w:val="bullet"/>
      <w:lvlText w:val=""/>
      <w:lvlJc w:val="left"/>
      <w:pPr>
        <w:ind w:left="7330" w:hanging="360"/>
      </w:pPr>
      <w:rPr>
        <w:rFonts w:ascii="Symbol" w:hAnsi="Symbol" w:hint="default"/>
      </w:rPr>
    </w:lvl>
    <w:lvl w:ilvl="7" w:tplc="080C0003" w:tentative="1">
      <w:start w:val="1"/>
      <w:numFmt w:val="bullet"/>
      <w:lvlText w:val="o"/>
      <w:lvlJc w:val="left"/>
      <w:pPr>
        <w:ind w:left="8050" w:hanging="360"/>
      </w:pPr>
      <w:rPr>
        <w:rFonts w:ascii="Courier New" w:hAnsi="Courier New" w:cs="Courier New" w:hint="default"/>
      </w:rPr>
    </w:lvl>
    <w:lvl w:ilvl="8" w:tplc="080C0005" w:tentative="1">
      <w:start w:val="1"/>
      <w:numFmt w:val="bullet"/>
      <w:lvlText w:val=""/>
      <w:lvlJc w:val="left"/>
      <w:pPr>
        <w:ind w:left="8770" w:hanging="360"/>
      </w:pPr>
      <w:rPr>
        <w:rFonts w:ascii="Wingdings" w:hAnsi="Wingdings" w:hint="default"/>
      </w:rPr>
    </w:lvl>
  </w:abstractNum>
  <w:abstractNum w:abstractNumId="32" w15:restartNumberingAfterBreak="0">
    <w:nsid w:val="3D215F95"/>
    <w:multiLevelType w:val="hybridMultilevel"/>
    <w:tmpl w:val="340E816C"/>
    <w:lvl w:ilvl="0" w:tplc="DA882816">
      <w:start w:val="8"/>
      <w:numFmt w:val="bullet"/>
      <w:lvlText w:val="-"/>
      <w:lvlJc w:val="left"/>
      <w:pPr>
        <w:ind w:left="1210" w:hanging="360"/>
      </w:pPr>
      <w:rPr>
        <w:rFonts w:ascii="Times New Roman" w:eastAsiaTheme="minorHAnsi" w:hAnsi="Times New Roman" w:cs="Times New Roman" w:hint="default"/>
        <w:u w:val="none"/>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3" w15:restartNumberingAfterBreak="0">
    <w:nsid w:val="3EDA7CD4"/>
    <w:multiLevelType w:val="hybridMultilevel"/>
    <w:tmpl w:val="46882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1883A10"/>
    <w:multiLevelType w:val="hybridMultilevel"/>
    <w:tmpl w:val="56DE0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1F17C43"/>
    <w:multiLevelType w:val="hybridMultilevel"/>
    <w:tmpl w:val="C4B4E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4B901FE8"/>
    <w:multiLevelType w:val="hybridMultilevel"/>
    <w:tmpl w:val="8E5E4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EB94DB1"/>
    <w:multiLevelType w:val="hybridMultilevel"/>
    <w:tmpl w:val="79E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98418F"/>
    <w:multiLevelType w:val="hybridMultilevel"/>
    <w:tmpl w:val="7E88BA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1CA7A80"/>
    <w:multiLevelType w:val="hybridMultilevel"/>
    <w:tmpl w:val="95BCF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2641C0D"/>
    <w:multiLevelType w:val="hybridMultilevel"/>
    <w:tmpl w:val="9D4CED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55171206"/>
    <w:multiLevelType w:val="hybridMultilevel"/>
    <w:tmpl w:val="606C7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15:restartNumberingAfterBreak="0">
    <w:nsid w:val="5A51A5EA"/>
    <w:multiLevelType w:val="hybridMultilevel"/>
    <w:tmpl w:val="FFFFFFFF"/>
    <w:lvl w:ilvl="0" w:tplc="E4C600CA">
      <w:start w:val="1"/>
      <w:numFmt w:val="bullet"/>
      <w:lvlText w:val=""/>
      <w:lvlJc w:val="left"/>
      <w:pPr>
        <w:ind w:left="720" w:hanging="360"/>
      </w:pPr>
      <w:rPr>
        <w:rFonts w:ascii="Symbol" w:hAnsi="Symbol" w:hint="default"/>
      </w:rPr>
    </w:lvl>
    <w:lvl w:ilvl="1" w:tplc="8EA829AA">
      <w:start w:val="1"/>
      <w:numFmt w:val="bullet"/>
      <w:lvlText w:val="o"/>
      <w:lvlJc w:val="left"/>
      <w:pPr>
        <w:ind w:left="1440" w:hanging="360"/>
      </w:pPr>
      <w:rPr>
        <w:rFonts w:ascii="Courier New" w:hAnsi="Courier New" w:hint="default"/>
      </w:rPr>
    </w:lvl>
    <w:lvl w:ilvl="2" w:tplc="DC16F8DA">
      <w:start w:val="1"/>
      <w:numFmt w:val="bullet"/>
      <w:lvlText w:val=""/>
      <w:lvlJc w:val="left"/>
      <w:pPr>
        <w:ind w:left="2160" w:hanging="360"/>
      </w:pPr>
      <w:rPr>
        <w:rFonts w:ascii="Wingdings" w:hAnsi="Wingdings" w:hint="default"/>
      </w:rPr>
    </w:lvl>
    <w:lvl w:ilvl="3" w:tplc="60400EB4">
      <w:start w:val="1"/>
      <w:numFmt w:val="bullet"/>
      <w:lvlText w:val=""/>
      <w:lvlJc w:val="left"/>
      <w:pPr>
        <w:ind w:left="2880" w:hanging="360"/>
      </w:pPr>
      <w:rPr>
        <w:rFonts w:ascii="Symbol" w:hAnsi="Symbol" w:hint="default"/>
      </w:rPr>
    </w:lvl>
    <w:lvl w:ilvl="4" w:tplc="7F8ED4C6">
      <w:start w:val="1"/>
      <w:numFmt w:val="bullet"/>
      <w:lvlText w:val="o"/>
      <w:lvlJc w:val="left"/>
      <w:pPr>
        <w:ind w:left="3600" w:hanging="360"/>
      </w:pPr>
      <w:rPr>
        <w:rFonts w:ascii="Courier New" w:hAnsi="Courier New" w:hint="default"/>
      </w:rPr>
    </w:lvl>
    <w:lvl w:ilvl="5" w:tplc="56B83648">
      <w:start w:val="1"/>
      <w:numFmt w:val="bullet"/>
      <w:lvlText w:val=""/>
      <w:lvlJc w:val="left"/>
      <w:pPr>
        <w:ind w:left="4320" w:hanging="360"/>
      </w:pPr>
      <w:rPr>
        <w:rFonts w:ascii="Wingdings" w:hAnsi="Wingdings" w:hint="default"/>
      </w:rPr>
    </w:lvl>
    <w:lvl w:ilvl="6" w:tplc="F7BECD68">
      <w:start w:val="1"/>
      <w:numFmt w:val="bullet"/>
      <w:lvlText w:val=""/>
      <w:lvlJc w:val="left"/>
      <w:pPr>
        <w:ind w:left="5040" w:hanging="360"/>
      </w:pPr>
      <w:rPr>
        <w:rFonts w:ascii="Symbol" w:hAnsi="Symbol" w:hint="default"/>
      </w:rPr>
    </w:lvl>
    <w:lvl w:ilvl="7" w:tplc="8E12DFEE">
      <w:start w:val="1"/>
      <w:numFmt w:val="bullet"/>
      <w:lvlText w:val="o"/>
      <w:lvlJc w:val="left"/>
      <w:pPr>
        <w:ind w:left="5760" w:hanging="360"/>
      </w:pPr>
      <w:rPr>
        <w:rFonts w:ascii="Courier New" w:hAnsi="Courier New" w:hint="default"/>
      </w:rPr>
    </w:lvl>
    <w:lvl w:ilvl="8" w:tplc="34200108">
      <w:start w:val="1"/>
      <w:numFmt w:val="bullet"/>
      <w:lvlText w:val=""/>
      <w:lvlJc w:val="left"/>
      <w:pPr>
        <w:ind w:left="6480" w:hanging="360"/>
      </w:pPr>
      <w:rPr>
        <w:rFonts w:ascii="Wingdings" w:hAnsi="Wingdings" w:hint="default"/>
      </w:rPr>
    </w:lvl>
  </w:abstractNum>
  <w:abstractNum w:abstractNumId="4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487442"/>
    <w:multiLevelType w:val="hybridMultilevel"/>
    <w:tmpl w:val="A0929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3" w15:restartNumberingAfterBreak="0">
    <w:nsid w:val="6882BBEE"/>
    <w:multiLevelType w:val="hybridMultilevel"/>
    <w:tmpl w:val="FFFFFFFF"/>
    <w:lvl w:ilvl="0" w:tplc="BB924FB4">
      <w:start w:val="1"/>
      <w:numFmt w:val="bullet"/>
      <w:lvlText w:val=""/>
      <w:lvlJc w:val="left"/>
      <w:pPr>
        <w:ind w:left="720" w:hanging="360"/>
      </w:pPr>
      <w:rPr>
        <w:rFonts w:ascii="Symbol" w:hAnsi="Symbol" w:hint="default"/>
      </w:rPr>
    </w:lvl>
    <w:lvl w:ilvl="1" w:tplc="057E20C4">
      <w:start w:val="1"/>
      <w:numFmt w:val="bullet"/>
      <w:lvlText w:val="o"/>
      <w:lvlJc w:val="left"/>
      <w:pPr>
        <w:ind w:left="1440" w:hanging="360"/>
      </w:pPr>
      <w:rPr>
        <w:rFonts w:ascii="Courier New" w:hAnsi="Courier New" w:hint="default"/>
      </w:rPr>
    </w:lvl>
    <w:lvl w:ilvl="2" w:tplc="7A14CDF6">
      <w:start w:val="1"/>
      <w:numFmt w:val="bullet"/>
      <w:lvlText w:val=""/>
      <w:lvlJc w:val="left"/>
      <w:pPr>
        <w:ind w:left="2160" w:hanging="360"/>
      </w:pPr>
      <w:rPr>
        <w:rFonts w:ascii="Wingdings" w:hAnsi="Wingdings" w:hint="default"/>
      </w:rPr>
    </w:lvl>
    <w:lvl w:ilvl="3" w:tplc="D3A603D4">
      <w:start w:val="1"/>
      <w:numFmt w:val="bullet"/>
      <w:lvlText w:val=""/>
      <w:lvlJc w:val="left"/>
      <w:pPr>
        <w:ind w:left="2880" w:hanging="360"/>
      </w:pPr>
      <w:rPr>
        <w:rFonts w:ascii="Symbol" w:hAnsi="Symbol" w:hint="default"/>
      </w:rPr>
    </w:lvl>
    <w:lvl w:ilvl="4" w:tplc="1A942678">
      <w:start w:val="1"/>
      <w:numFmt w:val="bullet"/>
      <w:lvlText w:val="o"/>
      <w:lvlJc w:val="left"/>
      <w:pPr>
        <w:ind w:left="3600" w:hanging="360"/>
      </w:pPr>
      <w:rPr>
        <w:rFonts w:ascii="Courier New" w:hAnsi="Courier New" w:hint="default"/>
      </w:rPr>
    </w:lvl>
    <w:lvl w:ilvl="5" w:tplc="466861A4">
      <w:start w:val="1"/>
      <w:numFmt w:val="bullet"/>
      <w:lvlText w:val=""/>
      <w:lvlJc w:val="left"/>
      <w:pPr>
        <w:ind w:left="4320" w:hanging="360"/>
      </w:pPr>
      <w:rPr>
        <w:rFonts w:ascii="Wingdings" w:hAnsi="Wingdings" w:hint="default"/>
      </w:rPr>
    </w:lvl>
    <w:lvl w:ilvl="6" w:tplc="5D06036A">
      <w:start w:val="1"/>
      <w:numFmt w:val="bullet"/>
      <w:lvlText w:val=""/>
      <w:lvlJc w:val="left"/>
      <w:pPr>
        <w:ind w:left="5040" w:hanging="360"/>
      </w:pPr>
      <w:rPr>
        <w:rFonts w:ascii="Symbol" w:hAnsi="Symbol" w:hint="default"/>
      </w:rPr>
    </w:lvl>
    <w:lvl w:ilvl="7" w:tplc="765AFDBA">
      <w:start w:val="1"/>
      <w:numFmt w:val="bullet"/>
      <w:lvlText w:val="o"/>
      <w:lvlJc w:val="left"/>
      <w:pPr>
        <w:ind w:left="5760" w:hanging="360"/>
      </w:pPr>
      <w:rPr>
        <w:rFonts w:ascii="Courier New" w:hAnsi="Courier New" w:hint="default"/>
      </w:rPr>
    </w:lvl>
    <w:lvl w:ilvl="8" w:tplc="5BAC4E58">
      <w:start w:val="1"/>
      <w:numFmt w:val="bullet"/>
      <w:lvlText w:val=""/>
      <w:lvlJc w:val="left"/>
      <w:pPr>
        <w:ind w:left="6480" w:hanging="360"/>
      </w:pPr>
      <w:rPr>
        <w:rFonts w:ascii="Wingdings" w:hAnsi="Wingdings" w:hint="default"/>
      </w:rPr>
    </w:lvl>
  </w:abstractNum>
  <w:abstractNum w:abstractNumId="54" w15:restartNumberingAfterBreak="0">
    <w:nsid w:val="6A064933"/>
    <w:multiLevelType w:val="hybridMultilevel"/>
    <w:tmpl w:val="BCD4B7FA"/>
    <w:lvl w:ilvl="0" w:tplc="F33844AA">
      <w:start w:val="1"/>
      <w:numFmt w:val="upperRoman"/>
      <w:pStyle w:val="Gdtitrechapitre"/>
      <w:lvlText w:val="Partie %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6A4B114A"/>
    <w:multiLevelType w:val="hybridMultilevel"/>
    <w:tmpl w:val="FE8271D0"/>
    <w:name w:val="NumPar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6" w15:restartNumberingAfterBreak="0">
    <w:nsid w:val="6BA03074"/>
    <w:multiLevelType w:val="hybridMultilevel"/>
    <w:tmpl w:val="09E4D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CB93D00"/>
    <w:multiLevelType w:val="hybridMultilevel"/>
    <w:tmpl w:val="C204A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DF4DC24"/>
    <w:multiLevelType w:val="hybridMultilevel"/>
    <w:tmpl w:val="029680C8"/>
    <w:lvl w:ilvl="0" w:tplc="F0F2FA58">
      <w:start w:val="1"/>
      <w:numFmt w:val="bullet"/>
      <w:lvlText w:val="-"/>
      <w:lvlJc w:val="left"/>
      <w:pPr>
        <w:ind w:left="720" w:hanging="360"/>
      </w:pPr>
      <w:rPr>
        <w:rFonts w:ascii="Calibri" w:hAnsi="Calibri" w:hint="default"/>
      </w:rPr>
    </w:lvl>
    <w:lvl w:ilvl="1" w:tplc="B24A6E3E">
      <w:start w:val="1"/>
      <w:numFmt w:val="bullet"/>
      <w:lvlText w:val="o"/>
      <w:lvlJc w:val="left"/>
      <w:pPr>
        <w:ind w:left="1440" w:hanging="360"/>
      </w:pPr>
      <w:rPr>
        <w:rFonts w:ascii="Courier New" w:hAnsi="Courier New" w:hint="default"/>
      </w:rPr>
    </w:lvl>
    <w:lvl w:ilvl="2" w:tplc="C03C7196">
      <w:start w:val="1"/>
      <w:numFmt w:val="bullet"/>
      <w:lvlText w:val=""/>
      <w:lvlJc w:val="left"/>
      <w:pPr>
        <w:ind w:left="2160" w:hanging="360"/>
      </w:pPr>
      <w:rPr>
        <w:rFonts w:ascii="Wingdings" w:hAnsi="Wingdings" w:hint="default"/>
      </w:rPr>
    </w:lvl>
    <w:lvl w:ilvl="3" w:tplc="10A4CDFE">
      <w:start w:val="1"/>
      <w:numFmt w:val="bullet"/>
      <w:lvlText w:val=""/>
      <w:lvlJc w:val="left"/>
      <w:pPr>
        <w:ind w:left="2880" w:hanging="360"/>
      </w:pPr>
      <w:rPr>
        <w:rFonts w:ascii="Symbol" w:hAnsi="Symbol" w:hint="default"/>
      </w:rPr>
    </w:lvl>
    <w:lvl w:ilvl="4" w:tplc="30FA3360">
      <w:start w:val="1"/>
      <w:numFmt w:val="bullet"/>
      <w:lvlText w:val="o"/>
      <w:lvlJc w:val="left"/>
      <w:pPr>
        <w:ind w:left="3600" w:hanging="360"/>
      </w:pPr>
      <w:rPr>
        <w:rFonts w:ascii="Courier New" w:hAnsi="Courier New" w:hint="default"/>
      </w:rPr>
    </w:lvl>
    <w:lvl w:ilvl="5" w:tplc="490228C2">
      <w:start w:val="1"/>
      <w:numFmt w:val="bullet"/>
      <w:lvlText w:val=""/>
      <w:lvlJc w:val="left"/>
      <w:pPr>
        <w:ind w:left="4320" w:hanging="360"/>
      </w:pPr>
      <w:rPr>
        <w:rFonts w:ascii="Wingdings" w:hAnsi="Wingdings" w:hint="default"/>
      </w:rPr>
    </w:lvl>
    <w:lvl w:ilvl="6" w:tplc="0F7661CA">
      <w:start w:val="1"/>
      <w:numFmt w:val="bullet"/>
      <w:lvlText w:val=""/>
      <w:lvlJc w:val="left"/>
      <w:pPr>
        <w:ind w:left="5040" w:hanging="360"/>
      </w:pPr>
      <w:rPr>
        <w:rFonts w:ascii="Symbol" w:hAnsi="Symbol" w:hint="default"/>
      </w:rPr>
    </w:lvl>
    <w:lvl w:ilvl="7" w:tplc="DD5A453E">
      <w:start w:val="1"/>
      <w:numFmt w:val="bullet"/>
      <w:lvlText w:val="o"/>
      <w:lvlJc w:val="left"/>
      <w:pPr>
        <w:ind w:left="5760" w:hanging="360"/>
      </w:pPr>
      <w:rPr>
        <w:rFonts w:ascii="Courier New" w:hAnsi="Courier New" w:hint="default"/>
      </w:rPr>
    </w:lvl>
    <w:lvl w:ilvl="8" w:tplc="AD868F74">
      <w:start w:val="1"/>
      <w:numFmt w:val="bullet"/>
      <w:lvlText w:val=""/>
      <w:lvlJc w:val="left"/>
      <w:pPr>
        <w:ind w:left="6480" w:hanging="360"/>
      </w:pPr>
      <w:rPr>
        <w:rFonts w:ascii="Wingdings" w:hAnsi="Wingdings" w:hint="default"/>
      </w:rPr>
    </w:lvl>
  </w:abstractNum>
  <w:abstractNum w:abstractNumId="59" w15:restartNumberingAfterBreak="0">
    <w:nsid w:val="79451862"/>
    <w:multiLevelType w:val="hybridMultilevel"/>
    <w:tmpl w:val="1C646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1" w15:restartNumberingAfterBreak="0">
    <w:nsid w:val="7F651649"/>
    <w:multiLevelType w:val="hybridMultilevel"/>
    <w:tmpl w:val="32C632AE"/>
    <w:lvl w:ilvl="0" w:tplc="F2B800F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9"/>
  </w:num>
  <w:num w:numId="3">
    <w:abstractNumId w:val="36"/>
  </w:num>
  <w:num w:numId="4">
    <w:abstractNumId w:val="52"/>
  </w:num>
  <w:num w:numId="5">
    <w:abstractNumId w:val="25"/>
  </w:num>
  <w:num w:numId="6">
    <w:abstractNumId w:val="37"/>
  </w:num>
  <w:num w:numId="7">
    <w:abstractNumId w:val="16"/>
  </w:num>
  <w:num w:numId="8">
    <w:abstractNumId w:val="14"/>
  </w:num>
  <w:num w:numId="9">
    <w:abstractNumId w:val="38"/>
  </w:num>
  <w:num w:numId="10">
    <w:abstractNumId w:val="47"/>
  </w:num>
  <w:num w:numId="11">
    <w:abstractNumId w:val="48"/>
  </w:num>
  <w:num w:numId="12">
    <w:abstractNumId w:val="24"/>
  </w:num>
  <w:num w:numId="13">
    <w:abstractNumId w:val="45"/>
  </w:num>
  <w:num w:numId="14">
    <w:abstractNumId w:val="60"/>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0"/>
  </w:num>
  <w:num w:numId="24">
    <w:abstractNumId w:val="20"/>
  </w:num>
  <w:num w:numId="25">
    <w:abstractNumId w:val="22"/>
  </w:num>
  <w:num w:numId="26">
    <w:abstractNumId w:val="32"/>
  </w:num>
  <w:num w:numId="27">
    <w:abstractNumId w:val="43"/>
  </w:num>
  <w:num w:numId="28">
    <w:abstractNumId w:val="40"/>
  </w:num>
  <w:num w:numId="29">
    <w:abstractNumId w:val="31"/>
  </w:num>
  <w:num w:numId="30">
    <w:abstractNumId w:val="41"/>
  </w:num>
  <w:num w:numId="31">
    <w:abstractNumId w:val="61"/>
  </w:num>
  <w:num w:numId="32">
    <w:abstractNumId w:val="9"/>
  </w:num>
  <w:num w:numId="33">
    <w:abstractNumId w:val="29"/>
  </w:num>
  <w:num w:numId="34">
    <w:abstractNumId w:val="27"/>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9"/>
  </w:num>
  <w:num w:numId="38">
    <w:abstractNumId w:val="46"/>
  </w:num>
  <w:num w:numId="39">
    <w:abstractNumId w:val="53"/>
  </w:num>
  <w:num w:numId="40">
    <w:abstractNumId w:val="54"/>
  </w:num>
  <w:num w:numId="41">
    <w:abstractNumId w:val="17"/>
  </w:num>
  <w:num w:numId="42">
    <w:abstractNumId w:val="28"/>
  </w:num>
  <w:num w:numId="43">
    <w:abstractNumId w:val="51"/>
  </w:num>
  <w:num w:numId="44">
    <w:abstractNumId w:val="55"/>
  </w:num>
  <w:num w:numId="45">
    <w:abstractNumId w:val="39"/>
  </w:num>
  <w:num w:numId="46">
    <w:abstractNumId w:val="19"/>
  </w:num>
  <w:num w:numId="47">
    <w:abstractNumId w:val="44"/>
  </w:num>
  <w:num w:numId="48">
    <w:abstractNumId w:val="13"/>
  </w:num>
  <w:num w:numId="49">
    <w:abstractNumId w:val="18"/>
  </w:num>
  <w:num w:numId="50">
    <w:abstractNumId w:val="34"/>
  </w:num>
  <w:num w:numId="51">
    <w:abstractNumId w:val="30"/>
  </w:num>
  <w:num w:numId="52">
    <w:abstractNumId w:val="56"/>
  </w:num>
  <w:num w:numId="53">
    <w:abstractNumId w:val="33"/>
  </w:num>
  <w:num w:numId="54">
    <w:abstractNumId w:val="57"/>
  </w:num>
  <w:num w:numId="55">
    <w:abstractNumId w:val="8"/>
  </w:num>
  <w:num w:numId="56">
    <w:abstractNumId w:val="21"/>
  </w:num>
  <w:num w:numId="57">
    <w:abstractNumId w:val="26"/>
  </w:num>
  <w:num w:numId="58">
    <w:abstractNumId w:val="12"/>
  </w:num>
  <w:num w:numId="59">
    <w:abstractNumId w:val="35"/>
  </w:num>
  <w:num w:numId="60">
    <w:abstractNumId w:val="42"/>
  </w:num>
  <w:num w:numId="6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FigNum" w:val="1"/>
    <w:docVar w:name="LW_ACCOMPAGNANT.CP" w:val="de la "/>
    <w:docVar w:name="LW_ANNEX_NBR_FIRST" w:val="1"/>
    <w:docVar w:name="LW_ANNEX_NBR_LAST" w:val="1"/>
    <w:docVar w:name="LW_ANNEX_UNIQUE" w:val="1"/>
    <w:docVar w:name="LW_CORRIGENDUM" w:val="&lt;UNUSED&gt;"/>
    <w:docVar w:name="LW_COVERPAGE_EXISTS" w:val="True"/>
    <w:docVar w:name="LW_COVERPAGE_GUID" w:val="490D8670-D49D-46B8-8F88-AE717ADD9544"/>
    <w:docVar w:name="LW_COVERPAGE_TYPE" w:val="1"/>
    <w:docVar w:name="LW_CROSSREFERENCE" w:val="&lt;UNUSED&gt;"/>
    <w:docVar w:name="LW_DocType" w:val="NORMAL"/>
    <w:docVar w:name="LW_EMISSION" w:val="25.2.2025"/>
    <w:docVar w:name="LW_EMISSION_ISODATE" w:val="2025-02-25"/>
    <w:docVar w:name="LW_EMISSION_LOCATION" w:val="BRX"/>
    <w:docVar w:name="LW_EMISSION_PREFIX" w:val="Bruselas, "/>
    <w:docVar w:name="LW_EMISSION_SUFFIX" w:val=" "/>
    <w:docVar w:name="LW_ID_DOCTYPE_NONLW" w:val="CP-036"/>
    <w:docVar w:name="LW_LANGUE" w:val="ES"/>
    <w:docVar w:name="LW_LEVEL_OF_SENSITIVITY" w:val="Standard treatment"/>
    <w:docVar w:name="LW_NOM.INST" w:val="COMISIÓN EUROPEA"/>
    <w:docVar w:name="LW_NOM.INST_JOINTDOC" w:val="&lt;EMPTY&gt;"/>
    <w:docVar w:name="LW_OBJETACTEPRINCIPAL.CP" w:val="por la que se modifica la Decisión de Ejecución (UE) (ST 10161/21 INIT; ST 10161/21 ADD 1), de 13 de julio de 2021, relativa a la aprobación de la evaluación del plan de recuperación y resiliencia de Bélgica"/>
    <w:docVar w:name="LW_PART_NBR" w:val="1"/>
    <w:docVar w:name="LW_PART_NBR_TOTAL" w:val="1"/>
    <w:docVar w:name="LW_REF.INST.NEW" w:val="COM"/>
    <w:docVar w:name="LW_REF.INST.NEW_ADOPTED" w:val="final"/>
    <w:docVar w:name="LW_REF.INST.NEW_TEXT" w:val="(2025)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Propuesta de DECISIÓN DE EJECUCIÓN DEL CONSEJO"/>
    <w:docVar w:name="LwApiVersions" w:val="LW4CoDe 1.24.5.0; LW 9.0, Build 20240221"/>
  </w:docVars>
  <w:rsids>
    <w:rsidRoot w:val="00526F1A"/>
    <w:rsid w:val="000000A0"/>
    <w:rsid w:val="00000814"/>
    <w:rsid w:val="00000D46"/>
    <w:rsid w:val="000010F9"/>
    <w:rsid w:val="000015F8"/>
    <w:rsid w:val="00001AD9"/>
    <w:rsid w:val="00001BB8"/>
    <w:rsid w:val="00001C38"/>
    <w:rsid w:val="000021A5"/>
    <w:rsid w:val="00002286"/>
    <w:rsid w:val="00002290"/>
    <w:rsid w:val="00002344"/>
    <w:rsid w:val="000023BE"/>
    <w:rsid w:val="000023F7"/>
    <w:rsid w:val="00002558"/>
    <w:rsid w:val="000027C0"/>
    <w:rsid w:val="000029C0"/>
    <w:rsid w:val="00002AC7"/>
    <w:rsid w:val="00002BE4"/>
    <w:rsid w:val="00002C26"/>
    <w:rsid w:val="00002F26"/>
    <w:rsid w:val="00002F3E"/>
    <w:rsid w:val="000030B9"/>
    <w:rsid w:val="00003115"/>
    <w:rsid w:val="00003213"/>
    <w:rsid w:val="000033A0"/>
    <w:rsid w:val="000035F8"/>
    <w:rsid w:val="00003A83"/>
    <w:rsid w:val="00003C78"/>
    <w:rsid w:val="00003D0B"/>
    <w:rsid w:val="00003F74"/>
    <w:rsid w:val="0000404D"/>
    <w:rsid w:val="000040E6"/>
    <w:rsid w:val="0000415C"/>
    <w:rsid w:val="0000415D"/>
    <w:rsid w:val="0000431F"/>
    <w:rsid w:val="00004332"/>
    <w:rsid w:val="000044B7"/>
    <w:rsid w:val="00004503"/>
    <w:rsid w:val="0000461A"/>
    <w:rsid w:val="00004727"/>
    <w:rsid w:val="0000474F"/>
    <w:rsid w:val="000047E5"/>
    <w:rsid w:val="000049C3"/>
    <w:rsid w:val="00004E0C"/>
    <w:rsid w:val="00004FE6"/>
    <w:rsid w:val="00005001"/>
    <w:rsid w:val="0000547A"/>
    <w:rsid w:val="000055B6"/>
    <w:rsid w:val="000055BF"/>
    <w:rsid w:val="0000565E"/>
    <w:rsid w:val="000058A6"/>
    <w:rsid w:val="00005E16"/>
    <w:rsid w:val="00005E83"/>
    <w:rsid w:val="00005EC6"/>
    <w:rsid w:val="00005F75"/>
    <w:rsid w:val="000062F5"/>
    <w:rsid w:val="000063EE"/>
    <w:rsid w:val="0000649A"/>
    <w:rsid w:val="000064D4"/>
    <w:rsid w:val="0000674C"/>
    <w:rsid w:val="0000695F"/>
    <w:rsid w:val="00006B62"/>
    <w:rsid w:val="00006C11"/>
    <w:rsid w:val="00007445"/>
    <w:rsid w:val="000075CB"/>
    <w:rsid w:val="00007616"/>
    <w:rsid w:val="00007694"/>
    <w:rsid w:val="0000777C"/>
    <w:rsid w:val="000077D7"/>
    <w:rsid w:val="000079CE"/>
    <w:rsid w:val="00007A3D"/>
    <w:rsid w:val="00007DCE"/>
    <w:rsid w:val="000103D7"/>
    <w:rsid w:val="0001063A"/>
    <w:rsid w:val="000107BA"/>
    <w:rsid w:val="00010945"/>
    <w:rsid w:val="00010CF8"/>
    <w:rsid w:val="00010EDF"/>
    <w:rsid w:val="00010EF8"/>
    <w:rsid w:val="00010F82"/>
    <w:rsid w:val="000110C0"/>
    <w:rsid w:val="000112BC"/>
    <w:rsid w:val="00011642"/>
    <w:rsid w:val="0001176F"/>
    <w:rsid w:val="000117B6"/>
    <w:rsid w:val="000117F6"/>
    <w:rsid w:val="00011ABC"/>
    <w:rsid w:val="00011ADA"/>
    <w:rsid w:val="00011B1A"/>
    <w:rsid w:val="00011BCA"/>
    <w:rsid w:val="00011DC9"/>
    <w:rsid w:val="00011F6B"/>
    <w:rsid w:val="00012180"/>
    <w:rsid w:val="00012427"/>
    <w:rsid w:val="00012559"/>
    <w:rsid w:val="00012AAD"/>
    <w:rsid w:val="00012F04"/>
    <w:rsid w:val="00012F4C"/>
    <w:rsid w:val="000130A6"/>
    <w:rsid w:val="00013224"/>
    <w:rsid w:val="00013506"/>
    <w:rsid w:val="00013533"/>
    <w:rsid w:val="0001379E"/>
    <w:rsid w:val="000139BF"/>
    <w:rsid w:val="00013ADE"/>
    <w:rsid w:val="00014194"/>
    <w:rsid w:val="0001424F"/>
    <w:rsid w:val="000144D3"/>
    <w:rsid w:val="000145A1"/>
    <w:rsid w:val="00014612"/>
    <w:rsid w:val="00014C88"/>
    <w:rsid w:val="00014F01"/>
    <w:rsid w:val="00015005"/>
    <w:rsid w:val="0001533B"/>
    <w:rsid w:val="00015448"/>
    <w:rsid w:val="00015E7A"/>
    <w:rsid w:val="00015E86"/>
    <w:rsid w:val="00015F27"/>
    <w:rsid w:val="00016095"/>
    <w:rsid w:val="000160D5"/>
    <w:rsid w:val="00016273"/>
    <w:rsid w:val="0001645F"/>
    <w:rsid w:val="000167A7"/>
    <w:rsid w:val="000169A1"/>
    <w:rsid w:val="000169C3"/>
    <w:rsid w:val="00016A43"/>
    <w:rsid w:val="00016C39"/>
    <w:rsid w:val="00016E91"/>
    <w:rsid w:val="000175B1"/>
    <w:rsid w:val="0001774B"/>
    <w:rsid w:val="0001774E"/>
    <w:rsid w:val="000177A7"/>
    <w:rsid w:val="000179DF"/>
    <w:rsid w:val="00017F25"/>
    <w:rsid w:val="00020149"/>
    <w:rsid w:val="000209E5"/>
    <w:rsid w:val="00020AAA"/>
    <w:rsid w:val="00020C6E"/>
    <w:rsid w:val="00020D36"/>
    <w:rsid w:val="00020FA2"/>
    <w:rsid w:val="00021370"/>
    <w:rsid w:val="00021A3D"/>
    <w:rsid w:val="00021ABE"/>
    <w:rsid w:val="00021EFC"/>
    <w:rsid w:val="00022287"/>
    <w:rsid w:val="00022326"/>
    <w:rsid w:val="00022384"/>
    <w:rsid w:val="000224CC"/>
    <w:rsid w:val="000224F7"/>
    <w:rsid w:val="0002256E"/>
    <w:rsid w:val="00022593"/>
    <w:rsid w:val="000225A9"/>
    <w:rsid w:val="000225AC"/>
    <w:rsid w:val="00022863"/>
    <w:rsid w:val="00022A27"/>
    <w:rsid w:val="00022DE0"/>
    <w:rsid w:val="00023009"/>
    <w:rsid w:val="0002301F"/>
    <w:rsid w:val="00023145"/>
    <w:rsid w:val="00023349"/>
    <w:rsid w:val="00023718"/>
    <w:rsid w:val="0002371D"/>
    <w:rsid w:val="0002387B"/>
    <w:rsid w:val="000238C7"/>
    <w:rsid w:val="00023922"/>
    <w:rsid w:val="00023B5E"/>
    <w:rsid w:val="00023BA9"/>
    <w:rsid w:val="00023C3C"/>
    <w:rsid w:val="0002420B"/>
    <w:rsid w:val="00024483"/>
    <w:rsid w:val="00024690"/>
    <w:rsid w:val="000247D9"/>
    <w:rsid w:val="00024BA8"/>
    <w:rsid w:val="00024E17"/>
    <w:rsid w:val="00024E6C"/>
    <w:rsid w:val="00024FEF"/>
    <w:rsid w:val="00025237"/>
    <w:rsid w:val="0002535C"/>
    <w:rsid w:val="00025544"/>
    <w:rsid w:val="00025546"/>
    <w:rsid w:val="00025551"/>
    <w:rsid w:val="0002561E"/>
    <w:rsid w:val="00025681"/>
    <w:rsid w:val="000257C1"/>
    <w:rsid w:val="00025F3E"/>
    <w:rsid w:val="0002617C"/>
    <w:rsid w:val="0002620D"/>
    <w:rsid w:val="00026240"/>
    <w:rsid w:val="000262C2"/>
    <w:rsid w:val="000263CE"/>
    <w:rsid w:val="0002645C"/>
    <w:rsid w:val="0002655B"/>
    <w:rsid w:val="00026C47"/>
    <w:rsid w:val="00026E45"/>
    <w:rsid w:val="000271A2"/>
    <w:rsid w:val="0002721A"/>
    <w:rsid w:val="00027615"/>
    <w:rsid w:val="00027679"/>
    <w:rsid w:val="00027837"/>
    <w:rsid w:val="00027B4D"/>
    <w:rsid w:val="00027BCA"/>
    <w:rsid w:val="00027C9D"/>
    <w:rsid w:val="00027CCE"/>
    <w:rsid w:val="00027D79"/>
    <w:rsid w:val="00027EE5"/>
    <w:rsid w:val="00027F27"/>
    <w:rsid w:val="00030835"/>
    <w:rsid w:val="000309E8"/>
    <w:rsid w:val="000309EA"/>
    <w:rsid w:val="00030B57"/>
    <w:rsid w:val="00030EF3"/>
    <w:rsid w:val="00031132"/>
    <w:rsid w:val="00031582"/>
    <w:rsid w:val="000316A1"/>
    <w:rsid w:val="000319C7"/>
    <w:rsid w:val="00032018"/>
    <w:rsid w:val="00032123"/>
    <w:rsid w:val="00032373"/>
    <w:rsid w:val="000328CC"/>
    <w:rsid w:val="000328EE"/>
    <w:rsid w:val="00032D6B"/>
    <w:rsid w:val="00032F20"/>
    <w:rsid w:val="0003312D"/>
    <w:rsid w:val="0003315A"/>
    <w:rsid w:val="00033470"/>
    <w:rsid w:val="000336BE"/>
    <w:rsid w:val="000338AB"/>
    <w:rsid w:val="00033A90"/>
    <w:rsid w:val="00034072"/>
    <w:rsid w:val="00034318"/>
    <w:rsid w:val="00034457"/>
    <w:rsid w:val="000344B9"/>
    <w:rsid w:val="00034844"/>
    <w:rsid w:val="00034A60"/>
    <w:rsid w:val="00034C68"/>
    <w:rsid w:val="00034EB5"/>
    <w:rsid w:val="00035601"/>
    <w:rsid w:val="00035B15"/>
    <w:rsid w:val="00035FF1"/>
    <w:rsid w:val="0003605E"/>
    <w:rsid w:val="00036097"/>
    <w:rsid w:val="00036118"/>
    <w:rsid w:val="00036163"/>
    <w:rsid w:val="000364D4"/>
    <w:rsid w:val="000365BE"/>
    <w:rsid w:val="00036877"/>
    <w:rsid w:val="000368D0"/>
    <w:rsid w:val="00036931"/>
    <w:rsid w:val="0003698F"/>
    <w:rsid w:val="00036A6A"/>
    <w:rsid w:val="00036CA7"/>
    <w:rsid w:val="00036F74"/>
    <w:rsid w:val="000373FC"/>
    <w:rsid w:val="00037962"/>
    <w:rsid w:val="00037C9A"/>
    <w:rsid w:val="00037CDF"/>
    <w:rsid w:val="00037D6F"/>
    <w:rsid w:val="00040321"/>
    <w:rsid w:val="000403D7"/>
    <w:rsid w:val="00040749"/>
    <w:rsid w:val="00040923"/>
    <w:rsid w:val="00040A26"/>
    <w:rsid w:val="00040AC8"/>
    <w:rsid w:val="0004103E"/>
    <w:rsid w:val="000410B5"/>
    <w:rsid w:val="000411A4"/>
    <w:rsid w:val="0004123B"/>
    <w:rsid w:val="0004156B"/>
    <w:rsid w:val="00041727"/>
    <w:rsid w:val="000418DD"/>
    <w:rsid w:val="00041AB0"/>
    <w:rsid w:val="00041B50"/>
    <w:rsid w:val="00041E03"/>
    <w:rsid w:val="00041F2A"/>
    <w:rsid w:val="00041F5F"/>
    <w:rsid w:val="00041F72"/>
    <w:rsid w:val="000420FB"/>
    <w:rsid w:val="00042741"/>
    <w:rsid w:val="00042ABC"/>
    <w:rsid w:val="00042C30"/>
    <w:rsid w:val="00042E0D"/>
    <w:rsid w:val="00043217"/>
    <w:rsid w:val="0004324F"/>
    <w:rsid w:val="0004333A"/>
    <w:rsid w:val="00043354"/>
    <w:rsid w:val="0004365E"/>
    <w:rsid w:val="0004376B"/>
    <w:rsid w:val="0004381F"/>
    <w:rsid w:val="00043829"/>
    <w:rsid w:val="00043FB6"/>
    <w:rsid w:val="00044270"/>
    <w:rsid w:val="00044457"/>
    <w:rsid w:val="00044510"/>
    <w:rsid w:val="00044670"/>
    <w:rsid w:val="00044988"/>
    <w:rsid w:val="00044F79"/>
    <w:rsid w:val="00045509"/>
    <w:rsid w:val="00045584"/>
    <w:rsid w:val="000456EA"/>
    <w:rsid w:val="0004583E"/>
    <w:rsid w:val="000458BA"/>
    <w:rsid w:val="00045975"/>
    <w:rsid w:val="000459A2"/>
    <w:rsid w:val="000459AE"/>
    <w:rsid w:val="00045BDD"/>
    <w:rsid w:val="00045D3F"/>
    <w:rsid w:val="000464F3"/>
    <w:rsid w:val="0004672A"/>
    <w:rsid w:val="00046823"/>
    <w:rsid w:val="00046951"/>
    <w:rsid w:val="00046976"/>
    <w:rsid w:val="00046A3F"/>
    <w:rsid w:val="00046AF2"/>
    <w:rsid w:val="00046D5B"/>
    <w:rsid w:val="00046EC0"/>
    <w:rsid w:val="00046F09"/>
    <w:rsid w:val="00046FC1"/>
    <w:rsid w:val="000475A4"/>
    <w:rsid w:val="000475D0"/>
    <w:rsid w:val="0004786B"/>
    <w:rsid w:val="00047A7D"/>
    <w:rsid w:val="00047F34"/>
    <w:rsid w:val="00050111"/>
    <w:rsid w:val="00050451"/>
    <w:rsid w:val="00050E00"/>
    <w:rsid w:val="00050F19"/>
    <w:rsid w:val="0005126D"/>
    <w:rsid w:val="00051278"/>
    <w:rsid w:val="00051495"/>
    <w:rsid w:val="00051810"/>
    <w:rsid w:val="00051967"/>
    <w:rsid w:val="00051A8F"/>
    <w:rsid w:val="00051ABF"/>
    <w:rsid w:val="00051CC5"/>
    <w:rsid w:val="00051FFE"/>
    <w:rsid w:val="0005200B"/>
    <w:rsid w:val="000520DF"/>
    <w:rsid w:val="00052130"/>
    <w:rsid w:val="00052245"/>
    <w:rsid w:val="000522CF"/>
    <w:rsid w:val="00052306"/>
    <w:rsid w:val="00052343"/>
    <w:rsid w:val="00052783"/>
    <w:rsid w:val="00052AB0"/>
    <w:rsid w:val="00052AEC"/>
    <w:rsid w:val="00052E6E"/>
    <w:rsid w:val="00052EB5"/>
    <w:rsid w:val="000533FA"/>
    <w:rsid w:val="0005372E"/>
    <w:rsid w:val="000538F6"/>
    <w:rsid w:val="00053DB8"/>
    <w:rsid w:val="00053F04"/>
    <w:rsid w:val="0005446D"/>
    <w:rsid w:val="00054604"/>
    <w:rsid w:val="000546A5"/>
    <w:rsid w:val="00054A2C"/>
    <w:rsid w:val="00054E5C"/>
    <w:rsid w:val="00054E77"/>
    <w:rsid w:val="00054E8D"/>
    <w:rsid w:val="000550BB"/>
    <w:rsid w:val="0005538A"/>
    <w:rsid w:val="0005596B"/>
    <w:rsid w:val="00055CCB"/>
    <w:rsid w:val="00055D98"/>
    <w:rsid w:val="00055DFD"/>
    <w:rsid w:val="00055E1F"/>
    <w:rsid w:val="000563CC"/>
    <w:rsid w:val="000565FB"/>
    <w:rsid w:val="00056892"/>
    <w:rsid w:val="00056C2F"/>
    <w:rsid w:val="00056C67"/>
    <w:rsid w:val="00056E05"/>
    <w:rsid w:val="00057003"/>
    <w:rsid w:val="00057086"/>
    <w:rsid w:val="00057238"/>
    <w:rsid w:val="00057461"/>
    <w:rsid w:val="000575F1"/>
    <w:rsid w:val="000576C7"/>
    <w:rsid w:val="00057911"/>
    <w:rsid w:val="00057A38"/>
    <w:rsid w:val="00057BAB"/>
    <w:rsid w:val="00057BC8"/>
    <w:rsid w:val="00057BDA"/>
    <w:rsid w:val="00057CD7"/>
    <w:rsid w:val="00057EBF"/>
    <w:rsid w:val="00057FC3"/>
    <w:rsid w:val="00060137"/>
    <w:rsid w:val="000601E9"/>
    <w:rsid w:val="000604CC"/>
    <w:rsid w:val="000607DE"/>
    <w:rsid w:val="000607E7"/>
    <w:rsid w:val="00060AC4"/>
    <w:rsid w:val="00060D0D"/>
    <w:rsid w:val="00060F04"/>
    <w:rsid w:val="00060F86"/>
    <w:rsid w:val="00061000"/>
    <w:rsid w:val="000610AA"/>
    <w:rsid w:val="00061233"/>
    <w:rsid w:val="00061443"/>
    <w:rsid w:val="00061684"/>
    <w:rsid w:val="00061909"/>
    <w:rsid w:val="00061F1D"/>
    <w:rsid w:val="00061F8C"/>
    <w:rsid w:val="00061FDB"/>
    <w:rsid w:val="00061FF4"/>
    <w:rsid w:val="0006206D"/>
    <w:rsid w:val="000620EA"/>
    <w:rsid w:val="0006244B"/>
    <w:rsid w:val="000624A2"/>
    <w:rsid w:val="00062EB0"/>
    <w:rsid w:val="00062F07"/>
    <w:rsid w:val="00063315"/>
    <w:rsid w:val="00063672"/>
    <w:rsid w:val="00063D6F"/>
    <w:rsid w:val="00063EED"/>
    <w:rsid w:val="00064092"/>
    <w:rsid w:val="000640E0"/>
    <w:rsid w:val="0006412F"/>
    <w:rsid w:val="0006426C"/>
    <w:rsid w:val="00064280"/>
    <w:rsid w:val="00064416"/>
    <w:rsid w:val="00064597"/>
    <w:rsid w:val="00064A7A"/>
    <w:rsid w:val="00064B28"/>
    <w:rsid w:val="00064D84"/>
    <w:rsid w:val="00064D8C"/>
    <w:rsid w:val="00064DA4"/>
    <w:rsid w:val="000653EA"/>
    <w:rsid w:val="00065B55"/>
    <w:rsid w:val="00065E6F"/>
    <w:rsid w:val="0006612A"/>
    <w:rsid w:val="000661A9"/>
    <w:rsid w:val="0006625C"/>
    <w:rsid w:val="0006633D"/>
    <w:rsid w:val="00066389"/>
    <w:rsid w:val="00066477"/>
    <w:rsid w:val="00066522"/>
    <w:rsid w:val="0006677B"/>
    <w:rsid w:val="00066833"/>
    <w:rsid w:val="0006687C"/>
    <w:rsid w:val="00066964"/>
    <w:rsid w:val="00066A70"/>
    <w:rsid w:val="00066AD4"/>
    <w:rsid w:val="00066E73"/>
    <w:rsid w:val="000670AF"/>
    <w:rsid w:val="00067185"/>
    <w:rsid w:val="0006739D"/>
    <w:rsid w:val="000673F5"/>
    <w:rsid w:val="00067792"/>
    <w:rsid w:val="000679A4"/>
    <w:rsid w:val="000679BF"/>
    <w:rsid w:val="00067A64"/>
    <w:rsid w:val="00067E3C"/>
    <w:rsid w:val="00067EBC"/>
    <w:rsid w:val="00070003"/>
    <w:rsid w:val="00070011"/>
    <w:rsid w:val="0007024A"/>
    <w:rsid w:val="0007037D"/>
    <w:rsid w:val="00070389"/>
    <w:rsid w:val="0007055F"/>
    <w:rsid w:val="000708BB"/>
    <w:rsid w:val="000709B3"/>
    <w:rsid w:val="000709FB"/>
    <w:rsid w:val="00070A3B"/>
    <w:rsid w:val="00070C17"/>
    <w:rsid w:val="00070C1D"/>
    <w:rsid w:val="00071009"/>
    <w:rsid w:val="0007139C"/>
    <w:rsid w:val="00071490"/>
    <w:rsid w:val="000717D2"/>
    <w:rsid w:val="00071BE5"/>
    <w:rsid w:val="00071C22"/>
    <w:rsid w:val="00071C94"/>
    <w:rsid w:val="00071E3B"/>
    <w:rsid w:val="00071E93"/>
    <w:rsid w:val="00072013"/>
    <w:rsid w:val="000721FB"/>
    <w:rsid w:val="00072382"/>
    <w:rsid w:val="000723BF"/>
    <w:rsid w:val="00072800"/>
    <w:rsid w:val="00072B78"/>
    <w:rsid w:val="00072BC1"/>
    <w:rsid w:val="00072BF9"/>
    <w:rsid w:val="00072EF9"/>
    <w:rsid w:val="00072F02"/>
    <w:rsid w:val="0007329F"/>
    <w:rsid w:val="0007355E"/>
    <w:rsid w:val="000736B1"/>
    <w:rsid w:val="00073D19"/>
    <w:rsid w:val="00073E80"/>
    <w:rsid w:val="000742F9"/>
    <w:rsid w:val="0007438D"/>
    <w:rsid w:val="0007456D"/>
    <w:rsid w:val="000745EC"/>
    <w:rsid w:val="00074A3C"/>
    <w:rsid w:val="00074B58"/>
    <w:rsid w:val="00074DE4"/>
    <w:rsid w:val="00074F0E"/>
    <w:rsid w:val="00075147"/>
    <w:rsid w:val="00075185"/>
    <w:rsid w:val="000757CB"/>
    <w:rsid w:val="00075847"/>
    <w:rsid w:val="000758BA"/>
    <w:rsid w:val="000759B5"/>
    <w:rsid w:val="000759E2"/>
    <w:rsid w:val="00075B56"/>
    <w:rsid w:val="00075F3A"/>
    <w:rsid w:val="000760A0"/>
    <w:rsid w:val="000760F9"/>
    <w:rsid w:val="0007644C"/>
    <w:rsid w:val="000764FF"/>
    <w:rsid w:val="0007662C"/>
    <w:rsid w:val="000766C3"/>
    <w:rsid w:val="0007679C"/>
    <w:rsid w:val="00076998"/>
    <w:rsid w:val="00076EDF"/>
    <w:rsid w:val="0007715F"/>
    <w:rsid w:val="00077283"/>
    <w:rsid w:val="0007749E"/>
    <w:rsid w:val="00077504"/>
    <w:rsid w:val="00077974"/>
    <w:rsid w:val="00077A0F"/>
    <w:rsid w:val="00077C9B"/>
    <w:rsid w:val="00077DF0"/>
    <w:rsid w:val="00077E54"/>
    <w:rsid w:val="00077E65"/>
    <w:rsid w:val="00077FB0"/>
    <w:rsid w:val="0008014F"/>
    <w:rsid w:val="000803D9"/>
    <w:rsid w:val="00080403"/>
    <w:rsid w:val="00080B81"/>
    <w:rsid w:val="00080D52"/>
    <w:rsid w:val="00080E73"/>
    <w:rsid w:val="00081415"/>
    <w:rsid w:val="00081861"/>
    <w:rsid w:val="000818B5"/>
    <w:rsid w:val="00081922"/>
    <w:rsid w:val="00081937"/>
    <w:rsid w:val="00081A80"/>
    <w:rsid w:val="0008200F"/>
    <w:rsid w:val="00082279"/>
    <w:rsid w:val="0008241F"/>
    <w:rsid w:val="00082434"/>
    <w:rsid w:val="000826B0"/>
    <w:rsid w:val="00082B01"/>
    <w:rsid w:val="00082CAE"/>
    <w:rsid w:val="00082F9B"/>
    <w:rsid w:val="000832C8"/>
    <w:rsid w:val="00083394"/>
    <w:rsid w:val="00083527"/>
    <w:rsid w:val="000837A6"/>
    <w:rsid w:val="0008386E"/>
    <w:rsid w:val="000840AB"/>
    <w:rsid w:val="0008450E"/>
    <w:rsid w:val="000846B9"/>
    <w:rsid w:val="00084CA0"/>
    <w:rsid w:val="0008502D"/>
    <w:rsid w:val="0008506E"/>
    <w:rsid w:val="0008511E"/>
    <w:rsid w:val="00085A7B"/>
    <w:rsid w:val="00085ABF"/>
    <w:rsid w:val="00085D67"/>
    <w:rsid w:val="00085F52"/>
    <w:rsid w:val="00085F71"/>
    <w:rsid w:val="00085F7A"/>
    <w:rsid w:val="0008629D"/>
    <w:rsid w:val="000862DA"/>
    <w:rsid w:val="00086843"/>
    <w:rsid w:val="00086A30"/>
    <w:rsid w:val="00086A7B"/>
    <w:rsid w:val="00086A8E"/>
    <w:rsid w:val="00086FA7"/>
    <w:rsid w:val="0008714B"/>
    <w:rsid w:val="000871B3"/>
    <w:rsid w:val="000871FE"/>
    <w:rsid w:val="00087244"/>
    <w:rsid w:val="0008732A"/>
    <w:rsid w:val="00087415"/>
    <w:rsid w:val="000874EB"/>
    <w:rsid w:val="0008754F"/>
    <w:rsid w:val="000875B9"/>
    <w:rsid w:val="000878CB"/>
    <w:rsid w:val="000878D1"/>
    <w:rsid w:val="00087901"/>
    <w:rsid w:val="00087C97"/>
    <w:rsid w:val="00087F41"/>
    <w:rsid w:val="0009027D"/>
    <w:rsid w:val="000903F4"/>
    <w:rsid w:val="00090412"/>
    <w:rsid w:val="00090522"/>
    <w:rsid w:val="000906E2"/>
    <w:rsid w:val="00090707"/>
    <w:rsid w:val="000909C4"/>
    <w:rsid w:val="00090C93"/>
    <w:rsid w:val="00090DFD"/>
    <w:rsid w:val="00091043"/>
    <w:rsid w:val="00091332"/>
    <w:rsid w:val="000913A0"/>
    <w:rsid w:val="000914F5"/>
    <w:rsid w:val="00091530"/>
    <w:rsid w:val="00091635"/>
    <w:rsid w:val="00091703"/>
    <w:rsid w:val="00091920"/>
    <w:rsid w:val="00091B5A"/>
    <w:rsid w:val="00092224"/>
    <w:rsid w:val="0009228E"/>
    <w:rsid w:val="000925D4"/>
    <w:rsid w:val="00092660"/>
    <w:rsid w:val="00092799"/>
    <w:rsid w:val="00092963"/>
    <w:rsid w:val="000929B0"/>
    <w:rsid w:val="000929F3"/>
    <w:rsid w:val="00092A9B"/>
    <w:rsid w:val="00092B94"/>
    <w:rsid w:val="00092BCA"/>
    <w:rsid w:val="00093080"/>
    <w:rsid w:val="000930D7"/>
    <w:rsid w:val="0009329D"/>
    <w:rsid w:val="000932A7"/>
    <w:rsid w:val="000932BD"/>
    <w:rsid w:val="000932F1"/>
    <w:rsid w:val="0009338D"/>
    <w:rsid w:val="000935BA"/>
    <w:rsid w:val="0009361D"/>
    <w:rsid w:val="0009365E"/>
    <w:rsid w:val="00093B22"/>
    <w:rsid w:val="00093C6F"/>
    <w:rsid w:val="00093CD7"/>
    <w:rsid w:val="00093E59"/>
    <w:rsid w:val="0009404B"/>
    <w:rsid w:val="0009405C"/>
    <w:rsid w:val="00094130"/>
    <w:rsid w:val="0009415A"/>
    <w:rsid w:val="000941BE"/>
    <w:rsid w:val="0009473A"/>
    <w:rsid w:val="000950D5"/>
    <w:rsid w:val="000952A4"/>
    <w:rsid w:val="000952EA"/>
    <w:rsid w:val="000953E1"/>
    <w:rsid w:val="00095401"/>
    <w:rsid w:val="00095562"/>
    <w:rsid w:val="000958AB"/>
    <w:rsid w:val="000958F2"/>
    <w:rsid w:val="00095946"/>
    <w:rsid w:val="000959B5"/>
    <w:rsid w:val="0009602C"/>
    <w:rsid w:val="00096102"/>
    <w:rsid w:val="000964EB"/>
    <w:rsid w:val="00096840"/>
    <w:rsid w:val="00096B12"/>
    <w:rsid w:val="00096C5D"/>
    <w:rsid w:val="00096F6D"/>
    <w:rsid w:val="000971F2"/>
    <w:rsid w:val="000972A8"/>
    <w:rsid w:val="000974CA"/>
    <w:rsid w:val="0009750B"/>
    <w:rsid w:val="000976B2"/>
    <w:rsid w:val="0009784B"/>
    <w:rsid w:val="00097869"/>
    <w:rsid w:val="000978BA"/>
    <w:rsid w:val="00097917"/>
    <w:rsid w:val="00097953"/>
    <w:rsid w:val="00097C71"/>
    <w:rsid w:val="00097CA9"/>
    <w:rsid w:val="00097F4C"/>
    <w:rsid w:val="000A05EA"/>
    <w:rsid w:val="000A09A2"/>
    <w:rsid w:val="000A0B0E"/>
    <w:rsid w:val="000A0D7C"/>
    <w:rsid w:val="000A0DFC"/>
    <w:rsid w:val="000A0E94"/>
    <w:rsid w:val="000A104E"/>
    <w:rsid w:val="000A1193"/>
    <w:rsid w:val="000A127C"/>
    <w:rsid w:val="000A12FB"/>
    <w:rsid w:val="000A16C1"/>
    <w:rsid w:val="000A1957"/>
    <w:rsid w:val="000A1CEF"/>
    <w:rsid w:val="000A1F6E"/>
    <w:rsid w:val="000A2566"/>
    <w:rsid w:val="000A2B78"/>
    <w:rsid w:val="000A2C29"/>
    <w:rsid w:val="000A2E6A"/>
    <w:rsid w:val="000A2F8D"/>
    <w:rsid w:val="000A309A"/>
    <w:rsid w:val="000A33AD"/>
    <w:rsid w:val="000A33F0"/>
    <w:rsid w:val="000A37AD"/>
    <w:rsid w:val="000A3862"/>
    <w:rsid w:val="000A38B8"/>
    <w:rsid w:val="000A395A"/>
    <w:rsid w:val="000A3B1E"/>
    <w:rsid w:val="000A3B5A"/>
    <w:rsid w:val="000A3EC5"/>
    <w:rsid w:val="000A45E5"/>
    <w:rsid w:val="000A464A"/>
    <w:rsid w:val="000A4795"/>
    <w:rsid w:val="000A4865"/>
    <w:rsid w:val="000A48DC"/>
    <w:rsid w:val="000A4A0B"/>
    <w:rsid w:val="000A4BC3"/>
    <w:rsid w:val="000A4CB7"/>
    <w:rsid w:val="000A5014"/>
    <w:rsid w:val="000A5046"/>
    <w:rsid w:val="000A5177"/>
    <w:rsid w:val="000A55EF"/>
    <w:rsid w:val="000A56C9"/>
    <w:rsid w:val="000A574C"/>
    <w:rsid w:val="000A578F"/>
    <w:rsid w:val="000A57A7"/>
    <w:rsid w:val="000A57F9"/>
    <w:rsid w:val="000A5B3D"/>
    <w:rsid w:val="000A5F97"/>
    <w:rsid w:val="000A6890"/>
    <w:rsid w:val="000A6D86"/>
    <w:rsid w:val="000A6F27"/>
    <w:rsid w:val="000A6F7A"/>
    <w:rsid w:val="000A7011"/>
    <w:rsid w:val="000A71E9"/>
    <w:rsid w:val="000A7215"/>
    <w:rsid w:val="000A72DD"/>
    <w:rsid w:val="000A738E"/>
    <w:rsid w:val="000A73C1"/>
    <w:rsid w:val="000A7434"/>
    <w:rsid w:val="000A75BE"/>
    <w:rsid w:val="000A7613"/>
    <w:rsid w:val="000A76CC"/>
    <w:rsid w:val="000A7AF7"/>
    <w:rsid w:val="000A7D3B"/>
    <w:rsid w:val="000A7DA6"/>
    <w:rsid w:val="000A7E02"/>
    <w:rsid w:val="000A7F6E"/>
    <w:rsid w:val="000B007F"/>
    <w:rsid w:val="000B075F"/>
    <w:rsid w:val="000B079E"/>
    <w:rsid w:val="000B079F"/>
    <w:rsid w:val="000B07DB"/>
    <w:rsid w:val="000B0C6E"/>
    <w:rsid w:val="000B0E11"/>
    <w:rsid w:val="000B0F7A"/>
    <w:rsid w:val="000B1013"/>
    <w:rsid w:val="000B128C"/>
    <w:rsid w:val="000B146B"/>
    <w:rsid w:val="000B1485"/>
    <w:rsid w:val="000B168D"/>
    <w:rsid w:val="000B1A5D"/>
    <w:rsid w:val="000B1A90"/>
    <w:rsid w:val="000B1B95"/>
    <w:rsid w:val="000B1C6F"/>
    <w:rsid w:val="000B2006"/>
    <w:rsid w:val="000B2202"/>
    <w:rsid w:val="000B221C"/>
    <w:rsid w:val="000B2310"/>
    <w:rsid w:val="000B2405"/>
    <w:rsid w:val="000B2870"/>
    <w:rsid w:val="000B2D41"/>
    <w:rsid w:val="000B2D6D"/>
    <w:rsid w:val="000B2E8E"/>
    <w:rsid w:val="000B2EF2"/>
    <w:rsid w:val="000B2F00"/>
    <w:rsid w:val="000B2F4A"/>
    <w:rsid w:val="000B2F87"/>
    <w:rsid w:val="000B2FC7"/>
    <w:rsid w:val="000B304B"/>
    <w:rsid w:val="000B34A7"/>
    <w:rsid w:val="000B35BE"/>
    <w:rsid w:val="000B3630"/>
    <w:rsid w:val="000B36E9"/>
    <w:rsid w:val="000B388D"/>
    <w:rsid w:val="000B3963"/>
    <w:rsid w:val="000B3AA4"/>
    <w:rsid w:val="000B3B8F"/>
    <w:rsid w:val="000B3BFC"/>
    <w:rsid w:val="000B4159"/>
    <w:rsid w:val="000B4843"/>
    <w:rsid w:val="000B48A1"/>
    <w:rsid w:val="000B4AA7"/>
    <w:rsid w:val="000B4C00"/>
    <w:rsid w:val="000B4C47"/>
    <w:rsid w:val="000B5007"/>
    <w:rsid w:val="000B51E1"/>
    <w:rsid w:val="000B5213"/>
    <w:rsid w:val="000B52CB"/>
    <w:rsid w:val="000B5321"/>
    <w:rsid w:val="000B5409"/>
    <w:rsid w:val="000B5421"/>
    <w:rsid w:val="000B562E"/>
    <w:rsid w:val="000B572C"/>
    <w:rsid w:val="000B5DCC"/>
    <w:rsid w:val="000B5E43"/>
    <w:rsid w:val="000B60A5"/>
    <w:rsid w:val="000B60DD"/>
    <w:rsid w:val="000B626B"/>
    <w:rsid w:val="000B6682"/>
    <w:rsid w:val="000B66D6"/>
    <w:rsid w:val="000B689D"/>
    <w:rsid w:val="000B698D"/>
    <w:rsid w:val="000B69FF"/>
    <w:rsid w:val="000B6B31"/>
    <w:rsid w:val="000B700F"/>
    <w:rsid w:val="000B707A"/>
    <w:rsid w:val="000B73CD"/>
    <w:rsid w:val="000B7470"/>
    <w:rsid w:val="000B7A0E"/>
    <w:rsid w:val="000B7B91"/>
    <w:rsid w:val="000B7DB1"/>
    <w:rsid w:val="000B7F54"/>
    <w:rsid w:val="000B7F58"/>
    <w:rsid w:val="000C0087"/>
    <w:rsid w:val="000C0118"/>
    <w:rsid w:val="000C01BD"/>
    <w:rsid w:val="000C020E"/>
    <w:rsid w:val="000C02CD"/>
    <w:rsid w:val="000C0419"/>
    <w:rsid w:val="000C0679"/>
    <w:rsid w:val="000C08A2"/>
    <w:rsid w:val="000C0C6C"/>
    <w:rsid w:val="000C0DF3"/>
    <w:rsid w:val="000C11EC"/>
    <w:rsid w:val="000C145F"/>
    <w:rsid w:val="000C14A0"/>
    <w:rsid w:val="000C1615"/>
    <w:rsid w:val="000C1F03"/>
    <w:rsid w:val="000C209E"/>
    <w:rsid w:val="000C21EC"/>
    <w:rsid w:val="000C22A0"/>
    <w:rsid w:val="000C2458"/>
    <w:rsid w:val="000C24A5"/>
    <w:rsid w:val="000C27CF"/>
    <w:rsid w:val="000C29A0"/>
    <w:rsid w:val="000C29F9"/>
    <w:rsid w:val="000C2BFD"/>
    <w:rsid w:val="000C31BF"/>
    <w:rsid w:val="000C33FE"/>
    <w:rsid w:val="000C354A"/>
    <w:rsid w:val="000C3EAA"/>
    <w:rsid w:val="000C432F"/>
    <w:rsid w:val="000C46BB"/>
    <w:rsid w:val="000C4DAF"/>
    <w:rsid w:val="000C4DB1"/>
    <w:rsid w:val="000C4F4C"/>
    <w:rsid w:val="000C5172"/>
    <w:rsid w:val="000C51A6"/>
    <w:rsid w:val="000C5333"/>
    <w:rsid w:val="000C54F1"/>
    <w:rsid w:val="000C5666"/>
    <w:rsid w:val="000C5706"/>
    <w:rsid w:val="000C5834"/>
    <w:rsid w:val="000C5961"/>
    <w:rsid w:val="000C5B03"/>
    <w:rsid w:val="000C5DC3"/>
    <w:rsid w:val="000C60C6"/>
    <w:rsid w:val="000C623C"/>
    <w:rsid w:val="000C64C5"/>
    <w:rsid w:val="000C6589"/>
    <w:rsid w:val="000C68AF"/>
    <w:rsid w:val="000C6995"/>
    <w:rsid w:val="000C69E7"/>
    <w:rsid w:val="000C6A13"/>
    <w:rsid w:val="000C6A22"/>
    <w:rsid w:val="000C707A"/>
    <w:rsid w:val="000C7143"/>
    <w:rsid w:val="000C71D0"/>
    <w:rsid w:val="000C72E3"/>
    <w:rsid w:val="000C7313"/>
    <w:rsid w:val="000C7440"/>
    <w:rsid w:val="000C765F"/>
    <w:rsid w:val="000C78D5"/>
    <w:rsid w:val="000C78E6"/>
    <w:rsid w:val="000C7A03"/>
    <w:rsid w:val="000C7A29"/>
    <w:rsid w:val="000C7B0D"/>
    <w:rsid w:val="000C7E26"/>
    <w:rsid w:val="000C7EBE"/>
    <w:rsid w:val="000C7F2D"/>
    <w:rsid w:val="000C7F33"/>
    <w:rsid w:val="000D0007"/>
    <w:rsid w:val="000D077F"/>
    <w:rsid w:val="000D0BBB"/>
    <w:rsid w:val="000D0C4C"/>
    <w:rsid w:val="000D0D6B"/>
    <w:rsid w:val="000D0DAC"/>
    <w:rsid w:val="000D0FE9"/>
    <w:rsid w:val="000D108F"/>
    <w:rsid w:val="000D11E5"/>
    <w:rsid w:val="000D12FA"/>
    <w:rsid w:val="000D12FF"/>
    <w:rsid w:val="000D1B54"/>
    <w:rsid w:val="000D1D5F"/>
    <w:rsid w:val="000D1DC7"/>
    <w:rsid w:val="000D20E3"/>
    <w:rsid w:val="000D21B3"/>
    <w:rsid w:val="000D2488"/>
    <w:rsid w:val="000D27FE"/>
    <w:rsid w:val="000D280B"/>
    <w:rsid w:val="000D2881"/>
    <w:rsid w:val="000D28BB"/>
    <w:rsid w:val="000D2A06"/>
    <w:rsid w:val="000D2B14"/>
    <w:rsid w:val="000D2BFE"/>
    <w:rsid w:val="000D2F4D"/>
    <w:rsid w:val="000D30AB"/>
    <w:rsid w:val="000D3440"/>
    <w:rsid w:val="000D3797"/>
    <w:rsid w:val="000D383D"/>
    <w:rsid w:val="000D3BBC"/>
    <w:rsid w:val="000D4323"/>
    <w:rsid w:val="000D450A"/>
    <w:rsid w:val="000D452E"/>
    <w:rsid w:val="000D45E2"/>
    <w:rsid w:val="000D4A13"/>
    <w:rsid w:val="000D4A25"/>
    <w:rsid w:val="000D4BA9"/>
    <w:rsid w:val="000D4E64"/>
    <w:rsid w:val="000D4FA3"/>
    <w:rsid w:val="000D57F4"/>
    <w:rsid w:val="000D5804"/>
    <w:rsid w:val="000D5823"/>
    <w:rsid w:val="000D5850"/>
    <w:rsid w:val="000D5BA3"/>
    <w:rsid w:val="000D5E30"/>
    <w:rsid w:val="000D5F07"/>
    <w:rsid w:val="000D5F86"/>
    <w:rsid w:val="000D608A"/>
    <w:rsid w:val="000D6124"/>
    <w:rsid w:val="000D62A3"/>
    <w:rsid w:val="000D6458"/>
    <w:rsid w:val="000D64D7"/>
    <w:rsid w:val="000D66A5"/>
    <w:rsid w:val="000D670B"/>
    <w:rsid w:val="000D6920"/>
    <w:rsid w:val="000D6D75"/>
    <w:rsid w:val="000D6EA4"/>
    <w:rsid w:val="000D7308"/>
    <w:rsid w:val="000D73BF"/>
    <w:rsid w:val="000D7599"/>
    <w:rsid w:val="000D7965"/>
    <w:rsid w:val="000E000D"/>
    <w:rsid w:val="000E0273"/>
    <w:rsid w:val="000E09D1"/>
    <w:rsid w:val="000E0C0C"/>
    <w:rsid w:val="000E0E46"/>
    <w:rsid w:val="000E0E79"/>
    <w:rsid w:val="000E1087"/>
    <w:rsid w:val="000E1557"/>
    <w:rsid w:val="000E1AC9"/>
    <w:rsid w:val="000E1BD0"/>
    <w:rsid w:val="000E1E0D"/>
    <w:rsid w:val="000E1F60"/>
    <w:rsid w:val="000E1F80"/>
    <w:rsid w:val="000E202D"/>
    <w:rsid w:val="000E2233"/>
    <w:rsid w:val="000E24A5"/>
    <w:rsid w:val="000E271A"/>
    <w:rsid w:val="000E2B90"/>
    <w:rsid w:val="000E2CCE"/>
    <w:rsid w:val="000E2EB2"/>
    <w:rsid w:val="000E2EFB"/>
    <w:rsid w:val="000E342B"/>
    <w:rsid w:val="000E3435"/>
    <w:rsid w:val="000E352B"/>
    <w:rsid w:val="000E359D"/>
    <w:rsid w:val="000E363D"/>
    <w:rsid w:val="000E3727"/>
    <w:rsid w:val="000E39FB"/>
    <w:rsid w:val="000E3A50"/>
    <w:rsid w:val="000E3B26"/>
    <w:rsid w:val="000E3CC9"/>
    <w:rsid w:val="000E3CEC"/>
    <w:rsid w:val="000E40E5"/>
    <w:rsid w:val="000E4324"/>
    <w:rsid w:val="000E4397"/>
    <w:rsid w:val="000E43B2"/>
    <w:rsid w:val="000E4420"/>
    <w:rsid w:val="000E4499"/>
    <w:rsid w:val="000E46AA"/>
    <w:rsid w:val="000E4729"/>
    <w:rsid w:val="000E499C"/>
    <w:rsid w:val="000E4A6B"/>
    <w:rsid w:val="000E4C5E"/>
    <w:rsid w:val="000E4FEC"/>
    <w:rsid w:val="000E5010"/>
    <w:rsid w:val="000E51DC"/>
    <w:rsid w:val="000E52BE"/>
    <w:rsid w:val="000E5400"/>
    <w:rsid w:val="000E5646"/>
    <w:rsid w:val="000E58BA"/>
    <w:rsid w:val="000E5CAE"/>
    <w:rsid w:val="000E5E25"/>
    <w:rsid w:val="000E6492"/>
    <w:rsid w:val="000E6523"/>
    <w:rsid w:val="000E69D0"/>
    <w:rsid w:val="000E6AE8"/>
    <w:rsid w:val="000E718A"/>
    <w:rsid w:val="000E720D"/>
    <w:rsid w:val="000E72A8"/>
    <w:rsid w:val="000E7360"/>
    <w:rsid w:val="000E7543"/>
    <w:rsid w:val="000E759F"/>
    <w:rsid w:val="000E766B"/>
    <w:rsid w:val="000E777E"/>
    <w:rsid w:val="000E7980"/>
    <w:rsid w:val="000E7B7F"/>
    <w:rsid w:val="000E7CFA"/>
    <w:rsid w:val="000E7EC8"/>
    <w:rsid w:val="000E7F11"/>
    <w:rsid w:val="000E7F96"/>
    <w:rsid w:val="000E7FC6"/>
    <w:rsid w:val="000F024E"/>
    <w:rsid w:val="000F03E0"/>
    <w:rsid w:val="000F041B"/>
    <w:rsid w:val="000F05B9"/>
    <w:rsid w:val="000F05D5"/>
    <w:rsid w:val="000F05F8"/>
    <w:rsid w:val="000F0668"/>
    <w:rsid w:val="000F0C44"/>
    <w:rsid w:val="000F0C5C"/>
    <w:rsid w:val="000F0E8B"/>
    <w:rsid w:val="000F103D"/>
    <w:rsid w:val="000F10BB"/>
    <w:rsid w:val="000F182A"/>
    <w:rsid w:val="000F18BA"/>
    <w:rsid w:val="000F1F15"/>
    <w:rsid w:val="000F1F2F"/>
    <w:rsid w:val="000F1FCB"/>
    <w:rsid w:val="000F2185"/>
    <w:rsid w:val="000F2711"/>
    <w:rsid w:val="000F2758"/>
    <w:rsid w:val="000F282B"/>
    <w:rsid w:val="000F2972"/>
    <w:rsid w:val="000F2F2B"/>
    <w:rsid w:val="000F312F"/>
    <w:rsid w:val="000F314F"/>
    <w:rsid w:val="000F322D"/>
    <w:rsid w:val="000F3492"/>
    <w:rsid w:val="000F34FA"/>
    <w:rsid w:val="000F3563"/>
    <w:rsid w:val="000F3974"/>
    <w:rsid w:val="000F3A69"/>
    <w:rsid w:val="000F3AA9"/>
    <w:rsid w:val="000F3B93"/>
    <w:rsid w:val="000F3BEB"/>
    <w:rsid w:val="000F4087"/>
    <w:rsid w:val="000F423C"/>
    <w:rsid w:val="000F42AC"/>
    <w:rsid w:val="000F4322"/>
    <w:rsid w:val="000F4712"/>
    <w:rsid w:val="000F473E"/>
    <w:rsid w:val="000F4A97"/>
    <w:rsid w:val="000F4B0D"/>
    <w:rsid w:val="000F4E05"/>
    <w:rsid w:val="000F4E86"/>
    <w:rsid w:val="000F5309"/>
    <w:rsid w:val="000F54EA"/>
    <w:rsid w:val="000F5505"/>
    <w:rsid w:val="000F555C"/>
    <w:rsid w:val="000F592D"/>
    <w:rsid w:val="000F5978"/>
    <w:rsid w:val="000F59EF"/>
    <w:rsid w:val="000F5AE3"/>
    <w:rsid w:val="000F5B32"/>
    <w:rsid w:val="000F5C1B"/>
    <w:rsid w:val="000F612C"/>
    <w:rsid w:val="000F6137"/>
    <w:rsid w:val="000F6218"/>
    <w:rsid w:val="000F62C7"/>
    <w:rsid w:val="000F6642"/>
    <w:rsid w:val="000F6882"/>
    <w:rsid w:val="000F6C4A"/>
    <w:rsid w:val="000F7178"/>
    <w:rsid w:val="000F730A"/>
    <w:rsid w:val="000F7502"/>
    <w:rsid w:val="000F751D"/>
    <w:rsid w:val="000F7557"/>
    <w:rsid w:val="000F7A69"/>
    <w:rsid w:val="000F7C4D"/>
    <w:rsid w:val="000F7C84"/>
    <w:rsid w:val="000F7DE8"/>
    <w:rsid w:val="000FEC9B"/>
    <w:rsid w:val="0010035B"/>
    <w:rsid w:val="001004C0"/>
    <w:rsid w:val="00100A65"/>
    <w:rsid w:val="00100B48"/>
    <w:rsid w:val="00100F55"/>
    <w:rsid w:val="00100FEE"/>
    <w:rsid w:val="001011A8"/>
    <w:rsid w:val="001013A2"/>
    <w:rsid w:val="0010197E"/>
    <w:rsid w:val="00101C2B"/>
    <w:rsid w:val="00101D01"/>
    <w:rsid w:val="00101D40"/>
    <w:rsid w:val="00102010"/>
    <w:rsid w:val="00102093"/>
    <w:rsid w:val="00102222"/>
    <w:rsid w:val="00102BC8"/>
    <w:rsid w:val="00102BF5"/>
    <w:rsid w:val="00103100"/>
    <w:rsid w:val="00103155"/>
    <w:rsid w:val="00103238"/>
    <w:rsid w:val="001032B8"/>
    <w:rsid w:val="0010338F"/>
    <w:rsid w:val="001034B2"/>
    <w:rsid w:val="00103774"/>
    <w:rsid w:val="00103791"/>
    <w:rsid w:val="001039EE"/>
    <w:rsid w:val="00103D98"/>
    <w:rsid w:val="0010457D"/>
    <w:rsid w:val="001046B2"/>
    <w:rsid w:val="00104871"/>
    <w:rsid w:val="00104DB4"/>
    <w:rsid w:val="00104F4A"/>
    <w:rsid w:val="00105206"/>
    <w:rsid w:val="00105221"/>
    <w:rsid w:val="00105277"/>
    <w:rsid w:val="0010532F"/>
    <w:rsid w:val="001059D3"/>
    <w:rsid w:val="00105B93"/>
    <w:rsid w:val="00105C5D"/>
    <w:rsid w:val="00105D62"/>
    <w:rsid w:val="00105E9B"/>
    <w:rsid w:val="00105FA1"/>
    <w:rsid w:val="00106464"/>
    <w:rsid w:val="00106518"/>
    <w:rsid w:val="00106A99"/>
    <w:rsid w:val="00106C4A"/>
    <w:rsid w:val="00106ED0"/>
    <w:rsid w:val="00106EE5"/>
    <w:rsid w:val="001071E0"/>
    <w:rsid w:val="00107273"/>
    <w:rsid w:val="00107BB7"/>
    <w:rsid w:val="00107F37"/>
    <w:rsid w:val="001102C6"/>
    <w:rsid w:val="00110340"/>
    <w:rsid w:val="00110357"/>
    <w:rsid w:val="00110662"/>
    <w:rsid w:val="00110707"/>
    <w:rsid w:val="00110711"/>
    <w:rsid w:val="00110743"/>
    <w:rsid w:val="001107D5"/>
    <w:rsid w:val="00110ADD"/>
    <w:rsid w:val="00110ADE"/>
    <w:rsid w:val="00110C65"/>
    <w:rsid w:val="00110D2C"/>
    <w:rsid w:val="00111078"/>
    <w:rsid w:val="00111097"/>
    <w:rsid w:val="0011131A"/>
    <w:rsid w:val="0011150F"/>
    <w:rsid w:val="0011159E"/>
    <w:rsid w:val="001115A4"/>
    <w:rsid w:val="001116FA"/>
    <w:rsid w:val="001117CD"/>
    <w:rsid w:val="00111D68"/>
    <w:rsid w:val="00111E4B"/>
    <w:rsid w:val="00111F30"/>
    <w:rsid w:val="00112268"/>
    <w:rsid w:val="0011245C"/>
    <w:rsid w:val="001124FA"/>
    <w:rsid w:val="001125FD"/>
    <w:rsid w:val="0011284E"/>
    <w:rsid w:val="001128BB"/>
    <w:rsid w:val="001128FC"/>
    <w:rsid w:val="001128FD"/>
    <w:rsid w:val="00112E1E"/>
    <w:rsid w:val="00112E3C"/>
    <w:rsid w:val="00113127"/>
    <w:rsid w:val="00113265"/>
    <w:rsid w:val="001133E2"/>
    <w:rsid w:val="001136F1"/>
    <w:rsid w:val="00113C80"/>
    <w:rsid w:val="00113F57"/>
    <w:rsid w:val="00113F5D"/>
    <w:rsid w:val="0011409A"/>
    <w:rsid w:val="001141C5"/>
    <w:rsid w:val="001143ED"/>
    <w:rsid w:val="00114A4D"/>
    <w:rsid w:val="00114BF4"/>
    <w:rsid w:val="00114C4E"/>
    <w:rsid w:val="00114F59"/>
    <w:rsid w:val="00115797"/>
    <w:rsid w:val="0011590C"/>
    <w:rsid w:val="00115B4E"/>
    <w:rsid w:val="00115D65"/>
    <w:rsid w:val="00115FDC"/>
    <w:rsid w:val="001161C4"/>
    <w:rsid w:val="001162C4"/>
    <w:rsid w:val="00116396"/>
    <w:rsid w:val="00116C1D"/>
    <w:rsid w:val="001172C8"/>
    <w:rsid w:val="00117361"/>
    <w:rsid w:val="0011748F"/>
    <w:rsid w:val="00117690"/>
    <w:rsid w:val="001178DD"/>
    <w:rsid w:val="00117A61"/>
    <w:rsid w:val="00117B08"/>
    <w:rsid w:val="00117BAF"/>
    <w:rsid w:val="00117CCE"/>
    <w:rsid w:val="00120087"/>
    <w:rsid w:val="00120554"/>
    <w:rsid w:val="00120823"/>
    <w:rsid w:val="00120B9A"/>
    <w:rsid w:val="00120D06"/>
    <w:rsid w:val="001210B3"/>
    <w:rsid w:val="001210C6"/>
    <w:rsid w:val="0012113F"/>
    <w:rsid w:val="0012163E"/>
    <w:rsid w:val="00121797"/>
    <w:rsid w:val="001217A1"/>
    <w:rsid w:val="00121802"/>
    <w:rsid w:val="00121F8E"/>
    <w:rsid w:val="0012202D"/>
    <w:rsid w:val="0012207E"/>
    <w:rsid w:val="00122283"/>
    <w:rsid w:val="0012229F"/>
    <w:rsid w:val="001224D9"/>
    <w:rsid w:val="001228D1"/>
    <w:rsid w:val="001228DF"/>
    <w:rsid w:val="00122AE9"/>
    <w:rsid w:val="00122B06"/>
    <w:rsid w:val="00122E18"/>
    <w:rsid w:val="00122F5F"/>
    <w:rsid w:val="00122F93"/>
    <w:rsid w:val="00122FC1"/>
    <w:rsid w:val="0012353F"/>
    <w:rsid w:val="001235D0"/>
    <w:rsid w:val="0012363A"/>
    <w:rsid w:val="00123ABA"/>
    <w:rsid w:val="00123B02"/>
    <w:rsid w:val="00123E29"/>
    <w:rsid w:val="00123ED7"/>
    <w:rsid w:val="001241E5"/>
    <w:rsid w:val="00124302"/>
    <w:rsid w:val="00124476"/>
    <w:rsid w:val="00124531"/>
    <w:rsid w:val="00124779"/>
    <w:rsid w:val="00124981"/>
    <w:rsid w:val="00124B11"/>
    <w:rsid w:val="00124FF5"/>
    <w:rsid w:val="00125326"/>
    <w:rsid w:val="00125466"/>
    <w:rsid w:val="00125477"/>
    <w:rsid w:val="001255A0"/>
    <w:rsid w:val="001257B9"/>
    <w:rsid w:val="00125891"/>
    <w:rsid w:val="00125F7F"/>
    <w:rsid w:val="00126068"/>
    <w:rsid w:val="001260A5"/>
    <w:rsid w:val="001260C9"/>
    <w:rsid w:val="001260F3"/>
    <w:rsid w:val="0012625B"/>
    <w:rsid w:val="00126356"/>
    <w:rsid w:val="001263AF"/>
    <w:rsid w:val="00126550"/>
    <w:rsid w:val="00126717"/>
    <w:rsid w:val="00126EFC"/>
    <w:rsid w:val="00127357"/>
    <w:rsid w:val="0012785C"/>
    <w:rsid w:val="00127AF2"/>
    <w:rsid w:val="00127BFE"/>
    <w:rsid w:val="00127EA7"/>
    <w:rsid w:val="00130040"/>
    <w:rsid w:val="0013046C"/>
    <w:rsid w:val="001306AC"/>
    <w:rsid w:val="001306D3"/>
    <w:rsid w:val="00130965"/>
    <w:rsid w:val="00130C38"/>
    <w:rsid w:val="00130C51"/>
    <w:rsid w:val="00130D87"/>
    <w:rsid w:val="00131034"/>
    <w:rsid w:val="001310E7"/>
    <w:rsid w:val="001314A1"/>
    <w:rsid w:val="00131852"/>
    <w:rsid w:val="001319FC"/>
    <w:rsid w:val="00131A86"/>
    <w:rsid w:val="00131CE3"/>
    <w:rsid w:val="00131D10"/>
    <w:rsid w:val="00131E82"/>
    <w:rsid w:val="00131F01"/>
    <w:rsid w:val="001321C9"/>
    <w:rsid w:val="001322BE"/>
    <w:rsid w:val="00132361"/>
    <w:rsid w:val="001323C5"/>
    <w:rsid w:val="001328C8"/>
    <w:rsid w:val="00132992"/>
    <w:rsid w:val="001329EB"/>
    <w:rsid w:val="00132AE1"/>
    <w:rsid w:val="00132B0A"/>
    <w:rsid w:val="00132B2C"/>
    <w:rsid w:val="00132B30"/>
    <w:rsid w:val="00132C91"/>
    <w:rsid w:val="00132CA8"/>
    <w:rsid w:val="00132D64"/>
    <w:rsid w:val="00132E5A"/>
    <w:rsid w:val="00132EDC"/>
    <w:rsid w:val="00132FC1"/>
    <w:rsid w:val="00133195"/>
    <w:rsid w:val="00133598"/>
    <w:rsid w:val="001336D0"/>
    <w:rsid w:val="001338FC"/>
    <w:rsid w:val="00133E72"/>
    <w:rsid w:val="00133F13"/>
    <w:rsid w:val="00133F16"/>
    <w:rsid w:val="001340A7"/>
    <w:rsid w:val="00134148"/>
    <w:rsid w:val="0013472A"/>
    <w:rsid w:val="0013477B"/>
    <w:rsid w:val="00134A37"/>
    <w:rsid w:val="00134C1D"/>
    <w:rsid w:val="0013566F"/>
    <w:rsid w:val="0013583F"/>
    <w:rsid w:val="001359FA"/>
    <w:rsid w:val="00135A85"/>
    <w:rsid w:val="00135F1B"/>
    <w:rsid w:val="001360BB"/>
    <w:rsid w:val="00136351"/>
    <w:rsid w:val="0013640C"/>
    <w:rsid w:val="001364C5"/>
    <w:rsid w:val="001365AC"/>
    <w:rsid w:val="001369EF"/>
    <w:rsid w:val="00136A25"/>
    <w:rsid w:val="00136B02"/>
    <w:rsid w:val="00136C07"/>
    <w:rsid w:val="00136D1D"/>
    <w:rsid w:val="00137078"/>
    <w:rsid w:val="00137489"/>
    <w:rsid w:val="00137530"/>
    <w:rsid w:val="001376D3"/>
    <w:rsid w:val="00137C01"/>
    <w:rsid w:val="00137C98"/>
    <w:rsid w:val="00137DCD"/>
    <w:rsid w:val="00140277"/>
    <w:rsid w:val="00140393"/>
    <w:rsid w:val="0014050E"/>
    <w:rsid w:val="00140663"/>
    <w:rsid w:val="001406AF"/>
    <w:rsid w:val="00140997"/>
    <w:rsid w:val="00140C4C"/>
    <w:rsid w:val="00140DF2"/>
    <w:rsid w:val="00140EB7"/>
    <w:rsid w:val="00140F04"/>
    <w:rsid w:val="00140FCB"/>
    <w:rsid w:val="001413B4"/>
    <w:rsid w:val="001414C2"/>
    <w:rsid w:val="001414DA"/>
    <w:rsid w:val="001414EA"/>
    <w:rsid w:val="0014154A"/>
    <w:rsid w:val="001416AF"/>
    <w:rsid w:val="00141D0D"/>
    <w:rsid w:val="00141F38"/>
    <w:rsid w:val="00142468"/>
    <w:rsid w:val="00142485"/>
    <w:rsid w:val="001425FB"/>
    <w:rsid w:val="00142815"/>
    <w:rsid w:val="00142CB7"/>
    <w:rsid w:val="00142FA4"/>
    <w:rsid w:val="001430AD"/>
    <w:rsid w:val="001431C2"/>
    <w:rsid w:val="00143201"/>
    <w:rsid w:val="00143925"/>
    <w:rsid w:val="00143B54"/>
    <w:rsid w:val="00143D2A"/>
    <w:rsid w:val="00143DF5"/>
    <w:rsid w:val="00143E23"/>
    <w:rsid w:val="00143FEC"/>
    <w:rsid w:val="0014400A"/>
    <w:rsid w:val="00144093"/>
    <w:rsid w:val="00144299"/>
    <w:rsid w:val="00144315"/>
    <w:rsid w:val="00144533"/>
    <w:rsid w:val="001448E8"/>
    <w:rsid w:val="00144C4D"/>
    <w:rsid w:val="00144CA4"/>
    <w:rsid w:val="00144D24"/>
    <w:rsid w:val="00144FFF"/>
    <w:rsid w:val="001455CF"/>
    <w:rsid w:val="0014574C"/>
    <w:rsid w:val="001463B2"/>
    <w:rsid w:val="00146404"/>
    <w:rsid w:val="0014643F"/>
    <w:rsid w:val="00146501"/>
    <w:rsid w:val="0014651B"/>
    <w:rsid w:val="001468C9"/>
    <w:rsid w:val="00146BE4"/>
    <w:rsid w:val="00146E0A"/>
    <w:rsid w:val="00147068"/>
    <w:rsid w:val="001471D4"/>
    <w:rsid w:val="001471E5"/>
    <w:rsid w:val="00147456"/>
    <w:rsid w:val="0014771C"/>
    <w:rsid w:val="00147C30"/>
    <w:rsid w:val="00147DC0"/>
    <w:rsid w:val="00150375"/>
    <w:rsid w:val="0015050F"/>
    <w:rsid w:val="0015062F"/>
    <w:rsid w:val="00150A56"/>
    <w:rsid w:val="00150C6D"/>
    <w:rsid w:val="00150E5C"/>
    <w:rsid w:val="001511B0"/>
    <w:rsid w:val="00151283"/>
    <w:rsid w:val="00151415"/>
    <w:rsid w:val="001514F5"/>
    <w:rsid w:val="0015182D"/>
    <w:rsid w:val="00151CE5"/>
    <w:rsid w:val="00151E86"/>
    <w:rsid w:val="001520C2"/>
    <w:rsid w:val="001520E3"/>
    <w:rsid w:val="001522F2"/>
    <w:rsid w:val="001522FD"/>
    <w:rsid w:val="00152550"/>
    <w:rsid w:val="001528D6"/>
    <w:rsid w:val="0015291A"/>
    <w:rsid w:val="00152A3B"/>
    <w:rsid w:val="00152A5A"/>
    <w:rsid w:val="00152A7A"/>
    <w:rsid w:val="00152B5B"/>
    <w:rsid w:val="00152B9D"/>
    <w:rsid w:val="00152E21"/>
    <w:rsid w:val="00152FF1"/>
    <w:rsid w:val="0015306B"/>
    <w:rsid w:val="001530DC"/>
    <w:rsid w:val="00153116"/>
    <w:rsid w:val="00153222"/>
    <w:rsid w:val="001535D0"/>
    <w:rsid w:val="001536F5"/>
    <w:rsid w:val="00153934"/>
    <w:rsid w:val="00153A2A"/>
    <w:rsid w:val="00153F06"/>
    <w:rsid w:val="001541C7"/>
    <w:rsid w:val="0015425C"/>
    <w:rsid w:val="0015428B"/>
    <w:rsid w:val="00154379"/>
    <w:rsid w:val="00154451"/>
    <w:rsid w:val="001544E7"/>
    <w:rsid w:val="00154820"/>
    <w:rsid w:val="0015490F"/>
    <w:rsid w:val="00154ABD"/>
    <w:rsid w:val="00154D1B"/>
    <w:rsid w:val="00154E49"/>
    <w:rsid w:val="00154F0E"/>
    <w:rsid w:val="0015502A"/>
    <w:rsid w:val="0015558B"/>
    <w:rsid w:val="001555CB"/>
    <w:rsid w:val="00155640"/>
    <w:rsid w:val="001557A6"/>
    <w:rsid w:val="00155A81"/>
    <w:rsid w:val="00155A82"/>
    <w:rsid w:val="00155A89"/>
    <w:rsid w:val="00155F97"/>
    <w:rsid w:val="0015600F"/>
    <w:rsid w:val="00156244"/>
    <w:rsid w:val="001562AC"/>
    <w:rsid w:val="0015643A"/>
    <w:rsid w:val="00156540"/>
    <w:rsid w:val="0015691B"/>
    <w:rsid w:val="00156A12"/>
    <w:rsid w:val="00156DE8"/>
    <w:rsid w:val="00156DF2"/>
    <w:rsid w:val="00156ED4"/>
    <w:rsid w:val="00157750"/>
    <w:rsid w:val="00157CDF"/>
    <w:rsid w:val="00157D57"/>
    <w:rsid w:val="00160023"/>
    <w:rsid w:val="0016008D"/>
    <w:rsid w:val="0016013C"/>
    <w:rsid w:val="00160211"/>
    <w:rsid w:val="001602F9"/>
    <w:rsid w:val="001605AE"/>
    <w:rsid w:val="0016076D"/>
    <w:rsid w:val="0016084F"/>
    <w:rsid w:val="001609F3"/>
    <w:rsid w:val="00160B63"/>
    <w:rsid w:val="00160BA6"/>
    <w:rsid w:val="00160BBD"/>
    <w:rsid w:val="00160D55"/>
    <w:rsid w:val="00160ED4"/>
    <w:rsid w:val="00160F0E"/>
    <w:rsid w:val="00160FA4"/>
    <w:rsid w:val="00161284"/>
    <w:rsid w:val="001612B2"/>
    <w:rsid w:val="00161355"/>
    <w:rsid w:val="00161653"/>
    <w:rsid w:val="00161987"/>
    <w:rsid w:val="00161B53"/>
    <w:rsid w:val="00161C0D"/>
    <w:rsid w:val="00162232"/>
    <w:rsid w:val="00162413"/>
    <w:rsid w:val="00162528"/>
    <w:rsid w:val="00162822"/>
    <w:rsid w:val="00162BB6"/>
    <w:rsid w:val="001630F8"/>
    <w:rsid w:val="00163381"/>
    <w:rsid w:val="0016367B"/>
    <w:rsid w:val="0016392E"/>
    <w:rsid w:val="00163EDA"/>
    <w:rsid w:val="00163FB9"/>
    <w:rsid w:val="001640F6"/>
    <w:rsid w:val="00164125"/>
    <w:rsid w:val="00164277"/>
    <w:rsid w:val="0016440D"/>
    <w:rsid w:val="0016469B"/>
    <w:rsid w:val="00164A29"/>
    <w:rsid w:val="00164B6F"/>
    <w:rsid w:val="00164CAE"/>
    <w:rsid w:val="00164F86"/>
    <w:rsid w:val="00165157"/>
    <w:rsid w:val="001651D2"/>
    <w:rsid w:val="001653AE"/>
    <w:rsid w:val="0016556B"/>
    <w:rsid w:val="00165AC4"/>
    <w:rsid w:val="00166105"/>
    <w:rsid w:val="00166491"/>
    <w:rsid w:val="00166538"/>
    <w:rsid w:val="0016681A"/>
    <w:rsid w:val="0016681D"/>
    <w:rsid w:val="0016686C"/>
    <w:rsid w:val="0016696D"/>
    <w:rsid w:val="00166AF9"/>
    <w:rsid w:val="00166C4E"/>
    <w:rsid w:val="00166CC7"/>
    <w:rsid w:val="001672EB"/>
    <w:rsid w:val="00167690"/>
    <w:rsid w:val="001677E1"/>
    <w:rsid w:val="00167F2E"/>
    <w:rsid w:val="00167F5D"/>
    <w:rsid w:val="0017006B"/>
    <w:rsid w:val="00170366"/>
    <w:rsid w:val="001703D9"/>
    <w:rsid w:val="001706D5"/>
    <w:rsid w:val="001706D8"/>
    <w:rsid w:val="001708CC"/>
    <w:rsid w:val="00170A91"/>
    <w:rsid w:val="00170CAF"/>
    <w:rsid w:val="00170FC4"/>
    <w:rsid w:val="00171205"/>
    <w:rsid w:val="0017129E"/>
    <w:rsid w:val="001714BC"/>
    <w:rsid w:val="001716F2"/>
    <w:rsid w:val="00171923"/>
    <w:rsid w:val="00171AFB"/>
    <w:rsid w:val="00171CB4"/>
    <w:rsid w:val="00171D2D"/>
    <w:rsid w:val="001720C6"/>
    <w:rsid w:val="001720F3"/>
    <w:rsid w:val="00172349"/>
    <w:rsid w:val="001724C4"/>
    <w:rsid w:val="001726B2"/>
    <w:rsid w:val="00172740"/>
    <w:rsid w:val="0017275F"/>
    <w:rsid w:val="00172864"/>
    <w:rsid w:val="00172999"/>
    <w:rsid w:val="001729E8"/>
    <w:rsid w:val="00172A02"/>
    <w:rsid w:val="00172AFF"/>
    <w:rsid w:val="0017316C"/>
    <w:rsid w:val="001731BE"/>
    <w:rsid w:val="0017325C"/>
    <w:rsid w:val="001732B1"/>
    <w:rsid w:val="001733B0"/>
    <w:rsid w:val="001734E9"/>
    <w:rsid w:val="00173690"/>
    <w:rsid w:val="00173810"/>
    <w:rsid w:val="00173966"/>
    <w:rsid w:val="00173E96"/>
    <w:rsid w:val="001741A2"/>
    <w:rsid w:val="0017431C"/>
    <w:rsid w:val="001743C7"/>
    <w:rsid w:val="00174577"/>
    <w:rsid w:val="00174882"/>
    <w:rsid w:val="001748C6"/>
    <w:rsid w:val="00174927"/>
    <w:rsid w:val="00174BD6"/>
    <w:rsid w:val="00174D7D"/>
    <w:rsid w:val="00174DA6"/>
    <w:rsid w:val="00174F03"/>
    <w:rsid w:val="00174F5C"/>
    <w:rsid w:val="00175704"/>
    <w:rsid w:val="00175801"/>
    <w:rsid w:val="00175852"/>
    <w:rsid w:val="0017596B"/>
    <w:rsid w:val="001759B7"/>
    <w:rsid w:val="00175A80"/>
    <w:rsid w:val="00175B56"/>
    <w:rsid w:val="00175B95"/>
    <w:rsid w:val="00175EB9"/>
    <w:rsid w:val="00175F2B"/>
    <w:rsid w:val="0017606E"/>
    <w:rsid w:val="00176156"/>
    <w:rsid w:val="001761AD"/>
    <w:rsid w:val="001769E1"/>
    <w:rsid w:val="00176AB2"/>
    <w:rsid w:val="00176AE5"/>
    <w:rsid w:val="00177254"/>
    <w:rsid w:val="001773BA"/>
    <w:rsid w:val="0017747F"/>
    <w:rsid w:val="00177615"/>
    <w:rsid w:val="00177761"/>
    <w:rsid w:val="00177E38"/>
    <w:rsid w:val="00177EDB"/>
    <w:rsid w:val="00177F07"/>
    <w:rsid w:val="0018025C"/>
    <w:rsid w:val="0018081F"/>
    <w:rsid w:val="00180A81"/>
    <w:rsid w:val="00180DAD"/>
    <w:rsid w:val="00180E0B"/>
    <w:rsid w:val="00180E38"/>
    <w:rsid w:val="001813B1"/>
    <w:rsid w:val="00181492"/>
    <w:rsid w:val="00181526"/>
    <w:rsid w:val="00181863"/>
    <w:rsid w:val="00181AAE"/>
    <w:rsid w:val="00181B94"/>
    <w:rsid w:val="00181C72"/>
    <w:rsid w:val="00181C9D"/>
    <w:rsid w:val="00181CB1"/>
    <w:rsid w:val="00182032"/>
    <w:rsid w:val="001820F3"/>
    <w:rsid w:val="0018214E"/>
    <w:rsid w:val="001821F5"/>
    <w:rsid w:val="00182308"/>
    <w:rsid w:val="001826E7"/>
    <w:rsid w:val="0018293E"/>
    <w:rsid w:val="00182AB1"/>
    <w:rsid w:val="00182AB8"/>
    <w:rsid w:val="00182CF2"/>
    <w:rsid w:val="00182F27"/>
    <w:rsid w:val="00182F8C"/>
    <w:rsid w:val="0018319A"/>
    <w:rsid w:val="001832B9"/>
    <w:rsid w:val="001832F1"/>
    <w:rsid w:val="001835DE"/>
    <w:rsid w:val="00183644"/>
    <w:rsid w:val="00183CB6"/>
    <w:rsid w:val="00184438"/>
    <w:rsid w:val="00184470"/>
    <w:rsid w:val="001846C1"/>
    <w:rsid w:val="00184893"/>
    <w:rsid w:val="00184CD0"/>
    <w:rsid w:val="00184F25"/>
    <w:rsid w:val="00184FDA"/>
    <w:rsid w:val="00185017"/>
    <w:rsid w:val="00185188"/>
    <w:rsid w:val="00185196"/>
    <w:rsid w:val="0018555C"/>
    <w:rsid w:val="0018572E"/>
    <w:rsid w:val="001859CC"/>
    <w:rsid w:val="00185B37"/>
    <w:rsid w:val="00185DAC"/>
    <w:rsid w:val="001860E2"/>
    <w:rsid w:val="0018616C"/>
    <w:rsid w:val="00186592"/>
    <w:rsid w:val="00186798"/>
    <w:rsid w:val="0018698A"/>
    <w:rsid w:val="00186AA4"/>
    <w:rsid w:val="00186B56"/>
    <w:rsid w:val="00186CB2"/>
    <w:rsid w:val="00186E1B"/>
    <w:rsid w:val="00186F25"/>
    <w:rsid w:val="0018701E"/>
    <w:rsid w:val="0018707E"/>
    <w:rsid w:val="00187478"/>
    <w:rsid w:val="00187960"/>
    <w:rsid w:val="00187985"/>
    <w:rsid w:val="001879F6"/>
    <w:rsid w:val="00187A2D"/>
    <w:rsid w:val="00187FC3"/>
    <w:rsid w:val="001900AB"/>
    <w:rsid w:val="0019022C"/>
    <w:rsid w:val="001902E7"/>
    <w:rsid w:val="00190684"/>
    <w:rsid w:val="00190816"/>
    <w:rsid w:val="001908D9"/>
    <w:rsid w:val="001909CE"/>
    <w:rsid w:val="00190A7F"/>
    <w:rsid w:val="00190AA3"/>
    <w:rsid w:val="00190DED"/>
    <w:rsid w:val="00190F61"/>
    <w:rsid w:val="0019135B"/>
    <w:rsid w:val="00191505"/>
    <w:rsid w:val="00191ACA"/>
    <w:rsid w:val="001923BC"/>
    <w:rsid w:val="001923D3"/>
    <w:rsid w:val="00192423"/>
    <w:rsid w:val="00192465"/>
    <w:rsid w:val="0019262A"/>
    <w:rsid w:val="0019286A"/>
    <w:rsid w:val="00192908"/>
    <w:rsid w:val="00192A6B"/>
    <w:rsid w:val="00192D4B"/>
    <w:rsid w:val="00192E84"/>
    <w:rsid w:val="00192F38"/>
    <w:rsid w:val="0019300C"/>
    <w:rsid w:val="001936C3"/>
    <w:rsid w:val="001936FD"/>
    <w:rsid w:val="00193803"/>
    <w:rsid w:val="0019389F"/>
    <w:rsid w:val="00193DF1"/>
    <w:rsid w:val="00193EA1"/>
    <w:rsid w:val="00193EC8"/>
    <w:rsid w:val="001941E0"/>
    <w:rsid w:val="001942E3"/>
    <w:rsid w:val="001945CC"/>
    <w:rsid w:val="00194645"/>
    <w:rsid w:val="00194BE9"/>
    <w:rsid w:val="00194C08"/>
    <w:rsid w:val="00194DBD"/>
    <w:rsid w:val="00194E9A"/>
    <w:rsid w:val="00194F1E"/>
    <w:rsid w:val="00194FEB"/>
    <w:rsid w:val="001950D7"/>
    <w:rsid w:val="0019513D"/>
    <w:rsid w:val="0019572D"/>
    <w:rsid w:val="0019579D"/>
    <w:rsid w:val="00195999"/>
    <w:rsid w:val="00195C6D"/>
    <w:rsid w:val="00195CC1"/>
    <w:rsid w:val="00195E27"/>
    <w:rsid w:val="00196096"/>
    <w:rsid w:val="001961AA"/>
    <w:rsid w:val="001962B5"/>
    <w:rsid w:val="00196404"/>
    <w:rsid w:val="0019644C"/>
    <w:rsid w:val="001964A9"/>
    <w:rsid w:val="001964B0"/>
    <w:rsid w:val="001964C0"/>
    <w:rsid w:val="00196789"/>
    <w:rsid w:val="001967DC"/>
    <w:rsid w:val="00196C1A"/>
    <w:rsid w:val="00197021"/>
    <w:rsid w:val="00197371"/>
    <w:rsid w:val="00197515"/>
    <w:rsid w:val="001977F6"/>
    <w:rsid w:val="00197835"/>
    <w:rsid w:val="0019783A"/>
    <w:rsid w:val="001978A4"/>
    <w:rsid w:val="001979C5"/>
    <w:rsid w:val="00197BA7"/>
    <w:rsid w:val="00197BFF"/>
    <w:rsid w:val="00197C1E"/>
    <w:rsid w:val="00197CCF"/>
    <w:rsid w:val="00197CE4"/>
    <w:rsid w:val="00197EB9"/>
    <w:rsid w:val="001A01F7"/>
    <w:rsid w:val="001A0431"/>
    <w:rsid w:val="001A0514"/>
    <w:rsid w:val="001A05BE"/>
    <w:rsid w:val="001A06B1"/>
    <w:rsid w:val="001A07C8"/>
    <w:rsid w:val="001A1067"/>
    <w:rsid w:val="001A1076"/>
    <w:rsid w:val="001A16C6"/>
    <w:rsid w:val="001A188D"/>
    <w:rsid w:val="001A1BF7"/>
    <w:rsid w:val="001A1E60"/>
    <w:rsid w:val="001A205E"/>
    <w:rsid w:val="001A2298"/>
    <w:rsid w:val="001A239E"/>
    <w:rsid w:val="001A242D"/>
    <w:rsid w:val="001A244F"/>
    <w:rsid w:val="001A25EF"/>
    <w:rsid w:val="001A2AA4"/>
    <w:rsid w:val="001A2DB5"/>
    <w:rsid w:val="001A2ED8"/>
    <w:rsid w:val="001A32B5"/>
    <w:rsid w:val="001A33AA"/>
    <w:rsid w:val="001A3925"/>
    <w:rsid w:val="001A3958"/>
    <w:rsid w:val="001A3A87"/>
    <w:rsid w:val="001A3F56"/>
    <w:rsid w:val="001A4268"/>
    <w:rsid w:val="001A4297"/>
    <w:rsid w:val="001A4927"/>
    <w:rsid w:val="001A4A4A"/>
    <w:rsid w:val="001A4B5F"/>
    <w:rsid w:val="001A4D93"/>
    <w:rsid w:val="001A4DAA"/>
    <w:rsid w:val="001A5109"/>
    <w:rsid w:val="001A5158"/>
    <w:rsid w:val="001A51E3"/>
    <w:rsid w:val="001A5687"/>
    <w:rsid w:val="001A5894"/>
    <w:rsid w:val="001A5BFE"/>
    <w:rsid w:val="001A60E8"/>
    <w:rsid w:val="001A637C"/>
    <w:rsid w:val="001A6619"/>
    <w:rsid w:val="001A6651"/>
    <w:rsid w:val="001A6BB6"/>
    <w:rsid w:val="001A6C0D"/>
    <w:rsid w:val="001A7010"/>
    <w:rsid w:val="001A712E"/>
    <w:rsid w:val="001A733E"/>
    <w:rsid w:val="001A770B"/>
    <w:rsid w:val="001A7AAB"/>
    <w:rsid w:val="001A7CA8"/>
    <w:rsid w:val="001A7D2C"/>
    <w:rsid w:val="001A7D95"/>
    <w:rsid w:val="001B018F"/>
    <w:rsid w:val="001B02AC"/>
    <w:rsid w:val="001B0522"/>
    <w:rsid w:val="001B0784"/>
    <w:rsid w:val="001B0A96"/>
    <w:rsid w:val="001B0B58"/>
    <w:rsid w:val="001B0B7E"/>
    <w:rsid w:val="001B0BA8"/>
    <w:rsid w:val="001B0BB8"/>
    <w:rsid w:val="001B0C4B"/>
    <w:rsid w:val="001B0E27"/>
    <w:rsid w:val="001B0EE4"/>
    <w:rsid w:val="001B1028"/>
    <w:rsid w:val="001B111A"/>
    <w:rsid w:val="001B135E"/>
    <w:rsid w:val="001B140B"/>
    <w:rsid w:val="001B156B"/>
    <w:rsid w:val="001B1602"/>
    <w:rsid w:val="001B16F6"/>
    <w:rsid w:val="001B19CE"/>
    <w:rsid w:val="001B1B7A"/>
    <w:rsid w:val="001B1E8C"/>
    <w:rsid w:val="001B2352"/>
    <w:rsid w:val="001B2411"/>
    <w:rsid w:val="001B2613"/>
    <w:rsid w:val="001B2A21"/>
    <w:rsid w:val="001B2A97"/>
    <w:rsid w:val="001B2AD5"/>
    <w:rsid w:val="001B2B00"/>
    <w:rsid w:val="001B2D0F"/>
    <w:rsid w:val="001B2F23"/>
    <w:rsid w:val="001B30E0"/>
    <w:rsid w:val="001B30ED"/>
    <w:rsid w:val="001B316B"/>
    <w:rsid w:val="001B348C"/>
    <w:rsid w:val="001B35B5"/>
    <w:rsid w:val="001B39C6"/>
    <w:rsid w:val="001B3C0D"/>
    <w:rsid w:val="001B3D88"/>
    <w:rsid w:val="001B3E39"/>
    <w:rsid w:val="001B3F05"/>
    <w:rsid w:val="001B3F1B"/>
    <w:rsid w:val="001B3F54"/>
    <w:rsid w:val="001B425A"/>
    <w:rsid w:val="001B4717"/>
    <w:rsid w:val="001B4892"/>
    <w:rsid w:val="001B48B8"/>
    <w:rsid w:val="001B4938"/>
    <w:rsid w:val="001B4D65"/>
    <w:rsid w:val="001B4FA5"/>
    <w:rsid w:val="001B545A"/>
    <w:rsid w:val="001B55E1"/>
    <w:rsid w:val="001B5631"/>
    <w:rsid w:val="001B5719"/>
    <w:rsid w:val="001B5FEA"/>
    <w:rsid w:val="001B61BA"/>
    <w:rsid w:val="001B6223"/>
    <w:rsid w:val="001B6428"/>
    <w:rsid w:val="001B6462"/>
    <w:rsid w:val="001B65C0"/>
    <w:rsid w:val="001B68DF"/>
    <w:rsid w:val="001B6972"/>
    <w:rsid w:val="001B6B64"/>
    <w:rsid w:val="001B6E83"/>
    <w:rsid w:val="001B6F5C"/>
    <w:rsid w:val="001B7059"/>
    <w:rsid w:val="001B72D1"/>
    <w:rsid w:val="001B7464"/>
    <w:rsid w:val="001B74E8"/>
    <w:rsid w:val="001B7765"/>
    <w:rsid w:val="001B7879"/>
    <w:rsid w:val="001B7D23"/>
    <w:rsid w:val="001B7D8B"/>
    <w:rsid w:val="001B7D8D"/>
    <w:rsid w:val="001B7E3B"/>
    <w:rsid w:val="001B7F98"/>
    <w:rsid w:val="001B7FCB"/>
    <w:rsid w:val="001C000D"/>
    <w:rsid w:val="001C008A"/>
    <w:rsid w:val="001C0134"/>
    <w:rsid w:val="001C02E0"/>
    <w:rsid w:val="001C03DA"/>
    <w:rsid w:val="001C04E9"/>
    <w:rsid w:val="001C0650"/>
    <w:rsid w:val="001C0693"/>
    <w:rsid w:val="001C0BAB"/>
    <w:rsid w:val="001C0D6C"/>
    <w:rsid w:val="001C0ECF"/>
    <w:rsid w:val="001C11C2"/>
    <w:rsid w:val="001C1C63"/>
    <w:rsid w:val="001C1F1C"/>
    <w:rsid w:val="001C2129"/>
    <w:rsid w:val="001C2404"/>
    <w:rsid w:val="001C2406"/>
    <w:rsid w:val="001C2616"/>
    <w:rsid w:val="001C274F"/>
    <w:rsid w:val="001C2968"/>
    <w:rsid w:val="001C2B32"/>
    <w:rsid w:val="001C2B49"/>
    <w:rsid w:val="001C2B91"/>
    <w:rsid w:val="001C2FE2"/>
    <w:rsid w:val="001C2FFF"/>
    <w:rsid w:val="001C3035"/>
    <w:rsid w:val="001C3575"/>
    <w:rsid w:val="001C3751"/>
    <w:rsid w:val="001C381C"/>
    <w:rsid w:val="001C3AA7"/>
    <w:rsid w:val="001C3C7B"/>
    <w:rsid w:val="001C3D69"/>
    <w:rsid w:val="001C47A3"/>
    <w:rsid w:val="001C5035"/>
    <w:rsid w:val="001C5079"/>
    <w:rsid w:val="001C52D8"/>
    <w:rsid w:val="001C5494"/>
    <w:rsid w:val="001C5805"/>
    <w:rsid w:val="001C5A1A"/>
    <w:rsid w:val="001C5A76"/>
    <w:rsid w:val="001C5A78"/>
    <w:rsid w:val="001C5DAE"/>
    <w:rsid w:val="001C6609"/>
    <w:rsid w:val="001C6A6A"/>
    <w:rsid w:val="001C6C05"/>
    <w:rsid w:val="001C6F0C"/>
    <w:rsid w:val="001C7035"/>
    <w:rsid w:val="001C707B"/>
    <w:rsid w:val="001C709A"/>
    <w:rsid w:val="001C723E"/>
    <w:rsid w:val="001C742D"/>
    <w:rsid w:val="001C7695"/>
    <w:rsid w:val="001C781D"/>
    <w:rsid w:val="001C7888"/>
    <w:rsid w:val="001C7A4E"/>
    <w:rsid w:val="001C7BA5"/>
    <w:rsid w:val="001C7C34"/>
    <w:rsid w:val="001C7E1C"/>
    <w:rsid w:val="001C7FFA"/>
    <w:rsid w:val="001D00DC"/>
    <w:rsid w:val="001D01FA"/>
    <w:rsid w:val="001D0249"/>
    <w:rsid w:val="001D0552"/>
    <w:rsid w:val="001D0F13"/>
    <w:rsid w:val="001D12E0"/>
    <w:rsid w:val="001D1329"/>
    <w:rsid w:val="001D136A"/>
    <w:rsid w:val="001D1700"/>
    <w:rsid w:val="001D187E"/>
    <w:rsid w:val="001D18BD"/>
    <w:rsid w:val="001D19F1"/>
    <w:rsid w:val="001D1D74"/>
    <w:rsid w:val="001D1DC0"/>
    <w:rsid w:val="001D1E3A"/>
    <w:rsid w:val="001D1E42"/>
    <w:rsid w:val="001D1FA3"/>
    <w:rsid w:val="001D21A1"/>
    <w:rsid w:val="001D23E0"/>
    <w:rsid w:val="001D2474"/>
    <w:rsid w:val="001D27EC"/>
    <w:rsid w:val="001D28F6"/>
    <w:rsid w:val="001D2B7B"/>
    <w:rsid w:val="001D2C69"/>
    <w:rsid w:val="001D2D8E"/>
    <w:rsid w:val="001D2E19"/>
    <w:rsid w:val="001D3117"/>
    <w:rsid w:val="001D3582"/>
    <w:rsid w:val="001D3B4F"/>
    <w:rsid w:val="001D3E02"/>
    <w:rsid w:val="001D4482"/>
    <w:rsid w:val="001D47BD"/>
    <w:rsid w:val="001D49E4"/>
    <w:rsid w:val="001D4AE8"/>
    <w:rsid w:val="001D4BD6"/>
    <w:rsid w:val="001D4CAE"/>
    <w:rsid w:val="001D4CB0"/>
    <w:rsid w:val="001D4CBF"/>
    <w:rsid w:val="001D4DDC"/>
    <w:rsid w:val="001D4EDF"/>
    <w:rsid w:val="001D5015"/>
    <w:rsid w:val="001D5393"/>
    <w:rsid w:val="001D5601"/>
    <w:rsid w:val="001D574A"/>
    <w:rsid w:val="001D58CC"/>
    <w:rsid w:val="001D5934"/>
    <w:rsid w:val="001D5C71"/>
    <w:rsid w:val="001D5E7C"/>
    <w:rsid w:val="001D5F74"/>
    <w:rsid w:val="001D6456"/>
    <w:rsid w:val="001D65CB"/>
    <w:rsid w:val="001D665C"/>
    <w:rsid w:val="001D6A98"/>
    <w:rsid w:val="001D6FC5"/>
    <w:rsid w:val="001D7092"/>
    <w:rsid w:val="001D71D0"/>
    <w:rsid w:val="001D7382"/>
    <w:rsid w:val="001D73E1"/>
    <w:rsid w:val="001D75A9"/>
    <w:rsid w:val="001D75D8"/>
    <w:rsid w:val="001D75E7"/>
    <w:rsid w:val="001D76E5"/>
    <w:rsid w:val="001D77A3"/>
    <w:rsid w:val="001D7855"/>
    <w:rsid w:val="001D7D1E"/>
    <w:rsid w:val="001D7DF5"/>
    <w:rsid w:val="001D7F42"/>
    <w:rsid w:val="001D7F9E"/>
    <w:rsid w:val="001E012B"/>
    <w:rsid w:val="001E03D2"/>
    <w:rsid w:val="001E0674"/>
    <w:rsid w:val="001E06F2"/>
    <w:rsid w:val="001E076A"/>
    <w:rsid w:val="001E08FE"/>
    <w:rsid w:val="001E0BF7"/>
    <w:rsid w:val="001E0C42"/>
    <w:rsid w:val="001E0C68"/>
    <w:rsid w:val="001E0E17"/>
    <w:rsid w:val="001E0EAB"/>
    <w:rsid w:val="001E1130"/>
    <w:rsid w:val="001E16F0"/>
    <w:rsid w:val="001E1840"/>
    <w:rsid w:val="001E19F6"/>
    <w:rsid w:val="001E1A27"/>
    <w:rsid w:val="001E1A61"/>
    <w:rsid w:val="001E1CED"/>
    <w:rsid w:val="001E1E2F"/>
    <w:rsid w:val="001E1F3B"/>
    <w:rsid w:val="001E2079"/>
    <w:rsid w:val="001E2082"/>
    <w:rsid w:val="001E24DA"/>
    <w:rsid w:val="001E26D0"/>
    <w:rsid w:val="001E2E78"/>
    <w:rsid w:val="001E33FA"/>
    <w:rsid w:val="001E3516"/>
    <w:rsid w:val="001E3603"/>
    <w:rsid w:val="001E3619"/>
    <w:rsid w:val="001E3658"/>
    <w:rsid w:val="001E3702"/>
    <w:rsid w:val="001E3B24"/>
    <w:rsid w:val="001E3BA7"/>
    <w:rsid w:val="001E3D03"/>
    <w:rsid w:val="001E4001"/>
    <w:rsid w:val="001E43F5"/>
    <w:rsid w:val="001E45F4"/>
    <w:rsid w:val="001E464C"/>
    <w:rsid w:val="001E48D4"/>
    <w:rsid w:val="001E4957"/>
    <w:rsid w:val="001E4A0E"/>
    <w:rsid w:val="001E4B2F"/>
    <w:rsid w:val="001E4DA4"/>
    <w:rsid w:val="001E5046"/>
    <w:rsid w:val="001E5111"/>
    <w:rsid w:val="001E56F5"/>
    <w:rsid w:val="001E5B84"/>
    <w:rsid w:val="001E5D5D"/>
    <w:rsid w:val="001E5DBD"/>
    <w:rsid w:val="001E5DE8"/>
    <w:rsid w:val="001E62B9"/>
    <w:rsid w:val="001E6360"/>
    <w:rsid w:val="001E68A5"/>
    <w:rsid w:val="001E6CF9"/>
    <w:rsid w:val="001E6D8C"/>
    <w:rsid w:val="001E6ED4"/>
    <w:rsid w:val="001E724A"/>
    <w:rsid w:val="001E74C2"/>
    <w:rsid w:val="001E757A"/>
    <w:rsid w:val="001E75BF"/>
    <w:rsid w:val="001E7751"/>
    <w:rsid w:val="001E796B"/>
    <w:rsid w:val="001E79C2"/>
    <w:rsid w:val="001E7B2C"/>
    <w:rsid w:val="001E7BC5"/>
    <w:rsid w:val="001E7CCF"/>
    <w:rsid w:val="001E7E28"/>
    <w:rsid w:val="001F0357"/>
    <w:rsid w:val="001F0782"/>
    <w:rsid w:val="001F0B78"/>
    <w:rsid w:val="001F0DBA"/>
    <w:rsid w:val="001F0DC8"/>
    <w:rsid w:val="001F0F87"/>
    <w:rsid w:val="001F10EF"/>
    <w:rsid w:val="001F114C"/>
    <w:rsid w:val="001F14E8"/>
    <w:rsid w:val="001F18D9"/>
    <w:rsid w:val="001F19CD"/>
    <w:rsid w:val="001F19D4"/>
    <w:rsid w:val="001F1C45"/>
    <w:rsid w:val="001F1C62"/>
    <w:rsid w:val="001F1F8A"/>
    <w:rsid w:val="001F205A"/>
    <w:rsid w:val="001F27A2"/>
    <w:rsid w:val="001F2820"/>
    <w:rsid w:val="001F298A"/>
    <w:rsid w:val="001F299C"/>
    <w:rsid w:val="001F2A2E"/>
    <w:rsid w:val="001F30F3"/>
    <w:rsid w:val="001F3798"/>
    <w:rsid w:val="001F3C80"/>
    <w:rsid w:val="001F4358"/>
    <w:rsid w:val="001F44F7"/>
    <w:rsid w:val="001F451A"/>
    <w:rsid w:val="001F45BD"/>
    <w:rsid w:val="001F4692"/>
    <w:rsid w:val="001F4BEA"/>
    <w:rsid w:val="001F4D49"/>
    <w:rsid w:val="001F50CE"/>
    <w:rsid w:val="001F57FD"/>
    <w:rsid w:val="001F598F"/>
    <w:rsid w:val="001F5B9F"/>
    <w:rsid w:val="001F5BCE"/>
    <w:rsid w:val="001F5CC3"/>
    <w:rsid w:val="001F5D07"/>
    <w:rsid w:val="001F607A"/>
    <w:rsid w:val="001F6253"/>
    <w:rsid w:val="001F6566"/>
    <w:rsid w:val="001F66E5"/>
    <w:rsid w:val="001F68C9"/>
    <w:rsid w:val="001F69F6"/>
    <w:rsid w:val="001F6A3E"/>
    <w:rsid w:val="001F6ED7"/>
    <w:rsid w:val="001F709F"/>
    <w:rsid w:val="001F7116"/>
    <w:rsid w:val="001F7E66"/>
    <w:rsid w:val="001F7E7C"/>
    <w:rsid w:val="00200432"/>
    <w:rsid w:val="002007D2"/>
    <w:rsid w:val="00200ADF"/>
    <w:rsid w:val="00200EAE"/>
    <w:rsid w:val="00200FA4"/>
    <w:rsid w:val="00200FB5"/>
    <w:rsid w:val="00201378"/>
    <w:rsid w:val="002014A0"/>
    <w:rsid w:val="002015BA"/>
    <w:rsid w:val="0020164E"/>
    <w:rsid w:val="0020167A"/>
    <w:rsid w:val="002017C0"/>
    <w:rsid w:val="0020194F"/>
    <w:rsid w:val="00201D72"/>
    <w:rsid w:val="00201DE7"/>
    <w:rsid w:val="00201F20"/>
    <w:rsid w:val="002023BA"/>
    <w:rsid w:val="0020273B"/>
    <w:rsid w:val="0020285E"/>
    <w:rsid w:val="0020287F"/>
    <w:rsid w:val="0020291E"/>
    <w:rsid w:val="00202957"/>
    <w:rsid w:val="0020295B"/>
    <w:rsid w:val="00202EA5"/>
    <w:rsid w:val="0020320F"/>
    <w:rsid w:val="0020323D"/>
    <w:rsid w:val="002032A6"/>
    <w:rsid w:val="002034ED"/>
    <w:rsid w:val="00203515"/>
    <w:rsid w:val="0020362F"/>
    <w:rsid w:val="00203ADD"/>
    <w:rsid w:val="00203B28"/>
    <w:rsid w:val="00203BDD"/>
    <w:rsid w:val="00203ECB"/>
    <w:rsid w:val="00204010"/>
    <w:rsid w:val="00204016"/>
    <w:rsid w:val="00204027"/>
    <w:rsid w:val="0020406B"/>
    <w:rsid w:val="0020411D"/>
    <w:rsid w:val="002041ED"/>
    <w:rsid w:val="0020437F"/>
    <w:rsid w:val="0020442B"/>
    <w:rsid w:val="00204491"/>
    <w:rsid w:val="002044A2"/>
    <w:rsid w:val="00204533"/>
    <w:rsid w:val="00204560"/>
    <w:rsid w:val="00204969"/>
    <w:rsid w:val="002049E4"/>
    <w:rsid w:val="00204B36"/>
    <w:rsid w:val="00204C25"/>
    <w:rsid w:val="00204C4B"/>
    <w:rsid w:val="00204C66"/>
    <w:rsid w:val="00204EDA"/>
    <w:rsid w:val="002051DE"/>
    <w:rsid w:val="0020524C"/>
    <w:rsid w:val="0020537E"/>
    <w:rsid w:val="0020574D"/>
    <w:rsid w:val="00205894"/>
    <w:rsid w:val="00205A6F"/>
    <w:rsid w:val="00205A79"/>
    <w:rsid w:val="00205BD3"/>
    <w:rsid w:val="00205DE0"/>
    <w:rsid w:val="00205EB3"/>
    <w:rsid w:val="00205FA4"/>
    <w:rsid w:val="002062D0"/>
    <w:rsid w:val="002066FE"/>
    <w:rsid w:val="00206848"/>
    <w:rsid w:val="00206928"/>
    <w:rsid w:val="00206A14"/>
    <w:rsid w:val="00206B22"/>
    <w:rsid w:val="00206F98"/>
    <w:rsid w:val="002070D5"/>
    <w:rsid w:val="00207116"/>
    <w:rsid w:val="002073AB"/>
    <w:rsid w:val="002074DA"/>
    <w:rsid w:val="0020787F"/>
    <w:rsid w:val="00207886"/>
    <w:rsid w:val="002100AC"/>
    <w:rsid w:val="00210212"/>
    <w:rsid w:val="00210381"/>
    <w:rsid w:val="002105C2"/>
    <w:rsid w:val="00210AD6"/>
    <w:rsid w:val="00210B10"/>
    <w:rsid w:val="00210C2D"/>
    <w:rsid w:val="00210EB8"/>
    <w:rsid w:val="00210F85"/>
    <w:rsid w:val="002114C4"/>
    <w:rsid w:val="0021159D"/>
    <w:rsid w:val="0021160C"/>
    <w:rsid w:val="002121A8"/>
    <w:rsid w:val="0021245F"/>
    <w:rsid w:val="00212719"/>
    <w:rsid w:val="002129B6"/>
    <w:rsid w:val="00212C56"/>
    <w:rsid w:val="00212C71"/>
    <w:rsid w:val="0021306D"/>
    <w:rsid w:val="00213289"/>
    <w:rsid w:val="0021431B"/>
    <w:rsid w:val="0021447E"/>
    <w:rsid w:val="0021459D"/>
    <w:rsid w:val="002147CA"/>
    <w:rsid w:val="002147EE"/>
    <w:rsid w:val="0021481C"/>
    <w:rsid w:val="002149F2"/>
    <w:rsid w:val="00214A3C"/>
    <w:rsid w:val="00214A9E"/>
    <w:rsid w:val="00214AC5"/>
    <w:rsid w:val="00214AF5"/>
    <w:rsid w:val="00214B8E"/>
    <w:rsid w:val="00214C9D"/>
    <w:rsid w:val="002150A8"/>
    <w:rsid w:val="002150CE"/>
    <w:rsid w:val="002150DC"/>
    <w:rsid w:val="00215199"/>
    <w:rsid w:val="002153B8"/>
    <w:rsid w:val="00215488"/>
    <w:rsid w:val="002156D3"/>
    <w:rsid w:val="002158B3"/>
    <w:rsid w:val="0021596E"/>
    <w:rsid w:val="0021597C"/>
    <w:rsid w:val="00215EAB"/>
    <w:rsid w:val="002162A4"/>
    <w:rsid w:val="002162C4"/>
    <w:rsid w:val="00216A1E"/>
    <w:rsid w:val="00216B1E"/>
    <w:rsid w:val="00216B78"/>
    <w:rsid w:val="00216CEC"/>
    <w:rsid w:val="00216F05"/>
    <w:rsid w:val="002170D4"/>
    <w:rsid w:val="002170D9"/>
    <w:rsid w:val="0021710B"/>
    <w:rsid w:val="00217120"/>
    <w:rsid w:val="00217269"/>
    <w:rsid w:val="002174FA"/>
    <w:rsid w:val="002175D7"/>
    <w:rsid w:val="002179BF"/>
    <w:rsid w:val="00217A9B"/>
    <w:rsid w:val="00217CC9"/>
    <w:rsid w:val="002201D0"/>
    <w:rsid w:val="00220351"/>
    <w:rsid w:val="002204BE"/>
    <w:rsid w:val="002204C7"/>
    <w:rsid w:val="002207FA"/>
    <w:rsid w:val="00220B99"/>
    <w:rsid w:val="002211DD"/>
    <w:rsid w:val="002212BF"/>
    <w:rsid w:val="00221330"/>
    <w:rsid w:val="002213FE"/>
    <w:rsid w:val="002214CE"/>
    <w:rsid w:val="002216B4"/>
    <w:rsid w:val="00221872"/>
    <w:rsid w:val="00221A18"/>
    <w:rsid w:val="00221A85"/>
    <w:rsid w:val="00221ACB"/>
    <w:rsid w:val="00221D36"/>
    <w:rsid w:val="00221DBB"/>
    <w:rsid w:val="00221FBF"/>
    <w:rsid w:val="00222040"/>
    <w:rsid w:val="002220FD"/>
    <w:rsid w:val="00222385"/>
    <w:rsid w:val="0022254A"/>
    <w:rsid w:val="0022284F"/>
    <w:rsid w:val="00222FD3"/>
    <w:rsid w:val="0022303E"/>
    <w:rsid w:val="00223040"/>
    <w:rsid w:val="00223077"/>
    <w:rsid w:val="002231D9"/>
    <w:rsid w:val="002231E6"/>
    <w:rsid w:val="0022353A"/>
    <w:rsid w:val="0022373D"/>
    <w:rsid w:val="00223856"/>
    <w:rsid w:val="00223972"/>
    <w:rsid w:val="00223AA6"/>
    <w:rsid w:val="00223B46"/>
    <w:rsid w:val="00223BFE"/>
    <w:rsid w:val="0022411F"/>
    <w:rsid w:val="002242CE"/>
    <w:rsid w:val="0022475F"/>
    <w:rsid w:val="0022482A"/>
    <w:rsid w:val="00224915"/>
    <w:rsid w:val="0022492E"/>
    <w:rsid w:val="00224E77"/>
    <w:rsid w:val="0022510F"/>
    <w:rsid w:val="00225262"/>
    <w:rsid w:val="002252B8"/>
    <w:rsid w:val="0022548D"/>
    <w:rsid w:val="00225927"/>
    <w:rsid w:val="0022592A"/>
    <w:rsid w:val="00225AE6"/>
    <w:rsid w:val="00225BC3"/>
    <w:rsid w:val="00225D51"/>
    <w:rsid w:val="0022601E"/>
    <w:rsid w:val="00226135"/>
    <w:rsid w:val="00226199"/>
    <w:rsid w:val="00226248"/>
    <w:rsid w:val="00226696"/>
    <w:rsid w:val="00226C88"/>
    <w:rsid w:val="00226DA9"/>
    <w:rsid w:val="00226DC0"/>
    <w:rsid w:val="00226E3E"/>
    <w:rsid w:val="002272C9"/>
    <w:rsid w:val="00227813"/>
    <w:rsid w:val="00227856"/>
    <w:rsid w:val="00227A5F"/>
    <w:rsid w:val="00227AE1"/>
    <w:rsid w:val="00227C41"/>
    <w:rsid w:val="0023020E"/>
    <w:rsid w:val="002308EF"/>
    <w:rsid w:val="002309C4"/>
    <w:rsid w:val="00230C42"/>
    <w:rsid w:val="00230C66"/>
    <w:rsid w:val="00230EA2"/>
    <w:rsid w:val="00230F88"/>
    <w:rsid w:val="002311BF"/>
    <w:rsid w:val="002311D0"/>
    <w:rsid w:val="00231265"/>
    <w:rsid w:val="002312A7"/>
    <w:rsid w:val="002316C3"/>
    <w:rsid w:val="00231700"/>
    <w:rsid w:val="00231B25"/>
    <w:rsid w:val="00231D4E"/>
    <w:rsid w:val="00231EEE"/>
    <w:rsid w:val="002320BF"/>
    <w:rsid w:val="0023252A"/>
    <w:rsid w:val="0023258B"/>
    <w:rsid w:val="00232882"/>
    <w:rsid w:val="00232B66"/>
    <w:rsid w:val="00232D3C"/>
    <w:rsid w:val="00232EBC"/>
    <w:rsid w:val="00232F92"/>
    <w:rsid w:val="00233256"/>
    <w:rsid w:val="00233706"/>
    <w:rsid w:val="00233953"/>
    <w:rsid w:val="00233C74"/>
    <w:rsid w:val="00233F8B"/>
    <w:rsid w:val="00234190"/>
    <w:rsid w:val="00234785"/>
    <w:rsid w:val="002347CE"/>
    <w:rsid w:val="0023482D"/>
    <w:rsid w:val="002349F4"/>
    <w:rsid w:val="00234A3E"/>
    <w:rsid w:val="00234D6F"/>
    <w:rsid w:val="00234E18"/>
    <w:rsid w:val="00234ED2"/>
    <w:rsid w:val="002350CC"/>
    <w:rsid w:val="00235128"/>
    <w:rsid w:val="002358FC"/>
    <w:rsid w:val="00235A41"/>
    <w:rsid w:val="00235B38"/>
    <w:rsid w:val="002360F9"/>
    <w:rsid w:val="00236372"/>
    <w:rsid w:val="002363E3"/>
    <w:rsid w:val="00236532"/>
    <w:rsid w:val="002369F5"/>
    <w:rsid w:val="00236AC8"/>
    <w:rsid w:val="002371C9"/>
    <w:rsid w:val="0023762F"/>
    <w:rsid w:val="002376FE"/>
    <w:rsid w:val="002377D3"/>
    <w:rsid w:val="00237926"/>
    <w:rsid w:val="00237C18"/>
    <w:rsid w:val="00237D64"/>
    <w:rsid w:val="0024018D"/>
    <w:rsid w:val="002402D4"/>
    <w:rsid w:val="00240305"/>
    <w:rsid w:val="00240405"/>
    <w:rsid w:val="00240513"/>
    <w:rsid w:val="00240808"/>
    <w:rsid w:val="0024090F"/>
    <w:rsid w:val="00240C37"/>
    <w:rsid w:val="00240D28"/>
    <w:rsid w:val="00240DB5"/>
    <w:rsid w:val="002410D7"/>
    <w:rsid w:val="002410DF"/>
    <w:rsid w:val="002411F6"/>
    <w:rsid w:val="0024133F"/>
    <w:rsid w:val="00241560"/>
    <w:rsid w:val="002415A9"/>
    <w:rsid w:val="0024160C"/>
    <w:rsid w:val="00241A07"/>
    <w:rsid w:val="00241EB9"/>
    <w:rsid w:val="00241F0D"/>
    <w:rsid w:val="00241F29"/>
    <w:rsid w:val="00241F93"/>
    <w:rsid w:val="002420A7"/>
    <w:rsid w:val="002423D2"/>
    <w:rsid w:val="00242574"/>
    <w:rsid w:val="00242777"/>
    <w:rsid w:val="00242A6D"/>
    <w:rsid w:val="00242F89"/>
    <w:rsid w:val="00243084"/>
    <w:rsid w:val="002432AB"/>
    <w:rsid w:val="0024335A"/>
    <w:rsid w:val="0024378F"/>
    <w:rsid w:val="00243D25"/>
    <w:rsid w:val="00243DEB"/>
    <w:rsid w:val="00243E47"/>
    <w:rsid w:val="00243EC8"/>
    <w:rsid w:val="00244309"/>
    <w:rsid w:val="002445EC"/>
    <w:rsid w:val="00244A46"/>
    <w:rsid w:val="00244F29"/>
    <w:rsid w:val="002450DE"/>
    <w:rsid w:val="002452C6"/>
    <w:rsid w:val="0024530B"/>
    <w:rsid w:val="00245596"/>
    <w:rsid w:val="00245710"/>
    <w:rsid w:val="00245F91"/>
    <w:rsid w:val="00246036"/>
    <w:rsid w:val="00246627"/>
    <w:rsid w:val="002466C1"/>
    <w:rsid w:val="00246861"/>
    <w:rsid w:val="00246964"/>
    <w:rsid w:val="00246986"/>
    <w:rsid w:val="00246B3B"/>
    <w:rsid w:val="00246D13"/>
    <w:rsid w:val="00246F7F"/>
    <w:rsid w:val="00247344"/>
    <w:rsid w:val="002473F8"/>
    <w:rsid w:val="0024759E"/>
    <w:rsid w:val="002476F9"/>
    <w:rsid w:val="0024785D"/>
    <w:rsid w:val="00247A90"/>
    <w:rsid w:val="00247AE7"/>
    <w:rsid w:val="00247ED6"/>
    <w:rsid w:val="00250E6B"/>
    <w:rsid w:val="002510A9"/>
    <w:rsid w:val="0025110B"/>
    <w:rsid w:val="00251123"/>
    <w:rsid w:val="00251812"/>
    <w:rsid w:val="00251991"/>
    <w:rsid w:val="00251997"/>
    <w:rsid w:val="00251B2F"/>
    <w:rsid w:val="00251C0F"/>
    <w:rsid w:val="00252168"/>
    <w:rsid w:val="002522B7"/>
    <w:rsid w:val="002524F8"/>
    <w:rsid w:val="00252552"/>
    <w:rsid w:val="00252DFB"/>
    <w:rsid w:val="00252F91"/>
    <w:rsid w:val="00253334"/>
    <w:rsid w:val="00253608"/>
    <w:rsid w:val="0025360C"/>
    <w:rsid w:val="00253B4B"/>
    <w:rsid w:val="00253B93"/>
    <w:rsid w:val="00253C83"/>
    <w:rsid w:val="00253C90"/>
    <w:rsid w:val="0025405A"/>
    <w:rsid w:val="002540A8"/>
    <w:rsid w:val="002541F2"/>
    <w:rsid w:val="0025487C"/>
    <w:rsid w:val="00254890"/>
    <w:rsid w:val="00254BD5"/>
    <w:rsid w:val="00254C60"/>
    <w:rsid w:val="00254D00"/>
    <w:rsid w:val="00254DA9"/>
    <w:rsid w:val="00254E2B"/>
    <w:rsid w:val="00254EFB"/>
    <w:rsid w:val="002550A0"/>
    <w:rsid w:val="002550F0"/>
    <w:rsid w:val="00255296"/>
    <w:rsid w:val="002552E6"/>
    <w:rsid w:val="002554B1"/>
    <w:rsid w:val="002556EB"/>
    <w:rsid w:val="0025571A"/>
    <w:rsid w:val="00255808"/>
    <w:rsid w:val="0025583F"/>
    <w:rsid w:val="00255A28"/>
    <w:rsid w:val="00255C21"/>
    <w:rsid w:val="00255D9C"/>
    <w:rsid w:val="0025600A"/>
    <w:rsid w:val="00256010"/>
    <w:rsid w:val="00256174"/>
    <w:rsid w:val="00256432"/>
    <w:rsid w:val="00256A55"/>
    <w:rsid w:val="00256A6E"/>
    <w:rsid w:val="00256A7B"/>
    <w:rsid w:val="00257009"/>
    <w:rsid w:val="002570B5"/>
    <w:rsid w:val="00257122"/>
    <w:rsid w:val="00257398"/>
    <w:rsid w:val="0025756E"/>
    <w:rsid w:val="00257966"/>
    <w:rsid w:val="00257B8B"/>
    <w:rsid w:val="00257BAE"/>
    <w:rsid w:val="00257BF0"/>
    <w:rsid w:val="00257FC7"/>
    <w:rsid w:val="0026012F"/>
    <w:rsid w:val="0026035C"/>
    <w:rsid w:val="00260781"/>
    <w:rsid w:val="00260B9F"/>
    <w:rsid w:val="00260BD7"/>
    <w:rsid w:val="00260E3F"/>
    <w:rsid w:val="0026105F"/>
    <w:rsid w:val="00261203"/>
    <w:rsid w:val="0026146F"/>
    <w:rsid w:val="002614A4"/>
    <w:rsid w:val="002617C4"/>
    <w:rsid w:val="002617EF"/>
    <w:rsid w:val="00261A67"/>
    <w:rsid w:val="00261B6C"/>
    <w:rsid w:val="00261B82"/>
    <w:rsid w:val="00261B9C"/>
    <w:rsid w:val="00261D7D"/>
    <w:rsid w:val="0026237B"/>
    <w:rsid w:val="002623DF"/>
    <w:rsid w:val="00262469"/>
    <w:rsid w:val="002625DF"/>
    <w:rsid w:val="00262651"/>
    <w:rsid w:val="0026295D"/>
    <w:rsid w:val="00262B69"/>
    <w:rsid w:val="00262C31"/>
    <w:rsid w:val="00262D32"/>
    <w:rsid w:val="00262F06"/>
    <w:rsid w:val="00263053"/>
    <w:rsid w:val="0026309A"/>
    <w:rsid w:val="00263113"/>
    <w:rsid w:val="002635F1"/>
    <w:rsid w:val="00263709"/>
    <w:rsid w:val="0026389B"/>
    <w:rsid w:val="00263908"/>
    <w:rsid w:val="00263914"/>
    <w:rsid w:val="00263965"/>
    <w:rsid w:val="00263E0C"/>
    <w:rsid w:val="00263FE4"/>
    <w:rsid w:val="002641AB"/>
    <w:rsid w:val="0026464E"/>
    <w:rsid w:val="00264916"/>
    <w:rsid w:val="00265205"/>
    <w:rsid w:val="00265314"/>
    <w:rsid w:val="0026545E"/>
    <w:rsid w:val="00265801"/>
    <w:rsid w:val="00265CC7"/>
    <w:rsid w:val="002660C8"/>
    <w:rsid w:val="002660CA"/>
    <w:rsid w:val="00266148"/>
    <w:rsid w:val="002663DC"/>
    <w:rsid w:val="002665EF"/>
    <w:rsid w:val="00266626"/>
    <w:rsid w:val="0026673E"/>
    <w:rsid w:val="002667E2"/>
    <w:rsid w:val="00266BB7"/>
    <w:rsid w:val="00267160"/>
    <w:rsid w:val="0026723F"/>
    <w:rsid w:val="00267286"/>
    <w:rsid w:val="00267306"/>
    <w:rsid w:val="0026735C"/>
    <w:rsid w:val="00267492"/>
    <w:rsid w:val="002674C5"/>
    <w:rsid w:val="00267957"/>
    <w:rsid w:val="00267B7E"/>
    <w:rsid w:val="00267C2D"/>
    <w:rsid w:val="00267E63"/>
    <w:rsid w:val="00270489"/>
    <w:rsid w:val="00270626"/>
    <w:rsid w:val="0027074B"/>
    <w:rsid w:val="00270A37"/>
    <w:rsid w:val="00270FB5"/>
    <w:rsid w:val="00271599"/>
    <w:rsid w:val="002715A6"/>
    <w:rsid w:val="002717D6"/>
    <w:rsid w:val="00271D6F"/>
    <w:rsid w:val="0027216B"/>
    <w:rsid w:val="0027223B"/>
    <w:rsid w:val="0027295B"/>
    <w:rsid w:val="002729D2"/>
    <w:rsid w:val="00272A62"/>
    <w:rsid w:val="00272AEB"/>
    <w:rsid w:val="00272B09"/>
    <w:rsid w:val="00272D0F"/>
    <w:rsid w:val="00272DA3"/>
    <w:rsid w:val="00272E1E"/>
    <w:rsid w:val="00272F1F"/>
    <w:rsid w:val="00273214"/>
    <w:rsid w:val="002734DA"/>
    <w:rsid w:val="0027359E"/>
    <w:rsid w:val="002736A1"/>
    <w:rsid w:val="002737E5"/>
    <w:rsid w:val="00273886"/>
    <w:rsid w:val="002738AD"/>
    <w:rsid w:val="0027403D"/>
    <w:rsid w:val="0027412E"/>
    <w:rsid w:val="002741A6"/>
    <w:rsid w:val="0027461A"/>
    <w:rsid w:val="00274930"/>
    <w:rsid w:val="00274D19"/>
    <w:rsid w:val="00274E87"/>
    <w:rsid w:val="00274F38"/>
    <w:rsid w:val="00275005"/>
    <w:rsid w:val="002750ED"/>
    <w:rsid w:val="002752F4"/>
    <w:rsid w:val="00275329"/>
    <w:rsid w:val="00275438"/>
    <w:rsid w:val="00275487"/>
    <w:rsid w:val="00275489"/>
    <w:rsid w:val="00275795"/>
    <w:rsid w:val="00275A34"/>
    <w:rsid w:val="00275A53"/>
    <w:rsid w:val="00275C47"/>
    <w:rsid w:val="00275C49"/>
    <w:rsid w:val="00275DA4"/>
    <w:rsid w:val="0027614A"/>
    <w:rsid w:val="002761C3"/>
    <w:rsid w:val="002765B4"/>
    <w:rsid w:val="00276668"/>
    <w:rsid w:val="00276C57"/>
    <w:rsid w:val="00276C60"/>
    <w:rsid w:val="00276FC4"/>
    <w:rsid w:val="00277416"/>
    <w:rsid w:val="002778FD"/>
    <w:rsid w:val="0027796E"/>
    <w:rsid w:val="0027799F"/>
    <w:rsid w:val="00277EA3"/>
    <w:rsid w:val="002801A2"/>
    <w:rsid w:val="002803E6"/>
    <w:rsid w:val="0028062E"/>
    <w:rsid w:val="002807CB"/>
    <w:rsid w:val="0028083D"/>
    <w:rsid w:val="00280ABB"/>
    <w:rsid w:val="00280B7C"/>
    <w:rsid w:val="00280BB5"/>
    <w:rsid w:val="00280E7A"/>
    <w:rsid w:val="0028127F"/>
    <w:rsid w:val="00281404"/>
    <w:rsid w:val="00281556"/>
    <w:rsid w:val="0028172D"/>
    <w:rsid w:val="002817E8"/>
    <w:rsid w:val="00281AD8"/>
    <w:rsid w:val="00281AF5"/>
    <w:rsid w:val="00281B61"/>
    <w:rsid w:val="00281E7B"/>
    <w:rsid w:val="00282174"/>
    <w:rsid w:val="00282903"/>
    <w:rsid w:val="00282905"/>
    <w:rsid w:val="00282946"/>
    <w:rsid w:val="00282948"/>
    <w:rsid w:val="00282B50"/>
    <w:rsid w:val="00282DB2"/>
    <w:rsid w:val="00282EAF"/>
    <w:rsid w:val="002834AD"/>
    <w:rsid w:val="00283521"/>
    <w:rsid w:val="002835B9"/>
    <w:rsid w:val="002835D2"/>
    <w:rsid w:val="00283656"/>
    <w:rsid w:val="002836FA"/>
    <w:rsid w:val="00283A64"/>
    <w:rsid w:val="00283B19"/>
    <w:rsid w:val="00283FAC"/>
    <w:rsid w:val="00284300"/>
    <w:rsid w:val="0028450E"/>
    <w:rsid w:val="0028455A"/>
    <w:rsid w:val="00284583"/>
    <w:rsid w:val="0028462E"/>
    <w:rsid w:val="0028490F"/>
    <w:rsid w:val="00284B8C"/>
    <w:rsid w:val="00284FB5"/>
    <w:rsid w:val="00285069"/>
    <w:rsid w:val="0028540D"/>
    <w:rsid w:val="00285610"/>
    <w:rsid w:val="002857F5"/>
    <w:rsid w:val="002858EF"/>
    <w:rsid w:val="00285B2D"/>
    <w:rsid w:val="00285BD4"/>
    <w:rsid w:val="00285D47"/>
    <w:rsid w:val="00285EBD"/>
    <w:rsid w:val="00286241"/>
    <w:rsid w:val="00286622"/>
    <w:rsid w:val="00286727"/>
    <w:rsid w:val="00286E50"/>
    <w:rsid w:val="00286E7A"/>
    <w:rsid w:val="0028705C"/>
    <w:rsid w:val="00287080"/>
    <w:rsid w:val="0028746A"/>
    <w:rsid w:val="002874A1"/>
    <w:rsid w:val="00287780"/>
    <w:rsid w:val="00287835"/>
    <w:rsid w:val="0028785E"/>
    <w:rsid w:val="00287AC0"/>
    <w:rsid w:val="00287C63"/>
    <w:rsid w:val="00287CA5"/>
    <w:rsid w:val="00287E69"/>
    <w:rsid w:val="00287F9B"/>
    <w:rsid w:val="00290113"/>
    <w:rsid w:val="00290215"/>
    <w:rsid w:val="00290255"/>
    <w:rsid w:val="00290BD5"/>
    <w:rsid w:val="00290CA3"/>
    <w:rsid w:val="00290DED"/>
    <w:rsid w:val="00290E21"/>
    <w:rsid w:val="00290FAB"/>
    <w:rsid w:val="0029113F"/>
    <w:rsid w:val="00291185"/>
    <w:rsid w:val="002912EF"/>
    <w:rsid w:val="002917BD"/>
    <w:rsid w:val="00291B5D"/>
    <w:rsid w:val="00291DBB"/>
    <w:rsid w:val="002920A1"/>
    <w:rsid w:val="00292220"/>
    <w:rsid w:val="0029228E"/>
    <w:rsid w:val="002927DC"/>
    <w:rsid w:val="002927EE"/>
    <w:rsid w:val="002928BB"/>
    <w:rsid w:val="00292AA0"/>
    <w:rsid w:val="0029303A"/>
    <w:rsid w:val="0029318F"/>
    <w:rsid w:val="0029349C"/>
    <w:rsid w:val="002934E0"/>
    <w:rsid w:val="002934FE"/>
    <w:rsid w:val="002938ED"/>
    <w:rsid w:val="00293A58"/>
    <w:rsid w:val="00293E1F"/>
    <w:rsid w:val="00294261"/>
    <w:rsid w:val="00294310"/>
    <w:rsid w:val="0029441E"/>
    <w:rsid w:val="002944A9"/>
    <w:rsid w:val="00294689"/>
    <w:rsid w:val="00294693"/>
    <w:rsid w:val="002947B1"/>
    <w:rsid w:val="00294B33"/>
    <w:rsid w:val="00294F38"/>
    <w:rsid w:val="002950E8"/>
    <w:rsid w:val="002950FA"/>
    <w:rsid w:val="0029516F"/>
    <w:rsid w:val="00295242"/>
    <w:rsid w:val="00295533"/>
    <w:rsid w:val="0029554A"/>
    <w:rsid w:val="002955AB"/>
    <w:rsid w:val="00295797"/>
    <w:rsid w:val="00295AF6"/>
    <w:rsid w:val="00295CF9"/>
    <w:rsid w:val="0029603C"/>
    <w:rsid w:val="00296611"/>
    <w:rsid w:val="00296991"/>
    <w:rsid w:val="00296BD9"/>
    <w:rsid w:val="00296C13"/>
    <w:rsid w:val="00296C80"/>
    <w:rsid w:val="00296D79"/>
    <w:rsid w:val="00296DED"/>
    <w:rsid w:val="00296F03"/>
    <w:rsid w:val="00296FA8"/>
    <w:rsid w:val="00297070"/>
    <w:rsid w:val="002970C2"/>
    <w:rsid w:val="002970DB"/>
    <w:rsid w:val="0029724B"/>
    <w:rsid w:val="0029736B"/>
    <w:rsid w:val="0029739D"/>
    <w:rsid w:val="00297444"/>
    <w:rsid w:val="002975F3"/>
    <w:rsid w:val="002977FF"/>
    <w:rsid w:val="00297804"/>
    <w:rsid w:val="00297881"/>
    <w:rsid w:val="002978E3"/>
    <w:rsid w:val="002979A6"/>
    <w:rsid w:val="00297A62"/>
    <w:rsid w:val="00297B29"/>
    <w:rsid w:val="00297BD2"/>
    <w:rsid w:val="00297D5A"/>
    <w:rsid w:val="00297E53"/>
    <w:rsid w:val="00297E8C"/>
    <w:rsid w:val="00297FAE"/>
    <w:rsid w:val="002A0256"/>
    <w:rsid w:val="002A02BF"/>
    <w:rsid w:val="002A0427"/>
    <w:rsid w:val="002A0482"/>
    <w:rsid w:val="002A05EC"/>
    <w:rsid w:val="002A086C"/>
    <w:rsid w:val="002A08F7"/>
    <w:rsid w:val="002A09B4"/>
    <w:rsid w:val="002A0B81"/>
    <w:rsid w:val="002A1665"/>
    <w:rsid w:val="002A1C4F"/>
    <w:rsid w:val="002A1C70"/>
    <w:rsid w:val="002A1E65"/>
    <w:rsid w:val="002A20B5"/>
    <w:rsid w:val="002A267B"/>
    <w:rsid w:val="002A26A4"/>
    <w:rsid w:val="002A26ED"/>
    <w:rsid w:val="002A2A26"/>
    <w:rsid w:val="002A2A4A"/>
    <w:rsid w:val="002A2EFF"/>
    <w:rsid w:val="002A31D5"/>
    <w:rsid w:val="002A35C1"/>
    <w:rsid w:val="002A362D"/>
    <w:rsid w:val="002A3798"/>
    <w:rsid w:val="002A3E1F"/>
    <w:rsid w:val="002A3E90"/>
    <w:rsid w:val="002A4044"/>
    <w:rsid w:val="002A40A8"/>
    <w:rsid w:val="002A41E3"/>
    <w:rsid w:val="002A4394"/>
    <w:rsid w:val="002A44E2"/>
    <w:rsid w:val="002A476C"/>
    <w:rsid w:val="002A4813"/>
    <w:rsid w:val="002A48C2"/>
    <w:rsid w:val="002A48F8"/>
    <w:rsid w:val="002A4A2F"/>
    <w:rsid w:val="002A4E38"/>
    <w:rsid w:val="002A4E52"/>
    <w:rsid w:val="002A4E5E"/>
    <w:rsid w:val="002A5011"/>
    <w:rsid w:val="002A5054"/>
    <w:rsid w:val="002A50D7"/>
    <w:rsid w:val="002A515F"/>
    <w:rsid w:val="002A54DE"/>
    <w:rsid w:val="002A54F0"/>
    <w:rsid w:val="002A567D"/>
    <w:rsid w:val="002A5780"/>
    <w:rsid w:val="002A5808"/>
    <w:rsid w:val="002A59BD"/>
    <w:rsid w:val="002A5DD7"/>
    <w:rsid w:val="002A6071"/>
    <w:rsid w:val="002A607B"/>
    <w:rsid w:val="002A613B"/>
    <w:rsid w:val="002A618E"/>
    <w:rsid w:val="002A629F"/>
    <w:rsid w:val="002A6370"/>
    <w:rsid w:val="002A655F"/>
    <w:rsid w:val="002A6657"/>
    <w:rsid w:val="002A688E"/>
    <w:rsid w:val="002A699D"/>
    <w:rsid w:val="002A6A91"/>
    <w:rsid w:val="002A6B49"/>
    <w:rsid w:val="002A6D0C"/>
    <w:rsid w:val="002A6E3B"/>
    <w:rsid w:val="002A71AB"/>
    <w:rsid w:val="002A74C7"/>
    <w:rsid w:val="002A7635"/>
    <w:rsid w:val="002A794D"/>
    <w:rsid w:val="002A7B03"/>
    <w:rsid w:val="002A7B40"/>
    <w:rsid w:val="002B02FE"/>
    <w:rsid w:val="002B03D3"/>
    <w:rsid w:val="002B051A"/>
    <w:rsid w:val="002B0583"/>
    <w:rsid w:val="002B06E2"/>
    <w:rsid w:val="002B0788"/>
    <w:rsid w:val="002B07BC"/>
    <w:rsid w:val="002B07FB"/>
    <w:rsid w:val="002B0A95"/>
    <w:rsid w:val="002B0D7B"/>
    <w:rsid w:val="002B0F65"/>
    <w:rsid w:val="002B133C"/>
    <w:rsid w:val="002B13D0"/>
    <w:rsid w:val="002B144B"/>
    <w:rsid w:val="002B145D"/>
    <w:rsid w:val="002B177D"/>
    <w:rsid w:val="002B2025"/>
    <w:rsid w:val="002B235B"/>
    <w:rsid w:val="002B23F0"/>
    <w:rsid w:val="002B2646"/>
    <w:rsid w:val="002B28B2"/>
    <w:rsid w:val="002B2D5C"/>
    <w:rsid w:val="002B2EB6"/>
    <w:rsid w:val="002B3236"/>
    <w:rsid w:val="002B3444"/>
    <w:rsid w:val="002B369A"/>
    <w:rsid w:val="002B3E48"/>
    <w:rsid w:val="002B3F33"/>
    <w:rsid w:val="002B4367"/>
    <w:rsid w:val="002B451E"/>
    <w:rsid w:val="002B4C2F"/>
    <w:rsid w:val="002B5802"/>
    <w:rsid w:val="002B5D06"/>
    <w:rsid w:val="002B6028"/>
    <w:rsid w:val="002B62FC"/>
    <w:rsid w:val="002B63A3"/>
    <w:rsid w:val="002B651F"/>
    <w:rsid w:val="002B6860"/>
    <w:rsid w:val="002B68E5"/>
    <w:rsid w:val="002B68EC"/>
    <w:rsid w:val="002B6A0F"/>
    <w:rsid w:val="002B6AF1"/>
    <w:rsid w:val="002B6BDC"/>
    <w:rsid w:val="002B6D02"/>
    <w:rsid w:val="002B6D72"/>
    <w:rsid w:val="002B7001"/>
    <w:rsid w:val="002B70DD"/>
    <w:rsid w:val="002B71CE"/>
    <w:rsid w:val="002B72E5"/>
    <w:rsid w:val="002B74F5"/>
    <w:rsid w:val="002B756C"/>
    <w:rsid w:val="002B7A92"/>
    <w:rsid w:val="002B7E64"/>
    <w:rsid w:val="002C012B"/>
    <w:rsid w:val="002C0209"/>
    <w:rsid w:val="002C02D5"/>
    <w:rsid w:val="002C0351"/>
    <w:rsid w:val="002C06D1"/>
    <w:rsid w:val="002C078D"/>
    <w:rsid w:val="002C087A"/>
    <w:rsid w:val="002C0B49"/>
    <w:rsid w:val="002C0B6E"/>
    <w:rsid w:val="002C0D85"/>
    <w:rsid w:val="002C111F"/>
    <w:rsid w:val="002C1220"/>
    <w:rsid w:val="002C1257"/>
    <w:rsid w:val="002C13B1"/>
    <w:rsid w:val="002C13CE"/>
    <w:rsid w:val="002C144B"/>
    <w:rsid w:val="002C176D"/>
    <w:rsid w:val="002C1847"/>
    <w:rsid w:val="002C1A39"/>
    <w:rsid w:val="002C1CC3"/>
    <w:rsid w:val="002C1EA1"/>
    <w:rsid w:val="002C1EB7"/>
    <w:rsid w:val="002C1FA1"/>
    <w:rsid w:val="002C1FCB"/>
    <w:rsid w:val="002C2248"/>
    <w:rsid w:val="002C231B"/>
    <w:rsid w:val="002C262A"/>
    <w:rsid w:val="002C2934"/>
    <w:rsid w:val="002C29EC"/>
    <w:rsid w:val="002C2D36"/>
    <w:rsid w:val="002C2EB6"/>
    <w:rsid w:val="002C30F8"/>
    <w:rsid w:val="002C33AD"/>
    <w:rsid w:val="002C3448"/>
    <w:rsid w:val="002C3490"/>
    <w:rsid w:val="002C35BD"/>
    <w:rsid w:val="002C35D1"/>
    <w:rsid w:val="002C382F"/>
    <w:rsid w:val="002C3C8E"/>
    <w:rsid w:val="002C3D36"/>
    <w:rsid w:val="002C3EC6"/>
    <w:rsid w:val="002C413F"/>
    <w:rsid w:val="002C4147"/>
    <w:rsid w:val="002C4665"/>
    <w:rsid w:val="002C4826"/>
    <w:rsid w:val="002C484A"/>
    <w:rsid w:val="002C49F0"/>
    <w:rsid w:val="002C4C6E"/>
    <w:rsid w:val="002C4CA7"/>
    <w:rsid w:val="002C4DAB"/>
    <w:rsid w:val="002C50B1"/>
    <w:rsid w:val="002C56A7"/>
    <w:rsid w:val="002C5ADF"/>
    <w:rsid w:val="002C5CC7"/>
    <w:rsid w:val="002C5F5A"/>
    <w:rsid w:val="002C600A"/>
    <w:rsid w:val="002C601E"/>
    <w:rsid w:val="002C6066"/>
    <w:rsid w:val="002C61FB"/>
    <w:rsid w:val="002C64BB"/>
    <w:rsid w:val="002C6509"/>
    <w:rsid w:val="002C68CE"/>
    <w:rsid w:val="002C6A1C"/>
    <w:rsid w:val="002C6AB8"/>
    <w:rsid w:val="002C6DE4"/>
    <w:rsid w:val="002C6F8B"/>
    <w:rsid w:val="002C706F"/>
    <w:rsid w:val="002C7369"/>
    <w:rsid w:val="002C7399"/>
    <w:rsid w:val="002C7A5C"/>
    <w:rsid w:val="002C7D8E"/>
    <w:rsid w:val="002C7E36"/>
    <w:rsid w:val="002D011A"/>
    <w:rsid w:val="002D0262"/>
    <w:rsid w:val="002D049A"/>
    <w:rsid w:val="002D0A3E"/>
    <w:rsid w:val="002D0BDB"/>
    <w:rsid w:val="002D1095"/>
    <w:rsid w:val="002D155C"/>
    <w:rsid w:val="002D16A5"/>
    <w:rsid w:val="002D1830"/>
    <w:rsid w:val="002D1895"/>
    <w:rsid w:val="002D1B53"/>
    <w:rsid w:val="002D1D17"/>
    <w:rsid w:val="002D2101"/>
    <w:rsid w:val="002D21A6"/>
    <w:rsid w:val="002D2408"/>
    <w:rsid w:val="002D25E6"/>
    <w:rsid w:val="002D25F6"/>
    <w:rsid w:val="002D2942"/>
    <w:rsid w:val="002D2A59"/>
    <w:rsid w:val="002D2AB2"/>
    <w:rsid w:val="002D2EFD"/>
    <w:rsid w:val="002D304C"/>
    <w:rsid w:val="002D33C2"/>
    <w:rsid w:val="002D3977"/>
    <w:rsid w:val="002D3ACB"/>
    <w:rsid w:val="002D3C2A"/>
    <w:rsid w:val="002D3DE7"/>
    <w:rsid w:val="002D3E7D"/>
    <w:rsid w:val="002D3E99"/>
    <w:rsid w:val="002D3E9F"/>
    <w:rsid w:val="002D4098"/>
    <w:rsid w:val="002D41A0"/>
    <w:rsid w:val="002D4398"/>
    <w:rsid w:val="002D4787"/>
    <w:rsid w:val="002D48E4"/>
    <w:rsid w:val="002D499E"/>
    <w:rsid w:val="002D4BD7"/>
    <w:rsid w:val="002D5347"/>
    <w:rsid w:val="002D5415"/>
    <w:rsid w:val="002D55E0"/>
    <w:rsid w:val="002D591F"/>
    <w:rsid w:val="002D5A49"/>
    <w:rsid w:val="002D601C"/>
    <w:rsid w:val="002D6159"/>
    <w:rsid w:val="002D6353"/>
    <w:rsid w:val="002D6433"/>
    <w:rsid w:val="002D6D6C"/>
    <w:rsid w:val="002D6E21"/>
    <w:rsid w:val="002D6FF4"/>
    <w:rsid w:val="002D719B"/>
    <w:rsid w:val="002D726D"/>
    <w:rsid w:val="002D738C"/>
    <w:rsid w:val="002D7438"/>
    <w:rsid w:val="002D74FE"/>
    <w:rsid w:val="002D7638"/>
    <w:rsid w:val="002D77B4"/>
    <w:rsid w:val="002D78EB"/>
    <w:rsid w:val="002D7A6A"/>
    <w:rsid w:val="002D7D47"/>
    <w:rsid w:val="002D7D4A"/>
    <w:rsid w:val="002D7ED7"/>
    <w:rsid w:val="002E02F2"/>
    <w:rsid w:val="002E030D"/>
    <w:rsid w:val="002E0498"/>
    <w:rsid w:val="002E063E"/>
    <w:rsid w:val="002E06BD"/>
    <w:rsid w:val="002E0A5C"/>
    <w:rsid w:val="002E0B9F"/>
    <w:rsid w:val="002E0F4E"/>
    <w:rsid w:val="002E0FB0"/>
    <w:rsid w:val="002E1115"/>
    <w:rsid w:val="002E12DC"/>
    <w:rsid w:val="002E1501"/>
    <w:rsid w:val="002E1634"/>
    <w:rsid w:val="002E2163"/>
    <w:rsid w:val="002E2220"/>
    <w:rsid w:val="002E22FC"/>
    <w:rsid w:val="002E24D7"/>
    <w:rsid w:val="002E24EC"/>
    <w:rsid w:val="002E282C"/>
    <w:rsid w:val="002E2B72"/>
    <w:rsid w:val="002E2BD2"/>
    <w:rsid w:val="002E2EDF"/>
    <w:rsid w:val="002E2F9B"/>
    <w:rsid w:val="002E3254"/>
    <w:rsid w:val="002E34FE"/>
    <w:rsid w:val="002E3547"/>
    <w:rsid w:val="002E3771"/>
    <w:rsid w:val="002E37CE"/>
    <w:rsid w:val="002E38A5"/>
    <w:rsid w:val="002E3E55"/>
    <w:rsid w:val="002E40D7"/>
    <w:rsid w:val="002E42C0"/>
    <w:rsid w:val="002E4352"/>
    <w:rsid w:val="002E4360"/>
    <w:rsid w:val="002E4446"/>
    <w:rsid w:val="002E47B0"/>
    <w:rsid w:val="002E4A5E"/>
    <w:rsid w:val="002E4B76"/>
    <w:rsid w:val="002E4C55"/>
    <w:rsid w:val="002E4CBD"/>
    <w:rsid w:val="002E4D07"/>
    <w:rsid w:val="002E4E0C"/>
    <w:rsid w:val="002E4E49"/>
    <w:rsid w:val="002E4F15"/>
    <w:rsid w:val="002E5039"/>
    <w:rsid w:val="002E5052"/>
    <w:rsid w:val="002E5441"/>
    <w:rsid w:val="002E5495"/>
    <w:rsid w:val="002E56C7"/>
    <w:rsid w:val="002E5B10"/>
    <w:rsid w:val="002E5D50"/>
    <w:rsid w:val="002E5F96"/>
    <w:rsid w:val="002E6039"/>
    <w:rsid w:val="002E605A"/>
    <w:rsid w:val="002E605E"/>
    <w:rsid w:val="002E6165"/>
    <w:rsid w:val="002E649A"/>
    <w:rsid w:val="002E6852"/>
    <w:rsid w:val="002E69C5"/>
    <w:rsid w:val="002E6AFF"/>
    <w:rsid w:val="002E6BF3"/>
    <w:rsid w:val="002E6DB4"/>
    <w:rsid w:val="002E710B"/>
    <w:rsid w:val="002E736E"/>
    <w:rsid w:val="002E743D"/>
    <w:rsid w:val="002E74F1"/>
    <w:rsid w:val="002E7575"/>
    <w:rsid w:val="002E7C61"/>
    <w:rsid w:val="002F0142"/>
    <w:rsid w:val="002F0659"/>
    <w:rsid w:val="002F0836"/>
    <w:rsid w:val="002F0A84"/>
    <w:rsid w:val="002F1018"/>
    <w:rsid w:val="002F111B"/>
    <w:rsid w:val="002F1198"/>
    <w:rsid w:val="002F11DC"/>
    <w:rsid w:val="002F1233"/>
    <w:rsid w:val="002F1355"/>
    <w:rsid w:val="002F15C4"/>
    <w:rsid w:val="002F1638"/>
    <w:rsid w:val="002F18E9"/>
    <w:rsid w:val="002F19E2"/>
    <w:rsid w:val="002F1A9C"/>
    <w:rsid w:val="002F1BB7"/>
    <w:rsid w:val="002F1D46"/>
    <w:rsid w:val="002F1DC4"/>
    <w:rsid w:val="002F1F0B"/>
    <w:rsid w:val="002F1F59"/>
    <w:rsid w:val="002F20A6"/>
    <w:rsid w:val="002F2420"/>
    <w:rsid w:val="002F255C"/>
    <w:rsid w:val="002F279E"/>
    <w:rsid w:val="002F2C26"/>
    <w:rsid w:val="002F2C90"/>
    <w:rsid w:val="002F3067"/>
    <w:rsid w:val="002F3227"/>
    <w:rsid w:val="002F38A2"/>
    <w:rsid w:val="002F39AC"/>
    <w:rsid w:val="002F3B32"/>
    <w:rsid w:val="002F3B70"/>
    <w:rsid w:val="002F3BA5"/>
    <w:rsid w:val="002F3D6B"/>
    <w:rsid w:val="002F3EF7"/>
    <w:rsid w:val="002F3F3A"/>
    <w:rsid w:val="002F40E7"/>
    <w:rsid w:val="002F463B"/>
    <w:rsid w:val="002F4787"/>
    <w:rsid w:val="002F4A1E"/>
    <w:rsid w:val="002F4CC0"/>
    <w:rsid w:val="002F4CD3"/>
    <w:rsid w:val="002F4ED8"/>
    <w:rsid w:val="002F537C"/>
    <w:rsid w:val="002F54B8"/>
    <w:rsid w:val="002F55BA"/>
    <w:rsid w:val="002F5637"/>
    <w:rsid w:val="002F57E5"/>
    <w:rsid w:val="002F580A"/>
    <w:rsid w:val="002F5834"/>
    <w:rsid w:val="002F5B1E"/>
    <w:rsid w:val="002F5E8A"/>
    <w:rsid w:val="002F60ED"/>
    <w:rsid w:val="002F65D7"/>
    <w:rsid w:val="002F678F"/>
    <w:rsid w:val="002F67F0"/>
    <w:rsid w:val="002F69B4"/>
    <w:rsid w:val="002F6CD2"/>
    <w:rsid w:val="002F6DB5"/>
    <w:rsid w:val="002F6E42"/>
    <w:rsid w:val="002F6F4E"/>
    <w:rsid w:val="002F6FE0"/>
    <w:rsid w:val="002F6FF9"/>
    <w:rsid w:val="002F7141"/>
    <w:rsid w:val="002F71AD"/>
    <w:rsid w:val="002F7822"/>
    <w:rsid w:val="002F7A60"/>
    <w:rsid w:val="002F7A9C"/>
    <w:rsid w:val="002F7CB1"/>
    <w:rsid w:val="002F7DBD"/>
    <w:rsid w:val="002F7ECD"/>
    <w:rsid w:val="00300041"/>
    <w:rsid w:val="00300384"/>
    <w:rsid w:val="00300615"/>
    <w:rsid w:val="003006D1"/>
    <w:rsid w:val="00300779"/>
    <w:rsid w:val="00300C11"/>
    <w:rsid w:val="00300C3C"/>
    <w:rsid w:val="00300E37"/>
    <w:rsid w:val="00300E73"/>
    <w:rsid w:val="0030107C"/>
    <w:rsid w:val="003010C3"/>
    <w:rsid w:val="003013C1"/>
    <w:rsid w:val="003013EE"/>
    <w:rsid w:val="003017D8"/>
    <w:rsid w:val="003018FE"/>
    <w:rsid w:val="00301E98"/>
    <w:rsid w:val="003022E8"/>
    <w:rsid w:val="0030237A"/>
    <w:rsid w:val="003027DD"/>
    <w:rsid w:val="003028C9"/>
    <w:rsid w:val="00302950"/>
    <w:rsid w:val="00302AD8"/>
    <w:rsid w:val="00302C27"/>
    <w:rsid w:val="00302FC8"/>
    <w:rsid w:val="00303317"/>
    <w:rsid w:val="00303488"/>
    <w:rsid w:val="003036D5"/>
    <w:rsid w:val="003037C8"/>
    <w:rsid w:val="00303B75"/>
    <w:rsid w:val="00303CBD"/>
    <w:rsid w:val="00303D58"/>
    <w:rsid w:val="00303D59"/>
    <w:rsid w:val="00303FED"/>
    <w:rsid w:val="0030426D"/>
    <w:rsid w:val="00304340"/>
    <w:rsid w:val="00304803"/>
    <w:rsid w:val="00304D1F"/>
    <w:rsid w:val="00304DF7"/>
    <w:rsid w:val="00305612"/>
    <w:rsid w:val="0030577E"/>
    <w:rsid w:val="0030578B"/>
    <w:rsid w:val="0030582E"/>
    <w:rsid w:val="00305A0F"/>
    <w:rsid w:val="00305A4E"/>
    <w:rsid w:val="00305B5A"/>
    <w:rsid w:val="00305D8A"/>
    <w:rsid w:val="003063E8"/>
    <w:rsid w:val="00306600"/>
    <w:rsid w:val="00306A0A"/>
    <w:rsid w:val="00306B30"/>
    <w:rsid w:val="00306B5B"/>
    <w:rsid w:val="00306CF3"/>
    <w:rsid w:val="00306DD9"/>
    <w:rsid w:val="0030729E"/>
    <w:rsid w:val="003072FD"/>
    <w:rsid w:val="0030755F"/>
    <w:rsid w:val="003077B3"/>
    <w:rsid w:val="00307B2B"/>
    <w:rsid w:val="00307B66"/>
    <w:rsid w:val="00307D01"/>
    <w:rsid w:val="00307D3D"/>
    <w:rsid w:val="00307F1E"/>
    <w:rsid w:val="00310101"/>
    <w:rsid w:val="0031030A"/>
    <w:rsid w:val="00310476"/>
    <w:rsid w:val="003106E9"/>
    <w:rsid w:val="0031090F"/>
    <w:rsid w:val="00310A20"/>
    <w:rsid w:val="00311394"/>
    <w:rsid w:val="00311580"/>
    <w:rsid w:val="00311624"/>
    <w:rsid w:val="00311636"/>
    <w:rsid w:val="003116E3"/>
    <w:rsid w:val="0031183B"/>
    <w:rsid w:val="003118F4"/>
    <w:rsid w:val="00311B55"/>
    <w:rsid w:val="00311D7C"/>
    <w:rsid w:val="00311DBA"/>
    <w:rsid w:val="00312036"/>
    <w:rsid w:val="00312038"/>
    <w:rsid w:val="0031207E"/>
    <w:rsid w:val="003122E5"/>
    <w:rsid w:val="00312716"/>
    <w:rsid w:val="003127AC"/>
    <w:rsid w:val="003127E4"/>
    <w:rsid w:val="00312A32"/>
    <w:rsid w:val="00312F20"/>
    <w:rsid w:val="003134A3"/>
    <w:rsid w:val="00313745"/>
    <w:rsid w:val="00313844"/>
    <w:rsid w:val="00313D39"/>
    <w:rsid w:val="00313FC4"/>
    <w:rsid w:val="003140FD"/>
    <w:rsid w:val="0031427F"/>
    <w:rsid w:val="00314482"/>
    <w:rsid w:val="0031461B"/>
    <w:rsid w:val="003146A8"/>
    <w:rsid w:val="00314737"/>
    <w:rsid w:val="00314879"/>
    <w:rsid w:val="00314A05"/>
    <w:rsid w:val="00314A21"/>
    <w:rsid w:val="00314B84"/>
    <w:rsid w:val="00314B8E"/>
    <w:rsid w:val="00314FE2"/>
    <w:rsid w:val="00315115"/>
    <w:rsid w:val="00315525"/>
    <w:rsid w:val="0031568B"/>
    <w:rsid w:val="00315860"/>
    <w:rsid w:val="00315ABD"/>
    <w:rsid w:val="00315ACA"/>
    <w:rsid w:val="00315F1C"/>
    <w:rsid w:val="00315FC3"/>
    <w:rsid w:val="00315FCF"/>
    <w:rsid w:val="003161DD"/>
    <w:rsid w:val="003162E9"/>
    <w:rsid w:val="00316378"/>
    <w:rsid w:val="00316907"/>
    <w:rsid w:val="0031721F"/>
    <w:rsid w:val="003172AF"/>
    <w:rsid w:val="00317721"/>
    <w:rsid w:val="00317747"/>
    <w:rsid w:val="00317750"/>
    <w:rsid w:val="003178EC"/>
    <w:rsid w:val="00317B46"/>
    <w:rsid w:val="00317BA2"/>
    <w:rsid w:val="0032020D"/>
    <w:rsid w:val="00320512"/>
    <w:rsid w:val="003209EF"/>
    <w:rsid w:val="00320C8C"/>
    <w:rsid w:val="00320C8D"/>
    <w:rsid w:val="00320C94"/>
    <w:rsid w:val="00320DE0"/>
    <w:rsid w:val="00320F7E"/>
    <w:rsid w:val="00320FA6"/>
    <w:rsid w:val="0032117B"/>
    <w:rsid w:val="0032133C"/>
    <w:rsid w:val="003213EF"/>
    <w:rsid w:val="003214A4"/>
    <w:rsid w:val="00321565"/>
    <w:rsid w:val="003216D4"/>
    <w:rsid w:val="00321BC3"/>
    <w:rsid w:val="00321E63"/>
    <w:rsid w:val="003223B3"/>
    <w:rsid w:val="0032251B"/>
    <w:rsid w:val="0032255B"/>
    <w:rsid w:val="003225F7"/>
    <w:rsid w:val="0032284B"/>
    <w:rsid w:val="00322A08"/>
    <w:rsid w:val="00322CD9"/>
    <w:rsid w:val="00322EAE"/>
    <w:rsid w:val="00322EF8"/>
    <w:rsid w:val="00322F31"/>
    <w:rsid w:val="00322F78"/>
    <w:rsid w:val="00322F7C"/>
    <w:rsid w:val="00323118"/>
    <w:rsid w:val="003231B2"/>
    <w:rsid w:val="003235A8"/>
    <w:rsid w:val="00323AF9"/>
    <w:rsid w:val="00323B6F"/>
    <w:rsid w:val="00323CBD"/>
    <w:rsid w:val="00323CF4"/>
    <w:rsid w:val="00323D90"/>
    <w:rsid w:val="00323DD7"/>
    <w:rsid w:val="00324249"/>
    <w:rsid w:val="00324530"/>
    <w:rsid w:val="0032475B"/>
    <w:rsid w:val="003247A6"/>
    <w:rsid w:val="00324864"/>
    <w:rsid w:val="003249D4"/>
    <w:rsid w:val="00324A3F"/>
    <w:rsid w:val="00324A40"/>
    <w:rsid w:val="00324AD5"/>
    <w:rsid w:val="00324CC6"/>
    <w:rsid w:val="00324D0F"/>
    <w:rsid w:val="00324DF9"/>
    <w:rsid w:val="00324E28"/>
    <w:rsid w:val="00325135"/>
    <w:rsid w:val="003252EE"/>
    <w:rsid w:val="003253B4"/>
    <w:rsid w:val="00325518"/>
    <w:rsid w:val="0032591B"/>
    <w:rsid w:val="00325C76"/>
    <w:rsid w:val="00326036"/>
    <w:rsid w:val="003261C1"/>
    <w:rsid w:val="00326905"/>
    <w:rsid w:val="003269E4"/>
    <w:rsid w:val="00326B32"/>
    <w:rsid w:val="0032705E"/>
    <w:rsid w:val="0032707F"/>
    <w:rsid w:val="00327312"/>
    <w:rsid w:val="00327519"/>
    <w:rsid w:val="003275D2"/>
    <w:rsid w:val="00327C32"/>
    <w:rsid w:val="00327D5D"/>
    <w:rsid w:val="00327E3C"/>
    <w:rsid w:val="00327EF4"/>
    <w:rsid w:val="00330318"/>
    <w:rsid w:val="003303F0"/>
    <w:rsid w:val="00330459"/>
    <w:rsid w:val="003307F5"/>
    <w:rsid w:val="003308FF"/>
    <w:rsid w:val="003309A2"/>
    <w:rsid w:val="00330A13"/>
    <w:rsid w:val="00330F26"/>
    <w:rsid w:val="00330FDE"/>
    <w:rsid w:val="003313DC"/>
    <w:rsid w:val="00331437"/>
    <w:rsid w:val="00331538"/>
    <w:rsid w:val="003315C6"/>
    <w:rsid w:val="0033195C"/>
    <w:rsid w:val="00331E01"/>
    <w:rsid w:val="00331EFF"/>
    <w:rsid w:val="0033219E"/>
    <w:rsid w:val="0033229B"/>
    <w:rsid w:val="003322AC"/>
    <w:rsid w:val="003322CB"/>
    <w:rsid w:val="0033237D"/>
    <w:rsid w:val="00332401"/>
    <w:rsid w:val="003327B2"/>
    <w:rsid w:val="0033296F"/>
    <w:rsid w:val="003329C7"/>
    <w:rsid w:val="00332B58"/>
    <w:rsid w:val="00332B70"/>
    <w:rsid w:val="00332CC4"/>
    <w:rsid w:val="00332D81"/>
    <w:rsid w:val="0033310A"/>
    <w:rsid w:val="0033319F"/>
    <w:rsid w:val="003333EF"/>
    <w:rsid w:val="00333712"/>
    <w:rsid w:val="00333A98"/>
    <w:rsid w:val="00333C35"/>
    <w:rsid w:val="00333D2E"/>
    <w:rsid w:val="0033405D"/>
    <w:rsid w:val="0033415B"/>
    <w:rsid w:val="003341C6"/>
    <w:rsid w:val="00334206"/>
    <w:rsid w:val="003343F9"/>
    <w:rsid w:val="00334632"/>
    <w:rsid w:val="0033468A"/>
    <w:rsid w:val="00334AA5"/>
    <w:rsid w:val="00334FDC"/>
    <w:rsid w:val="0033508E"/>
    <w:rsid w:val="003350D3"/>
    <w:rsid w:val="00335163"/>
    <w:rsid w:val="003354AB"/>
    <w:rsid w:val="00335629"/>
    <w:rsid w:val="0033592A"/>
    <w:rsid w:val="00335C24"/>
    <w:rsid w:val="003361DA"/>
    <w:rsid w:val="00336266"/>
    <w:rsid w:val="003362B5"/>
    <w:rsid w:val="003364DD"/>
    <w:rsid w:val="003366BC"/>
    <w:rsid w:val="0033689B"/>
    <w:rsid w:val="003369C8"/>
    <w:rsid w:val="00336A9E"/>
    <w:rsid w:val="00336D0F"/>
    <w:rsid w:val="003370E9"/>
    <w:rsid w:val="0033710A"/>
    <w:rsid w:val="003371DA"/>
    <w:rsid w:val="003373DC"/>
    <w:rsid w:val="003374C7"/>
    <w:rsid w:val="00337606"/>
    <w:rsid w:val="00337794"/>
    <w:rsid w:val="00337873"/>
    <w:rsid w:val="00337DC4"/>
    <w:rsid w:val="003401B5"/>
    <w:rsid w:val="003401E1"/>
    <w:rsid w:val="003405C6"/>
    <w:rsid w:val="0034073E"/>
    <w:rsid w:val="0034079B"/>
    <w:rsid w:val="003407D6"/>
    <w:rsid w:val="003407DB"/>
    <w:rsid w:val="003407F9"/>
    <w:rsid w:val="0034083D"/>
    <w:rsid w:val="00340E70"/>
    <w:rsid w:val="00340F8D"/>
    <w:rsid w:val="00341452"/>
    <w:rsid w:val="003416BC"/>
    <w:rsid w:val="00341847"/>
    <w:rsid w:val="00341904"/>
    <w:rsid w:val="00341A07"/>
    <w:rsid w:val="00341D5E"/>
    <w:rsid w:val="00341EE2"/>
    <w:rsid w:val="0034201D"/>
    <w:rsid w:val="0034212A"/>
    <w:rsid w:val="003421F0"/>
    <w:rsid w:val="003424B3"/>
    <w:rsid w:val="00342554"/>
    <w:rsid w:val="00342808"/>
    <w:rsid w:val="00342B37"/>
    <w:rsid w:val="00342D69"/>
    <w:rsid w:val="00342F83"/>
    <w:rsid w:val="00343040"/>
    <w:rsid w:val="003432B7"/>
    <w:rsid w:val="00343424"/>
    <w:rsid w:val="003435D4"/>
    <w:rsid w:val="00343B03"/>
    <w:rsid w:val="00343C4D"/>
    <w:rsid w:val="003441BF"/>
    <w:rsid w:val="003445A2"/>
    <w:rsid w:val="003447EB"/>
    <w:rsid w:val="003448D7"/>
    <w:rsid w:val="00344ADB"/>
    <w:rsid w:val="00344B74"/>
    <w:rsid w:val="00344C23"/>
    <w:rsid w:val="00344EFB"/>
    <w:rsid w:val="00345193"/>
    <w:rsid w:val="00345227"/>
    <w:rsid w:val="0034579B"/>
    <w:rsid w:val="003457C4"/>
    <w:rsid w:val="003462D3"/>
    <w:rsid w:val="003465E8"/>
    <w:rsid w:val="003465F9"/>
    <w:rsid w:val="00346631"/>
    <w:rsid w:val="003466CE"/>
    <w:rsid w:val="00346A55"/>
    <w:rsid w:val="00346ABB"/>
    <w:rsid w:val="00346F00"/>
    <w:rsid w:val="003470FE"/>
    <w:rsid w:val="0034711F"/>
    <w:rsid w:val="00347296"/>
    <w:rsid w:val="0034786D"/>
    <w:rsid w:val="003478DE"/>
    <w:rsid w:val="003479A2"/>
    <w:rsid w:val="00347A35"/>
    <w:rsid w:val="00347AA3"/>
    <w:rsid w:val="00347BB8"/>
    <w:rsid w:val="00347C5C"/>
    <w:rsid w:val="003502A1"/>
    <w:rsid w:val="0035070E"/>
    <w:rsid w:val="0035072D"/>
    <w:rsid w:val="003507B5"/>
    <w:rsid w:val="0035097F"/>
    <w:rsid w:val="00350ABA"/>
    <w:rsid w:val="00350C89"/>
    <w:rsid w:val="00350D51"/>
    <w:rsid w:val="00350E6B"/>
    <w:rsid w:val="003514D9"/>
    <w:rsid w:val="0035150E"/>
    <w:rsid w:val="00351569"/>
    <w:rsid w:val="00351581"/>
    <w:rsid w:val="003515F6"/>
    <w:rsid w:val="00351789"/>
    <w:rsid w:val="00351D2E"/>
    <w:rsid w:val="00351DF9"/>
    <w:rsid w:val="003520CF"/>
    <w:rsid w:val="00352105"/>
    <w:rsid w:val="0035245D"/>
    <w:rsid w:val="003524FD"/>
    <w:rsid w:val="0035256A"/>
    <w:rsid w:val="003528D9"/>
    <w:rsid w:val="003529D4"/>
    <w:rsid w:val="00352A54"/>
    <w:rsid w:val="00352AC6"/>
    <w:rsid w:val="00352B0F"/>
    <w:rsid w:val="00352B80"/>
    <w:rsid w:val="00352D21"/>
    <w:rsid w:val="00352E42"/>
    <w:rsid w:val="00352EFC"/>
    <w:rsid w:val="0035315C"/>
    <w:rsid w:val="00353164"/>
    <w:rsid w:val="00353226"/>
    <w:rsid w:val="00353278"/>
    <w:rsid w:val="00353341"/>
    <w:rsid w:val="00353410"/>
    <w:rsid w:val="00353A2F"/>
    <w:rsid w:val="00353B01"/>
    <w:rsid w:val="00353EA3"/>
    <w:rsid w:val="00353FC6"/>
    <w:rsid w:val="00354229"/>
    <w:rsid w:val="003543E2"/>
    <w:rsid w:val="00354410"/>
    <w:rsid w:val="0035446F"/>
    <w:rsid w:val="003545BA"/>
    <w:rsid w:val="00354752"/>
    <w:rsid w:val="00354A5D"/>
    <w:rsid w:val="00354DA6"/>
    <w:rsid w:val="00354E0A"/>
    <w:rsid w:val="00354F0D"/>
    <w:rsid w:val="00355199"/>
    <w:rsid w:val="003551BA"/>
    <w:rsid w:val="00355B2C"/>
    <w:rsid w:val="00355BF3"/>
    <w:rsid w:val="00355DFF"/>
    <w:rsid w:val="00355E43"/>
    <w:rsid w:val="00355FA7"/>
    <w:rsid w:val="00356240"/>
    <w:rsid w:val="00356472"/>
    <w:rsid w:val="003568E3"/>
    <w:rsid w:val="003569ED"/>
    <w:rsid w:val="00356C33"/>
    <w:rsid w:val="00356E77"/>
    <w:rsid w:val="00356EA9"/>
    <w:rsid w:val="00356F8A"/>
    <w:rsid w:val="00356FDD"/>
    <w:rsid w:val="003570FD"/>
    <w:rsid w:val="0035730A"/>
    <w:rsid w:val="0035760A"/>
    <w:rsid w:val="00357B3B"/>
    <w:rsid w:val="00357F26"/>
    <w:rsid w:val="00360296"/>
    <w:rsid w:val="003604B4"/>
    <w:rsid w:val="00360558"/>
    <w:rsid w:val="00360685"/>
    <w:rsid w:val="003606C4"/>
    <w:rsid w:val="003607A3"/>
    <w:rsid w:val="00360801"/>
    <w:rsid w:val="00360889"/>
    <w:rsid w:val="00360C38"/>
    <w:rsid w:val="00360D58"/>
    <w:rsid w:val="00360FBC"/>
    <w:rsid w:val="003612CE"/>
    <w:rsid w:val="003613AD"/>
    <w:rsid w:val="00361482"/>
    <w:rsid w:val="0036168E"/>
    <w:rsid w:val="003620C4"/>
    <w:rsid w:val="00362182"/>
    <w:rsid w:val="003623DB"/>
    <w:rsid w:val="00362514"/>
    <w:rsid w:val="00362589"/>
    <w:rsid w:val="00362945"/>
    <w:rsid w:val="00362BB9"/>
    <w:rsid w:val="00362C96"/>
    <w:rsid w:val="0036389C"/>
    <w:rsid w:val="00363C49"/>
    <w:rsid w:val="00363EF7"/>
    <w:rsid w:val="00364125"/>
    <w:rsid w:val="0036427C"/>
    <w:rsid w:val="00364347"/>
    <w:rsid w:val="003644EE"/>
    <w:rsid w:val="003646F4"/>
    <w:rsid w:val="003647FB"/>
    <w:rsid w:val="00364A99"/>
    <w:rsid w:val="00364AC9"/>
    <w:rsid w:val="00364B86"/>
    <w:rsid w:val="00364CCF"/>
    <w:rsid w:val="00364D4C"/>
    <w:rsid w:val="00364E1C"/>
    <w:rsid w:val="00364FBC"/>
    <w:rsid w:val="003652B0"/>
    <w:rsid w:val="003653F2"/>
    <w:rsid w:val="00365511"/>
    <w:rsid w:val="00365687"/>
    <w:rsid w:val="0036569A"/>
    <w:rsid w:val="003658CF"/>
    <w:rsid w:val="00365B8F"/>
    <w:rsid w:val="00365D25"/>
    <w:rsid w:val="003660ED"/>
    <w:rsid w:val="0036625A"/>
    <w:rsid w:val="00366349"/>
    <w:rsid w:val="00366425"/>
    <w:rsid w:val="0036645C"/>
    <w:rsid w:val="0036648F"/>
    <w:rsid w:val="003666E2"/>
    <w:rsid w:val="003667FC"/>
    <w:rsid w:val="003668F4"/>
    <w:rsid w:val="00366C68"/>
    <w:rsid w:val="003670DE"/>
    <w:rsid w:val="003670F6"/>
    <w:rsid w:val="003673C3"/>
    <w:rsid w:val="003676FA"/>
    <w:rsid w:val="00367BD4"/>
    <w:rsid w:val="00367D1B"/>
    <w:rsid w:val="00367DF4"/>
    <w:rsid w:val="003700C8"/>
    <w:rsid w:val="00370102"/>
    <w:rsid w:val="0037089E"/>
    <w:rsid w:val="00370C1B"/>
    <w:rsid w:val="00370C9C"/>
    <w:rsid w:val="00370D20"/>
    <w:rsid w:val="00370E1F"/>
    <w:rsid w:val="00370EC3"/>
    <w:rsid w:val="0037115C"/>
    <w:rsid w:val="00371265"/>
    <w:rsid w:val="00371857"/>
    <w:rsid w:val="00371A4E"/>
    <w:rsid w:val="00371A60"/>
    <w:rsid w:val="00371F0C"/>
    <w:rsid w:val="003720C1"/>
    <w:rsid w:val="00372127"/>
    <w:rsid w:val="003721D4"/>
    <w:rsid w:val="00372346"/>
    <w:rsid w:val="003723EC"/>
    <w:rsid w:val="00372488"/>
    <w:rsid w:val="003724C9"/>
    <w:rsid w:val="0037253E"/>
    <w:rsid w:val="003730C1"/>
    <w:rsid w:val="00373167"/>
    <w:rsid w:val="003739F7"/>
    <w:rsid w:val="00373B21"/>
    <w:rsid w:val="00373E65"/>
    <w:rsid w:val="003740AA"/>
    <w:rsid w:val="0037444A"/>
    <w:rsid w:val="0037484E"/>
    <w:rsid w:val="0037506C"/>
    <w:rsid w:val="00375215"/>
    <w:rsid w:val="00375502"/>
    <w:rsid w:val="0037554E"/>
    <w:rsid w:val="003756AF"/>
    <w:rsid w:val="003758E1"/>
    <w:rsid w:val="0037596D"/>
    <w:rsid w:val="00375BD1"/>
    <w:rsid w:val="0037605B"/>
    <w:rsid w:val="0037633F"/>
    <w:rsid w:val="003763F4"/>
    <w:rsid w:val="00376855"/>
    <w:rsid w:val="003769BD"/>
    <w:rsid w:val="00376AF5"/>
    <w:rsid w:val="00376C60"/>
    <w:rsid w:val="00376DEB"/>
    <w:rsid w:val="00376FB3"/>
    <w:rsid w:val="00377019"/>
    <w:rsid w:val="00377762"/>
    <w:rsid w:val="003778DB"/>
    <w:rsid w:val="0037791C"/>
    <w:rsid w:val="0037795C"/>
    <w:rsid w:val="003779F6"/>
    <w:rsid w:val="00377B32"/>
    <w:rsid w:val="00377BDF"/>
    <w:rsid w:val="00377D88"/>
    <w:rsid w:val="00377FE7"/>
    <w:rsid w:val="003803F2"/>
    <w:rsid w:val="003803F8"/>
    <w:rsid w:val="003803FC"/>
    <w:rsid w:val="00380461"/>
    <w:rsid w:val="003806AF"/>
    <w:rsid w:val="00380706"/>
    <w:rsid w:val="00380C7B"/>
    <w:rsid w:val="00380CDE"/>
    <w:rsid w:val="00380FBE"/>
    <w:rsid w:val="00380FF9"/>
    <w:rsid w:val="00381150"/>
    <w:rsid w:val="00381499"/>
    <w:rsid w:val="003814ED"/>
    <w:rsid w:val="00381816"/>
    <w:rsid w:val="003818EE"/>
    <w:rsid w:val="003819C4"/>
    <w:rsid w:val="00381B1E"/>
    <w:rsid w:val="0038208D"/>
    <w:rsid w:val="00382987"/>
    <w:rsid w:val="00382CE3"/>
    <w:rsid w:val="00383092"/>
    <w:rsid w:val="003830B7"/>
    <w:rsid w:val="00383243"/>
    <w:rsid w:val="00383331"/>
    <w:rsid w:val="0038340F"/>
    <w:rsid w:val="00383462"/>
    <w:rsid w:val="003836A0"/>
    <w:rsid w:val="00383A59"/>
    <w:rsid w:val="00383BAD"/>
    <w:rsid w:val="003843AA"/>
    <w:rsid w:val="00384428"/>
    <w:rsid w:val="00384674"/>
    <w:rsid w:val="003846DB"/>
    <w:rsid w:val="00384771"/>
    <w:rsid w:val="003847C4"/>
    <w:rsid w:val="00384BB7"/>
    <w:rsid w:val="00384CC6"/>
    <w:rsid w:val="00385010"/>
    <w:rsid w:val="00385056"/>
    <w:rsid w:val="003856B6"/>
    <w:rsid w:val="003856EF"/>
    <w:rsid w:val="0038596A"/>
    <w:rsid w:val="00385D28"/>
    <w:rsid w:val="00386033"/>
    <w:rsid w:val="0038618B"/>
    <w:rsid w:val="00386706"/>
    <w:rsid w:val="00386716"/>
    <w:rsid w:val="00386864"/>
    <w:rsid w:val="00386C0F"/>
    <w:rsid w:val="00386D5C"/>
    <w:rsid w:val="00386F17"/>
    <w:rsid w:val="00387003"/>
    <w:rsid w:val="003873C6"/>
    <w:rsid w:val="00387404"/>
    <w:rsid w:val="00387425"/>
    <w:rsid w:val="00387807"/>
    <w:rsid w:val="00387B31"/>
    <w:rsid w:val="00387C60"/>
    <w:rsid w:val="00387CC6"/>
    <w:rsid w:val="00387E96"/>
    <w:rsid w:val="00387F81"/>
    <w:rsid w:val="003901C2"/>
    <w:rsid w:val="00390392"/>
    <w:rsid w:val="00390394"/>
    <w:rsid w:val="003903A4"/>
    <w:rsid w:val="00390589"/>
    <w:rsid w:val="00390757"/>
    <w:rsid w:val="003907CE"/>
    <w:rsid w:val="00390852"/>
    <w:rsid w:val="0039095A"/>
    <w:rsid w:val="003913D9"/>
    <w:rsid w:val="0039153E"/>
    <w:rsid w:val="00391817"/>
    <w:rsid w:val="00391B2E"/>
    <w:rsid w:val="00391C4C"/>
    <w:rsid w:val="00391C76"/>
    <w:rsid w:val="00391C88"/>
    <w:rsid w:val="00391EE5"/>
    <w:rsid w:val="00391F75"/>
    <w:rsid w:val="0039251C"/>
    <w:rsid w:val="00392602"/>
    <w:rsid w:val="00392770"/>
    <w:rsid w:val="00392859"/>
    <w:rsid w:val="003928D7"/>
    <w:rsid w:val="00392977"/>
    <w:rsid w:val="00392A4B"/>
    <w:rsid w:val="00392C3B"/>
    <w:rsid w:val="00392C80"/>
    <w:rsid w:val="00392FCE"/>
    <w:rsid w:val="00393006"/>
    <w:rsid w:val="00393104"/>
    <w:rsid w:val="0039312E"/>
    <w:rsid w:val="003931B2"/>
    <w:rsid w:val="003931DE"/>
    <w:rsid w:val="0039336A"/>
    <w:rsid w:val="0039350B"/>
    <w:rsid w:val="00393669"/>
    <w:rsid w:val="00393855"/>
    <w:rsid w:val="0039399C"/>
    <w:rsid w:val="00393BDE"/>
    <w:rsid w:val="00393BEB"/>
    <w:rsid w:val="0039406C"/>
    <w:rsid w:val="00394073"/>
    <w:rsid w:val="003941C1"/>
    <w:rsid w:val="00394A1C"/>
    <w:rsid w:val="00394AF3"/>
    <w:rsid w:val="00394B5A"/>
    <w:rsid w:val="0039543E"/>
    <w:rsid w:val="003958F0"/>
    <w:rsid w:val="00395A2D"/>
    <w:rsid w:val="00395C40"/>
    <w:rsid w:val="00395FF9"/>
    <w:rsid w:val="00396400"/>
    <w:rsid w:val="0039680E"/>
    <w:rsid w:val="0039686A"/>
    <w:rsid w:val="00396982"/>
    <w:rsid w:val="00396B06"/>
    <w:rsid w:val="00396B6C"/>
    <w:rsid w:val="00397003"/>
    <w:rsid w:val="003973F1"/>
    <w:rsid w:val="003975DE"/>
    <w:rsid w:val="00397737"/>
    <w:rsid w:val="00397821"/>
    <w:rsid w:val="00397B90"/>
    <w:rsid w:val="00397E27"/>
    <w:rsid w:val="00397E29"/>
    <w:rsid w:val="00397EAF"/>
    <w:rsid w:val="003A0197"/>
    <w:rsid w:val="003A02D1"/>
    <w:rsid w:val="003A0443"/>
    <w:rsid w:val="003A0548"/>
    <w:rsid w:val="003A059D"/>
    <w:rsid w:val="003A05C1"/>
    <w:rsid w:val="003A0825"/>
    <w:rsid w:val="003A08C0"/>
    <w:rsid w:val="003A09FD"/>
    <w:rsid w:val="003A0B41"/>
    <w:rsid w:val="003A0C0B"/>
    <w:rsid w:val="003A1096"/>
    <w:rsid w:val="003A1107"/>
    <w:rsid w:val="003A123A"/>
    <w:rsid w:val="003A15D8"/>
    <w:rsid w:val="003A15E5"/>
    <w:rsid w:val="003A1724"/>
    <w:rsid w:val="003A172A"/>
    <w:rsid w:val="003A174D"/>
    <w:rsid w:val="003A1760"/>
    <w:rsid w:val="003A1A4D"/>
    <w:rsid w:val="003A1A6D"/>
    <w:rsid w:val="003A1C04"/>
    <w:rsid w:val="003A1C28"/>
    <w:rsid w:val="003A1E36"/>
    <w:rsid w:val="003A1E3F"/>
    <w:rsid w:val="003A1E4C"/>
    <w:rsid w:val="003A1FB7"/>
    <w:rsid w:val="003A1FD0"/>
    <w:rsid w:val="003A204C"/>
    <w:rsid w:val="003A2277"/>
    <w:rsid w:val="003A236B"/>
    <w:rsid w:val="003A23C3"/>
    <w:rsid w:val="003A25DA"/>
    <w:rsid w:val="003A270B"/>
    <w:rsid w:val="003A2A9B"/>
    <w:rsid w:val="003A2C94"/>
    <w:rsid w:val="003A2CE3"/>
    <w:rsid w:val="003A2D75"/>
    <w:rsid w:val="003A2EEA"/>
    <w:rsid w:val="003A307B"/>
    <w:rsid w:val="003A3174"/>
    <w:rsid w:val="003A320D"/>
    <w:rsid w:val="003A33CA"/>
    <w:rsid w:val="003A3465"/>
    <w:rsid w:val="003A34C6"/>
    <w:rsid w:val="003A383F"/>
    <w:rsid w:val="003A3ACD"/>
    <w:rsid w:val="003A3D06"/>
    <w:rsid w:val="003A3DE0"/>
    <w:rsid w:val="003A3E5F"/>
    <w:rsid w:val="003A402D"/>
    <w:rsid w:val="003A421A"/>
    <w:rsid w:val="003A4415"/>
    <w:rsid w:val="003A473F"/>
    <w:rsid w:val="003A485E"/>
    <w:rsid w:val="003A4B36"/>
    <w:rsid w:val="003A4B78"/>
    <w:rsid w:val="003A4E81"/>
    <w:rsid w:val="003A4EDE"/>
    <w:rsid w:val="003A528B"/>
    <w:rsid w:val="003A5659"/>
    <w:rsid w:val="003A5C84"/>
    <w:rsid w:val="003A5DCA"/>
    <w:rsid w:val="003A5E68"/>
    <w:rsid w:val="003A5FCD"/>
    <w:rsid w:val="003A608C"/>
    <w:rsid w:val="003A62C1"/>
    <w:rsid w:val="003A6465"/>
    <w:rsid w:val="003A6605"/>
    <w:rsid w:val="003A67C6"/>
    <w:rsid w:val="003A67DA"/>
    <w:rsid w:val="003A6BBE"/>
    <w:rsid w:val="003A6F1A"/>
    <w:rsid w:val="003A700B"/>
    <w:rsid w:val="003A704E"/>
    <w:rsid w:val="003A7222"/>
    <w:rsid w:val="003A7228"/>
    <w:rsid w:val="003A7851"/>
    <w:rsid w:val="003B046F"/>
    <w:rsid w:val="003B0516"/>
    <w:rsid w:val="003B073D"/>
    <w:rsid w:val="003B0848"/>
    <w:rsid w:val="003B0AB8"/>
    <w:rsid w:val="003B0C28"/>
    <w:rsid w:val="003B0C94"/>
    <w:rsid w:val="003B0ED4"/>
    <w:rsid w:val="003B0FDC"/>
    <w:rsid w:val="003B0FF1"/>
    <w:rsid w:val="003B11D5"/>
    <w:rsid w:val="003B12F1"/>
    <w:rsid w:val="003B1411"/>
    <w:rsid w:val="003B14CC"/>
    <w:rsid w:val="003B179B"/>
    <w:rsid w:val="003B17AB"/>
    <w:rsid w:val="003B17DB"/>
    <w:rsid w:val="003B17EB"/>
    <w:rsid w:val="003B1EEA"/>
    <w:rsid w:val="003B1FC2"/>
    <w:rsid w:val="003B21F6"/>
    <w:rsid w:val="003B285D"/>
    <w:rsid w:val="003B29D8"/>
    <w:rsid w:val="003B2C71"/>
    <w:rsid w:val="003B2C85"/>
    <w:rsid w:val="003B3049"/>
    <w:rsid w:val="003B3258"/>
    <w:rsid w:val="003B32D3"/>
    <w:rsid w:val="003B36B8"/>
    <w:rsid w:val="003B391A"/>
    <w:rsid w:val="003B396C"/>
    <w:rsid w:val="003B3BDF"/>
    <w:rsid w:val="003B3C57"/>
    <w:rsid w:val="003B3D1A"/>
    <w:rsid w:val="003B3F93"/>
    <w:rsid w:val="003B401D"/>
    <w:rsid w:val="003B40BA"/>
    <w:rsid w:val="003B41E6"/>
    <w:rsid w:val="003B440A"/>
    <w:rsid w:val="003B46E0"/>
    <w:rsid w:val="003B4750"/>
    <w:rsid w:val="003B4A7A"/>
    <w:rsid w:val="003B4A8E"/>
    <w:rsid w:val="003B4DEC"/>
    <w:rsid w:val="003B508D"/>
    <w:rsid w:val="003B52C5"/>
    <w:rsid w:val="003B530F"/>
    <w:rsid w:val="003B5360"/>
    <w:rsid w:val="003B5637"/>
    <w:rsid w:val="003B5775"/>
    <w:rsid w:val="003B597E"/>
    <w:rsid w:val="003B5CBC"/>
    <w:rsid w:val="003B5DFA"/>
    <w:rsid w:val="003B5ED5"/>
    <w:rsid w:val="003B5F1D"/>
    <w:rsid w:val="003B605E"/>
    <w:rsid w:val="003B6201"/>
    <w:rsid w:val="003B628E"/>
    <w:rsid w:val="003B62E8"/>
    <w:rsid w:val="003B66B6"/>
    <w:rsid w:val="003B67DA"/>
    <w:rsid w:val="003B6989"/>
    <w:rsid w:val="003B6AB3"/>
    <w:rsid w:val="003B6AEA"/>
    <w:rsid w:val="003B6E00"/>
    <w:rsid w:val="003B6E19"/>
    <w:rsid w:val="003B6EDA"/>
    <w:rsid w:val="003B73A3"/>
    <w:rsid w:val="003B740D"/>
    <w:rsid w:val="003B7612"/>
    <w:rsid w:val="003B7854"/>
    <w:rsid w:val="003B7A91"/>
    <w:rsid w:val="003B7B06"/>
    <w:rsid w:val="003B7D6B"/>
    <w:rsid w:val="003B7DE7"/>
    <w:rsid w:val="003B7EBC"/>
    <w:rsid w:val="003B7EDA"/>
    <w:rsid w:val="003C017F"/>
    <w:rsid w:val="003C0371"/>
    <w:rsid w:val="003C05DF"/>
    <w:rsid w:val="003C0667"/>
    <w:rsid w:val="003C067F"/>
    <w:rsid w:val="003C0EF1"/>
    <w:rsid w:val="003C0FA2"/>
    <w:rsid w:val="003C1468"/>
    <w:rsid w:val="003C17BD"/>
    <w:rsid w:val="003C18E6"/>
    <w:rsid w:val="003C1F4B"/>
    <w:rsid w:val="003C1F61"/>
    <w:rsid w:val="003C20E0"/>
    <w:rsid w:val="003C2157"/>
    <w:rsid w:val="003C22F3"/>
    <w:rsid w:val="003C25F6"/>
    <w:rsid w:val="003C26BF"/>
    <w:rsid w:val="003C26C3"/>
    <w:rsid w:val="003C27AF"/>
    <w:rsid w:val="003C27C4"/>
    <w:rsid w:val="003C28A8"/>
    <w:rsid w:val="003C28C9"/>
    <w:rsid w:val="003C2B39"/>
    <w:rsid w:val="003C2C66"/>
    <w:rsid w:val="003C307C"/>
    <w:rsid w:val="003C31B9"/>
    <w:rsid w:val="003C330A"/>
    <w:rsid w:val="003C376C"/>
    <w:rsid w:val="003C3784"/>
    <w:rsid w:val="003C39AE"/>
    <w:rsid w:val="003C39EB"/>
    <w:rsid w:val="003C3BDE"/>
    <w:rsid w:val="003C4016"/>
    <w:rsid w:val="003C411D"/>
    <w:rsid w:val="003C4294"/>
    <w:rsid w:val="003C4315"/>
    <w:rsid w:val="003C43BA"/>
    <w:rsid w:val="003C4506"/>
    <w:rsid w:val="003C46A1"/>
    <w:rsid w:val="003C479F"/>
    <w:rsid w:val="003C47C3"/>
    <w:rsid w:val="003C48DD"/>
    <w:rsid w:val="003C4BB6"/>
    <w:rsid w:val="003C4ECE"/>
    <w:rsid w:val="003C4F03"/>
    <w:rsid w:val="003C4F97"/>
    <w:rsid w:val="003C515D"/>
    <w:rsid w:val="003C5709"/>
    <w:rsid w:val="003C58BE"/>
    <w:rsid w:val="003C59F5"/>
    <w:rsid w:val="003C5A27"/>
    <w:rsid w:val="003C5A5A"/>
    <w:rsid w:val="003C5C71"/>
    <w:rsid w:val="003C6033"/>
    <w:rsid w:val="003C613C"/>
    <w:rsid w:val="003C6324"/>
    <w:rsid w:val="003C64D6"/>
    <w:rsid w:val="003C66B0"/>
    <w:rsid w:val="003C6734"/>
    <w:rsid w:val="003C6A1A"/>
    <w:rsid w:val="003C73EE"/>
    <w:rsid w:val="003C758A"/>
    <w:rsid w:val="003C76A9"/>
    <w:rsid w:val="003C77A8"/>
    <w:rsid w:val="003C77FF"/>
    <w:rsid w:val="003C7953"/>
    <w:rsid w:val="003C799D"/>
    <w:rsid w:val="003C7B94"/>
    <w:rsid w:val="003C7ECB"/>
    <w:rsid w:val="003D0480"/>
    <w:rsid w:val="003D070B"/>
    <w:rsid w:val="003D0A0C"/>
    <w:rsid w:val="003D0A40"/>
    <w:rsid w:val="003D0C43"/>
    <w:rsid w:val="003D0F03"/>
    <w:rsid w:val="003D0F5F"/>
    <w:rsid w:val="003D0F60"/>
    <w:rsid w:val="003D0F68"/>
    <w:rsid w:val="003D1283"/>
    <w:rsid w:val="003D1330"/>
    <w:rsid w:val="003D1403"/>
    <w:rsid w:val="003D14AB"/>
    <w:rsid w:val="003D1623"/>
    <w:rsid w:val="003D19C8"/>
    <w:rsid w:val="003D1A9C"/>
    <w:rsid w:val="003D1EBD"/>
    <w:rsid w:val="003D1EE5"/>
    <w:rsid w:val="003D2074"/>
    <w:rsid w:val="003D22C7"/>
    <w:rsid w:val="003D23D0"/>
    <w:rsid w:val="003D2522"/>
    <w:rsid w:val="003D2646"/>
    <w:rsid w:val="003D26A0"/>
    <w:rsid w:val="003D26FC"/>
    <w:rsid w:val="003D273F"/>
    <w:rsid w:val="003D274D"/>
    <w:rsid w:val="003D29CB"/>
    <w:rsid w:val="003D2D45"/>
    <w:rsid w:val="003D2D56"/>
    <w:rsid w:val="003D2DBD"/>
    <w:rsid w:val="003D302D"/>
    <w:rsid w:val="003D34C0"/>
    <w:rsid w:val="003D360A"/>
    <w:rsid w:val="003D3892"/>
    <w:rsid w:val="003D3DA8"/>
    <w:rsid w:val="003D3E87"/>
    <w:rsid w:val="003D43CC"/>
    <w:rsid w:val="003D47A0"/>
    <w:rsid w:val="003D489F"/>
    <w:rsid w:val="003D4C18"/>
    <w:rsid w:val="003D4E96"/>
    <w:rsid w:val="003D4EF6"/>
    <w:rsid w:val="003D536C"/>
    <w:rsid w:val="003D54D1"/>
    <w:rsid w:val="003D54E6"/>
    <w:rsid w:val="003D5819"/>
    <w:rsid w:val="003D5A9D"/>
    <w:rsid w:val="003D5B40"/>
    <w:rsid w:val="003D5BA8"/>
    <w:rsid w:val="003D5C2D"/>
    <w:rsid w:val="003D5F5A"/>
    <w:rsid w:val="003D5F64"/>
    <w:rsid w:val="003D663D"/>
    <w:rsid w:val="003D67BC"/>
    <w:rsid w:val="003D6E92"/>
    <w:rsid w:val="003D744C"/>
    <w:rsid w:val="003D74BB"/>
    <w:rsid w:val="003D7680"/>
    <w:rsid w:val="003D78A4"/>
    <w:rsid w:val="003D7CE6"/>
    <w:rsid w:val="003D7D7C"/>
    <w:rsid w:val="003D7EA7"/>
    <w:rsid w:val="003D7F6B"/>
    <w:rsid w:val="003D7FFC"/>
    <w:rsid w:val="003E0098"/>
    <w:rsid w:val="003E00DF"/>
    <w:rsid w:val="003E011C"/>
    <w:rsid w:val="003E012B"/>
    <w:rsid w:val="003E0798"/>
    <w:rsid w:val="003E0F68"/>
    <w:rsid w:val="003E109C"/>
    <w:rsid w:val="003E1125"/>
    <w:rsid w:val="003E1192"/>
    <w:rsid w:val="003E13A8"/>
    <w:rsid w:val="003E1883"/>
    <w:rsid w:val="003E1935"/>
    <w:rsid w:val="003E19EC"/>
    <w:rsid w:val="003E1B17"/>
    <w:rsid w:val="003E1CD6"/>
    <w:rsid w:val="003E230D"/>
    <w:rsid w:val="003E23E3"/>
    <w:rsid w:val="003E245D"/>
    <w:rsid w:val="003E2612"/>
    <w:rsid w:val="003E2A79"/>
    <w:rsid w:val="003E2BAC"/>
    <w:rsid w:val="003E2C38"/>
    <w:rsid w:val="003E2C42"/>
    <w:rsid w:val="003E2CDA"/>
    <w:rsid w:val="003E2E76"/>
    <w:rsid w:val="003E329C"/>
    <w:rsid w:val="003E338E"/>
    <w:rsid w:val="003E34C4"/>
    <w:rsid w:val="003E34DE"/>
    <w:rsid w:val="003E374F"/>
    <w:rsid w:val="003E3766"/>
    <w:rsid w:val="003E3769"/>
    <w:rsid w:val="003E3881"/>
    <w:rsid w:val="003E39C9"/>
    <w:rsid w:val="003E3A58"/>
    <w:rsid w:val="003E3C91"/>
    <w:rsid w:val="003E3D02"/>
    <w:rsid w:val="003E3F26"/>
    <w:rsid w:val="003E43B6"/>
    <w:rsid w:val="003E43D2"/>
    <w:rsid w:val="003E45F7"/>
    <w:rsid w:val="003E46F8"/>
    <w:rsid w:val="003E4D2A"/>
    <w:rsid w:val="003E4DBD"/>
    <w:rsid w:val="003E50FE"/>
    <w:rsid w:val="003E51A2"/>
    <w:rsid w:val="003E535D"/>
    <w:rsid w:val="003E547F"/>
    <w:rsid w:val="003E55BB"/>
    <w:rsid w:val="003E5D21"/>
    <w:rsid w:val="003E6017"/>
    <w:rsid w:val="003E624E"/>
    <w:rsid w:val="003E62DA"/>
    <w:rsid w:val="003E65CB"/>
    <w:rsid w:val="003E6B72"/>
    <w:rsid w:val="003E6D96"/>
    <w:rsid w:val="003E6FFB"/>
    <w:rsid w:val="003E7006"/>
    <w:rsid w:val="003E72D7"/>
    <w:rsid w:val="003E7483"/>
    <w:rsid w:val="003E7528"/>
    <w:rsid w:val="003E754A"/>
    <w:rsid w:val="003E7690"/>
    <w:rsid w:val="003E774E"/>
    <w:rsid w:val="003E7760"/>
    <w:rsid w:val="003E7B92"/>
    <w:rsid w:val="003E7E87"/>
    <w:rsid w:val="003E7F3E"/>
    <w:rsid w:val="003F02F8"/>
    <w:rsid w:val="003F0726"/>
    <w:rsid w:val="003F074A"/>
    <w:rsid w:val="003F079E"/>
    <w:rsid w:val="003F0813"/>
    <w:rsid w:val="003F0A37"/>
    <w:rsid w:val="003F0C3F"/>
    <w:rsid w:val="003F11F2"/>
    <w:rsid w:val="003F126C"/>
    <w:rsid w:val="003F12BB"/>
    <w:rsid w:val="003F1567"/>
    <w:rsid w:val="003F169E"/>
    <w:rsid w:val="003F1744"/>
    <w:rsid w:val="003F18F4"/>
    <w:rsid w:val="003F1BC2"/>
    <w:rsid w:val="003F1DF3"/>
    <w:rsid w:val="003F1E4C"/>
    <w:rsid w:val="003F1FC2"/>
    <w:rsid w:val="003F2388"/>
    <w:rsid w:val="003F2446"/>
    <w:rsid w:val="003F28B2"/>
    <w:rsid w:val="003F2917"/>
    <w:rsid w:val="003F2D19"/>
    <w:rsid w:val="003F2D2A"/>
    <w:rsid w:val="003F316B"/>
    <w:rsid w:val="003F34D9"/>
    <w:rsid w:val="003F353F"/>
    <w:rsid w:val="003F42AF"/>
    <w:rsid w:val="003F42C8"/>
    <w:rsid w:val="003F4566"/>
    <w:rsid w:val="003F4732"/>
    <w:rsid w:val="003F47EA"/>
    <w:rsid w:val="003F482A"/>
    <w:rsid w:val="003F4B9B"/>
    <w:rsid w:val="003F4BCF"/>
    <w:rsid w:val="003F4D7F"/>
    <w:rsid w:val="003F4E33"/>
    <w:rsid w:val="003F4FD9"/>
    <w:rsid w:val="003F5190"/>
    <w:rsid w:val="003F52FA"/>
    <w:rsid w:val="003F5322"/>
    <w:rsid w:val="003F53C3"/>
    <w:rsid w:val="003F5513"/>
    <w:rsid w:val="003F5627"/>
    <w:rsid w:val="003F5E5C"/>
    <w:rsid w:val="003F5EF0"/>
    <w:rsid w:val="003F654B"/>
    <w:rsid w:val="003F6C11"/>
    <w:rsid w:val="003F6C57"/>
    <w:rsid w:val="003F6DCC"/>
    <w:rsid w:val="003F70F6"/>
    <w:rsid w:val="003F710B"/>
    <w:rsid w:val="003F7607"/>
    <w:rsid w:val="003F78E0"/>
    <w:rsid w:val="003F7BA2"/>
    <w:rsid w:val="003F7C79"/>
    <w:rsid w:val="003F7D7D"/>
    <w:rsid w:val="00400010"/>
    <w:rsid w:val="00400143"/>
    <w:rsid w:val="004003C9"/>
    <w:rsid w:val="00400432"/>
    <w:rsid w:val="004005C8"/>
    <w:rsid w:val="00400843"/>
    <w:rsid w:val="00400A50"/>
    <w:rsid w:val="00400BE1"/>
    <w:rsid w:val="00400D28"/>
    <w:rsid w:val="00400FF3"/>
    <w:rsid w:val="004010AA"/>
    <w:rsid w:val="0040113F"/>
    <w:rsid w:val="0040139F"/>
    <w:rsid w:val="00401414"/>
    <w:rsid w:val="0040177D"/>
    <w:rsid w:val="00401826"/>
    <w:rsid w:val="00401A5B"/>
    <w:rsid w:val="00401AD9"/>
    <w:rsid w:val="00401C67"/>
    <w:rsid w:val="00401EDC"/>
    <w:rsid w:val="00401F05"/>
    <w:rsid w:val="00402617"/>
    <w:rsid w:val="00402722"/>
    <w:rsid w:val="00402A5A"/>
    <w:rsid w:val="00402C83"/>
    <w:rsid w:val="004035CC"/>
    <w:rsid w:val="0040366C"/>
    <w:rsid w:val="004037B2"/>
    <w:rsid w:val="004037D7"/>
    <w:rsid w:val="0040388B"/>
    <w:rsid w:val="004038A9"/>
    <w:rsid w:val="004038DE"/>
    <w:rsid w:val="00403917"/>
    <w:rsid w:val="0040391C"/>
    <w:rsid w:val="00403A1B"/>
    <w:rsid w:val="00403C20"/>
    <w:rsid w:val="00403D8F"/>
    <w:rsid w:val="00403DC6"/>
    <w:rsid w:val="00403FE9"/>
    <w:rsid w:val="00404141"/>
    <w:rsid w:val="00404380"/>
    <w:rsid w:val="004043B8"/>
    <w:rsid w:val="00404401"/>
    <w:rsid w:val="00404B6E"/>
    <w:rsid w:val="00404C7F"/>
    <w:rsid w:val="00404F56"/>
    <w:rsid w:val="00404F67"/>
    <w:rsid w:val="00405082"/>
    <w:rsid w:val="00405183"/>
    <w:rsid w:val="0040530F"/>
    <w:rsid w:val="004055DE"/>
    <w:rsid w:val="00405763"/>
    <w:rsid w:val="00405957"/>
    <w:rsid w:val="00405982"/>
    <w:rsid w:val="00405ADA"/>
    <w:rsid w:val="00405C6E"/>
    <w:rsid w:val="00405C98"/>
    <w:rsid w:val="00405F1C"/>
    <w:rsid w:val="0040612B"/>
    <w:rsid w:val="00406213"/>
    <w:rsid w:val="004063FD"/>
    <w:rsid w:val="00406416"/>
    <w:rsid w:val="0040670C"/>
    <w:rsid w:val="00406C79"/>
    <w:rsid w:val="00406FF8"/>
    <w:rsid w:val="00407345"/>
    <w:rsid w:val="00407962"/>
    <w:rsid w:val="00407D17"/>
    <w:rsid w:val="00410243"/>
    <w:rsid w:val="00410C81"/>
    <w:rsid w:val="0041125B"/>
    <w:rsid w:val="0041126C"/>
    <w:rsid w:val="0041131C"/>
    <w:rsid w:val="0041154F"/>
    <w:rsid w:val="00411554"/>
    <w:rsid w:val="00411581"/>
    <w:rsid w:val="0041185F"/>
    <w:rsid w:val="00411881"/>
    <w:rsid w:val="0041199D"/>
    <w:rsid w:val="00412010"/>
    <w:rsid w:val="00412244"/>
    <w:rsid w:val="004122CE"/>
    <w:rsid w:val="004123A4"/>
    <w:rsid w:val="0041257C"/>
    <w:rsid w:val="00412C56"/>
    <w:rsid w:val="00412D26"/>
    <w:rsid w:val="00412ED1"/>
    <w:rsid w:val="00412F76"/>
    <w:rsid w:val="0041300B"/>
    <w:rsid w:val="0041304B"/>
    <w:rsid w:val="0041313F"/>
    <w:rsid w:val="00413709"/>
    <w:rsid w:val="00413761"/>
    <w:rsid w:val="004137F2"/>
    <w:rsid w:val="0041392F"/>
    <w:rsid w:val="00413A53"/>
    <w:rsid w:val="00413B4C"/>
    <w:rsid w:val="00413C2A"/>
    <w:rsid w:val="00413EBE"/>
    <w:rsid w:val="00413ED5"/>
    <w:rsid w:val="004140D0"/>
    <w:rsid w:val="004145C1"/>
    <w:rsid w:val="0041482F"/>
    <w:rsid w:val="00414CDC"/>
    <w:rsid w:val="00414D3C"/>
    <w:rsid w:val="00414FE7"/>
    <w:rsid w:val="00415013"/>
    <w:rsid w:val="0041518E"/>
    <w:rsid w:val="00415398"/>
    <w:rsid w:val="004153AE"/>
    <w:rsid w:val="00415B45"/>
    <w:rsid w:val="00415B53"/>
    <w:rsid w:val="00415E58"/>
    <w:rsid w:val="00415E7D"/>
    <w:rsid w:val="004160A1"/>
    <w:rsid w:val="004160A8"/>
    <w:rsid w:val="00416116"/>
    <w:rsid w:val="00416329"/>
    <w:rsid w:val="00416352"/>
    <w:rsid w:val="004166B0"/>
    <w:rsid w:val="00416CEE"/>
    <w:rsid w:val="00417168"/>
    <w:rsid w:val="00417171"/>
    <w:rsid w:val="00417550"/>
    <w:rsid w:val="0041789D"/>
    <w:rsid w:val="00417B59"/>
    <w:rsid w:val="00417C68"/>
    <w:rsid w:val="00417D00"/>
    <w:rsid w:val="00417DB5"/>
    <w:rsid w:val="00417F8C"/>
    <w:rsid w:val="0042003C"/>
    <w:rsid w:val="004200DA"/>
    <w:rsid w:val="004204CA"/>
    <w:rsid w:val="00420630"/>
    <w:rsid w:val="004207A8"/>
    <w:rsid w:val="004209B6"/>
    <w:rsid w:val="00420AD4"/>
    <w:rsid w:val="00420B53"/>
    <w:rsid w:val="00420B74"/>
    <w:rsid w:val="00420C1C"/>
    <w:rsid w:val="00420C9C"/>
    <w:rsid w:val="00420D0C"/>
    <w:rsid w:val="00420E4C"/>
    <w:rsid w:val="00420E74"/>
    <w:rsid w:val="00421073"/>
    <w:rsid w:val="00421314"/>
    <w:rsid w:val="0042151E"/>
    <w:rsid w:val="00421643"/>
    <w:rsid w:val="00421823"/>
    <w:rsid w:val="00421C7E"/>
    <w:rsid w:val="00421DCD"/>
    <w:rsid w:val="00421F8D"/>
    <w:rsid w:val="00422357"/>
    <w:rsid w:val="0042249E"/>
    <w:rsid w:val="004226FF"/>
    <w:rsid w:val="004229E6"/>
    <w:rsid w:val="00422B23"/>
    <w:rsid w:val="00422D9A"/>
    <w:rsid w:val="00422FE8"/>
    <w:rsid w:val="004230BE"/>
    <w:rsid w:val="00423904"/>
    <w:rsid w:val="00423C52"/>
    <w:rsid w:val="00424086"/>
    <w:rsid w:val="004240B2"/>
    <w:rsid w:val="004246DD"/>
    <w:rsid w:val="00424960"/>
    <w:rsid w:val="00424B7E"/>
    <w:rsid w:val="00424B9F"/>
    <w:rsid w:val="00425178"/>
    <w:rsid w:val="0042539B"/>
    <w:rsid w:val="00425733"/>
    <w:rsid w:val="00425841"/>
    <w:rsid w:val="00425A93"/>
    <w:rsid w:val="00425B33"/>
    <w:rsid w:val="00425B86"/>
    <w:rsid w:val="00425B8E"/>
    <w:rsid w:val="00425F8E"/>
    <w:rsid w:val="00425FC9"/>
    <w:rsid w:val="0042601E"/>
    <w:rsid w:val="0042611B"/>
    <w:rsid w:val="0042617F"/>
    <w:rsid w:val="0042631C"/>
    <w:rsid w:val="00426605"/>
    <w:rsid w:val="0042669B"/>
    <w:rsid w:val="00426880"/>
    <w:rsid w:val="0042698D"/>
    <w:rsid w:val="00426A34"/>
    <w:rsid w:val="00426A72"/>
    <w:rsid w:val="00426C06"/>
    <w:rsid w:val="00426C63"/>
    <w:rsid w:val="00426D52"/>
    <w:rsid w:val="00426E9F"/>
    <w:rsid w:val="00426F22"/>
    <w:rsid w:val="004271CF"/>
    <w:rsid w:val="00427548"/>
    <w:rsid w:val="00427707"/>
    <w:rsid w:val="00427921"/>
    <w:rsid w:val="00427BF0"/>
    <w:rsid w:val="00427EF5"/>
    <w:rsid w:val="0043020D"/>
    <w:rsid w:val="0043037A"/>
    <w:rsid w:val="0043070E"/>
    <w:rsid w:val="00430773"/>
    <w:rsid w:val="00430876"/>
    <w:rsid w:val="00430885"/>
    <w:rsid w:val="0043135D"/>
    <w:rsid w:val="004314F8"/>
    <w:rsid w:val="00431834"/>
    <w:rsid w:val="004319D9"/>
    <w:rsid w:val="00431B31"/>
    <w:rsid w:val="00431B7E"/>
    <w:rsid w:val="00431CC3"/>
    <w:rsid w:val="00431DC2"/>
    <w:rsid w:val="00431F29"/>
    <w:rsid w:val="00431FC3"/>
    <w:rsid w:val="00432012"/>
    <w:rsid w:val="004320B6"/>
    <w:rsid w:val="00432308"/>
    <w:rsid w:val="00432374"/>
    <w:rsid w:val="0043262C"/>
    <w:rsid w:val="00432A15"/>
    <w:rsid w:val="00432C39"/>
    <w:rsid w:val="00432D5F"/>
    <w:rsid w:val="00432EA8"/>
    <w:rsid w:val="00433135"/>
    <w:rsid w:val="00433308"/>
    <w:rsid w:val="00433593"/>
    <w:rsid w:val="004337A2"/>
    <w:rsid w:val="0043389A"/>
    <w:rsid w:val="00433F5B"/>
    <w:rsid w:val="004340DA"/>
    <w:rsid w:val="00434362"/>
    <w:rsid w:val="004343EB"/>
    <w:rsid w:val="00434460"/>
    <w:rsid w:val="004347F6"/>
    <w:rsid w:val="00434823"/>
    <w:rsid w:val="0043490D"/>
    <w:rsid w:val="004349A2"/>
    <w:rsid w:val="00434D4B"/>
    <w:rsid w:val="00434E8A"/>
    <w:rsid w:val="00434EFE"/>
    <w:rsid w:val="00434F21"/>
    <w:rsid w:val="00434F56"/>
    <w:rsid w:val="004351A3"/>
    <w:rsid w:val="00435208"/>
    <w:rsid w:val="0043547C"/>
    <w:rsid w:val="004357EF"/>
    <w:rsid w:val="00435808"/>
    <w:rsid w:val="00435895"/>
    <w:rsid w:val="00435C62"/>
    <w:rsid w:val="00435DFA"/>
    <w:rsid w:val="00435E73"/>
    <w:rsid w:val="00435E7F"/>
    <w:rsid w:val="004362BE"/>
    <w:rsid w:val="00436481"/>
    <w:rsid w:val="004364A9"/>
    <w:rsid w:val="00436A5A"/>
    <w:rsid w:val="00436C62"/>
    <w:rsid w:val="00436CC7"/>
    <w:rsid w:val="00436E82"/>
    <w:rsid w:val="00436F9C"/>
    <w:rsid w:val="00437117"/>
    <w:rsid w:val="0043723E"/>
    <w:rsid w:val="004372BE"/>
    <w:rsid w:val="00437334"/>
    <w:rsid w:val="00437495"/>
    <w:rsid w:val="004375C2"/>
    <w:rsid w:val="00437611"/>
    <w:rsid w:val="0043765B"/>
    <w:rsid w:val="00437776"/>
    <w:rsid w:val="0043780C"/>
    <w:rsid w:val="00437935"/>
    <w:rsid w:val="00437949"/>
    <w:rsid w:val="00437B83"/>
    <w:rsid w:val="00437C67"/>
    <w:rsid w:val="00437EC2"/>
    <w:rsid w:val="00440258"/>
    <w:rsid w:val="004403C3"/>
    <w:rsid w:val="00440874"/>
    <w:rsid w:val="00440916"/>
    <w:rsid w:val="00440C31"/>
    <w:rsid w:val="00440E16"/>
    <w:rsid w:val="0044107D"/>
    <w:rsid w:val="0044117A"/>
    <w:rsid w:val="004411AD"/>
    <w:rsid w:val="004417BE"/>
    <w:rsid w:val="0044184D"/>
    <w:rsid w:val="0044190F"/>
    <w:rsid w:val="00441A91"/>
    <w:rsid w:val="00441AFB"/>
    <w:rsid w:val="00441D5A"/>
    <w:rsid w:val="00441EAE"/>
    <w:rsid w:val="00441F9D"/>
    <w:rsid w:val="0044217B"/>
    <w:rsid w:val="00442221"/>
    <w:rsid w:val="0044230A"/>
    <w:rsid w:val="004425EA"/>
    <w:rsid w:val="00442771"/>
    <w:rsid w:val="00442963"/>
    <w:rsid w:val="00442DB4"/>
    <w:rsid w:val="00442DDA"/>
    <w:rsid w:val="00443274"/>
    <w:rsid w:val="00443294"/>
    <w:rsid w:val="0044329A"/>
    <w:rsid w:val="004432D3"/>
    <w:rsid w:val="00443536"/>
    <w:rsid w:val="00443666"/>
    <w:rsid w:val="00443680"/>
    <w:rsid w:val="00443819"/>
    <w:rsid w:val="0044383C"/>
    <w:rsid w:val="00443AFB"/>
    <w:rsid w:val="00443B91"/>
    <w:rsid w:val="00443DB1"/>
    <w:rsid w:val="00443E5C"/>
    <w:rsid w:val="00444020"/>
    <w:rsid w:val="004440D4"/>
    <w:rsid w:val="004441E1"/>
    <w:rsid w:val="00444432"/>
    <w:rsid w:val="0044452B"/>
    <w:rsid w:val="00444742"/>
    <w:rsid w:val="004447A6"/>
    <w:rsid w:val="00444A73"/>
    <w:rsid w:val="00444E70"/>
    <w:rsid w:val="004453FF"/>
    <w:rsid w:val="0044557E"/>
    <w:rsid w:val="00445D77"/>
    <w:rsid w:val="00445DC7"/>
    <w:rsid w:val="00446022"/>
    <w:rsid w:val="00446059"/>
    <w:rsid w:val="00446433"/>
    <w:rsid w:val="00446570"/>
    <w:rsid w:val="004465D2"/>
    <w:rsid w:val="0044670F"/>
    <w:rsid w:val="004468E8"/>
    <w:rsid w:val="00446C8E"/>
    <w:rsid w:val="00446D50"/>
    <w:rsid w:val="00446DA7"/>
    <w:rsid w:val="00446E8D"/>
    <w:rsid w:val="00447691"/>
    <w:rsid w:val="004477B9"/>
    <w:rsid w:val="00447A4E"/>
    <w:rsid w:val="00447BAD"/>
    <w:rsid w:val="00447BF7"/>
    <w:rsid w:val="00450033"/>
    <w:rsid w:val="00450050"/>
    <w:rsid w:val="00450198"/>
    <w:rsid w:val="00450263"/>
    <w:rsid w:val="004502F7"/>
    <w:rsid w:val="0045056B"/>
    <w:rsid w:val="00450787"/>
    <w:rsid w:val="00450B02"/>
    <w:rsid w:val="00450B94"/>
    <w:rsid w:val="00450D4B"/>
    <w:rsid w:val="00451063"/>
    <w:rsid w:val="00451323"/>
    <w:rsid w:val="004514C9"/>
    <w:rsid w:val="004514CB"/>
    <w:rsid w:val="0045165E"/>
    <w:rsid w:val="004517D7"/>
    <w:rsid w:val="004517D8"/>
    <w:rsid w:val="0045181D"/>
    <w:rsid w:val="00451872"/>
    <w:rsid w:val="00451F44"/>
    <w:rsid w:val="00452041"/>
    <w:rsid w:val="004520C6"/>
    <w:rsid w:val="00452189"/>
    <w:rsid w:val="00452235"/>
    <w:rsid w:val="00452914"/>
    <w:rsid w:val="00452B21"/>
    <w:rsid w:val="00452B56"/>
    <w:rsid w:val="00452DF8"/>
    <w:rsid w:val="00452F59"/>
    <w:rsid w:val="0045311A"/>
    <w:rsid w:val="004532A9"/>
    <w:rsid w:val="004536EC"/>
    <w:rsid w:val="0045386D"/>
    <w:rsid w:val="004538EC"/>
    <w:rsid w:val="00453A18"/>
    <w:rsid w:val="00453A27"/>
    <w:rsid w:val="00453BBA"/>
    <w:rsid w:val="00453BEC"/>
    <w:rsid w:val="00453C6C"/>
    <w:rsid w:val="00454194"/>
    <w:rsid w:val="00454457"/>
    <w:rsid w:val="004546DD"/>
    <w:rsid w:val="00454B5D"/>
    <w:rsid w:val="00454C54"/>
    <w:rsid w:val="00454E4D"/>
    <w:rsid w:val="00454EC2"/>
    <w:rsid w:val="00455006"/>
    <w:rsid w:val="004550DF"/>
    <w:rsid w:val="0045542E"/>
    <w:rsid w:val="0045543C"/>
    <w:rsid w:val="00455520"/>
    <w:rsid w:val="004555B8"/>
    <w:rsid w:val="0045577B"/>
    <w:rsid w:val="0045595F"/>
    <w:rsid w:val="0045596F"/>
    <w:rsid w:val="00455BC5"/>
    <w:rsid w:val="00455BFB"/>
    <w:rsid w:val="00455EB5"/>
    <w:rsid w:val="004560C7"/>
    <w:rsid w:val="0045639F"/>
    <w:rsid w:val="00456544"/>
    <w:rsid w:val="00456569"/>
    <w:rsid w:val="00456F70"/>
    <w:rsid w:val="0045701A"/>
    <w:rsid w:val="0045709E"/>
    <w:rsid w:val="004575B8"/>
    <w:rsid w:val="00457724"/>
    <w:rsid w:val="00457859"/>
    <w:rsid w:val="004579AF"/>
    <w:rsid w:val="00457A00"/>
    <w:rsid w:val="00457A49"/>
    <w:rsid w:val="00457D12"/>
    <w:rsid w:val="00457D77"/>
    <w:rsid w:val="00460018"/>
    <w:rsid w:val="004603C3"/>
    <w:rsid w:val="004603FC"/>
    <w:rsid w:val="004604B5"/>
    <w:rsid w:val="00460643"/>
    <w:rsid w:val="00460679"/>
    <w:rsid w:val="00460887"/>
    <w:rsid w:val="00460F18"/>
    <w:rsid w:val="004612D7"/>
    <w:rsid w:val="00461359"/>
    <w:rsid w:val="0046138A"/>
    <w:rsid w:val="00461490"/>
    <w:rsid w:val="004614B7"/>
    <w:rsid w:val="00461909"/>
    <w:rsid w:val="00461A39"/>
    <w:rsid w:val="00461BB3"/>
    <w:rsid w:val="00461F49"/>
    <w:rsid w:val="00461F8B"/>
    <w:rsid w:val="00461F99"/>
    <w:rsid w:val="00462047"/>
    <w:rsid w:val="00462121"/>
    <w:rsid w:val="0046216E"/>
    <w:rsid w:val="0046224C"/>
    <w:rsid w:val="00462350"/>
    <w:rsid w:val="00462376"/>
    <w:rsid w:val="004625FF"/>
    <w:rsid w:val="00462B7C"/>
    <w:rsid w:val="00462B8C"/>
    <w:rsid w:val="00462D05"/>
    <w:rsid w:val="00462D79"/>
    <w:rsid w:val="00463131"/>
    <w:rsid w:val="00463356"/>
    <w:rsid w:val="00463370"/>
    <w:rsid w:val="00463644"/>
    <w:rsid w:val="00463739"/>
    <w:rsid w:val="00463746"/>
    <w:rsid w:val="004637FB"/>
    <w:rsid w:val="00463978"/>
    <w:rsid w:val="004639B7"/>
    <w:rsid w:val="004639DE"/>
    <w:rsid w:val="004640C6"/>
    <w:rsid w:val="00464229"/>
    <w:rsid w:val="004642D4"/>
    <w:rsid w:val="0046435B"/>
    <w:rsid w:val="00464556"/>
    <w:rsid w:val="00464604"/>
    <w:rsid w:val="0046466C"/>
    <w:rsid w:val="004647C7"/>
    <w:rsid w:val="00464E38"/>
    <w:rsid w:val="00464FD1"/>
    <w:rsid w:val="004651AA"/>
    <w:rsid w:val="00465347"/>
    <w:rsid w:val="00465CC6"/>
    <w:rsid w:val="00465E92"/>
    <w:rsid w:val="0046638C"/>
    <w:rsid w:val="004663FA"/>
    <w:rsid w:val="0046647D"/>
    <w:rsid w:val="004667EE"/>
    <w:rsid w:val="00466894"/>
    <w:rsid w:val="00466B7F"/>
    <w:rsid w:val="00466B85"/>
    <w:rsid w:val="00466B8B"/>
    <w:rsid w:val="00466C22"/>
    <w:rsid w:val="00466D5D"/>
    <w:rsid w:val="00466EE0"/>
    <w:rsid w:val="00467416"/>
    <w:rsid w:val="00467662"/>
    <w:rsid w:val="004676EE"/>
    <w:rsid w:val="00467788"/>
    <w:rsid w:val="00467A1B"/>
    <w:rsid w:val="00467CE3"/>
    <w:rsid w:val="004700BC"/>
    <w:rsid w:val="004703A6"/>
    <w:rsid w:val="004703CF"/>
    <w:rsid w:val="00470413"/>
    <w:rsid w:val="00470495"/>
    <w:rsid w:val="00470886"/>
    <w:rsid w:val="00470952"/>
    <w:rsid w:val="004709B2"/>
    <w:rsid w:val="004709DE"/>
    <w:rsid w:val="00470A4B"/>
    <w:rsid w:val="00470C8F"/>
    <w:rsid w:val="00470FBB"/>
    <w:rsid w:val="0047103B"/>
    <w:rsid w:val="00471143"/>
    <w:rsid w:val="0047125E"/>
    <w:rsid w:val="004713B7"/>
    <w:rsid w:val="0047173D"/>
    <w:rsid w:val="00471C92"/>
    <w:rsid w:val="00471D61"/>
    <w:rsid w:val="00471DBF"/>
    <w:rsid w:val="00471E59"/>
    <w:rsid w:val="00471EB9"/>
    <w:rsid w:val="00471FB4"/>
    <w:rsid w:val="004720FC"/>
    <w:rsid w:val="00472172"/>
    <w:rsid w:val="00472230"/>
    <w:rsid w:val="00472391"/>
    <w:rsid w:val="00472952"/>
    <w:rsid w:val="00472AA9"/>
    <w:rsid w:val="00472F95"/>
    <w:rsid w:val="0047311B"/>
    <w:rsid w:val="00473487"/>
    <w:rsid w:val="00473615"/>
    <w:rsid w:val="00473BD7"/>
    <w:rsid w:val="00473E94"/>
    <w:rsid w:val="00473FB5"/>
    <w:rsid w:val="0047431E"/>
    <w:rsid w:val="004743C0"/>
    <w:rsid w:val="00474594"/>
    <w:rsid w:val="00474721"/>
    <w:rsid w:val="0047474E"/>
    <w:rsid w:val="00474777"/>
    <w:rsid w:val="004747B9"/>
    <w:rsid w:val="00474958"/>
    <w:rsid w:val="00474BCE"/>
    <w:rsid w:val="00474F05"/>
    <w:rsid w:val="004754AC"/>
    <w:rsid w:val="004756AA"/>
    <w:rsid w:val="004758A9"/>
    <w:rsid w:val="004759ED"/>
    <w:rsid w:val="00475D1C"/>
    <w:rsid w:val="00475EAD"/>
    <w:rsid w:val="00475F21"/>
    <w:rsid w:val="00475F51"/>
    <w:rsid w:val="00476059"/>
    <w:rsid w:val="0047630A"/>
    <w:rsid w:val="00476409"/>
    <w:rsid w:val="00476475"/>
    <w:rsid w:val="00476536"/>
    <w:rsid w:val="0047653C"/>
    <w:rsid w:val="0047668F"/>
    <w:rsid w:val="0047683C"/>
    <w:rsid w:val="00476B1C"/>
    <w:rsid w:val="00476F8C"/>
    <w:rsid w:val="00477277"/>
    <w:rsid w:val="004772D7"/>
    <w:rsid w:val="00477820"/>
    <w:rsid w:val="00477974"/>
    <w:rsid w:val="00477AA4"/>
    <w:rsid w:val="00477AF2"/>
    <w:rsid w:val="00477F13"/>
    <w:rsid w:val="00480278"/>
    <w:rsid w:val="00480675"/>
    <w:rsid w:val="00480834"/>
    <w:rsid w:val="004808A2"/>
    <w:rsid w:val="00480A9A"/>
    <w:rsid w:val="00480C54"/>
    <w:rsid w:val="00480CE0"/>
    <w:rsid w:val="00480F05"/>
    <w:rsid w:val="0048123E"/>
    <w:rsid w:val="0048149E"/>
    <w:rsid w:val="00481613"/>
    <w:rsid w:val="00481887"/>
    <w:rsid w:val="004819F0"/>
    <w:rsid w:val="00481C73"/>
    <w:rsid w:val="00481DD9"/>
    <w:rsid w:val="00481FD8"/>
    <w:rsid w:val="0048208B"/>
    <w:rsid w:val="0048227D"/>
    <w:rsid w:val="0048227E"/>
    <w:rsid w:val="004823D8"/>
    <w:rsid w:val="004823FD"/>
    <w:rsid w:val="004825E0"/>
    <w:rsid w:val="00482669"/>
    <w:rsid w:val="00482732"/>
    <w:rsid w:val="004827F2"/>
    <w:rsid w:val="00482837"/>
    <w:rsid w:val="004828CB"/>
    <w:rsid w:val="00482BF4"/>
    <w:rsid w:val="00482D40"/>
    <w:rsid w:val="00482F21"/>
    <w:rsid w:val="00483023"/>
    <w:rsid w:val="00483062"/>
    <w:rsid w:val="0048330F"/>
    <w:rsid w:val="004835DC"/>
    <w:rsid w:val="00483613"/>
    <w:rsid w:val="0048396E"/>
    <w:rsid w:val="004841E8"/>
    <w:rsid w:val="00484356"/>
    <w:rsid w:val="0048436F"/>
    <w:rsid w:val="00484B5F"/>
    <w:rsid w:val="00484E80"/>
    <w:rsid w:val="0048502E"/>
    <w:rsid w:val="00485339"/>
    <w:rsid w:val="00485558"/>
    <w:rsid w:val="004856DB"/>
    <w:rsid w:val="0048576D"/>
    <w:rsid w:val="004857EE"/>
    <w:rsid w:val="00485BD4"/>
    <w:rsid w:val="00485C51"/>
    <w:rsid w:val="00485CEF"/>
    <w:rsid w:val="00485E23"/>
    <w:rsid w:val="00486032"/>
    <w:rsid w:val="00486080"/>
    <w:rsid w:val="00486229"/>
    <w:rsid w:val="00486598"/>
    <w:rsid w:val="00486817"/>
    <w:rsid w:val="004868CC"/>
    <w:rsid w:val="0048690B"/>
    <w:rsid w:val="0048690E"/>
    <w:rsid w:val="00486AC7"/>
    <w:rsid w:val="00486F1C"/>
    <w:rsid w:val="00486F44"/>
    <w:rsid w:val="00486FAC"/>
    <w:rsid w:val="004874CB"/>
    <w:rsid w:val="00487960"/>
    <w:rsid w:val="00487988"/>
    <w:rsid w:val="00487A13"/>
    <w:rsid w:val="00487D70"/>
    <w:rsid w:val="00487F9C"/>
    <w:rsid w:val="0049005C"/>
    <w:rsid w:val="00490226"/>
    <w:rsid w:val="004904A3"/>
    <w:rsid w:val="00490741"/>
    <w:rsid w:val="004908DF"/>
    <w:rsid w:val="00490A5B"/>
    <w:rsid w:val="00490B4A"/>
    <w:rsid w:val="00490B93"/>
    <w:rsid w:val="00490FFD"/>
    <w:rsid w:val="00491086"/>
    <w:rsid w:val="00491206"/>
    <w:rsid w:val="004914DF"/>
    <w:rsid w:val="00491590"/>
    <w:rsid w:val="00491618"/>
    <w:rsid w:val="0049195E"/>
    <w:rsid w:val="00491988"/>
    <w:rsid w:val="00491BEE"/>
    <w:rsid w:val="00491C28"/>
    <w:rsid w:val="00491C63"/>
    <w:rsid w:val="00491D35"/>
    <w:rsid w:val="0049222B"/>
    <w:rsid w:val="00492687"/>
    <w:rsid w:val="00492771"/>
    <w:rsid w:val="0049279B"/>
    <w:rsid w:val="0049280B"/>
    <w:rsid w:val="00492824"/>
    <w:rsid w:val="00493208"/>
    <w:rsid w:val="00493387"/>
    <w:rsid w:val="0049339F"/>
    <w:rsid w:val="0049354D"/>
    <w:rsid w:val="004935F1"/>
    <w:rsid w:val="004938C9"/>
    <w:rsid w:val="004939AD"/>
    <w:rsid w:val="00493B14"/>
    <w:rsid w:val="00493C53"/>
    <w:rsid w:val="00493C5D"/>
    <w:rsid w:val="00493DB5"/>
    <w:rsid w:val="00494420"/>
    <w:rsid w:val="00494841"/>
    <w:rsid w:val="00494AF0"/>
    <w:rsid w:val="00494BC0"/>
    <w:rsid w:val="00494C33"/>
    <w:rsid w:val="00494C46"/>
    <w:rsid w:val="00494D28"/>
    <w:rsid w:val="00495216"/>
    <w:rsid w:val="00495514"/>
    <w:rsid w:val="004955F6"/>
    <w:rsid w:val="00495927"/>
    <w:rsid w:val="00495975"/>
    <w:rsid w:val="00495B5D"/>
    <w:rsid w:val="00495C2C"/>
    <w:rsid w:val="00496013"/>
    <w:rsid w:val="0049681C"/>
    <w:rsid w:val="00496955"/>
    <w:rsid w:val="00496AED"/>
    <w:rsid w:val="00496C4E"/>
    <w:rsid w:val="00497293"/>
    <w:rsid w:val="00497590"/>
    <w:rsid w:val="00497752"/>
    <w:rsid w:val="004977AA"/>
    <w:rsid w:val="0049798C"/>
    <w:rsid w:val="00497A61"/>
    <w:rsid w:val="00497B86"/>
    <w:rsid w:val="00497CE7"/>
    <w:rsid w:val="00497F49"/>
    <w:rsid w:val="004A01B5"/>
    <w:rsid w:val="004A027C"/>
    <w:rsid w:val="004A0343"/>
    <w:rsid w:val="004A0BA8"/>
    <w:rsid w:val="004A0CE3"/>
    <w:rsid w:val="004A101D"/>
    <w:rsid w:val="004A1156"/>
    <w:rsid w:val="004A11AE"/>
    <w:rsid w:val="004A11DC"/>
    <w:rsid w:val="004A11E4"/>
    <w:rsid w:val="004A1418"/>
    <w:rsid w:val="004A148B"/>
    <w:rsid w:val="004A182B"/>
    <w:rsid w:val="004A1B23"/>
    <w:rsid w:val="004A1BDF"/>
    <w:rsid w:val="004A1C15"/>
    <w:rsid w:val="004A1D99"/>
    <w:rsid w:val="004A1FF7"/>
    <w:rsid w:val="004A2110"/>
    <w:rsid w:val="004A21DC"/>
    <w:rsid w:val="004A22A6"/>
    <w:rsid w:val="004A23FD"/>
    <w:rsid w:val="004A264C"/>
    <w:rsid w:val="004A2674"/>
    <w:rsid w:val="004A26F7"/>
    <w:rsid w:val="004A26FA"/>
    <w:rsid w:val="004A286D"/>
    <w:rsid w:val="004A296E"/>
    <w:rsid w:val="004A2B8C"/>
    <w:rsid w:val="004A2E11"/>
    <w:rsid w:val="004A2FF9"/>
    <w:rsid w:val="004A32AB"/>
    <w:rsid w:val="004A35A3"/>
    <w:rsid w:val="004A35A8"/>
    <w:rsid w:val="004A362B"/>
    <w:rsid w:val="004A38E9"/>
    <w:rsid w:val="004A3E6C"/>
    <w:rsid w:val="004A46A4"/>
    <w:rsid w:val="004A4750"/>
    <w:rsid w:val="004A48AA"/>
    <w:rsid w:val="004A48B1"/>
    <w:rsid w:val="004A48DE"/>
    <w:rsid w:val="004A49FE"/>
    <w:rsid w:val="004A4BA7"/>
    <w:rsid w:val="004A4C5E"/>
    <w:rsid w:val="004A4E9A"/>
    <w:rsid w:val="004A4F71"/>
    <w:rsid w:val="004A5063"/>
    <w:rsid w:val="004A509B"/>
    <w:rsid w:val="004A510A"/>
    <w:rsid w:val="004A53C9"/>
    <w:rsid w:val="004A55F8"/>
    <w:rsid w:val="004A5C27"/>
    <w:rsid w:val="004A5C90"/>
    <w:rsid w:val="004A5E85"/>
    <w:rsid w:val="004A5F66"/>
    <w:rsid w:val="004A645A"/>
    <w:rsid w:val="004A6469"/>
    <w:rsid w:val="004A646C"/>
    <w:rsid w:val="004A69F9"/>
    <w:rsid w:val="004A6D57"/>
    <w:rsid w:val="004A6FBE"/>
    <w:rsid w:val="004A7006"/>
    <w:rsid w:val="004A7403"/>
    <w:rsid w:val="004A7582"/>
    <w:rsid w:val="004A77A3"/>
    <w:rsid w:val="004A77D3"/>
    <w:rsid w:val="004A78CB"/>
    <w:rsid w:val="004A78E5"/>
    <w:rsid w:val="004A7925"/>
    <w:rsid w:val="004A7979"/>
    <w:rsid w:val="004A7A31"/>
    <w:rsid w:val="004A7C65"/>
    <w:rsid w:val="004A7DAD"/>
    <w:rsid w:val="004B03E1"/>
    <w:rsid w:val="004B054E"/>
    <w:rsid w:val="004B07E5"/>
    <w:rsid w:val="004B0834"/>
    <w:rsid w:val="004B096D"/>
    <w:rsid w:val="004B09E7"/>
    <w:rsid w:val="004B0A09"/>
    <w:rsid w:val="004B0B9D"/>
    <w:rsid w:val="004B0C77"/>
    <w:rsid w:val="004B0D7A"/>
    <w:rsid w:val="004B1016"/>
    <w:rsid w:val="004B1070"/>
    <w:rsid w:val="004B11F0"/>
    <w:rsid w:val="004B1274"/>
    <w:rsid w:val="004B12B6"/>
    <w:rsid w:val="004B1352"/>
    <w:rsid w:val="004B1435"/>
    <w:rsid w:val="004B14C0"/>
    <w:rsid w:val="004B1521"/>
    <w:rsid w:val="004B15B0"/>
    <w:rsid w:val="004B1639"/>
    <w:rsid w:val="004B170F"/>
    <w:rsid w:val="004B1861"/>
    <w:rsid w:val="004B1C79"/>
    <w:rsid w:val="004B1CF0"/>
    <w:rsid w:val="004B2383"/>
    <w:rsid w:val="004B23BB"/>
    <w:rsid w:val="004B2F34"/>
    <w:rsid w:val="004B2FA8"/>
    <w:rsid w:val="004B3040"/>
    <w:rsid w:val="004B318E"/>
    <w:rsid w:val="004B35B4"/>
    <w:rsid w:val="004B37FD"/>
    <w:rsid w:val="004B38BD"/>
    <w:rsid w:val="004B3E55"/>
    <w:rsid w:val="004B3E58"/>
    <w:rsid w:val="004B3F7C"/>
    <w:rsid w:val="004B4263"/>
    <w:rsid w:val="004B4326"/>
    <w:rsid w:val="004B4437"/>
    <w:rsid w:val="004B4530"/>
    <w:rsid w:val="004B454F"/>
    <w:rsid w:val="004B47B7"/>
    <w:rsid w:val="004B4C1E"/>
    <w:rsid w:val="004B501B"/>
    <w:rsid w:val="004B5090"/>
    <w:rsid w:val="004B5187"/>
    <w:rsid w:val="004B51FF"/>
    <w:rsid w:val="004B522B"/>
    <w:rsid w:val="004B531C"/>
    <w:rsid w:val="004B56A8"/>
    <w:rsid w:val="004B58C3"/>
    <w:rsid w:val="004B5B6B"/>
    <w:rsid w:val="004B5C92"/>
    <w:rsid w:val="004B5D62"/>
    <w:rsid w:val="004B5EF8"/>
    <w:rsid w:val="004B6096"/>
    <w:rsid w:val="004B61D2"/>
    <w:rsid w:val="004B627D"/>
    <w:rsid w:val="004B650F"/>
    <w:rsid w:val="004B69CF"/>
    <w:rsid w:val="004B6BFA"/>
    <w:rsid w:val="004B6C82"/>
    <w:rsid w:val="004B6C93"/>
    <w:rsid w:val="004B6CF4"/>
    <w:rsid w:val="004B75DB"/>
    <w:rsid w:val="004B7861"/>
    <w:rsid w:val="004B793C"/>
    <w:rsid w:val="004B7B6B"/>
    <w:rsid w:val="004B7F7B"/>
    <w:rsid w:val="004C015B"/>
    <w:rsid w:val="004C025A"/>
    <w:rsid w:val="004C04F4"/>
    <w:rsid w:val="004C05A5"/>
    <w:rsid w:val="004C0612"/>
    <w:rsid w:val="004C0637"/>
    <w:rsid w:val="004C086E"/>
    <w:rsid w:val="004C0B19"/>
    <w:rsid w:val="004C0D7A"/>
    <w:rsid w:val="004C0E6C"/>
    <w:rsid w:val="004C1037"/>
    <w:rsid w:val="004C1262"/>
    <w:rsid w:val="004C147E"/>
    <w:rsid w:val="004C1677"/>
    <w:rsid w:val="004C16DC"/>
    <w:rsid w:val="004C1B1F"/>
    <w:rsid w:val="004C1C09"/>
    <w:rsid w:val="004C1C9A"/>
    <w:rsid w:val="004C1CF3"/>
    <w:rsid w:val="004C1E07"/>
    <w:rsid w:val="004C1FA8"/>
    <w:rsid w:val="004C20EA"/>
    <w:rsid w:val="004C22C1"/>
    <w:rsid w:val="004C2396"/>
    <w:rsid w:val="004C25FF"/>
    <w:rsid w:val="004C271D"/>
    <w:rsid w:val="004C28D4"/>
    <w:rsid w:val="004C2985"/>
    <w:rsid w:val="004C2B67"/>
    <w:rsid w:val="004C2FB5"/>
    <w:rsid w:val="004C2FCE"/>
    <w:rsid w:val="004C3141"/>
    <w:rsid w:val="004C31EF"/>
    <w:rsid w:val="004C33AE"/>
    <w:rsid w:val="004C388B"/>
    <w:rsid w:val="004C3B17"/>
    <w:rsid w:val="004C3D78"/>
    <w:rsid w:val="004C3FEF"/>
    <w:rsid w:val="004C4148"/>
    <w:rsid w:val="004C42A4"/>
    <w:rsid w:val="004C4688"/>
    <w:rsid w:val="004C4A2C"/>
    <w:rsid w:val="004C4B38"/>
    <w:rsid w:val="004C4BD3"/>
    <w:rsid w:val="004C4DB3"/>
    <w:rsid w:val="004C4E0E"/>
    <w:rsid w:val="004C5121"/>
    <w:rsid w:val="004C524C"/>
    <w:rsid w:val="004C524D"/>
    <w:rsid w:val="004C54D5"/>
    <w:rsid w:val="004C5514"/>
    <w:rsid w:val="004C57D3"/>
    <w:rsid w:val="004C5834"/>
    <w:rsid w:val="004C5AEF"/>
    <w:rsid w:val="004C6327"/>
    <w:rsid w:val="004C6496"/>
    <w:rsid w:val="004C6A55"/>
    <w:rsid w:val="004C6C72"/>
    <w:rsid w:val="004C6F38"/>
    <w:rsid w:val="004C7110"/>
    <w:rsid w:val="004C7627"/>
    <w:rsid w:val="004C7721"/>
    <w:rsid w:val="004C77B4"/>
    <w:rsid w:val="004C7B55"/>
    <w:rsid w:val="004C7D4D"/>
    <w:rsid w:val="004D004E"/>
    <w:rsid w:val="004D00CB"/>
    <w:rsid w:val="004D0647"/>
    <w:rsid w:val="004D0D64"/>
    <w:rsid w:val="004D0D8A"/>
    <w:rsid w:val="004D1120"/>
    <w:rsid w:val="004D117B"/>
    <w:rsid w:val="004D120F"/>
    <w:rsid w:val="004D1618"/>
    <w:rsid w:val="004D1639"/>
    <w:rsid w:val="004D177A"/>
    <w:rsid w:val="004D1A89"/>
    <w:rsid w:val="004D1DC3"/>
    <w:rsid w:val="004D1F36"/>
    <w:rsid w:val="004D23AA"/>
    <w:rsid w:val="004D26AA"/>
    <w:rsid w:val="004D26E2"/>
    <w:rsid w:val="004D26F2"/>
    <w:rsid w:val="004D274C"/>
    <w:rsid w:val="004D28B8"/>
    <w:rsid w:val="004D2A3D"/>
    <w:rsid w:val="004D2D54"/>
    <w:rsid w:val="004D2EEC"/>
    <w:rsid w:val="004D2F85"/>
    <w:rsid w:val="004D32CE"/>
    <w:rsid w:val="004D34B0"/>
    <w:rsid w:val="004D35C2"/>
    <w:rsid w:val="004D36FF"/>
    <w:rsid w:val="004D390C"/>
    <w:rsid w:val="004D3A3A"/>
    <w:rsid w:val="004D3C7E"/>
    <w:rsid w:val="004D3D90"/>
    <w:rsid w:val="004D40BC"/>
    <w:rsid w:val="004D425D"/>
    <w:rsid w:val="004D4356"/>
    <w:rsid w:val="004D44D0"/>
    <w:rsid w:val="004D48DE"/>
    <w:rsid w:val="004D4D35"/>
    <w:rsid w:val="004D515B"/>
    <w:rsid w:val="004D5393"/>
    <w:rsid w:val="004D58DF"/>
    <w:rsid w:val="004D5C31"/>
    <w:rsid w:val="004D5C62"/>
    <w:rsid w:val="004D5FDD"/>
    <w:rsid w:val="004D6121"/>
    <w:rsid w:val="004D6394"/>
    <w:rsid w:val="004D640B"/>
    <w:rsid w:val="004D65F9"/>
    <w:rsid w:val="004D685F"/>
    <w:rsid w:val="004D6CC4"/>
    <w:rsid w:val="004D6EBF"/>
    <w:rsid w:val="004D7321"/>
    <w:rsid w:val="004D777D"/>
    <w:rsid w:val="004D7905"/>
    <w:rsid w:val="004D7A95"/>
    <w:rsid w:val="004D7D13"/>
    <w:rsid w:val="004D7D62"/>
    <w:rsid w:val="004E0045"/>
    <w:rsid w:val="004E00B5"/>
    <w:rsid w:val="004E027A"/>
    <w:rsid w:val="004E03C4"/>
    <w:rsid w:val="004E0564"/>
    <w:rsid w:val="004E07C5"/>
    <w:rsid w:val="004E08CF"/>
    <w:rsid w:val="004E0ADA"/>
    <w:rsid w:val="004E0BC2"/>
    <w:rsid w:val="004E0E84"/>
    <w:rsid w:val="004E1188"/>
    <w:rsid w:val="004E11FD"/>
    <w:rsid w:val="004E11FE"/>
    <w:rsid w:val="004E126A"/>
    <w:rsid w:val="004E1420"/>
    <w:rsid w:val="004E1597"/>
    <w:rsid w:val="004E17C7"/>
    <w:rsid w:val="004E1BE8"/>
    <w:rsid w:val="004E1C99"/>
    <w:rsid w:val="004E1DC9"/>
    <w:rsid w:val="004E1E6F"/>
    <w:rsid w:val="004E22F0"/>
    <w:rsid w:val="004E25AF"/>
    <w:rsid w:val="004E2683"/>
    <w:rsid w:val="004E26BC"/>
    <w:rsid w:val="004E2808"/>
    <w:rsid w:val="004E28CB"/>
    <w:rsid w:val="004E2AEF"/>
    <w:rsid w:val="004E2EF4"/>
    <w:rsid w:val="004E2F67"/>
    <w:rsid w:val="004E3006"/>
    <w:rsid w:val="004E303D"/>
    <w:rsid w:val="004E32BC"/>
    <w:rsid w:val="004E3362"/>
    <w:rsid w:val="004E3C3D"/>
    <w:rsid w:val="004E3C3E"/>
    <w:rsid w:val="004E4334"/>
    <w:rsid w:val="004E43B2"/>
    <w:rsid w:val="004E452A"/>
    <w:rsid w:val="004E4531"/>
    <w:rsid w:val="004E49CE"/>
    <w:rsid w:val="004E49E3"/>
    <w:rsid w:val="004E4ADD"/>
    <w:rsid w:val="004E4CD4"/>
    <w:rsid w:val="004E4E59"/>
    <w:rsid w:val="004E4E7A"/>
    <w:rsid w:val="004E4F42"/>
    <w:rsid w:val="004E4FD5"/>
    <w:rsid w:val="004E52D0"/>
    <w:rsid w:val="004E55B8"/>
    <w:rsid w:val="004E55BC"/>
    <w:rsid w:val="004E574B"/>
    <w:rsid w:val="004E596D"/>
    <w:rsid w:val="004E59F7"/>
    <w:rsid w:val="004E5A4D"/>
    <w:rsid w:val="004E5AA3"/>
    <w:rsid w:val="004E5FC6"/>
    <w:rsid w:val="004E61EC"/>
    <w:rsid w:val="004E61F2"/>
    <w:rsid w:val="004E637A"/>
    <w:rsid w:val="004E650C"/>
    <w:rsid w:val="004E6749"/>
    <w:rsid w:val="004E6A29"/>
    <w:rsid w:val="004E6BE8"/>
    <w:rsid w:val="004E6E9D"/>
    <w:rsid w:val="004E6F3C"/>
    <w:rsid w:val="004E749F"/>
    <w:rsid w:val="004E751C"/>
    <w:rsid w:val="004E7830"/>
    <w:rsid w:val="004E78EB"/>
    <w:rsid w:val="004E7BCD"/>
    <w:rsid w:val="004E7D40"/>
    <w:rsid w:val="004E7DD2"/>
    <w:rsid w:val="004F0010"/>
    <w:rsid w:val="004F007F"/>
    <w:rsid w:val="004F0090"/>
    <w:rsid w:val="004F0185"/>
    <w:rsid w:val="004F03E0"/>
    <w:rsid w:val="004F0455"/>
    <w:rsid w:val="004F082C"/>
    <w:rsid w:val="004F087E"/>
    <w:rsid w:val="004F0B79"/>
    <w:rsid w:val="004F0EA4"/>
    <w:rsid w:val="004F0FB1"/>
    <w:rsid w:val="004F13C1"/>
    <w:rsid w:val="004F1580"/>
    <w:rsid w:val="004F15AB"/>
    <w:rsid w:val="004F172E"/>
    <w:rsid w:val="004F179E"/>
    <w:rsid w:val="004F179F"/>
    <w:rsid w:val="004F194E"/>
    <w:rsid w:val="004F1A37"/>
    <w:rsid w:val="004F1B47"/>
    <w:rsid w:val="004F1BB8"/>
    <w:rsid w:val="004F1E80"/>
    <w:rsid w:val="004F2009"/>
    <w:rsid w:val="004F2097"/>
    <w:rsid w:val="004F212C"/>
    <w:rsid w:val="004F2341"/>
    <w:rsid w:val="004F2C83"/>
    <w:rsid w:val="004F2D3E"/>
    <w:rsid w:val="004F2F10"/>
    <w:rsid w:val="004F2FAD"/>
    <w:rsid w:val="004F3008"/>
    <w:rsid w:val="004F3099"/>
    <w:rsid w:val="004F318A"/>
    <w:rsid w:val="004F31A5"/>
    <w:rsid w:val="004F31B8"/>
    <w:rsid w:val="004F3339"/>
    <w:rsid w:val="004F3945"/>
    <w:rsid w:val="004F396A"/>
    <w:rsid w:val="004F3ACA"/>
    <w:rsid w:val="004F3ECA"/>
    <w:rsid w:val="004F41C9"/>
    <w:rsid w:val="004F4607"/>
    <w:rsid w:val="004F4790"/>
    <w:rsid w:val="004F47C3"/>
    <w:rsid w:val="004F4887"/>
    <w:rsid w:val="004F4D24"/>
    <w:rsid w:val="004F4E6F"/>
    <w:rsid w:val="004F4FAA"/>
    <w:rsid w:val="004F4FD9"/>
    <w:rsid w:val="004F4FF0"/>
    <w:rsid w:val="004F510C"/>
    <w:rsid w:val="004F563A"/>
    <w:rsid w:val="004F5672"/>
    <w:rsid w:val="004F5849"/>
    <w:rsid w:val="004F584D"/>
    <w:rsid w:val="004F59B3"/>
    <w:rsid w:val="004F5F5B"/>
    <w:rsid w:val="004F5FB7"/>
    <w:rsid w:val="004F6127"/>
    <w:rsid w:val="004F643E"/>
    <w:rsid w:val="004F655F"/>
    <w:rsid w:val="004F6713"/>
    <w:rsid w:val="004F6B0F"/>
    <w:rsid w:val="004F6BFC"/>
    <w:rsid w:val="004F6C78"/>
    <w:rsid w:val="004F6D0B"/>
    <w:rsid w:val="004F6DA4"/>
    <w:rsid w:val="004F6F8F"/>
    <w:rsid w:val="004F70C3"/>
    <w:rsid w:val="004F713E"/>
    <w:rsid w:val="004F760F"/>
    <w:rsid w:val="004F7682"/>
    <w:rsid w:val="004F7D1C"/>
    <w:rsid w:val="004F7DE4"/>
    <w:rsid w:val="004F7E24"/>
    <w:rsid w:val="005001A5"/>
    <w:rsid w:val="005001B9"/>
    <w:rsid w:val="00500359"/>
    <w:rsid w:val="00500364"/>
    <w:rsid w:val="005003AD"/>
    <w:rsid w:val="005003CD"/>
    <w:rsid w:val="00500458"/>
    <w:rsid w:val="00500504"/>
    <w:rsid w:val="005006B3"/>
    <w:rsid w:val="0050079B"/>
    <w:rsid w:val="00500DB0"/>
    <w:rsid w:val="00500DC2"/>
    <w:rsid w:val="00500E66"/>
    <w:rsid w:val="0050121A"/>
    <w:rsid w:val="005012D0"/>
    <w:rsid w:val="00501439"/>
    <w:rsid w:val="005014C3"/>
    <w:rsid w:val="0050169F"/>
    <w:rsid w:val="00501A0D"/>
    <w:rsid w:val="00501B0C"/>
    <w:rsid w:val="00502430"/>
    <w:rsid w:val="00502441"/>
    <w:rsid w:val="005024D7"/>
    <w:rsid w:val="0050258C"/>
    <w:rsid w:val="005025AC"/>
    <w:rsid w:val="00502C85"/>
    <w:rsid w:val="00502EDC"/>
    <w:rsid w:val="0050308D"/>
    <w:rsid w:val="005030C0"/>
    <w:rsid w:val="00503364"/>
    <w:rsid w:val="0050342E"/>
    <w:rsid w:val="00503458"/>
    <w:rsid w:val="0050382A"/>
    <w:rsid w:val="00503839"/>
    <w:rsid w:val="005038A3"/>
    <w:rsid w:val="00503D1F"/>
    <w:rsid w:val="00504005"/>
    <w:rsid w:val="005042B6"/>
    <w:rsid w:val="0050442B"/>
    <w:rsid w:val="005045C0"/>
    <w:rsid w:val="00504686"/>
    <w:rsid w:val="0050477C"/>
    <w:rsid w:val="00504A7F"/>
    <w:rsid w:val="00504AC2"/>
    <w:rsid w:val="00504C73"/>
    <w:rsid w:val="00505093"/>
    <w:rsid w:val="0050541B"/>
    <w:rsid w:val="00505447"/>
    <w:rsid w:val="00505EB9"/>
    <w:rsid w:val="005061C5"/>
    <w:rsid w:val="00506361"/>
    <w:rsid w:val="00506650"/>
    <w:rsid w:val="005066AB"/>
    <w:rsid w:val="00506725"/>
    <w:rsid w:val="00506745"/>
    <w:rsid w:val="00506856"/>
    <w:rsid w:val="00506AED"/>
    <w:rsid w:val="00506D1A"/>
    <w:rsid w:val="00506F38"/>
    <w:rsid w:val="005072A9"/>
    <w:rsid w:val="005077F3"/>
    <w:rsid w:val="00507837"/>
    <w:rsid w:val="00507A33"/>
    <w:rsid w:val="00507DDF"/>
    <w:rsid w:val="00507E6A"/>
    <w:rsid w:val="00507FD0"/>
    <w:rsid w:val="00510506"/>
    <w:rsid w:val="005106E0"/>
    <w:rsid w:val="00510723"/>
    <w:rsid w:val="00510964"/>
    <w:rsid w:val="00510A5B"/>
    <w:rsid w:val="00510A8C"/>
    <w:rsid w:val="00510B5A"/>
    <w:rsid w:val="00510BC3"/>
    <w:rsid w:val="00510C60"/>
    <w:rsid w:val="00510D2E"/>
    <w:rsid w:val="00511383"/>
    <w:rsid w:val="00511438"/>
    <w:rsid w:val="005115E9"/>
    <w:rsid w:val="005117AB"/>
    <w:rsid w:val="00511AE4"/>
    <w:rsid w:val="00511C38"/>
    <w:rsid w:val="00511E68"/>
    <w:rsid w:val="00512581"/>
    <w:rsid w:val="005125C5"/>
    <w:rsid w:val="0051296F"/>
    <w:rsid w:val="005129A0"/>
    <w:rsid w:val="00512A02"/>
    <w:rsid w:val="00512CD9"/>
    <w:rsid w:val="00512D0C"/>
    <w:rsid w:val="0051304E"/>
    <w:rsid w:val="0051308D"/>
    <w:rsid w:val="00513235"/>
    <w:rsid w:val="00513435"/>
    <w:rsid w:val="005135AF"/>
    <w:rsid w:val="005135BB"/>
    <w:rsid w:val="0051361C"/>
    <w:rsid w:val="00513E84"/>
    <w:rsid w:val="00513F45"/>
    <w:rsid w:val="00514150"/>
    <w:rsid w:val="00514393"/>
    <w:rsid w:val="005145DA"/>
    <w:rsid w:val="005148DA"/>
    <w:rsid w:val="0051494F"/>
    <w:rsid w:val="00514B79"/>
    <w:rsid w:val="00514D39"/>
    <w:rsid w:val="0051505A"/>
    <w:rsid w:val="00515146"/>
    <w:rsid w:val="0051526A"/>
    <w:rsid w:val="005153C9"/>
    <w:rsid w:val="005153DD"/>
    <w:rsid w:val="00515447"/>
    <w:rsid w:val="005156A6"/>
    <w:rsid w:val="005156C4"/>
    <w:rsid w:val="00515CAC"/>
    <w:rsid w:val="00515F30"/>
    <w:rsid w:val="00516089"/>
    <w:rsid w:val="00516249"/>
    <w:rsid w:val="0051655B"/>
    <w:rsid w:val="00516987"/>
    <w:rsid w:val="00516BC2"/>
    <w:rsid w:val="00516BDE"/>
    <w:rsid w:val="00516F31"/>
    <w:rsid w:val="00516FDC"/>
    <w:rsid w:val="0051705E"/>
    <w:rsid w:val="005171C3"/>
    <w:rsid w:val="005171F6"/>
    <w:rsid w:val="005172F7"/>
    <w:rsid w:val="00517568"/>
    <w:rsid w:val="005177E1"/>
    <w:rsid w:val="00517CB3"/>
    <w:rsid w:val="00517F21"/>
    <w:rsid w:val="0052011F"/>
    <w:rsid w:val="005202B2"/>
    <w:rsid w:val="005202CD"/>
    <w:rsid w:val="00520310"/>
    <w:rsid w:val="0052063D"/>
    <w:rsid w:val="00520652"/>
    <w:rsid w:val="00520667"/>
    <w:rsid w:val="00520672"/>
    <w:rsid w:val="00520A26"/>
    <w:rsid w:val="00520BEF"/>
    <w:rsid w:val="00520CCB"/>
    <w:rsid w:val="00520D8C"/>
    <w:rsid w:val="00520DB3"/>
    <w:rsid w:val="00521028"/>
    <w:rsid w:val="005213EA"/>
    <w:rsid w:val="005214C3"/>
    <w:rsid w:val="005216F9"/>
    <w:rsid w:val="0052179C"/>
    <w:rsid w:val="00521963"/>
    <w:rsid w:val="00521B22"/>
    <w:rsid w:val="00521B3F"/>
    <w:rsid w:val="00521C63"/>
    <w:rsid w:val="00521EBC"/>
    <w:rsid w:val="00521F0F"/>
    <w:rsid w:val="005221BD"/>
    <w:rsid w:val="0052236D"/>
    <w:rsid w:val="00522566"/>
    <w:rsid w:val="005225CF"/>
    <w:rsid w:val="0052297F"/>
    <w:rsid w:val="00522984"/>
    <w:rsid w:val="00522D82"/>
    <w:rsid w:val="005230F0"/>
    <w:rsid w:val="005230FD"/>
    <w:rsid w:val="0052351D"/>
    <w:rsid w:val="00523533"/>
    <w:rsid w:val="00523AC7"/>
    <w:rsid w:val="00523C25"/>
    <w:rsid w:val="00523C37"/>
    <w:rsid w:val="00523CE9"/>
    <w:rsid w:val="005243D3"/>
    <w:rsid w:val="00524597"/>
    <w:rsid w:val="00524743"/>
    <w:rsid w:val="00524CA5"/>
    <w:rsid w:val="0052512A"/>
    <w:rsid w:val="00525258"/>
    <w:rsid w:val="005254FD"/>
    <w:rsid w:val="00525560"/>
    <w:rsid w:val="005256A3"/>
    <w:rsid w:val="005257C3"/>
    <w:rsid w:val="00525BB4"/>
    <w:rsid w:val="00525C08"/>
    <w:rsid w:val="00525CEE"/>
    <w:rsid w:val="00525E11"/>
    <w:rsid w:val="0052600F"/>
    <w:rsid w:val="00526067"/>
    <w:rsid w:val="00526212"/>
    <w:rsid w:val="005262A4"/>
    <w:rsid w:val="0052647A"/>
    <w:rsid w:val="005265C9"/>
    <w:rsid w:val="0052678C"/>
    <w:rsid w:val="005267FC"/>
    <w:rsid w:val="00526A1F"/>
    <w:rsid w:val="00526EF9"/>
    <w:rsid w:val="00526F1A"/>
    <w:rsid w:val="00526FDB"/>
    <w:rsid w:val="005271C6"/>
    <w:rsid w:val="00527C9E"/>
    <w:rsid w:val="00527FB7"/>
    <w:rsid w:val="00527FD9"/>
    <w:rsid w:val="00530392"/>
    <w:rsid w:val="005303D1"/>
    <w:rsid w:val="0053045E"/>
    <w:rsid w:val="005304DE"/>
    <w:rsid w:val="00530610"/>
    <w:rsid w:val="0053089A"/>
    <w:rsid w:val="005309F3"/>
    <w:rsid w:val="00530A3D"/>
    <w:rsid w:val="00530B3F"/>
    <w:rsid w:val="00530C73"/>
    <w:rsid w:val="00531028"/>
    <w:rsid w:val="0053112A"/>
    <w:rsid w:val="0053116A"/>
    <w:rsid w:val="0053151C"/>
    <w:rsid w:val="00531549"/>
    <w:rsid w:val="0053195C"/>
    <w:rsid w:val="00531A2C"/>
    <w:rsid w:val="00531AF1"/>
    <w:rsid w:val="00531B37"/>
    <w:rsid w:val="00531BA0"/>
    <w:rsid w:val="00531F0F"/>
    <w:rsid w:val="00532075"/>
    <w:rsid w:val="0053223B"/>
    <w:rsid w:val="005322DB"/>
    <w:rsid w:val="005325D1"/>
    <w:rsid w:val="005328C3"/>
    <w:rsid w:val="00532A71"/>
    <w:rsid w:val="00532AEE"/>
    <w:rsid w:val="00532D50"/>
    <w:rsid w:val="00532DD7"/>
    <w:rsid w:val="00532E36"/>
    <w:rsid w:val="00532E9A"/>
    <w:rsid w:val="00533730"/>
    <w:rsid w:val="005338D6"/>
    <w:rsid w:val="00533C79"/>
    <w:rsid w:val="00533D8F"/>
    <w:rsid w:val="00533E51"/>
    <w:rsid w:val="0053450C"/>
    <w:rsid w:val="005346FB"/>
    <w:rsid w:val="005347B1"/>
    <w:rsid w:val="005348DB"/>
    <w:rsid w:val="00534C99"/>
    <w:rsid w:val="00534CBF"/>
    <w:rsid w:val="00534F0C"/>
    <w:rsid w:val="00535208"/>
    <w:rsid w:val="00535628"/>
    <w:rsid w:val="005358A6"/>
    <w:rsid w:val="00535A44"/>
    <w:rsid w:val="00535C5D"/>
    <w:rsid w:val="00535D5A"/>
    <w:rsid w:val="00535F02"/>
    <w:rsid w:val="00536162"/>
    <w:rsid w:val="005363FC"/>
    <w:rsid w:val="00536D46"/>
    <w:rsid w:val="00536EE1"/>
    <w:rsid w:val="00536F9C"/>
    <w:rsid w:val="00536FDC"/>
    <w:rsid w:val="005370BB"/>
    <w:rsid w:val="00537133"/>
    <w:rsid w:val="005371DD"/>
    <w:rsid w:val="00537565"/>
    <w:rsid w:val="00537A20"/>
    <w:rsid w:val="00537BB8"/>
    <w:rsid w:val="00537CE8"/>
    <w:rsid w:val="00537FD3"/>
    <w:rsid w:val="00540375"/>
    <w:rsid w:val="005403D7"/>
    <w:rsid w:val="005406EC"/>
    <w:rsid w:val="0054091B"/>
    <w:rsid w:val="00540BD0"/>
    <w:rsid w:val="00540C13"/>
    <w:rsid w:val="00540C2C"/>
    <w:rsid w:val="00540F85"/>
    <w:rsid w:val="00541160"/>
    <w:rsid w:val="00541245"/>
    <w:rsid w:val="0054134E"/>
    <w:rsid w:val="0054175D"/>
    <w:rsid w:val="0054188F"/>
    <w:rsid w:val="00541D67"/>
    <w:rsid w:val="00542272"/>
    <w:rsid w:val="0054255B"/>
    <w:rsid w:val="005425CB"/>
    <w:rsid w:val="0054277A"/>
    <w:rsid w:val="005428EE"/>
    <w:rsid w:val="00542A64"/>
    <w:rsid w:val="00542A9A"/>
    <w:rsid w:val="00542C99"/>
    <w:rsid w:val="00542D76"/>
    <w:rsid w:val="0054334B"/>
    <w:rsid w:val="005436BB"/>
    <w:rsid w:val="0054395D"/>
    <w:rsid w:val="005439E5"/>
    <w:rsid w:val="00543A03"/>
    <w:rsid w:val="00543A0B"/>
    <w:rsid w:val="00543BE7"/>
    <w:rsid w:val="00543CDD"/>
    <w:rsid w:val="005440FC"/>
    <w:rsid w:val="005441AF"/>
    <w:rsid w:val="005441F4"/>
    <w:rsid w:val="0054466F"/>
    <w:rsid w:val="00544A36"/>
    <w:rsid w:val="00544B44"/>
    <w:rsid w:val="00544EDC"/>
    <w:rsid w:val="005450DA"/>
    <w:rsid w:val="00545263"/>
    <w:rsid w:val="005452C5"/>
    <w:rsid w:val="005453F1"/>
    <w:rsid w:val="00545A16"/>
    <w:rsid w:val="00545C88"/>
    <w:rsid w:val="00545D84"/>
    <w:rsid w:val="00545F19"/>
    <w:rsid w:val="0054606A"/>
    <w:rsid w:val="0054616B"/>
    <w:rsid w:val="005465E0"/>
    <w:rsid w:val="005469B8"/>
    <w:rsid w:val="005469C0"/>
    <w:rsid w:val="005469C7"/>
    <w:rsid w:val="00546A62"/>
    <w:rsid w:val="00546BC3"/>
    <w:rsid w:val="0054706B"/>
    <w:rsid w:val="00547338"/>
    <w:rsid w:val="00547487"/>
    <w:rsid w:val="00547615"/>
    <w:rsid w:val="0054782A"/>
    <w:rsid w:val="0054798E"/>
    <w:rsid w:val="005479F8"/>
    <w:rsid w:val="00547A8D"/>
    <w:rsid w:val="00547D0B"/>
    <w:rsid w:val="00550031"/>
    <w:rsid w:val="00550485"/>
    <w:rsid w:val="00550530"/>
    <w:rsid w:val="005508EB"/>
    <w:rsid w:val="00550B11"/>
    <w:rsid w:val="00550B50"/>
    <w:rsid w:val="00550E47"/>
    <w:rsid w:val="00550F34"/>
    <w:rsid w:val="005510C9"/>
    <w:rsid w:val="00551263"/>
    <w:rsid w:val="00551397"/>
    <w:rsid w:val="0055140C"/>
    <w:rsid w:val="00551BE7"/>
    <w:rsid w:val="00551CB0"/>
    <w:rsid w:val="005521AB"/>
    <w:rsid w:val="005522FA"/>
    <w:rsid w:val="00552306"/>
    <w:rsid w:val="005524D4"/>
    <w:rsid w:val="00552726"/>
    <w:rsid w:val="005528C8"/>
    <w:rsid w:val="005529A4"/>
    <w:rsid w:val="00552AEC"/>
    <w:rsid w:val="00552E6A"/>
    <w:rsid w:val="00552E82"/>
    <w:rsid w:val="0055302E"/>
    <w:rsid w:val="005531F9"/>
    <w:rsid w:val="0055328D"/>
    <w:rsid w:val="005532FC"/>
    <w:rsid w:val="005537E4"/>
    <w:rsid w:val="005538F3"/>
    <w:rsid w:val="0055395A"/>
    <w:rsid w:val="00553D68"/>
    <w:rsid w:val="00553D75"/>
    <w:rsid w:val="00553D83"/>
    <w:rsid w:val="00553F2C"/>
    <w:rsid w:val="00553F31"/>
    <w:rsid w:val="0055459A"/>
    <w:rsid w:val="005549AF"/>
    <w:rsid w:val="00554C15"/>
    <w:rsid w:val="00554C3C"/>
    <w:rsid w:val="00554EB2"/>
    <w:rsid w:val="005556F9"/>
    <w:rsid w:val="005557C1"/>
    <w:rsid w:val="00555AF8"/>
    <w:rsid w:val="00555E40"/>
    <w:rsid w:val="0055619A"/>
    <w:rsid w:val="00556506"/>
    <w:rsid w:val="005565A1"/>
    <w:rsid w:val="00556655"/>
    <w:rsid w:val="00556687"/>
    <w:rsid w:val="0055693F"/>
    <w:rsid w:val="00556ACA"/>
    <w:rsid w:val="00556CFE"/>
    <w:rsid w:val="00556FC6"/>
    <w:rsid w:val="005573D6"/>
    <w:rsid w:val="0055747D"/>
    <w:rsid w:val="005578B2"/>
    <w:rsid w:val="00557BE1"/>
    <w:rsid w:val="00557F11"/>
    <w:rsid w:val="005601A5"/>
    <w:rsid w:val="0056065B"/>
    <w:rsid w:val="00560697"/>
    <w:rsid w:val="005609D7"/>
    <w:rsid w:val="00560C7A"/>
    <w:rsid w:val="00560E07"/>
    <w:rsid w:val="00560F55"/>
    <w:rsid w:val="005610BC"/>
    <w:rsid w:val="005611EB"/>
    <w:rsid w:val="00561203"/>
    <w:rsid w:val="00561657"/>
    <w:rsid w:val="0056183C"/>
    <w:rsid w:val="005618A0"/>
    <w:rsid w:val="005618B5"/>
    <w:rsid w:val="00561990"/>
    <w:rsid w:val="00561BFC"/>
    <w:rsid w:val="00561C61"/>
    <w:rsid w:val="005621C4"/>
    <w:rsid w:val="00562248"/>
    <w:rsid w:val="00562618"/>
    <w:rsid w:val="0056264A"/>
    <w:rsid w:val="00562668"/>
    <w:rsid w:val="005627C9"/>
    <w:rsid w:val="0056295E"/>
    <w:rsid w:val="00562ADB"/>
    <w:rsid w:val="00562C5A"/>
    <w:rsid w:val="00562E15"/>
    <w:rsid w:val="005631CE"/>
    <w:rsid w:val="0056334B"/>
    <w:rsid w:val="0056358C"/>
    <w:rsid w:val="005637BA"/>
    <w:rsid w:val="005639A7"/>
    <w:rsid w:val="00563E31"/>
    <w:rsid w:val="00564027"/>
    <w:rsid w:val="0056406E"/>
    <w:rsid w:val="0056415C"/>
    <w:rsid w:val="00564434"/>
    <w:rsid w:val="005644F5"/>
    <w:rsid w:val="00564769"/>
    <w:rsid w:val="0056494A"/>
    <w:rsid w:val="00564A6C"/>
    <w:rsid w:val="00564C74"/>
    <w:rsid w:val="00564DA5"/>
    <w:rsid w:val="00564E62"/>
    <w:rsid w:val="00564E90"/>
    <w:rsid w:val="00565152"/>
    <w:rsid w:val="005653AE"/>
    <w:rsid w:val="00565505"/>
    <w:rsid w:val="0056570A"/>
    <w:rsid w:val="00565AAA"/>
    <w:rsid w:val="00565CCC"/>
    <w:rsid w:val="00565D3E"/>
    <w:rsid w:val="00565E52"/>
    <w:rsid w:val="0056625D"/>
    <w:rsid w:val="00566298"/>
    <w:rsid w:val="00566A32"/>
    <w:rsid w:val="00566A84"/>
    <w:rsid w:val="00566D4C"/>
    <w:rsid w:val="0056721A"/>
    <w:rsid w:val="00567298"/>
    <w:rsid w:val="00567729"/>
    <w:rsid w:val="0056774D"/>
    <w:rsid w:val="00567C4A"/>
    <w:rsid w:val="00567D20"/>
    <w:rsid w:val="00567FA6"/>
    <w:rsid w:val="0057057A"/>
    <w:rsid w:val="0057085F"/>
    <w:rsid w:val="005708BC"/>
    <w:rsid w:val="00570C22"/>
    <w:rsid w:val="00570CA0"/>
    <w:rsid w:val="00570D0C"/>
    <w:rsid w:val="00570EA5"/>
    <w:rsid w:val="00571421"/>
    <w:rsid w:val="005716AF"/>
    <w:rsid w:val="00571909"/>
    <w:rsid w:val="0057197D"/>
    <w:rsid w:val="00571A68"/>
    <w:rsid w:val="00571AAA"/>
    <w:rsid w:val="00571D00"/>
    <w:rsid w:val="00571E87"/>
    <w:rsid w:val="00571FFD"/>
    <w:rsid w:val="005720D2"/>
    <w:rsid w:val="005721AC"/>
    <w:rsid w:val="005722FF"/>
    <w:rsid w:val="00572312"/>
    <w:rsid w:val="00572363"/>
    <w:rsid w:val="00572550"/>
    <w:rsid w:val="005725B6"/>
    <w:rsid w:val="0057267B"/>
    <w:rsid w:val="0057271F"/>
    <w:rsid w:val="00572A06"/>
    <w:rsid w:val="00572B40"/>
    <w:rsid w:val="00572CBF"/>
    <w:rsid w:val="00572E85"/>
    <w:rsid w:val="00572F45"/>
    <w:rsid w:val="0057323A"/>
    <w:rsid w:val="00573265"/>
    <w:rsid w:val="00573450"/>
    <w:rsid w:val="005734B7"/>
    <w:rsid w:val="0057350D"/>
    <w:rsid w:val="00573537"/>
    <w:rsid w:val="00573B3D"/>
    <w:rsid w:val="00573C8F"/>
    <w:rsid w:val="00573D1E"/>
    <w:rsid w:val="0057403B"/>
    <w:rsid w:val="005742E0"/>
    <w:rsid w:val="005743E6"/>
    <w:rsid w:val="00574563"/>
    <w:rsid w:val="005745DC"/>
    <w:rsid w:val="0057475E"/>
    <w:rsid w:val="005749C7"/>
    <w:rsid w:val="00574D4D"/>
    <w:rsid w:val="0057507A"/>
    <w:rsid w:val="005750A2"/>
    <w:rsid w:val="005751B4"/>
    <w:rsid w:val="00575286"/>
    <w:rsid w:val="00575493"/>
    <w:rsid w:val="005754AB"/>
    <w:rsid w:val="005755E2"/>
    <w:rsid w:val="00575897"/>
    <w:rsid w:val="0057599B"/>
    <w:rsid w:val="00575B6B"/>
    <w:rsid w:val="00575BF0"/>
    <w:rsid w:val="00575DEF"/>
    <w:rsid w:val="00575F32"/>
    <w:rsid w:val="005762B9"/>
    <w:rsid w:val="00576364"/>
    <w:rsid w:val="005763E2"/>
    <w:rsid w:val="005764AC"/>
    <w:rsid w:val="00576629"/>
    <w:rsid w:val="00576646"/>
    <w:rsid w:val="005766E1"/>
    <w:rsid w:val="005767D2"/>
    <w:rsid w:val="00576938"/>
    <w:rsid w:val="00576BB8"/>
    <w:rsid w:val="00576FAE"/>
    <w:rsid w:val="0057701A"/>
    <w:rsid w:val="00577046"/>
    <w:rsid w:val="00577527"/>
    <w:rsid w:val="00577706"/>
    <w:rsid w:val="00577C69"/>
    <w:rsid w:val="00577E64"/>
    <w:rsid w:val="00577EF1"/>
    <w:rsid w:val="00580177"/>
    <w:rsid w:val="005801DB"/>
    <w:rsid w:val="00580299"/>
    <w:rsid w:val="00580301"/>
    <w:rsid w:val="005803FD"/>
    <w:rsid w:val="00580499"/>
    <w:rsid w:val="005806F3"/>
    <w:rsid w:val="0058078F"/>
    <w:rsid w:val="00580823"/>
    <w:rsid w:val="005809D8"/>
    <w:rsid w:val="00581220"/>
    <w:rsid w:val="005812C6"/>
    <w:rsid w:val="005813E8"/>
    <w:rsid w:val="00581416"/>
    <w:rsid w:val="00581855"/>
    <w:rsid w:val="00581C51"/>
    <w:rsid w:val="00581DD3"/>
    <w:rsid w:val="00581E16"/>
    <w:rsid w:val="0058234A"/>
    <w:rsid w:val="005824B7"/>
    <w:rsid w:val="00582523"/>
    <w:rsid w:val="005825FB"/>
    <w:rsid w:val="005828B2"/>
    <w:rsid w:val="00582BDE"/>
    <w:rsid w:val="00582C24"/>
    <w:rsid w:val="00582DB2"/>
    <w:rsid w:val="0058350C"/>
    <w:rsid w:val="0058356E"/>
    <w:rsid w:val="0058366C"/>
    <w:rsid w:val="005836D0"/>
    <w:rsid w:val="005836E5"/>
    <w:rsid w:val="0058371E"/>
    <w:rsid w:val="00583929"/>
    <w:rsid w:val="00583997"/>
    <w:rsid w:val="00583B2E"/>
    <w:rsid w:val="00583D75"/>
    <w:rsid w:val="00584070"/>
    <w:rsid w:val="005843E4"/>
    <w:rsid w:val="00584761"/>
    <w:rsid w:val="0058479F"/>
    <w:rsid w:val="00584B74"/>
    <w:rsid w:val="00584CC2"/>
    <w:rsid w:val="00585002"/>
    <w:rsid w:val="00585135"/>
    <w:rsid w:val="00585437"/>
    <w:rsid w:val="00585448"/>
    <w:rsid w:val="005854D6"/>
    <w:rsid w:val="00585807"/>
    <w:rsid w:val="0058661A"/>
    <w:rsid w:val="005866E0"/>
    <w:rsid w:val="00586766"/>
    <w:rsid w:val="005869AC"/>
    <w:rsid w:val="00586FDD"/>
    <w:rsid w:val="005871E9"/>
    <w:rsid w:val="00587372"/>
    <w:rsid w:val="005875B8"/>
    <w:rsid w:val="00587655"/>
    <w:rsid w:val="00587925"/>
    <w:rsid w:val="00587A17"/>
    <w:rsid w:val="00587A63"/>
    <w:rsid w:val="00587BE2"/>
    <w:rsid w:val="00587E23"/>
    <w:rsid w:val="00587E82"/>
    <w:rsid w:val="00590471"/>
    <w:rsid w:val="0059048A"/>
    <w:rsid w:val="005908E6"/>
    <w:rsid w:val="00590BE4"/>
    <w:rsid w:val="00590DA4"/>
    <w:rsid w:val="00590DA9"/>
    <w:rsid w:val="00590DAF"/>
    <w:rsid w:val="00590EB3"/>
    <w:rsid w:val="00591325"/>
    <w:rsid w:val="0059152F"/>
    <w:rsid w:val="00591557"/>
    <w:rsid w:val="00591AE3"/>
    <w:rsid w:val="00591C8C"/>
    <w:rsid w:val="00591D47"/>
    <w:rsid w:val="00592272"/>
    <w:rsid w:val="005922C8"/>
    <w:rsid w:val="00592460"/>
    <w:rsid w:val="00592589"/>
    <w:rsid w:val="0059271E"/>
    <w:rsid w:val="0059294E"/>
    <w:rsid w:val="00592D3E"/>
    <w:rsid w:val="00593822"/>
    <w:rsid w:val="00593AEB"/>
    <w:rsid w:val="00593D16"/>
    <w:rsid w:val="00593F18"/>
    <w:rsid w:val="00594070"/>
    <w:rsid w:val="005943CD"/>
    <w:rsid w:val="005943EF"/>
    <w:rsid w:val="0059459B"/>
    <w:rsid w:val="005945E8"/>
    <w:rsid w:val="005948EF"/>
    <w:rsid w:val="005949E9"/>
    <w:rsid w:val="00594BE3"/>
    <w:rsid w:val="00594BF3"/>
    <w:rsid w:val="00594F16"/>
    <w:rsid w:val="005952C9"/>
    <w:rsid w:val="0059559A"/>
    <w:rsid w:val="0059562B"/>
    <w:rsid w:val="0059579C"/>
    <w:rsid w:val="00595B1D"/>
    <w:rsid w:val="00595B5D"/>
    <w:rsid w:val="005964C7"/>
    <w:rsid w:val="00596C8A"/>
    <w:rsid w:val="00597206"/>
    <w:rsid w:val="0059733D"/>
    <w:rsid w:val="00597381"/>
    <w:rsid w:val="005974A0"/>
    <w:rsid w:val="005975A3"/>
    <w:rsid w:val="005977A5"/>
    <w:rsid w:val="005979C9"/>
    <w:rsid w:val="00597AAE"/>
    <w:rsid w:val="00597B43"/>
    <w:rsid w:val="00597F9A"/>
    <w:rsid w:val="00597FA2"/>
    <w:rsid w:val="005A02F4"/>
    <w:rsid w:val="005A0303"/>
    <w:rsid w:val="005A0374"/>
    <w:rsid w:val="005A05D3"/>
    <w:rsid w:val="005A0748"/>
    <w:rsid w:val="005A0C27"/>
    <w:rsid w:val="005A0F79"/>
    <w:rsid w:val="005A114C"/>
    <w:rsid w:val="005A11A4"/>
    <w:rsid w:val="005A1250"/>
    <w:rsid w:val="005A14A6"/>
    <w:rsid w:val="005A161C"/>
    <w:rsid w:val="005A1A16"/>
    <w:rsid w:val="005A1AC5"/>
    <w:rsid w:val="005A1C54"/>
    <w:rsid w:val="005A2209"/>
    <w:rsid w:val="005A22EC"/>
    <w:rsid w:val="005A24CF"/>
    <w:rsid w:val="005A24FD"/>
    <w:rsid w:val="005A29E4"/>
    <w:rsid w:val="005A2A48"/>
    <w:rsid w:val="005A2CE3"/>
    <w:rsid w:val="005A2E84"/>
    <w:rsid w:val="005A303D"/>
    <w:rsid w:val="005A3112"/>
    <w:rsid w:val="005A33EB"/>
    <w:rsid w:val="005A378A"/>
    <w:rsid w:val="005A37E3"/>
    <w:rsid w:val="005A3936"/>
    <w:rsid w:val="005A395E"/>
    <w:rsid w:val="005A3DC9"/>
    <w:rsid w:val="005A3E55"/>
    <w:rsid w:val="005A3EB4"/>
    <w:rsid w:val="005A3FDB"/>
    <w:rsid w:val="005A41EE"/>
    <w:rsid w:val="005A46EF"/>
    <w:rsid w:val="005A48CC"/>
    <w:rsid w:val="005A48FE"/>
    <w:rsid w:val="005A4D46"/>
    <w:rsid w:val="005A4DFA"/>
    <w:rsid w:val="005A5107"/>
    <w:rsid w:val="005A5419"/>
    <w:rsid w:val="005A5460"/>
    <w:rsid w:val="005A5657"/>
    <w:rsid w:val="005A57C0"/>
    <w:rsid w:val="005A57FA"/>
    <w:rsid w:val="005A5A0F"/>
    <w:rsid w:val="005A5B8A"/>
    <w:rsid w:val="005A5CD4"/>
    <w:rsid w:val="005A5F01"/>
    <w:rsid w:val="005A60B9"/>
    <w:rsid w:val="005A65FC"/>
    <w:rsid w:val="005A67FC"/>
    <w:rsid w:val="005A6E56"/>
    <w:rsid w:val="005A6F44"/>
    <w:rsid w:val="005A7138"/>
    <w:rsid w:val="005A7836"/>
    <w:rsid w:val="005A7908"/>
    <w:rsid w:val="005A79A9"/>
    <w:rsid w:val="005A7E7F"/>
    <w:rsid w:val="005A7FD3"/>
    <w:rsid w:val="005B01B1"/>
    <w:rsid w:val="005B028E"/>
    <w:rsid w:val="005B02A8"/>
    <w:rsid w:val="005B02B7"/>
    <w:rsid w:val="005B068B"/>
    <w:rsid w:val="005B06C8"/>
    <w:rsid w:val="005B0753"/>
    <w:rsid w:val="005B0B45"/>
    <w:rsid w:val="005B0B68"/>
    <w:rsid w:val="005B0DC5"/>
    <w:rsid w:val="005B0F28"/>
    <w:rsid w:val="005B12CC"/>
    <w:rsid w:val="005B149D"/>
    <w:rsid w:val="005B1551"/>
    <w:rsid w:val="005B15C9"/>
    <w:rsid w:val="005B17E5"/>
    <w:rsid w:val="005B1928"/>
    <w:rsid w:val="005B1B67"/>
    <w:rsid w:val="005B224C"/>
    <w:rsid w:val="005B2520"/>
    <w:rsid w:val="005B27DD"/>
    <w:rsid w:val="005B2CB7"/>
    <w:rsid w:val="005B2DDB"/>
    <w:rsid w:val="005B31AF"/>
    <w:rsid w:val="005B3254"/>
    <w:rsid w:val="005B32CA"/>
    <w:rsid w:val="005B34F2"/>
    <w:rsid w:val="005B379C"/>
    <w:rsid w:val="005B398E"/>
    <w:rsid w:val="005B39B7"/>
    <w:rsid w:val="005B3B5F"/>
    <w:rsid w:val="005B3BD4"/>
    <w:rsid w:val="005B412C"/>
    <w:rsid w:val="005B4269"/>
    <w:rsid w:val="005B42C9"/>
    <w:rsid w:val="005B43C6"/>
    <w:rsid w:val="005B442C"/>
    <w:rsid w:val="005B444E"/>
    <w:rsid w:val="005B4473"/>
    <w:rsid w:val="005B46B4"/>
    <w:rsid w:val="005B4A6F"/>
    <w:rsid w:val="005B4B40"/>
    <w:rsid w:val="005B4BAC"/>
    <w:rsid w:val="005B4C81"/>
    <w:rsid w:val="005B50CB"/>
    <w:rsid w:val="005B5289"/>
    <w:rsid w:val="005B5439"/>
    <w:rsid w:val="005B55A4"/>
    <w:rsid w:val="005B5651"/>
    <w:rsid w:val="005B56CE"/>
    <w:rsid w:val="005B5DBF"/>
    <w:rsid w:val="005B5E8E"/>
    <w:rsid w:val="005B5F6A"/>
    <w:rsid w:val="005B6059"/>
    <w:rsid w:val="005B6121"/>
    <w:rsid w:val="005B6206"/>
    <w:rsid w:val="005B638F"/>
    <w:rsid w:val="005B6518"/>
    <w:rsid w:val="005B65EE"/>
    <w:rsid w:val="005B668B"/>
    <w:rsid w:val="005B6B46"/>
    <w:rsid w:val="005B6D79"/>
    <w:rsid w:val="005B7346"/>
    <w:rsid w:val="005B7470"/>
    <w:rsid w:val="005B759B"/>
    <w:rsid w:val="005B761A"/>
    <w:rsid w:val="005B7818"/>
    <w:rsid w:val="005B7A84"/>
    <w:rsid w:val="005B7B9F"/>
    <w:rsid w:val="005B7EA6"/>
    <w:rsid w:val="005C0020"/>
    <w:rsid w:val="005C0040"/>
    <w:rsid w:val="005C0059"/>
    <w:rsid w:val="005C0202"/>
    <w:rsid w:val="005C0293"/>
    <w:rsid w:val="005C04A9"/>
    <w:rsid w:val="005C057F"/>
    <w:rsid w:val="005C0594"/>
    <w:rsid w:val="005C062D"/>
    <w:rsid w:val="005C0874"/>
    <w:rsid w:val="005C143E"/>
    <w:rsid w:val="005C1510"/>
    <w:rsid w:val="005C168A"/>
    <w:rsid w:val="005C16B0"/>
    <w:rsid w:val="005C17BC"/>
    <w:rsid w:val="005C1898"/>
    <w:rsid w:val="005C197E"/>
    <w:rsid w:val="005C1A14"/>
    <w:rsid w:val="005C1C82"/>
    <w:rsid w:val="005C1CDD"/>
    <w:rsid w:val="005C1D3E"/>
    <w:rsid w:val="005C238A"/>
    <w:rsid w:val="005C25E0"/>
    <w:rsid w:val="005C2632"/>
    <w:rsid w:val="005C278D"/>
    <w:rsid w:val="005C2AF7"/>
    <w:rsid w:val="005C2CC6"/>
    <w:rsid w:val="005C2DE5"/>
    <w:rsid w:val="005C2FDB"/>
    <w:rsid w:val="005C318B"/>
    <w:rsid w:val="005C32F8"/>
    <w:rsid w:val="005C385D"/>
    <w:rsid w:val="005C3CE7"/>
    <w:rsid w:val="005C402F"/>
    <w:rsid w:val="005C428C"/>
    <w:rsid w:val="005C447E"/>
    <w:rsid w:val="005C46E1"/>
    <w:rsid w:val="005C4797"/>
    <w:rsid w:val="005C48CF"/>
    <w:rsid w:val="005C49CA"/>
    <w:rsid w:val="005C4C4C"/>
    <w:rsid w:val="005C4D1C"/>
    <w:rsid w:val="005C4F6B"/>
    <w:rsid w:val="005C4F7C"/>
    <w:rsid w:val="005C51C0"/>
    <w:rsid w:val="005C536C"/>
    <w:rsid w:val="005C5518"/>
    <w:rsid w:val="005C580F"/>
    <w:rsid w:val="005C5A1B"/>
    <w:rsid w:val="005C5D32"/>
    <w:rsid w:val="005C600B"/>
    <w:rsid w:val="005C60C3"/>
    <w:rsid w:val="005C6155"/>
    <w:rsid w:val="005C6211"/>
    <w:rsid w:val="005C6234"/>
    <w:rsid w:val="005C64E1"/>
    <w:rsid w:val="005C6AD2"/>
    <w:rsid w:val="005C6E72"/>
    <w:rsid w:val="005C6E7B"/>
    <w:rsid w:val="005C6E8F"/>
    <w:rsid w:val="005C6F7D"/>
    <w:rsid w:val="005C7061"/>
    <w:rsid w:val="005C709C"/>
    <w:rsid w:val="005C7118"/>
    <w:rsid w:val="005C72DC"/>
    <w:rsid w:val="005C7561"/>
    <w:rsid w:val="005C776D"/>
    <w:rsid w:val="005C7AEC"/>
    <w:rsid w:val="005C7BC5"/>
    <w:rsid w:val="005C7FC9"/>
    <w:rsid w:val="005D00F2"/>
    <w:rsid w:val="005D029D"/>
    <w:rsid w:val="005D02B4"/>
    <w:rsid w:val="005D02CE"/>
    <w:rsid w:val="005D0345"/>
    <w:rsid w:val="005D047D"/>
    <w:rsid w:val="005D068D"/>
    <w:rsid w:val="005D06B6"/>
    <w:rsid w:val="005D0870"/>
    <w:rsid w:val="005D08EC"/>
    <w:rsid w:val="005D0D43"/>
    <w:rsid w:val="005D0DB6"/>
    <w:rsid w:val="005D1028"/>
    <w:rsid w:val="005D12DE"/>
    <w:rsid w:val="005D1422"/>
    <w:rsid w:val="005D16BA"/>
    <w:rsid w:val="005D182E"/>
    <w:rsid w:val="005D198E"/>
    <w:rsid w:val="005D19BA"/>
    <w:rsid w:val="005D19FA"/>
    <w:rsid w:val="005D1BFA"/>
    <w:rsid w:val="005D1ED7"/>
    <w:rsid w:val="005D21A4"/>
    <w:rsid w:val="005D2380"/>
    <w:rsid w:val="005D23A5"/>
    <w:rsid w:val="005D26A8"/>
    <w:rsid w:val="005D2A6D"/>
    <w:rsid w:val="005D2D00"/>
    <w:rsid w:val="005D2DE4"/>
    <w:rsid w:val="005D31C5"/>
    <w:rsid w:val="005D345D"/>
    <w:rsid w:val="005D351B"/>
    <w:rsid w:val="005D3529"/>
    <w:rsid w:val="005D38B2"/>
    <w:rsid w:val="005D3CC9"/>
    <w:rsid w:val="005D3CE1"/>
    <w:rsid w:val="005D3D1A"/>
    <w:rsid w:val="005D3D87"/>
    <w:rsid w:val="005D4653"/>
    <w:rsid w:val="005D475D"/>
    <w:rsid w:val="005D49E5"/>
    <w:rsid w:val="005D4C76"/>
    <w:rsid w:val="005D4D2B"/>
    <w:rsid w:val="005D4EBE"/>
    <w:rsid w:val="005D50AD"/>
    <w:rsid w:val="005D52D7"/>
    <w:rsid w:val="005D599D"/>
    <w:rsid w:val="005D5C6C"/>
    <w:rsid w:val="005D5C7A"/>
    <w:rsid w:val="005D5D1D"/>
    <w:rsid w:val="005D5D43"/>
    <w:rsid w:val="005D5DF9"/>
    <w:rsid w:val="005D5E28"/>
    <w:rsid w:val="005D5E47"/>
    <w:rsid w:val="005D63FD"/>
    <w:rsid w:val="005D66C4"/>
    <w:rsid w:val="005D696A"/>
    <w:rsid w:val="005D6A29"/>
    <w:rsid w:val="005D6B85"/>
    <w:rsid w:val="005D6D95"/>
    <w:rsid w:val="005D6E39"/>
    <w:rsid w:val="005D72FB"/>
    <w:rsid w:val="005D733C"/>
    <w:rsid w:val="005D74C4"/>
    <w:rsid w:val="005D76D2"/>
    <w:rsid w:val="005D7A85"/>
    <w:rsid w:val="005D7AF0"/>
    <w:rsid w:val="005D7CBB"/>
    <w:rsid w:val="005D7CF0"/>
    <w:rsid w:val="005D7E33"/>
    <w:rsid w:val="005D7E76"/>
    <w:rsid w:val="005E0168"/>
    <w:rsid w:val="005E06D6"/>
    <w:rsid w:val="005E0731"/>
    <w:rsid w:val="005E08DF"/>
    <w:rsid w:val="005E0955"/>
    <w:rsid w:val="005E0982"/>
    <w:rsid w:val="005E09B3"/>
    <w:rsid w:val="005E0EF8"/>
    <w:rsid w:val="005E1070"/>
    <w:rsid w:val="005E12CE"/>
    <w:rsid w:val="005E1695"/>
    <w:rsid w:val="005E16D2"/>
    <w:rsid w:val="005E18A8"/>
    <w:rsid w:val="005E1B34"/>
    <w:rsid w:val="005E1D1B"/>
    <w:rsid w:val="005E2156"/>
    <w:rsid w:val="005E22DA"/>
    <w:rsid w:val="005E2310"/>
    <w:rsid w:val="005E23F7"/>
    <w:rsid w:val="005E2597"/>
    <w:rsid w:val="005E26D2"/>
    <w:rsid w:val="005E2A70"/>
    <w:rsid w:val="005E2BE3"/>
    <w:rsid w:val="005E2D43"/>
    <w:rsid w:val="005E2E5B"/>
    <w:rsid w:val="005E2EC7"/>
    <w:rsid w:val="005E339B"/>
    <w:rsid w:val="005E3422"/>
    <w:rsid w:val="005E3CF1"/>
    <w:rsid w:val="005E3F59"/>
    <w:rsid w:val="005E41BD"/>
    <w:rsid w:val="005E41C1"/>
    <w:rsid w:val="005E4435"/>
    <w:rsid w:val="005E4610"/>
    <w:rsid w:val="005E494D"/>
    <w:rsid w:val="005E4A4A"/>
    <w:rsid w:val="005E4BD2"/>
    <w:rsid w:val="005E4EC5"/>
    <w:rsid w:val="005E4F72"/>
    <w:rsid w:val="005E4FBD"/>
    <w:rsid w:val="005E53B3"/>
    <w:rsid w:val="005E59A1"/>
    <w:rsid w:val="005E5C53"/>
    <w:rsid w:val="005E5CB4"/>
    <w:rsid w:val="005E5D58"/>
    <w:rsid w:val="005E5D68"/>
    <w:rsid w:val="005E5E09"/>
    <w:rsid w:val="005E6297"/>
    <w:rsid w:val="005E62CE"/>
    <w:rsid w:val="005E637A"/>
    <w:rsid w:val="005E63CF"/>
    <w:rsid w:val="005E6908"/>
    <w:rsid w:val="005E6CC2"/>
    <w:rsid w:val="005E7018"/>
    <w:rsid w:val="005E70A0"/>
    <w:rsid w:val="005E73D5"/>
    <w:rsid w:val="005E7474"/>
    <w:rsid w:val="005E750B"/>
    <w:rsid w:val="005E75AB"/>
    <w:rsid w:val="005E7695"/>
    <w:rsid w:val="005E788A"/>
    <w:rsid w:val="005E7AEC"/>
    <w:rsid w:val="005E7B8F"/>
    <w:rsid w:val="005E7C46"/>
    <w:rsid w:val="005F0107"/>
    <w:rsid w:val="005F02F2"/>
    <w:rsid w:val="005F0474"/>
    <w:rsid w:val="005F0B0C"/>
    <w:rsid w:val="005F0B0F"/>
    <w:rsid w:val="005F0F73"/>
    <w:rsid w:val="005F1270"/>
    <w:rsid w:val="005F1285"/>
    <w:rsid w:val="005F12FB"/>
    <w:rsid w:val="005F1381"/>
    <w:rsid w:val="005F1F81"/>
    <w:rsid w:val="005F1FBA"/>
    <w:rsid w:val="005F1FD4"/>
    <w:rsid w:val="005F2015"/>
    <w:rsid w:val="005F21BC"/>
    <w:rsid w:val="005F2252"/>
    <w:rsid w:val="005F2268"/>
    <w:rsid w:val="005F294E"/>
    <w:rsid w:val="005F29D0"/>
    <w:rsid w:val="005F2A45"/>
    <w:rsid w:val="005F2BAB"/>
    <w:rsid w:val="005F2C2A"/>
    <w:rsid w:val="005F2C81"/>
    <w:rsid w:val="005F2D01"/>
    <w:rsid w:val="005F2D8C"/>
    <w:rsid w:val="005F2F57"/>
    <w:rsid w:val="005F3008"/>
    <w:rsid w:val="005F3300"/>
    <w:rsid w:val="005F33A5"/>
    <w:rsid w:val="005F3401"/>
    <w:rsid w:val="005F347B"/>
    <w:rsid w:val="005F3504"/>
    <w:rsid w:val="005F356A"/>
    <w:rsid w:val="005F35CC"/>
    <w:rsid w:val="005F3692"/>
    <w:rsid w:val="005F395E"/>
    <w:rsid w:val="005F3AEF"/>
    <w:rsid w:val="005F3D66"/>
    <w:rsid w:val="005F3FE8"/>
    <w:rsid w:val="005F4074"/>
    <w:rsid w:val="005F42D1"/>
    <w:rsid w:val="005F44B8"/>
    <w:rsid w:val="005F4563"/>
    <w:rsid w:val="005F483A"/>
    <w:rsid w:val="005F49F7"/>
    <w:rsid w:val="005F4A53"/>
    <w:rsid w:val="005F4D43"/>
    <w:rsid w:val="005F4DD0"/>
    <w:rsid w:val="005F50B1"/>
    <w:rsid w:val="005F50B7"/>
    <w:rsid w:val="005F5477"/>
    <w:rsid w:val="005F58C3"/>
    <w:rsid w:val="005F5A06"/>
    <w:rsid w:val="005F5AFC"/>
    <w:rsid w:val="005F5C39"/>
    <w:rsid w:val="005F5F3F"/>
    <w:rsid w:val="005F6038"/>
    <w:rsid w:val="005F62FC"/>
    <w:rsid w:val="005F647E"/>
    <w:rsid w:val="005F661D"/>
    <w:rsid w:val="005F68D5"/>
    <w:rsid w:val="005F6AF0"/>
    <w:rsid w:val="005F6B21"/>
    <w:rsid w:val="005F6B99"/>
    <w:rsid w:val="005F6E0F"/>
    <w:rsid w:val="005F70C8"/>
    <w:rsid w:val="005F7203"/>
    <w:rsid w:val="005F72F6"/>
    <w:rsid w:val="005F73B2"/>
    <w:rsid w:val="005F75A1"/>
    <w:rsid w:val="005F7770"/>
    <w:rsid w:val="005F78B5"/>
    <w:rsid w:val="005F79CA"/>
    <w:rsid w:val="005F7A8A"/>
    <w:rsid w:val="00600942"/>
    <w:rsid w:val="00600ADD"/>
    <w:rsid w:val="00600B3B"/>
    <w:rsid w:val="00600C83"/>
    <w:rsid w:val="00600D3D"/>
    <w:rsid w:val="00600DBF"/>
    <w:rsid w:val="00600ED3"/>
    <w:rsid w:val="00600EE8"/>
    <w:rsid w:val="0060107B"/>
    <w:rsid w:val="006010D8"/>
    <w:rsid w:val="00601185"/>
    <w:rsid w:val="006012A4"/>
    <w:rsid w:val="0060133F"/>
    <w:rsid w:val="00601369"/>
    <w:rsid w:val="0060140F"/>
    <w:rsid w:val="0060173E"/>
    <w:rsid w:val="0060179E"/>
    <w:rsid w:val="00601AAD"/>
    <w:rsid w:val="00601D52"/>
    <w:rsid w:val="00601F08"/>
    <w:rsid w:val="00601FB7"/>
    <w:rsid w:val="006024BC"/>
    <w:rsid w:val="00602731"/>
    <w:rsid w:val="0060290A"/>
    <w:rsid w:val="006029E4"/>
    <w:rsid w:val="00603139"/>
    <w:rsid w:val="0060317A"/>
    <w:rsid w:val="00603231"/>
    <w:rsid w:val="006032DE"/>
    <w:rsid w:val="00603367"/>
    <w:rsid w:val="00603481"/>
    <w:rsid w:val="00603712"/>
    <w:rsid w:val="00603BAD"/>
    <w:rsid w:val="00603C3F"/>
    <w:rsid w:val="00603F13"/>
    <w:rsid w:val="006042EA"/>
    <w:rsid w:val="00604318"/>
    <w:rsid w:val="006045FE"/>
    <w:rsid w:val="00604903"/>
    <w:rsid w:val="00604A19"/>
    <w:rsid w:val="00604A7E"/>
    <w:rsid w:val="00604DC7"/>
    <w:rsid w:val="00604E69"/>
    <w:rsid w:val="00604F57"/>
    <w:rsid w:val="006052D6"/>
    <w:rsid w:val="0060530A"/>
    <w:rsid w:val="00605400"/>
    <w:rsid w:val="006056CA"/>
    <w:rsid w:val="006056E4"/>
    <w:rsid w:val="00605895"/>
    <w:rsid w:val="00605BB2"/>
    <w:rsid w:val="00605E08"/>
    <w:rsid w:val="006060FF"/>
    <w:rsid w:val="0060618D"/>
    <w:rsid w:val="006061DA"/>
    <w:rsid w:val="006064E8"/>
    <w:rsid w:val="006065CB"/>
    <w:rsid w:val="006069FE"/>
    <w:rsid w:val="00606CBF"/>
    <w:rsid w:val="0060707A"/>
    <w:rsid w:val="00607097"/>
    <w:rsid w:val="0060753A"/>
    <w:rsid w:val="006076CB"/>
    <w:rsid w:val="006077E9"/>
    <w:rsid w:val="006078D9"/>
    <w:rsid w:val="00607FBC"/>
    <w:rsid w:val="006100C2"/>
    <w:rsid w:val="0061015E"/>
    <w:rsid w:val="00610268"/>
    <w:rsid w:val="00610C96"/>
    <w:rsid w:val="00610D2F"/>
    <w:rsid w:val="00610E9D"/>
    <w:rsid w:val="00610EC2"/>
    <w:rsid w:val="00610F66"/>
    <w:rsid w:val="00611346"/>
    <w:rsid w:val="006114FE"/>
    <w:rsid w:val="006117DE"/>
    <w:rsid w:val="006119BE"/>
    <w:rsid w:val="00611A94"/>
    <w:rsid w:val="00611B30"/>
    <w:rsid w:val="00611E80"/>
    <w:rsid w:val="0061203E"/>
    <w:rsid w:val="006126ED"/>
    <w:rsid w:val="00612A38"/>
    <w:rsid w:val="00612ACE"/>
    <w:rsid w:val="00612B77"/>
    <w:rsid w:val="00612C67"/>
    <w:rsid w:val="00612D62"/>
    <w:rsid w:val="00612F48"/>
    <w:rsid w:val="00613076"/>
    <w:rsid w:val="006135EC"/>
    <w:rsid w:val="006138B5"/>
    <w:rsid w:val="00613C1F"/>
    <w:rsid w:val="006140C4"/>
    <w:rsid w:val="006141F2"/>
    <w:rsid w:val="0061420E"/>
    <w:rsid w:val="0061430D"/>
    <w:rsid w:val="00614446"/>
    <w:rsid w:val="006144F2"/>
    <w:rsid w:val="006145D1"/>
    <w:rsid w:val="006145D4"/>
    <w:rsid w:val="00614758"/>
    <w:rsid w:val="00614762"/>
    <w:rsid w:val="0061486A"/>
    <w:rsid w:val="00614C01"/>
    <w:rsid w:val="00614D42"/>
    <w:rsid w:val="00614DCC"/>
    <w:rsid w:val="00614FB4"/>
    <w:rsid w:val="00615455"/>
    <w:rsid w:val="00615683"/>
    <w:rsid w:val="00615739"/>
    <w:rsid w:val="00615DDE"/>
    <w:rsid w:val="00615E4F"/>
    <w:rsid w:val="00615E6D"/>
    <w:rsid w:val="00615E9A"/>
    <w:rsid w:val="00615F97"/>
    <w:rsid w:val="0061614F"/>
    <w:rsid w:val="00616303"/>
    <w:rsid w:val="0061649B"/>
    <w:rsid w:val="006164BB"/>
    <w:rsid w:val="0061657D"/>
    <w:rsid w:val="006165BF"/>
    <w:rsid w:val="00616856"/>
    <w:rsid w:val="00616B2B"/>
    <w:rsid w:val="00616C84"/>
    <w:rsid w:val="00616DC1"/>
    <w:rsid w:val="00616E0D"/>
    <w:rsid w:val="0061704D"/>
    <w:rsid w:val="00617410"/>
    <w:rsid w:val="00617567"/>
    <w:rsid w:val="00617669"/>
    <w:rsid w:val="0061770E"/>
    <w:rsid w:val="006177EE"/>
    <w:rsid w:val="00617C48"/>
    <w:rsid w:val="006206FD"/>
    <w:rsid w:val="0062080E"/>
    <w:rsid w:val="00620A93"/>
    <w:rsid w:val="00620AF1"/>
    <w:rsid w:val="00620DBA"/>
    <w:rsid w:val="00620DD7"/>
    <w:rsid w:val="00620DD8"/>
    <w:rsid w:val="00620F0B"/>
    <w:rsid w:val="00620F6C"/>
    <w:rsid w:val="006211A6"/>
    <w:rsid w:val="006211AF"/>
    <w:rsid w:val="00621326"/>
    <w:rsid w:val="006213A9"/>
    <w:rsid w:val="0062172B"/>
    <w:rsid w:val="0062192F"/>
    <w:rsid w:val="0062212A"/>
    <w:rsid w:val="0062220B"/>
    <w:rsid w:val="00622563"/>
    <w:rsid w:val="006225BC"/>
    <w:rsid w:val="00622706"/>
    <w:rsid w:val="006227BF"/>
    <w:rsid w:val="00622CE6"/>
    <w:rsid w:val="00622D46"/>
    <w:rsid w:val="00622E13"/>
    <w:rsid w:val="00622EE9"/>
    <w:rsid w:val="006230D7"/>
    <w:rsid w:val="006233FA"/>
    <w:rsid w:val="00623581"/>
    <w:rsid w:val="0062374A"/>
    <w:rsid w:val="00623A02"/>
    <w:rsid w:val="00623AF4"/>
    <w:rsid w:val="00623FF1"/>
    <w:rsid w:val="00623FF5"/>
    <w:rsid w:val="00624002"/>
    <w:rsid w:val="0062430F"/>
    <w:rsid w:val="00624479"/>
    <w:rsid w:val="006245EC"/>
    <w:rsid w:val="00624633"/>
    <w:rsid w:val="006249F2"/>
    <w:rsid w:val="00624A4F"/>
    <w:rsid w:val="00624B82"/>
    <w:rsid w:val="00624BE4"/>
    <w:rsid w:val="00624E36"/>
    <w:rsid w:val="006253AE"/>
    <w:rsid w:val="00625599"/>
    <w:rsid w:val="006256BE"/>
    <w:rsid w:val="00625A51"/>
    <w:rsid w:val="00625B92"/>
    <w:rsid w:val="00625C93"/>
    <w:rsid w:val="00625CB1"/>
    <w:rsid w:val="00625CEC"/>
    <w:rsid w:val="00625EEB"/>
    <w:rsid w:val="00625F70"/>
    <w:rsid w:val="00625FDA"/>
    <w:rsid w:val="00626283"/>
    <w:rsid w:val="0062633B"/>
    <w:rsid w:val="0062645D"/>
    <w:rsid w:val="0062661A"/>
    <w:rsid w:val="00626BD3"/>
    <w:rsid w:val="00626C43"/>
    <w:rsid w:val="00626F1C"/>
    <w:rsid w:val="00627149"/>
    <w:rsid w:val="006271AD"/>
    <w:rsid w:val="006272AC"/>
    <w:rsid w:val="006272BE"/>
    <w:rsid w:val="0062732C"/>
    <w:rsid w:val="006273A7"/>
    <w:rsid w:val="00627458"/>
    <w:rsid w:val="0062789A"/>
    <w:rsid w:val="00627A94"/>
    <w:rsid w:val="00627B19"/>
    <w:rsid w:val="00627B28"/>
    <w:rsid w:val="00627C29"/>
    <w:rsid w:val="00627EA2"/>
    <w:rsid w:val="00630137"/>
    <w:rsid w:val="006301C0"/>
    <w:rsid w:val="0063030F"/>
    <w:rsid w:val="0063062E"/>
    <w:rsid w:val="006307F6"/>
    <w:rsid w:val="006308A1"/>
    <w:rsid w:val="00630C6A"/>
    <w:rsid w:val="0063107C"/>
    <w:rsid w:val="0063115D"/>
    <w:rsid w:val="006312BA"/>
    <w:rsid w:val="0063130E"/>
    <w:rsid w:val="00631389"/>
    <w:rsid w:val="00631763"/>
    <w:rsid w:val="0063176F"/>
    <w:rsid w:val="006317E0"/>
    <w:rsid w:val="00631950"/>
    <w:rsid w:val="00632182"/>
    <w:rsid w:val="006322D8"/>
    <w:rsid w:val="006326E8"/>
    <w:rsid w:val="00632913"/>
    <w:rsid w:val="00632928"/>
    <w:rsid w:val="006329A8"/>
    <w:rsid w:val="00632A97"/>
    <w:rsid w:val="00632B26"/>
    <w:rsid w:val="00632C2D"/>
    <w:rsid w:val="00632DE4"/>
    <w:rsid w:val="00632F3A"/>
    <w:rsid w:val="00632F6E"/>
    <w:rsid w:val="006334DA"/>
    <w:rsid w:val="0063382B"/>
    <w:rsid w:val="00633AB5"/>
    <w:rsid w:val="00633AD1"/>
    <w:rsid w:val="00633B31"/>
    <w:rsid w:val="00633C92"/>
    <w:rsid w:val="00633DAC"/>
    <w:rsid w:val="00633EAC"/>
    <w:rsid w:val="00633F56"/>
    <w:rsid w:val="00634424"/>
    <w:rsid w:val="00634809"/>
    <w:rsid w:val="0063487F"/>
    <w:rsid w:val="00634888"/>
    <w:rsid w:val="00634E0A"/>
    <w:rsid w:val="00634E44"/>
    <w:rsid w:val="00634EE4"/>
    <w:rsid w:val="00634F64"/>
    <w:rsid w:val="006350EC"/>
    <w:rsid w:val="006351F0"/>
    <w:rsid w:val="00635462"/>
    <w:rsid w:val="00635470"/>
    <w:rsid w:val="0063563E"/>
    <w:rsid w:val="006356B9"/>
    <w:rsid w:val="006356E0"/>
    <w:rsid w:val="00635857"/>
    <w:rsid w:val="00635964"/>
    <w:rsid w:val="00635CA0"/>
    <w:rsid w:val="00635EEC"/>
    <w:rsid w:val="00635FC3"/>
    <w:rsid w:val="006360E7"/>
    <w:rsid w:val="006362CC"/>
    <w:rsid w:val="0063661C"/>
    <w:rsid w:val="00636A99"/>
    <w:rsid w:val="00636DDE"/>
    <w:rsid w:val="00636E8E"/>
    <w:rsid w:val="00637000"/>
    <w:rsid w:val="0063705A"/>
    <w:rsid w:val="00637867"/>
    <w:rsid w:val="00637B46"/>
    <w:rsid w:val="00637B8C"/>
    <w:rsid w:val="00637EFE"/>
    <w:rsid w:val="00637F8C"/>
    <w:rsid w:val="00640028"/>
    <w:rsid w:val="00640302"/>
    <w:rsid w:val="0064042C"/>
    <w:rsid w:val="0064071C"/>
    <w:rsid w:val="00640990"/>
    <w:rsid w:val="00641045"/>
    <w:rsid w:val="00641109"/>
    <w:rsid w:val="006414DF"/>
    <w:rsid w:val="006414FC"/>
    <w:rsid w:val="00641700"/>
    <w:rsid w:val="00641772"/>
    <w:rsid w:val="006418FE"/>
    <w:rsid w:val="00641BF3"/>
    <w:rsid w:val="00641CB2"/>
    <w:rsid w:val="00641D79"/>
    <w:rsid w:val="00641E55"/>
    <w:rsid w:val="00641F7F"/>
    <w:rsid w:val="00642120"/>
    <w:rsid w:val="006421DC"/>
    <w:rsid w:val="00642352"/>
    <w:rsid w:val="006425BD"/>
    <w:rsid w:val="00642855"/>
    <w:rsid w:val="006429C2"/>
    <w:rsid w:val="00642C42"/>
    <w:rsid w:val="00643172"/>
    <w:rsid w:val="00643339"/>
    <w:rsid w:val="006433D0"/>
    <w:rsid w:val="00643413"/>
    <w:rsid w:val="00643B2A"/>
    <w:rsid w:val="00643BB4"/>
    <w:rsid w:val="0064401D"/>
    <w:rsid w:val="006440B7"/>
    <w:rsid w:val="0064435F"/>
    <w:rsid w:val="006444D7"/>
    <w:rsid w:val="00644647"/>
    <w:rsid w:val="00644A7D"/>
    <w:rsid w:val="00644B6B"/>
    <w:rsid w:val="00644D7C"/>
    <w:rsid w:val="00644DA8"/>
    <w:rsid w:val="00644EC6"/>
    <w:rsid w:val="006450BA"/>
    <w:rsid w:val="006451A4"/>
    <w:rsid w:val="006453B9"/>
    <w:rsid w:val="006454D6"/>
    <w:rsid w:val="00645601"/>
    <w:rsid w:val="00645DFB"/>
    <w:rsid w:val="00645FF9"/>
    <w:rsid w:val="0064602D"/>
    <w:rsid w:val="006460CB"/>
    <w:rsid w:val="00646155"/>
    <w:rsid w:val="00646875"/>
    <w:rsid w:val="00646901"/>
    <w:rsid w:val="00646B55"/>
    <w:rsid w:val="00646B7B"/>
    <w:rsid w:val="00646BC9"/>
    <w:rsid w:val="00646FE5"/>
    <w:rsid w:val="0064713A"/>
    <w:rsid w:val="0064722F"/>
    <w:rsid w:val="0064723B"/>
    <w:rsid w:val="006473EB"/>
    <w:rsid w:val="006474C6"/>
    <w:rsid w:val="00647523"/>
    <w:rsid w:val="006475D5"/>
    <w:rsid w:val="0064774E"/>
    <w:rsid w:val="006478AF"/>
    <w:rsid w:val="00647C85"/>
    <w:rsid w:val="00647CAF"/>
    <w:rsid w:val="00650026"/>
    <w:rsid w:val="00650223"/>
    <w:rsid w:val="006502EB"/>
    <w:rsid w:val="0065039F"/>
    <w:rsid w:val="006503B7"/>
    <w:rsid w:val="0065043A"/>
    <w:rsid w:val="00650851"/>
    <w:rsid w:val="00650CDC"/>
    <w:rsid w:val="00650D05"/>
    <w:rsid w:val="00650EFF"/>
    <w:rsid w:val="00651057"/>
    <w:rsid w:val="0065128E"/>
    <w:rsid w:val="006513EA"/>
    <w:rsid w:val="0065145F"/>
    <w:rsid w:val="00651801"/>
    <w:rsid w:val="00651884"/>
    <w:rsid w:val="006518AF"/>
    <w:rsid w:val="00651CEB"/>
    <w:rsid w:val="00651E53"/>
    <w:rsid w:val="006520D7"/>
    <w:rsid w:val="006523DB"/>
    <w:rsid w:val="00652664"/>
    <w:rsid w:val="0065281F"/>
    <w:rsid w:val="006529BB"/>
    <w:rsid w:val="00652AA3"/>
    <w:rsid w:val="00652ADA"/>
    <w:rsid w:val="00652B05"/>
    <w:rsid w:val="00652BE6"/>
    <w:rsid w:val="00652BFF"/>
    <w:rsid w:val="00652D1D"/>
    <w:rsid w:val="00652D72"/>
    <w:rsid w:val="00653211"/>
    <w:rsid w:val="00653263"/>
    <w:rsid w:val="006535BC"/>
    <w:rsid w:val="006535D3"/>
    <w:rsid w:val="00653774"/>
    <w:rsid w:val="00653BBC"/>
    <w:rsid w:val="00653E3F"/>
    <w:rsid w:val="0065426F"/>
    <w:rsid w:val="006543D5"/>
    <w:rsid w:val="006543DD"/>
    <w:rsid w:val="00654611"/>
    <w:rsid w:val="00654613"/>
    <w:rsid w:val="00654A55"/>
    <w:rsid w:val="00654D61"/>
    <w:rsid w:val="00654DE3"/>
    <w:rsid w:val="00655295"/>
    <w:rsid w:val="0065550F"/>
    <w:rsid w:val="00655827"/>
    <w:rsid w:val="00655F69"/>
    <w:rsid w:val="00656394"/>
    <w:rsid w:val="0065667B"/>
    <w:rsid w:val="00656BC1"/>
    <w:rsid w:val="00657444"/>
    <w:rsid w:val="006577C1"/>
    <w:rsid w:val="00657C3E"/>
    <w:rsid w:val="00657CCA"/>
    <w:rsid w:val="00657DD6"/>
    <w:rsid w:val="00660105"/>
    <w:rsid w:val="00660298"/>
    <w:rsid w:val="00660362"/>
    <w:rsid w:val="0066068A"/>
    <w:rsid w:val="0066077B"/>
    <w:rsid w:val="00660855"/>
    <w:rsid w:val="00660F4A"/>
    <w:rsid w:val="00661106"/>
    <w:rsid w:val="00661182"/>
    <w:rsid w:val="006611F2"/>
    <w:rsid w:val="0066125F"/>
    <w:rsid w:val="006612BC"/>
    <w:rsid w:val="00661559"/>
    <w:rsid w:val="0066178E"/>
    <w:rsid w:val="00661853"/>
    <w:rsid w:val="00661864"/>
    <w:rsid w:val="00661E55"/>
    <w:rsid w:val="00661FCD"/>
    <w:rsid w:val="0066275C"/>
    <w:rsid w:val="00662917"/>
    <w:rsid w:val="00662990"/>
    <w:rsid w:val="00662D28"/>
    <w:rsid w:val="00662F58"/>
    <w:rsid w:val="006631F4"/>
    <w:rsid w:val="006633D5"/>
    <w:rsid w:val="006634D3"/>
    <w:rsid w:val="0066355D"/>
    <w:rsid w:val="006635A9"/>
    <w:rsid w:val="006639E9"/>
    <w:rsid w:val="00663B64"/>
    <w:rsid w:val="00663D97"/>
    <w:rsid w:val="00663DAD"/>
    <w:rsid w:val="00663FAC"/>
    <w:rsid w:val="006640C0"/>
    <w:rsid w:val="006641C4"/>
    <w:rsid w:val="00664498"/>
    <w:rsid w:val="00664846"/>
    <w:rsid w:val="00664850"/>
    <w:rsid w:val="006648B8"/>
    <w:rsid w:val="00664984"/>
    <w:rsid w:val="00664A09"/>
    <w:rsid w:val="00664CDD"/>
    <w:rsid w:val="00664D22"/>
    <w:rsid w:val="00664E44"/>
    <w:rsid w:val="00664F45"/>
    <w:rsid w:val="00665378"/>
    <w:rsid w:val="006653D6"/>
    <w:rsid w:val="00665417"/>
    <w:rsid w:val="00665538"/>
    <w:rsid w:val="006656B4"/>
    <w:rsid w:val="006656D5"/>
    <w:rsid w:val="006657F2"/>
    <w:rsid w:val="006659FA"/>
    <w:rsid w:val="00665AC9"/>
    <w:rsid w:val="00665BE5"/>
    <w:rsid w:val="00665E5D"/>
    <w:rsid w:val="006666D8"/>
    <w:rsid w:val="00666A19"/>
    <w:rsid w:val="00666A88"/>
    <w:rsid w:val="00666B82"/>
    <w:rsid w:val="00666BBF"/>
    <w:rsid w:val="00666E19"/>
    <w:rsid w:val="00666E2A"/>
    <w:rsid w:val="0066716F"/>
    <w:rsid w:val="00667342"/>
    <w:rsid w:val="0066774D"/>
    <w:rsid w:val="00667794"/>
    <w:rsid w:val="006677B1"/>
    <w:rsid w:val="00667860"/>
    <w:rsid w:val="00667B8C"/>
    <w:rsid w:val="00667C1D"/>
    <w:rsid w:val="00667DC0"/>
    <w:rsid w:val="00667EDD"/>
    <w:rsid w:val="006703D3"/>
    <w:rsid w:val="00670B1F"/>
    <w:rsid w:val="00670B8C"/>
    <w:rsid w:val="00670B90"/>
    <w:rsid w:val="00671008"/>
    <w:rsid w:val="0067107A"/>
    <w:rsid w:val="006714A9"/>
    <w:rsid w:val="00671584"/>
    <w:rsid w:val="006719B5"/>
    <w:rsid w:val="00671B52"/>
    <w:rsid w:val="00671B61"/>
    <w:rsid w:val="00671C7D"/>
    <w:rsid w:val="00671D07"/>
    <w:rsid w:val="00671FD6"/>
    <w:rsid w:val="006720EA"/>
    <w:rsid w:val="006724AA"/>
    <w:rsid w:val="00672658"/>
    <w:rsid w:val="0067268B"/>
    <w:rsid w:val="0067298E"/>
    <w:rsid w:val="00672D59"/>
    <w:rsid w:val="00672E83"/>
    <w:rsid w:val="00672F13"/>
    <w:rsid w:val="00672FE3"/>
    <w:rsid w:val="00672FEF"/>
    <w:rsid w:val="006730C4"/>
    <w:rsid w:val="006732F4"/>
    <w:rsid w:val="00673408"/>
    <w:rsid w:val="0067344F"/>
    <w:rsid w:val="006735FC"/>
    <w:rsid w:val="00673739"/>
    <w:rsid w:val="00673806"/>
    <w:rsid w:val="0067396E"/>
    <w:rsid w:val="00673A50"/>
    <w:rsid w:val="00673ACE"/>
    <w:rsid w:val="00673B79"/>
    <w:rsid w:val="00673BCB"/>
    <w:rsid w:val="00673C66"/>
    <w:rsid w:val="00673D7F"/>
    <w:rsid w:val="00673EE5"/>
    <w:rsid w:val="00673F0D"/>
    <w:rsid w:val="00673FAA"/>
    <w:rsid w:val="00674007"/>
    <w:rsid w:val="00674086"/>
    <w:rsid w:val="00674920"/>
    <w:rsid w:val="00674CAA"/>
    <w:rsid w:val="00674F37"/>
    <w:rsid w:val="00674FB5"/>
    <w:rsid w:val="00674FC0"/>
    <w:rsid w:val="0067534A"/>
    <w:rsid w:val="00675471"/>
    <w:rsid w:val="00675489"/>
    <w:rsid w:val="0067591F"/>
    <w:rsid w:val="00675956"/>
    <w:rsid w:val="006759E6"/>
    <w:rsid w:val="00675BC7"/>
    <w:rsid w:val="00675C9C"/>
    <w:rsid w:val="00675CE9"/>
    <w:rsid w:val="00675D51"/>
    <w:rsid w:val="00676050"/>
    <w:rsid w:val="0067619E"/>
    <w:rsid w:val="006763FF"/>
    <w:rsid w:val="006765E4"/>
    <w:rsid w:val="006767D6"/>
    <w:rsid w:val="0067680A"/>
    <w:rsid w:val="006768A8"/>
    <w:rsid w:val="00676C53"/>
    <w:rsid w:val="006771E5"/>
    <w:rsid w:val="006774DA"/>
    <w:rsid w:val="0067751C"/>
    <w:rsid w:val="006779B4"/>
    <w:rsid w:val="00677CA1"/>
    <w:rsid w:val="00677D61"/>
    <w:rsid w:val="00677F61"/>
    <w:rsid w:val="00677F96"/>
    <w:rsid w:val="006801A4"/>
    <w:rsid w:val="0068058B"/>
    <w:rsid w:val="0068069B"/>
    <w:rsid w:val="0068073F"/>
    <w:rsid w:val="00680A0B"/>
    <w:rsid w:val="00680BC7"/>
    <w:rsid w:val="00680C08"/>
    <w:rsid w:val="00680CE8"/>
    <w:rsid w:val="00681030"/>
    <w:rsid w:val="006810B5"/>
    <w:rsid w:val="00681141"/>
    <w:rsid w:val="006811DA"/>
    <w:rsid w:val="00681363"/>
    <w:rsid w:val="00681368"/>
    <w:rsid w:val="00681412"/>
    <w:rsid w:val="0068160C"/>
    <w:rsid w:val="00681687"/>
    <w:rsid w:val="006817A1"/>
    <w:rsid w:val="00681903"/>
    <w:rsid w:val="00681A48"/>
    <w:rsid w:val="00681C24"/>
    <w:rsid w:val="00681C39"/>
    <w:rsid w:val="00681E95"/>
    <w:rsid w:val="006820EF"/>
    <w:rsid w:val="00682104"/>
    <w:rsid w:val="00682111"/>
    <w:rsid w:val="006822E5"/>
    <w:rsid w:val="006823ED"/>
    <w:rsid w:val="006825F9"/>
    <w:rsid w:val="0068286D"/>
    <w:rsid w:val="00682C01"/>
    <w:rsid w:val="00682F64"/>
    <w:rsid w:val="00683424"/>
    <w:rsid w:val="006835E2"/>
    <w:rsid w:val="00683881"/>
    <w:rsid w:val="00683A22"/>
    <w:rsid w:val="00683C3E"/>
    <w:rsid w:val="00683DA1"/>
    <w:rsid w:val="00683DDE"/>
    <w:rsid w:val="00683FF8"/>
    <w:rsid w:val="0068400B"/>
    <w:rsid w:val="00684043"/>
    <w:rsid w:val="006840C2"/>
    <w:rsid w:val="006843B4"/>
    <w:rsid w:val="00684456"/>
    <w:rsid w:val="0068447A"/>
    <w:rsid w:val="00684490"/>
    <w:rsid w:val="00684A32"/>
    <w:rsid w:val="00684B41"/>
    <w:rsid w:val="00684B9E"/>
    <w:rsid w:val="00684BBC"/>
    <w:rsid w:val="00684F07"/>
    <w:rsid w:val="00685064"/>
    <w:rsid w:val="006851A7"/>
    <w:rsid w:val="0068521D"/>
    <w:rsid w:val="006852A0"/>
    <w:rsid w:val="006857C5"/>
    <w:rsid w:val="00685903"/>
    <w:rsid w:val="00685D7A"/>
    <w:rsid w:val="00686022"/>
    <w:rsid w:val="006860CD"/>
    <w:rsid w:val="006863B9"/>
    <w:rsid w:val="0068667B"/>
    <w:rsid w:val="00686927"/>
    <w:rsid w:val="00686A17"/>
    <w:rsid w:val="00686D52"/>
    <w:rsid w:val="00686E72"/>
    <w:rsid w:val="006872D1"/>
    <w:rsid w:val="006872E7"/>
    <w:rsid w:val="006873DC"/>
    <w:rsid w:val="0068751E"/>
    <w:rsid w:val="0068773C"/>
    <w:rsid w:val="00687A54"/>
    <w:rsid w:val="00687DBE"/>
    <w:rsid w:val="006901B7"/>
    <w:rsid w:val="00690219"/>
    <w:rsid w:val="006906CF"/>
    <w:rsid w:val="006907D7"/>
    <w:rsid w:val="006908AB"/>
    <w:rsid w:val="00690C48"/>
    <w:rsid w:val="00691064"/>
    <w:rsid w:val="0069116A"/>
    <w:rsid w:val="00691329"/>
    <w:rsid w:val="00691874"/>
    <w:rsid w:val="00691A70"/>
    <w:rsid w:val="00691B71"/>
    <w:rsid w:val="00691CF3"/>
    <w:rsid w:val="00691CFD"/>
    <w:rsid w:val="00691D4D"/>
    <w:rsid w:val="00691F64"/>
    <w:rsid w:val="00692095"/>
    <w:rsid w:val="0069209A"/>
    <w:rsid w:val="00692130"/>
    <w:rsid w:val="006921D1"/>
    <w:rsid w:val="006921D3"/>
    <w:rsid w:val="006922DB"/>
    <w:rsid w:val="00692406"/>
    <w:rsid w:val="0069248F"/>
    <w:rsid w:val="00692622"/>
    <w:rsid w:val="00692722"/>
    <w:rsid w:val="0069272B"/>
    <w:rsid w:val="00692A67"/>
    <w:rsid w:val="00692D8F"/>
    <w:rsid w:val="00692E2A"/>
    <w:rsid w:val="00692EA8"/>
    <w:rsid w:val="00693039"/>
    <w:rsid w:val="0069326A"/>
    <w:rsid w:val="006932C9"/>
    <w:rsid w:val="0069331C"/>
    <w:rsid w:val="0069373B"/>
    <w:rsid w:val="00693746"/>
    <w:rsid w:val="006937EB"/>
    <w:rsid w:val="006940EC"/>
    <w:rsid w:val="00694212"/>
    <w:rsid w:val="006942C7"/>
    <w:rsid w:val="00694487"/>
    <w:rsid w:val="006949F5"/>
    <w:rsid w:val="00694A21"/>
    <w:rsid w:val="00694FAC"/>
    <w:rsid w:val="00695163"/>
    <w:rsid w:val="0069540C"/>
    <w:rsid w:val="00695444"/>
    <w:rsid w:val="006954BC"/>
    <w:rsid w:val="0069572F"/>
    <w:rsid w:val="006957E1"/>
    <w:rsid w:val="0069593D"/>
    <w:rsid w:val="00695A2B"/>
    <w:rsid w:val="00695ADC"/>
    <w:rsid w:val="00695C33"/>
    <w:rsid w:val="00695E53"/>
    <w:rsid w:val="0069600A"/>
    <w:rsid w:val="0069670B"/>
    <w:rsid w:val="00696A5A"/>
    <w:rsid w:val="00696A96"/>
    <w:rsid w:val="00696D4B"/>
    <w:rsid w:val="00697424"/>
    <w:rsid w:val="00697929"/>
    <w:rsid w:val="00697B2B"/>
    <w:rsid w:val="00697E2C"/>
    <w:rsid w:val="00697FE7"/>
    <w:rsid w:val="00697FFC"/>
    <w:rsid w:val="006A01FB"/>
    <w:rsid w:val="006A02F6"/>
    <w:rsid w:val="006A0380"/>
    <w:rsid w:val="006A04B2"/>
    <w:rsid w:val="006A05DC"/>
    <w:rsid w:val="006A05E1"/>
    <w:rsid w:val="006A0866"/>
    <w:rsid w:val="006A09EA"/>
    <w:rsid w:val="006A0A0B"/>
    <w:rsid w:val="006A0A68"/>
    <w:rsid w:val="006A0D0C"/>
    <w:rsid w:val="006A0D7D"/>
    <w:rsid w:val="006A0F2B"/>
    <w:rsid w:val="006A0F38"/>
    <w:rsid w:val="006A101C"/>
    <w:rsid w:val="006A1056"/>
    <w:rsid w:val="006A1339"/>
    <w:rsid w:val="006A14BE"/>
    <w:rsid w:val="006A172B"/>
    <w:rsid w:val="006A1A97"/>
    <w:rsid w:val="006A1B59"/>
    <w:rsid w:val="006A1B9F"/>
    <w:rsid w:val="006A1BA2"/>
    <w:rsid w:val="006A1D5A"/>
    <w:rsid w:val="006A1EC8"/>
    <w:rsid w:val="006A1F33"/>
    <w:rsid w:val="006A2222"/>
    <w:rsid w:val="006A2262"/>
    <w:rsid w:val="006A231E"/>
    <w:rsid w:val="006A242E"/>
    <w:rsid w:val="006A269C"/>
    <w:rsid w:val="006A26AD"/>
    <w:rsid w:val="006A28F7"/>
    <w:rsid w:val="006A2A5C"/>
    <w:rsid w:val="006A2BA1"/>
    <w:rsid w:val="006A2F9B"/>
    <w:rsid w:val="006A2F9E"/>
    <w:rsid w:val="006A3055"/>
    <w:rsid w:val="006A3057"/>
    <w:rsid w:val="006A3088"/>
    <w:rsid w:val="006A311E"/>
    <w:rsid w:val="006A349D"/>
    <w:rsid w:val="006A3607"/>
    <w:rsid w:val="006A373B"/>
    <w:rsid w:val="006A39F0"/>
    <w:rsid w:val="006A3A9A"/>
    <w:rsid w:val="006A3AF8"/>
    <w:rsid w:val="006A3AFD"/>
    <w:rsid w:val="006A3BAE"/>
    <w:rsid w:val="006A3DE4"/>
    <w:rsid w:val="006A3F48"/>
    <w:rsid w:val="006A4040"/>
    <w:rsid w:val="006A41D9"/>
    <w:rsid w:val="006A41F2"/>
    <w:rsid w:val="006A4324"/>
    <w:rsid w:val="006A45B7"/>
    <w:rsid w:val="006A4761"/>
    <w:rsid w:val="006A488A"/>
    <w:rsid w:val="006A48CC"/>
    <w:rsid w:val="006A49A2"/>
    <w:rsid w:val="006A5073"/>
    <w:rsid w:val="006A5340"/>
    <w:rsid w:val="006A53D8"/>
    <w:rsid w:val="006A55E9"/>
    <w:rsid w:val="006A5771"/>
    <w:rsid w:val="006A58CC"/>
    <w:rsid w:val="006A5A78"/>
    <w:rsid w:val="006A5EE4"/>
    <w:rsid w:val="006A608F"/>
    <w:rsid w:val="006A61E3"/>
    <w:rsid w:val="006A6483"/>
    <w:rsid w:val="006A6679"/>
    <w:rsid w:val="006A6809"/>
    <w:rsid w:val="006A681E"/>
    <w:rsid w:val="006A6B58"/>
    <w:rsid w:val="006A6CF5"/>
    <w:rsid w:val="006A7240"/>
    <w:rsid w:val="006A74D5"/>
    <w:rsid w:val="006A74FC"/>
    <w:rsid w:val="006A762E"/>
    <w:rsid w:val="006A7B63"/>
    <w:rsid w:val="006A7E3A"/>
    <w:rsid w:val="006A7E53"/>
    <w:rsid w:val="006A7F0D"/>
    <w:rsid w:val="006A7FF3"/>
    <w:rsid w:val="006B0757"/>
    <w:rsid w:val="006B0847"/>
    <w:rsid w:val="006B09C9"/>
    <w:rsid w:val="006B0A2D"/>
    <w:rsid w:val="006B0EBF"/>
    <w:rsid w:val="006B0EDF"/>
    <w:rsid w:val="006B1323"/>
    <w:rsid w:val="006B1634"/>
    <w:rsid w:val="006B17A3"/>
    <w:rsid w:val="006B1D90"/>
    <w:rsid w:val="006B217A"/>
    <w:rsid w:val="006B2AA0"/>
    <w:rsid w:val="006B2EC5"/>
    <w:rsid w:val="006B351A"/>
    <w:rsid w:val="006B38CB"/>
    <w:rsid w:val="006B3A5F"/>
    <w:rsid w:val="006B3C36"/>
    <w:rsid w:val="006B3F43"/>
    <w:rsid w:val="006B41C8"/>
    <w:rsid w:val="006B42A0"/>
    <w:rsid w:val="006B43D1"/>
    <w:rsid w:val="006B43DD"/>
    <w:rsid w:val="006B46DF"/>
    <w:rsid w:val="006B4951"/>
    <w:rsid w:val="006B4A05"/>
    <w:rsid w:val="006B4A0A"/>
    <w:rsid w:val="006B4B26"/>
    <w:rsid w:val="006B4B61"/>
    <w:rsid w:val="006B4DDB"/>
    <w:rsid w:val="006B4E44"/>
    <w:rsid w:val="006B5102"/>
    <w:rsid w:val="006B5116"/>
    <w:rsid w:val="006B52CA"/>
    <w:rsid w:val="006B5679"/>
    <w:rsid w:val="006B57DC"/>
    <w:rsid w:val="006B5A93"/>
    <w:rsid w:val="006B5BA8"/>
    <w:rsid w:val="006B5C5E"/>
    <w:rsid w:val="006B61E0"/>
    <w:rsid w:val="006B63DE"/>
    <w:rsid w:val="006B6566"/>
    <w:rsid w:val="006B666E"/>
    <w:rsid w:val="006B674B"/>
    <w:rsid w:val="006B687E"/>
    <w:rsid w:val="006B6A5F"/>
    <w:rsid w:val="006B6BFD"/>
    <w:rsid w:val="006B6C11"/>
    <w:rsid w:val="006B6D46"/>
    <w:rsid w:val="006B6FC2"/>
    <w:rsid w:val="006B7422"/>
    <w:rsid w:val="006B751B"/>
    <w:rsid w:val="006B753D"/>
    <w:rsid w:val="006B7796"/>
    <w:rsid w:val="006B7952"/>
    <w:rsid w:val="006B7A63"/>
    <w:rsid w:val="006B7D42"/>
    <w:rsid w:val="006B7EDE"/>
    <w:rsid w:val="006C003F"/>
    <w:rsid w:val="006C01CA"/>
    <w:rsid w:val="006C03AF"/>
    <w:rsid w:val="006C069E"/>
    <w:rsid w:val="006C06D2"/>
    <w:rsid w:val="006C07E7"/>
    <w:rsid w:val="006C08A3"/>
    <w:rsid w:val="006C0A1E"/>
    <w:rsid w:val="006C0AE8"/>
    <w:rsid w:val="006C0B74"/>
    <w:rsid w:val="006C0CA7"/>
    <w:rsid w:val="006C0E48"/>
    <w:rsid w:val="006C0E61"/>
    <w:rsid w:val="006C102F"/>
    <w:rsid w:val="006C1039"/>
    <w:rsid w:val="006C10F2"/>
    <w:rsid w:val="006C11E5"/>
    <w:rsid w:val="006C12F2"/>
    <w:rsid w:val="006C1524"/>
    <w:rsid w:val="006C166C"/>
    <w:rsid w:val="006C1843"/>
    <w:rsid w:val="006C18CB"/>
    <w:rsid w:val="006C1975"/>
    <w:rsid w:val="006C1A57"/>
    <w:rsid w:val="006C1ACF"/>
    <w:rsid w:val="006C1F49"/>
    <w:rsid w:val="006C1F8F"/>
    <w:rsid w:val="006C1F97"/>
    <w:rsid w:val="006C218C"/>
    <w:rsid w:val="006C2719"/>
    <w:rsid w:val="006C28C8"/>
    <w:rsid w:val="006C2F1F"/>
    <w:rsid w:val="006C31D1"/>
    <w:rsid w:val="006C337D"/>
    <w:rsid w:val="006C33B6"/>
    <w:rsid w:val="006C34F3"/>
    <w:rsid w:val="006C3756"/>
    <w:rsid w:val="006C37FB"/>
    <w:rsid w:val="006C3C37"/>
    <w:rsid w:val="006C3FF7"/>
    <w:rsid w:val="006C418C"/>
    <w:rsid w:val="006C4318"/>
    <w:rsid w:val="006C4579"/>
    <w:rsid w:val="006C45B3"/>
    <w:rsid w:val="006C4B2A"/>
    <w:rsid w:val="006C4F95"/>
    <w:rsid w:val="006C4FD8"/>
    <w:rsid w:val="006C5560"/>
    <w:rsid w:val="006C57ED"/>
    <w:rsid w:val="006C57F9"/>
    <w:rsid w:val="006C5857"/>
    <w:rsid w:val="006C58D8"/>
    <w:rsid w:val="006C5984"/>
    <w:rsid w:val="006C5B53"/>
    <w:rsid w:val="006C5BA4"/>
    <w:rsid w:val="006C5C35"/>
    <w:rsid w:val="006C5CE6"/>
    <w:rsid w:val="006C5CF1"/>
    <w:rsid w:val="006C5D4A"/>
    <w:rsid w:val="006C5EDE"/>
    <w:rsid w:val="006C5EF9"/>
    <w:rsid w:val="006C6026"/>
    <w:rsid w:val="006C66ED"/>
    <w:rsid w:val="006C683A"/>
    <w:rsid w:val="006C6988"/>
    <w:rsid w:val="006C6995"/>
    <w:rsid w:val="006C6ADD"/>
    <w:rsid w:val="006C6C54"/>
    <w:rsid w:val="006C6D44"/>
    <w:rsid w:val="006C6D9F"/>
    <w:rsid w:val="006C6DD0"/>
    <w:rsid w:val="006C6E39"/>
    <w:rsid w:val="006C70A5"/>
    <w:rsid w:val="006C713C"/>
    <w:rsid w:val="006C7292"/>
    <w:rsid w:val="006C756E"/>
    <w:rsid w:val="006C76B7"/>
    <w:rsid w:val="006C78AD"/>
    <w:rsid w:val="006C78F6"/>
    <w:rsid w:val="006C7BDF"/>
    <w:rsid w:val="006C7FA4"/>
    <w:rsid w:val="006D0348"/>
    <w:rsid w:val="006D0509"/>
    <w:rsid w:val="006D099E"/>
    <w:rsid w:val="006D0E6B"/>
    <w:rsid w:val="006D0FB3"/>
    <w:rsid w:val="006D127A"/>
    <w:rsid w:val="006D12C4"/>
    <w:rsid w:val="006D194B"/>
    <w:rsid w:val="006D1AC8"/>
    <w:rsid w:val="006D1BB5"/>
    <w:rsid w:val="006D1C55"/>
    <w:rsid w:val="006D1D10"/>
    <w:rsid w:val="006D208E"/>
    <w:rsid w:val="006D29A2"/>
    <w:rsid w:val="006D2CF9"/>
    <w:rsid w:val="006D2D87"/>
    <w:rsid w:val="006D310C"/>
    <w:rsid w:val="006D344C"/>
    <w:rsid w:val="006D389A"/>
    <w:rsid w:val="006D3917"/>
    <w:rsid w:val="006D3BFF"/>
    <w:rsid w:val="006D3C6D"/>
    <w:rsid w:val="006D3EE2"/>
    <w:rsid w:val="006D3FFE"/>
    <w:rsid w:val="006D4209"/>
    <w:rsid w:val="006D43C1"/>
    <w:rsid w:val="006D44E2"/>
    <w:rsid w:val="006D4715"/>
    <w:rsid w:val="006D474A"/>
    <w:rsid w:val="006D48AE"/>
    <w:rsid w:val="006D4A5B"/>
    <w:rsid w:val="006D5164"/>
    <w:rsid w:val="006D5381"/>
    <w:rsid w:val="006D54DC"/>
    <w:rsid w:val="006D596B"/>
    <w:rsid w:val="006D5CB0"/>
    <w:rsid w:val="006D6065"/>
    <w:rsid w:val="006D634B"/>
    <w:rsid w:val="006D6ABA"/>
    <w:rsid w:val="006D6B39"/>
    <w:rsid w:val="006D6CF7"/>
    <w:rsid w:val="006D757D"/>
    <w:rsid w:val="006D777F"/>
    <w:rsid w:val="006D783B"/>
    <w:rsid w:val="006D7B2D"/>
    <w:rsid w:val="006D7BD3"/>
    <w:rsid w:val="006D7D96"/>
    <w:rsid w:val="006D7DB4"/>
    <w:rsid w:val="006D7DD1"/>
    <w:rsid w:val="006E0079"/>
    <w:rsid w:val="006E01B9"/>
    <w:rsid w:val="006E0411"/>
    <w:rsid w:val="006E04E3"/>
    <w:rsid w:val="006E05DF"/>
    <w:rsid w:val="006E0654"/>
    <w:rsid w:val="006E0895"/>
    <w:rsid w:val="006E0B08"/>
    <w:rsid w:val="006E0B76"/>
    <w:rsid w:val="006E0CD3"/>
    <w:rsid w:val="006E10F3"/>
    <w:rsid w:val="006E121F"/>
    <w:rsid w:val="006E1341"/>
    <w:rsid w:val="006E15BC"/>
    <w:rsid w:val="006E15F1"/>
    <w:rsid w:val="006E16FE"/>
    <w:rsid w:val="006E17E4"/>
    <w:rsid w:val="006E17F7"/>
    <w:rsid w:val="006E1EBE"/>
    <w:rsid w:val="006E2108"/>
    <w:rsid w:val="006E21B0"/>
    <w:rsid w:val="006E2363"/>
    <w:rsid w:val="006E23B4"/>
    <w:rsid w:val="006E23FD"/>
    <w:rsid w:val="006E2585"/>
    <w:rsid w:val="006E2755"/>
    <w:rsid w:val="006E2BE4"/>
    <w:rsid w:val="006E2DF3"/>
    <w:rsid w:val="006E321E"/>
    <w:rsid w:val="006E32B6"/>
    <w:rsid w:val="006E3310"/>
    <w:rsid w:val="006E3403"/>
    <w:rsid w:val="006E36DD"/>
    <w:rsid w:val="006E3702"/>
    <w:rsid w:val="006E37A7"/>
    <w:rsid w:val="006E37E1"/>
    <w:rsid w:val="006E3BE7"/>
    <w:rsid w:val="006E3C3D"/>
    <w:rsid w:val="006E3CF2"/>
    <w:rsid w:val="006E3E64"/>
    <w:rsid w:val="006E3F96"/>
    <w:rsid w:val="006E4321"/>
    <w:rsid w:val="006E44C4"/>
    <w:rsid w:val="006E4523"/>
    <w:rsid w:val="006E4641"/>
    <w:rsid w:val="006E4A62"/>
    <w:rsid w:val="006E4A6F"/>
    <w:rsid w:val="006E4BB0"/>
    <w:rsid w:val="006E4C37"/>
    <w:rsid w:val="006E4CB1"/>
    <w:rsid w:val="006E4E4F"/>
    <w:rsid w:val="006E4F3B"/>
    <w:rsid w:val="006E4F56"/>
    <w:rsid w:val="006E5260"/>
    <w:rsid w:val="006E559F"/>
    <w:rsid w:val="006E5647"/>
    <w:rsid w:val="006E5656"/>
    <w:rsid w:val="006E5794"/>
    <w:rsid w:val="006E595B"/>
    <w:rsid w:val="006E59B4"/>
    <w:rsid w:val="006E5C45"/>
    <w:rsid w:val="006E5C89"/>
    <w:rsid w:val="006E5CBD"/>
    <w:rsid w:val="006E5CFF"/>
    <w:rsid w:val="006E5F06"/>
    <w:rsid w:val="006E5F67"/>
    <w:rsid w:val="006E5FBD"/>
    <w:rsid w:val="006E6253"/>
    <w:rsid w:val="006E6276"/>
    <w:rsid w:val="006E68E3"/>
    <w:rsid w:val="006E6AF4"/>
    <w:rsid w:val="006E6C5C"/>
    <w:rsid w:val="006E6CD9"/>
    <w:rsid w:val="006E7221"/>
    <w:rsid w:val="006E72C2"/>
    <w:rsid w:val="006E73C4"/>
    <w:rsid w:val="006E759B"/>
    <w:rsid w:val="006E76DE"/>
    <w:rsid w:val="006E77EB"/>
    <w:rsid w:val="006E7A78"/>
    <w:rsid w:val="006E7B30"/>
    <w:rsid w:val="006E7C6B"/>
    <w:rsid w:val="006E7C7F"/>
    <w:rsid w:val="006E7CE4"/>
    <w:rsid w:val="006E7F13"/>
    <w:rsid w:val="006F0007"/>
    <w:rsid w:val="006F0048"/>
    <w:rsid w:val="006F0087"/>
    <w:rsid w:val="006F0236"/>
    <w:rsid w:val="006F04E5"/>
    <w:rsid w:val="006F0900"/>
    <w:rsid w:val="006F0A6D"/>
    <w:rsid w:val="006F11B9"/>
    <w:rsid w:val="006F1307"/>
    <w:rsid w:val="006F18C5"/>
    <w:rsid w:val="006F1AAE"/>
    <w:rsid w:val="006F1CD2"/>
    <w:rsid w:val="006F1CEB"/>
    <w:rsid w:val="006F1D17"/>
    <w:rsid w:val="006F1DF9"/>
    <w:rsid w:val="006F1F98"/>
    <w:rsid w:val="006F2153"/>
    <w:rsid w:val="006F224E"/>
    <w:rsid w:val="006F267C"/>
    <w:rsid w:val="006F26DC"/>
    <w:rsid w:val="006F2738"/>
    <w:rsid w:val="006F297A"/>
    <w:rsid w:val="006F2A47"/>
    <w:rsid w:val="006F2C87"/>
    <w:rsid w:val="006F30F9"/>
    <w:rsid w:val="006F3380"/>
    <w:rsid w:val="006F39C1"/>
    <w:rsid w:val="006F3B58"/>
    <w:rsid w:val="006F3B93"/>
    <w:rsid w:val="006F3BAC"/>
    <w:rsid w:val="006F3CCB"/>
    <w:rsid w:val="006F3CE5"/>
    <w:rsid w:val="006F3D95"/>
    <w:rsid w:val="006F3E35"/>
    <w:rsid w:val="006F41FC"/>
    <w:rsid w:val="006F437A"/>
    <w:rsid w:val="006F43C9"/>
    <w:rsid w:val="006F469F"/>
    <w:rsid w:val="006F4715"/>
    <w:rsid w:val="006F47AC"/>
    <w:rsid w:val="006F4939"/>
    <w:rsid w:val="006F4AAC"/>
    <w:rsid w:val="006F4B50"/>
    <w:rsid w:val="006F52AB"/>
    <w:rsid w:val="006F5446"/>
    <w:rsid w:val="006F54B4"/>
    <w:rsid w:val="006F54BB"/>
    <w:rsid w:val="006F54E7"/>
    <w:rsid w:val="006F566A"/>
    <w:rsid w:val="006F5856"/>
    <w:rsid w:val="006F5875"/>
    <w:rsid w:val="006F5894"/>
    <w:rsid w:val="006F6082"/>
    <w:rsid w:val="006F614A"/>
    <w:rsid w:val="006F61C9"/>
    <w:rsid w:val="006F6203"/>
    <w:rsid w:val="006F6225"/>
    <w:rsid w:val="006F6407"/>
    <w:rsid w:val="006F655D"/>
    <w:rsid w:val="006F6818"/>
    <w:rsid w:val="006F6B04"/>
    <w:rsid w:val="006F6C36"/>
    <w:rsid w:val="006F6E57"/>
    <w:rsid w:val="006F6FF5"/>
    <w:rsid w:val="006F71A4"/>
    <w:rsid w:val="006F73FA"/>
    <w:rsid w:val="006F7619"/>
    <w:rsid w:val="006F7B47"/>
    <w:rsid w:val="006F7C2F"/>
    <w:rsid w:val="006F7CA9"/>
    <w:rsid w:val="006FFD51"/>
    <w:rsid w:val="007000F9"/>
    <w:rsid w:val="0070018D"/>
    <w:rsid w:val="007006AB"/>
    <w:rsid w:val="00700A22"/>
    <w:rsid w:val="00700E66"/>
    <w:rsid w:val="00700F7E"/>
    <w:rsid w:val="007012FF"/>
    <w:rsid w:val="007013F3"/>
    <w:rsid w:val="0070158A"/>
    <w:rsid w:val="007015C0"/>
    <w:rsid w:val="00701AB3"/>
    <w:rsid w:val="00701EFC"/>
    <w:rsid w:val="00701F68"/>
    <w:rsid w:val="0070210C"/>
    <w:rsid w:val="00702217"/>
    <w:rsid w:val="0070230A"/>
    <w:rsid w:val="00702463"/>
    <w:rsid w:val="007024DC"/>
    <w:rsid w:val="00702872"/>
    <w:rsid w:val="00702DFA"/>
    <w:rsid w:val="00702E2C"/>
    <w:rsid w:val="00702EE8"/>
    <w:rsid w:val="007032F7"/>
    <w:rsid w:val="00703654"/>
    <w:rsid w:val="007036F8"/>
    <w:rsid w:val="007037EF"/>
    <w:rsid w:val="00703A7E"/>
    <w:rsid w:val="00703BB9"/>
    <w:rsid w:val="00703C81"/>
    <w:rsid w:val="00703D11"/>
    <w:rsid w:val="00703E6A"/>
    <w:rsid w:val="00703FE1"/>
    <w:rsid w:val="00704042"/>
    <w:rsid w:val="0070407B"/>
    <w:rsid w:val="007041D8"/>
    <w:rsid w:val="0070424A"/>
    <w:rsid w:val="00704426"/>
    <w:rsid w:val="00704464"/>
    <w:rsid w:val="007044CD"/>
    <w:rsid w:val="0070459A"/>
    <w:rsid w:val="00704623"/>
    <w:rsid w:val="00704B96"/>
    <w:rsid w:val="00704BD5"/>
    <w:rsid w:val="00705764"/>
    <w:rsid w:val="007057B0"/>
    <w:rsid w:val="00705AA9"/>
    <w:rsid w:val="00705B23"/>
    <w:rsid w:val="007065ED"/>
    <w:rsid w:val="007068BC"/>
    <w:rsid w:val="00706C0D"/>
    <w:rsid w:val="00707272"/>
    <w:rsid w:val="00707357"/>
    <w:rsid w:val="007075BF"/>
    <w:rsid w:val="00707645"/>
    <w:rsid w:val="007078B5"/>
    <w:rsid w:val="00707AF0"/>
    <w:rsid w:val="00707BA6"/>
    <w:rsid w:val="00707F61"/>
    <w:rsid w:val="00707F6C"/>
    <w:rsid w:val="00710255"/>
    <w:rsid w:val="007102C2"/>
    <w:rsid w:val="007106BC"/>
    <w:rsid w:val="007107BF"/>
    <w:rsid w:val="0071084B"/>
    <w:rsid w:val="00710AF7"/>
    <w:rsid w:val="00710C8F"/>
    <w:rsid w:val="00711063"/>
    <w:rsid w:val="007112EB"/>
    <w:rsid w:val="007114E0"/>
    <w:rsid w:val="00711791"/>
    <w:rsid w:val="007118DB"/>
    <w:rsid w:val="00711942"/>
    <w:rsid w:val="00711A2E"/>
    <w:rsid w:val="00711A3F"/>
    <w:rsid w:val="00711BE2"/>
    <w:rsid w:val="00711C2D"/>
    <w:rsid w:val="00711DC4"/>
    <w:rsid w:val="00711E11"/>
    <w:rsid w:val="00711FC7"/>
    <w:rsid w:val="007121A1"/>
    <w:rsid w:val="007121A3"/>
    <w:rsid w:val="00712491"/>
    <w:rsid w:val="007124FE"/>
    <w:rsid w:val="00712644"/>
    <w:rsid w:val="00712906"/>
    <w:rsid w:val="00712DB8"/>
    <w:rsid w:val="00712E89"/>
    <w:rsid w:val="0071308D"/>
    <w:rsid w:val="007130D0"/>
    <w:rsid w:val="00713448"/>
    <w:rsid w:val="00713B9A"/>
    <w:rsid w:val="00713E05"/>
    <w:rsid w:val="00714134"/>
    <w:rsid w:val="00714527"/>
    <w:rsid w:val="00714B68"/>
    <w:rsid w:val="00714CEA"/>
    <w:rsid w:val="00715098"/>
    <w:rsid w:val="007150CE"/>
    <w:rsid w:val="00715162"/>
    <w:rsid w:val="007151EA"/>
    <w:rsid w:val="00715223"/>
    <w:rsid w:val="00715876"/>
    <w:rsid w:val="00715BFB"/>
    <w:rsid w:val="007161FC"/>
    <w:rsid w:val="007162E6"/>
    <w:rsid w:val="0071650A"/>
    <w:rsid w:val="007168A8"/>
    <w:rsid w:val="00716ADA"/>
    <w:rsid w:val="00716C3F"/>
    <w:rsid w:val="00716D74"/>
    <w:rsid w:val="00716E8E"/>
    <w:rsid w:val="00716F4F"/>
    <w:rsid w:val="00716F9F"/>
    <w:rsid w:val="00717071"/>
    <w:rsid w:val="007170FE"/>
    <w:rsid w:val="00717460"/>
    <w:rsid w:val="00717786"/>
    <w:rsid w:val="007179EF"/>
    <w:rsid w:val="00717A42"/>
    <w:rsid w:val="00717B66"/>
    <w:rsid w:val="00717C57"/>
    <w:rsid w:val="00720033"/>
    <w:rsid w:val="007205FF"/>
    <w:rsid w:val="00720768"/>
    <w:rsid w:val="00720851"/>
    <w:rsid w:val="0072090F"/>
    <w:rsid w:val="00720966"/>
    <w:rsid w:val="00720CE9"/>
    <w:rsid w:val="00720DEA"/>
    <w:rsid w:val="00720EAD"/>
    <w:rsid w:val="00720FBB"/>
    <w:rsid w:val="00720FF8"/>
    <w:rsid w:val="007215D5"/>
    <w:rsid w:val="00721895"/>
    <w:rsid w:val="00721974"/>
    <w:rsid w:val="00721AFE"/>
    <w:rsid w:val="00721E9E"/>
    <w:rsid w:val="007221FD"/>
    <w:rsid w:val="0072265E"/>
    <w:rsid w:val="00722716"/>
    <w:rsid w:val="007229DC"/>
    <w:rsid w:val="00722B08"/>
    <w:rsid w:val="00722C51"/>
    <w:rsid w:val="00723066"/>
    <w:rsid w:val="0072308C"/>
    <w:rsid w:val="007232DC"/>
    <w:rsid w:val="0072348C"/>
    <w:rsid w:val="007234FB"/>
    <w:rsid w:val="00723748"/>
    <w:rsid w:val="00723852"/>
    <w:rsid w:val="00723A14"/>
    <w:rsid w:val="00723A59"/>
    <w:rsid w:val="00723E26"/>
    <w:rsid w:val="00723E29"/>
    <w:rsid w:val="00723FC3"/>
    <w:rsid w:val="00724194"/>
    <w:rsid w:val="00724414"/>
    <w:rsid w:val="00724556"/>
    <w:rsid w:val="00724E14"/>
    <w:rsid w:val="00725197"/>
    <w:rsid w:val="00725579"/>
    <w:rsid w:val="007257AA"/>
    <w:rsid w:val="007257FB"/>
    <w:rsid w:val="00725A2A"/>
    <w:rsid w:val="0072617C"/>
    <w:rsid w:val="0072626C"/>
    <w:rsid w:val="007263D8"/>
    <w:rsid w:val="0072651A"/>
    <w:rsid w:val="007267E7"/>
    <w:rsid w:val="00726BA4"/>
    <w:rsid w:val="00726BF1"/>
    <w:rsid w:val="00726C06"/>
    <w:rsid w:val="00726C6D"/>
    <w:rsid w:val="00726CA1"/>
    <w:rsid w:val="00726D25"/>
    <w:rsid w:val="00726E80"/>
    <w:rsid w:val="00726EC1"/>
    <w:rsid w:val="007271DC"/>
    <w:rsid w:val="00727243"/>
    <w:rsid w:val="007272F4"/>
    <w:rsid w:val="0072737D"/>
    <w:rsid w:val="00727520"/>
    <w:rsid w:val="00727EEC"/>
    <w:rsid w:val="0073029A"/>
    <w:rsid w:val="007302B1"/>
    <w:rsid w:val="00730779"/>
    <w:rsid w:val="0073099D"/>
    <w:rsid w:val="00730CE5"/>
    <w:rsid w:val="00730F27"/>
    <w:rsid w:val="00731172"/>
    <w:rsid w:val="0073123C"/>
    <w:rsid w:val="0073129A"/>
    <w:rsid w:val="00731334"/>
    <w:rsid w:val="0073183B"/>
    <w:rsid w:val="007319D0"/>
    <w:rsid w:val="00731D20"/>
    <w:rsid w:val="00731DB5"/>
    <w:rsid w:val="00731E9A"/>
    <w:rsid w:val="0073210E"/>
    <w:rsid w:val="00732365"/>
    <w:rsid w:val="007323A1"/>
    <w:rsid w:val="007327A1"/>
    <w:rsid w:val="00732A78"/>
    <w:rsid w:val="00732B65"/>
    <w:rsid w:val="00732BC7"/>
    <w:rsid w:val="00733094"/>
    <w:rsid w:val="00733191"/>
    <w:rsid w:val="007331A1"/>
    <w:rsid w:val="00733385"/>
    <w:rsid w:val="00733425"/>
    <w:rsid w:val="00733F3E"/>
    <w:rsid w:val="00734038"/>
    <w:rsid w:val="0073454A"/>
    <w:rsid w:val="00734850"/>
    <w:rsid w:val="00734C17"/>
    <w:rsid w:val="00734DD0"/>
    <w:rsid w:val="00734ED6"/>
    <w:rsid w:val="00734FAA"/>
    <w:rsid w:val="00735107"/>
    <w:rsid w:val="007354C3"/>
    <w:rsid w:val="007355A4"/>
    <w:rsid w:val="007359A6"/>
    <w:rsid w:val="00735A73"/>
    <w:rsid w:val="00735CF8"/>
    <w:rsid w:val="00735FE8"/>
    <w:rsid w:val="00736135"/>
    <w:rsid w:val="007363BA"/>
    <w:rsid w:val="0073664A"/>
    <w:rsid w:val="00736794"/>
    <w:rsid w:val="00736966"/>
    <w:rsid w:val="00736C3C"/>
    <w:rsid w:val="00736EF0"/>
    <w:rsid w:val="00736F5B"/>
    <w:rsid w:val="007370C1"/>
    <w:rsid w:val="0073710E"/>
    <w:rsid w:val="0073723E"/>
    <w:rsid w:val="007372C2"/>
    <w:rsid w:val="007378AE"/>
    <w:rsid w:val="00737989"/>
    <w:rsid w:val="00737AD2"/>
    <w:rsid w:val="00737BC7"/>
    <w:rsid w:val="00737D75"/>
    <w:rsid w:val="00737E7C"/>
    <w:rsid w:val="00737F41"/>
    <w:rsid w:val="0074036C"/>
    <w:rsid w:val="00740564"/>
    <w:rsid w:val="00740740"/>
    <w:rsid w:val="00740B7B"/>
    <w:rsid w:val="00740C37"/>
    <w:rsid w:val="00740D96"/>
    <w:rsid w:val="00740DD0"/>
    <w:rsid w:val="00740DFA"/>
    <w:rsid w:val="00740DFD"/>
    <w:rsid w:val="00740F4A"/>
    <w:rsid w:val="0074106C"/>
    <w:rsid w:val="0074127B"/>
    <w:rsid w:val="0074136B"/>
    <w:rsid w:val="00741598"/>
    <w:rsid w:val="007415C3"/>
    <w:rsid w:val="00741A80"/>
    <w:rsid w:val="00741AE3"/>
    <w:rsid w:val="00741CD6"/>
    <w:rsid w:val="0074202C"/>
    <w:rsid w:val="00742086"/>
    <w:rsid w:val="0074240A"/>
    <w:rsid w:val="0074251B"/>
    <w:rsid w:val="00742659"/>
    <w:rsid w:val="007426E2"/>
    <w:rsid w:val="00743049"/>
    <w:rsid w:val="00743567"/>
    <w:rsid w:val="007438F3"/>
    <w:rsid w:val="00743A98"/>
    <w:rsid w:val="00743E4F"/>
    <w:rsid w:val="00743EEC"/>
    <w:rsid w:val="00743EFE"/>
    <w:rsid w:val="00744013"/>
    <w:rsid w:val="0074474E"/>
    <w:rsid w:val="00744D0D"/>
    <w:rsid w:val="00744D5D"/>
    <w:rsid w:val="00744EE2"/>
    <w:rsid w:val="00744EE8"/>
    <w:rsid w:val="00744F70"/>
    <w:rsid w:val="007450AD"/>
    <w:rsid w:val="0074511C"/>
    <w:rsid w:val="0074518E"/>
    <w:rsid w:val="00745410"/>
    <w:rsid w:val="00745502"/>
    <w:rsid w:val="007455C5"/>
    <w:rsid w:val="007455FC"/>
    <w:rsid w:val="00745761"/>
    <w:rsid w:val="007457B0"/>
    <w:rsid w:val="007458DB"/>
    <w:rsid w:val="00745A18"/>
    <w:rsid w:val="00745A67"/>
    <w:rsid w:val="00745AC3"/>
    <w:rsid w:val="00745BA3"/>
    <w:rsid w:val="00745BB7"/>
    <w:rsid w:val="00745BDF"/>
    <w:rsid w:val="00745CEC"/>
    <w:rsid w:val="00745F28"/>
    <w:rsid w:val="0074627C"/>
    <w:rsid w:val="00746462"/>
    <w:rsid w:val="007464FA"/>
    <w:rsid w:val="00746662"/>
    <w:rsid w:val="0074667D"/>
    <w:rsid w:val="00746AE6"/>
    <w:rsid w:val="00746C31"/>
    <w:rsid w:val="007470E3"/>
    <w:rsid w:val="007474BE"/>
    <w:rsid w:val="00747820"/>
    <w:rsid w:val="0074792D"/>
    <w:rsid w:val="00747BA2"/>
    <w:rsid w:val="00747BE9"/>
    <w:rsid w:val="00747C06"/>
    <w:rsid w:val="00747DF7"/>
    <w:rsid w:val="00747E16"/>
    <w:rsid w:val="00747F40"/>
    <w:rsid w:val="00747FDD"/>
    <w:rsid w:val="00750018"/>
    <w:rsid w:val="0075022C"/>
    <w:rsid w:val="00750323"/>
    <w:rsid w:val="007504F1"/>
    <w:rsid w:val="00750672"/>
    <w:rsid w:val="007509B1"/>
    <w:rsid w:val="00750A29"/>
    <w:rsid w:val="00750C3B"/>
    <w:rsid w:val="00750EAD"/>
    <w:rsid w:val="00750FC8"/>
    <w:rsid w:val="0075111A"/>
    <w:rsid w:val="00751427"/>
    <w:rsid w:val="007514EB"/>
    <w:rsid w:val="0075161D"/>
    <w:rsid w:val="00751968"/>
    <w:rsid w:val="00751AA0"/>
    <w:rsid w:val="00751C38"/>
    <w:rsid w:val="00751C7E"/>
    <w:rsid w:val="00751CE5"/>
    <w:rsid w:val="00751DB7"/>
    <w:rsid w:val="00751E87"/>
    <w:rsid w:val="00751FB0"/>
    <w:rsid w:val="0075209E"/>
    <w:rsid w:val="007521DD"/>
    <w:rsid w:val="007522C0"/>
    <w:rsid w:val="00752336"/>
    <w:rsid w:val="007524F5"/>
    <w:rsid w:val="00752568"/>
    <w:rsid w:val="00752A6D"/>
    <w:rsid w:val="00752E6C"/>
    <w:rsid w:val="00752F82"/>
    <w:rsid w:val="00752FE8"/>
    <w:rsid w:val="007530F1"/>
    <w:rsid w:val="00753253"/>
    <w:rsid w:val="00753360"/>
    <w:rsid w:val="0075364E"/>
    <w:rsid w:val="0075369D"/>
    <w:rsid w:val="007538F1"/>
    <w:rsid w:val="00753AB2"/>
    <w:rsid w:val="00753BAF"/>
    <w:rsid w:val="00753BD2"/>
    <w:rsid w:val="00753C70"/>
    <w:rsid w:val="00753CA9"/>
    <w:rsid w:val="00753D97"/>
    <w:rsid w:val="007540F8"/>
    <w:rsid w:val="0075426A"/>
    <w:rsid w:val="00754688"/>
    <w:rsid w:val="0075486B"/>
    <w:rsid w:val="00754870"/>
    <w:rsid w:val="007548C8"/>
    <w:rsid w:val="007548F4"/>
    <w:rsid w:val="00754961"/>
    <w:rsid w:val="00754B78"/>
    <w:rsid w:val="00754D57"/>
    <w:rsid w:val="00754DF1"/>
    <w:rsid w:val="007553C2"/>
    <w:rsid w:val="00755451"/>
    <w:rsid w:val="00755474"/>
    <w:rsid w:val="00755824"/>
    <w:rsid w:val="00755A97"/>
    <w:rsid w:val="00755CAA"/>
    <w:rsid w:val="00755CC7"/>
    <w:rsid w:val="00755FD4"/>
    <w:rsid w:val="00756445"/>
    <w:rsid w:val="007564DE"/>
    <w:rsid w:val="007568D8"/>
    <w:rsid w:val="007569DB"/>
    <w:rsid w:val="00756F5A"/>
    <w:rsid w:val="007572B5"/>
    <w:rsid w:val="0075738F"/>
    <w:rsid w:val="00757393"/>
    <w:rsid w:val="00757395"/>
    <w:rsid w:val="0075756F"/>
    <w:rsid w:val="00757DAF"/>
    <w:rsid w:val="007600DB"/>
    <w:rsid w:val="00760239"/>
    <w:rsid w:val="00760334"/>
    <w:rsid w:val="00760431"/>
    <w:rsid w:val="0076057C"/>
    <w:rsid w:val="00760C8B"/>
    <w:rsid w:val="00760CD8"/>
    <w:rsid w:val="00760E7B"/>
    <w:rsid w:val="007612A9"/>
    <w:rsid w:val="007614D9"/>
    <w:rsid w:val="00761643"/>
    <w:rsid w:val="00761834"/>
    <w:rsid w:val="007618C7"/>
    <w:rsid w:val="007619AD"/>
    <w:rsid w:val="007620DC"/>
    <w:rsid w:val="00762388"/>
    <w:rsid w:val="007624E7"/>
    <w:rsid w:val="00762D49"/>
    <w:rsid w:val="00762FE0"/>
    <w:rsid w:val="0076303B"/>
    <w:rsid w:val="0076312F"/>
    <w:rsid w:val="00763193"/>
    <w:rsid w:val="00763674"/>
    <w:rsid w:val="00763784"/>
    <w:rsid w:val="00763ADE"/>
    <w:rsid w:val="00763AEB"/>
    <w:rsid w:val="00763FF1"/>
    <w:rsid w:val="007641B8"/>
    <w:rsid w:val="007643E7"/>
    <w:rsid w:val="00764660"/>
    <w:rsid w:val="007646A3"/>
    <w:rsid w:val="00764777"/>
    <w:rsid w:val="007648B8"/>
    <w:rsid w:val="00764A19"/>
    <w:rsid w:val="00764ADB"/>
    <w:rsid w:val="00764B6D"/>
    <w:rsid w:val="00764C20"/>
    <w:rsid w:val="00764C6B"/>
    <w:rsid w:val="00764FD9"/>
    <w:rsid w:val="00765031"/>
    <w:rsid w:val="00765176"/>
    <w:rsid w:val="007651C3"/>
    <w:rsid w:val="007653A4"/>
    <w:rsid w:val="00765507"/>
    <w:rsid w:val="007658AD"/>
    <w:rsid w:val="00765EA4"/>
    <w:rsid w:val="00765EE0"/>
    <w:rsid w:val="0076605D"/>
    <w:rsid w:val="00766531"/>
    <w:rsid w:val="00766618"/>
    <w:rsid w:val="00766A0D"/>
    <w:rsid w:val="00766AA9"/>
    <w:rsid w:val="00766C3E"/>
    <w:rsid w:val="00766C9F"/>
    <w:rsid w:val="00766CCD"/>
    <w:rsid w:val="00766D38"/>
    <w:rsid w:val="00767041"/>
    <w:rsid w:val="0076707B"/>
    <w:rsid w:val="00767249"/>
    <w:rsid w:val="0076726C"/>
    <w:rsid w:val="00767437"/>
    <w:rsid w:val="00767877"/>
    <w:rsid w:val="00767AC5"/>
    <w:rsid w:val="00767AF4"/>
    <w:rsid w:val="00767FEB"/>
    <w:rsid w:val="0077013C"/>
    <w:rsid w:val="007701AA"/>
    <w:rsid w:val="007704FB"/>
    <w:rsid w:val="00770579"/>
    <w:rsid w:val="007706B1"/>
    <w:rsid w:val="007706FD"/>
    <w:rsid w:val="0077086E"/>
    <w:rsid w:val="007708E7"/>
    <w:rsid w:val="00770A66"/>
    <w:rsid w:val="00770B65"/>
    <w:rsid w:val="00770C0D"/>
    <w:rsid w:val="00770C0F"/>
    <w:rsid w:val="00770D68"/>
    <w:rsid w:val="00770DC5"/>
    <w:rsid w:val="00770F06"/>
    <w:rsid w:val="00771058"/>
    <w:rsid w:val="007710B5"/>
    <w:rsid w:val="007711E7"/>
    <w:rsid w:val="00771364"/>
    <w:rsid w:val="0077137E"/>
    <w:rsid w:val="0077148A"/>
    <w:rsid w:val="0077168C"/>
    <w:rsid w:val="00771B9A"/>
    <w:rsid w:val="00771DCF"/>
    <w:rsid w:val="00771E7E"/>
    <w:rsid w:val="00771FF8"/>
    <w:rsid w:val="00772076"/>
    <w:rsid w:val="0077215C"/>
    <w:rsid w:val="007721F2"/>
    <w:rsid w:val="00772322"/>
    <w:rsid w:val="0077238D"/>
    <w:rsid w:val="00772637"/>
    <w:rsid w:val="007727E9"/>
    <w:rsid w:val="00772CBB"/>
    <w:rsid w:val="00772D27"/>
    <w:rsid w:val="00772E72"/>
    <w:rsid w:val="00773376"/>
    <w:rsid w:val="007739C3"/>
    <w:rsid w:val="00773D56"/>
    <w:rsid w:val="00773DE3"/>
    <w:rsid w:val="00773EF6"/>
    <w:rsid w:val="00773EFF"/>
    <w:rsid w:val="0077428B"/>
    <w:rsid w:val="00774442"/>
    <w:rsid w:val="00774498"/>
    <w:rsid w:val="007744ED"/>
    <w:rsid w:val="007744F7"/>
    <w:rsid w:val="007747E9"/>
    <w:rsid w:val="0077480D"/>
    <w:rsid w:val="00774977"/>
    <w:rsid w:val="007749C8"/>
    <w:rsid w:val="007749D1"/>
    <w:rsid w:val="00774A28"/>
    <w:rsid w:val="00774AD0"/>
    <w:rsid w:val="00775024"/>
    <w:rsid w:val="00775245"/>
    <w:rsid w:val="00775294"/>
    <w:rsid w:val="00775493"/>
    <w:rsid w:val="007755B6"/>
    <w:rsid w:val="00775B4B"/>
    <w:rsid w:val="00775B67"/>
    <w:rsid w:val="00775B9E"/>
    <w:rsid w:val="00775C50"/>
    <w:rsid w:val="00775DC5"/>
    <w:rsid w:val="00776116"/>
    <w:rsid w:val="007762D7"/>
    <w:rsid w:val="007763CE"/>
    <w:rsid w:val="007763DB"/>
    <w:rsid w:val="007764DE"/>
    <w:rsid w:val="00776517"/>
    <w:rsid w:val="00776615"/>
    <w:rsid w:val="007768D1"/>
    <w:rsid w:val="00776B49"/>
    <w:rsid w:val="00776E5C"/>
    <w:rsid w:val="00776E80"/>
    <w:rsid w:val="00776EED"/>
    <w:rsid w:val="0077719C"/>
    <w:rsid w:val="00777255"/>
    <w:rsid w:val="0077766D"/>
    <w:rsid w:val="007776B4"/>
    <w:rsid w:val="0077787B"/>
    <w:rsid w:val="00777B27"/>
    <w:rsid w:val="00777C7C"/>
    <w:rsid w:val="00777ECD"/>
    <w:rsid w:val="00777FED"/>
    <w:rsid w:val="007800C1"/>
    <w:rsid w:val="00780249"/>
    <w:rsid w:val="007804CB"/>
    <w:rsid w:val="007806FD"/>
    <w:rsid w:val="00780BE9"/>
    <w:rsid w:val="00780E8A"/>
    <w:rsid w:val="007814AB"/>
    <w:rsid w:val="007819C3"/>
    <w:rsid w:val="00781A06"/>
    <w:rsid w:val="00781B04"/>
    <w:rsid w:val="00781C5C"/>
    <w:rsid w:val="00781DAB"/>
    <w:rsid w:val="00781E5A"/>
    <w:rsid w:val="00781F9B"/>
    <w:rsid w:val="00782053"/>
    <w:rsid w:val="00782298"/>
    <w:rsid w:val="00782808"/>
    <w:rsid w:val="0078288C"/>
    <w:rsid w:val="007828D8"/>
    <w:rsid w:val="00782BD4"/>
    <w:rsid w:val="00782C33"/>
    <w:rsid w:val="00782C8F"/>
    <w:rsid w:val="00782ED5"/>
    <w:rsid w:val="007831F3"/>
    <w:rsid w:val="0078340D"/>
    <w:rsid w:val="007835E8"/>
    <w:rsid w:val="007837A5"/>
    <w:rsid w:val="0078387F"/>
    <w:rsid w:val="00783924"/>
    <w:rsid w:val="0078394C"/>
    <w:rsid w:val="007839A3"/>
    <w:rsid w:val="007839EB"/>
    <w:rsid w:val="00783E24"/>
    <w:rsid w:val="0078415C"/>
    <w:rsid w:val="00784876"/>
    <w:rsid w:val="00784D8D"/>
    <w:rsid w:val="00784DB3"/>
    <w:rsid w:val="00784E11"/>
    <w:rsid w:val="00784F2A"/>
    <w:rsid w:val="00784FBB"/>
    <w:rsid w:val="00784FFF"/>
    <w:rsid w:val="00785134"/>
    <w:rsid w:val="00785453"/>
    <w:rsid w:val="007858C6"/>
    <w:rsid w:val="0078594D"/>
    <w:rsid w:val="00785B4B"/>
    <w:rsid w:val="00785BBB"/>
    <w:rsid w:val="00785D5E"/>
    <w:rsid w:val="00785E74"/>
    <w:rsid w:val="00785F7B"/>
    <w:rsid w:val="00786330"/>
    <w:rsid w:val="007865E1"/>
    <w:rsid w:val="00786B44"/>
    <w:rsid w:val="00786D8A"/>
    <w:rsid w:val="00786FC3"/>
    <w:rsid w:val="00786FF5"/>
    <w:rsid w:val="007870A8"/>
    <w:rsid w:val="00787126"/>
    <w:rsid w:val="00787145"/>
    <w:rsid w:val="007871BD"/>
    <w:rsid w:val="00787333"/>
    <w:rsid w:val="007873D3"/>
    <w:rsid w:val="0078757A"/>
    <w:rsid w:val="00787A5D"/>
    <w:rsid w:val="00787ACF"/>
    <w:rsid w:val="00787B6E"/>
    <w:rsid w:val="00787C39"/>
    <w:rsid w:val="0079004D"/>
    <w:rsid w:val="0079026F"/>
    <w:rsid w:val="007902A3"/>
    <w:rsid w:val="007902A8"/>
    <w:rsid w:val="00790374"/>
    <w:rsid w:val="007905C1"/>
    <w:rsid w:val="00790CD2"/>
    <w:rsid w:val="00790F91"/>
    <w:rsid w:val="0079112A"/>
    <w:rsid w:val="007913AF"/>
    <w:rsid w:val="00791540"/>
    <w:rsid w:val="0079198C"/>
    <w:rsid w:val="007919C7"/>
    <w:rsid w:val="007919F9"/>
    <w:rsid w:val="00791A20"/>
    <w:rsid w:val="00791DA5"/>
    <w:rsid w:val="00791FC8"/>
    <w:rsid w:val="007921D3"/>
    <w:rsid w:val="007922BA"/>
    <w:rsid w:val="00792361"/>
    <w:rsid w:val="00792497"/>
    <w:rsid w:val="00792506"/>
    <w:rsid w:val="007926F7"/>
    <w:rsid w:val="00792B92"/>
    <w:rsid w:val="00792CA4"/>
    <w:rsid w:val="00792D4A"/>
    <w:rsid w:val="00792DB0"/>
    <w:rsid w:val="00792EE6"/>
    <w:rsid w:val="00792EEC"/>
    <w:rsid w:val="0079301F"/>
    <w:rsid w:val="00793031"/>
    <w:rsid w:val="007936BD"/>
    <w:rsid w:val="00793823"/>
    <w:rsid w:val="00793963"/>
    <w:rsid w:val="00793C1D"/>
    <w:rsid w:val="00793CF1"/>
    <w:rsid w:val="00793DA3"/>
    <w:rsid w:val="007941E6"/>
    <w:rsid w:val="00794360"/>
    <w:rsid w:val="007943C9"/>
    <w:rsid w:val="007944CA"/>
    <w:rsid w:val="007946A1"/>
    <w:rsid w:val="00794833"/>
    <w:rsid w:val="007948B3"/>
    <w:rsid w:val="00794C6C"/>
    <w:rsid w:val="00794DE2"/>
    <w:rsid w:val="00794F81"/>
    <w:rsid w:val="00795361"/>
    <w:rsid w:val="0079568B"/>
    <w:rsid w:val="00795746"/>
    <w:rsid w:val="00795C6F"/>
    <w:rsid w:val="00795EC0"/>
    <w:rsid w:val="007961B8"/>
    <w:rsid w:val="0079647B"/>
    <w:rsid w:val="007969E0"/>
    <w:rsid w:val="00796AF1"/>
    <w:rsid w:val="0079709F"/>
    <w:rsid w:val="00797544"/>
    <w:rsid w:val="00797980"/>
    <w:rsid w:val="00797BD6"/>
    <w:rsid w:val="00797F1D"/>
    <w:rsid w:val="007A019F"/>
    <w:rsid w:val="007A0218"/>
    <w:rsid w:val="007A0241"/>
    <w:rsid w:val="007A0986"/>
    <w:rsid w:val="007A0AF9"/>
    <w:rsid w:val="007A0D36"/>
    <w:rsid w:val="007A0EA7"/>
    <w:rsid w:val="007A0F3A"/>
    <w:rsid w:val="007A0FD0"/>
    <w:rsid w:val="007A1062"/>
    <w:rsid w:val="007A12F4"/>
    <w:rsid w:val="007A1546"/>
    <w:rsid w:val="007A16A8"/>
    <w:rsid w:val="007A2233"/>
    <w:rsid w:val="007A26FA"/>
    <w:rsid w:val="007A2B95"/>
    <w:rsid w:val="007A2BB0"/>
    <w:rsid w:val="007A2BBC"/>
    <w:rsid w:val="007A2C12"/>
    <w:rsid w:val="007A2D20"/>
    <w:rsid w:val="007A2EF0"/>
    <w:rsid w:val="007A3219"/>
    <w:rsid w:val="007A339E"/>
    <w:rsid w:val="007A3475"/>
    <w:rsid w:val="007A34DC"/>
    <w:rsid w:val="007A3591"/>
    <w:rsid w:val="007A35BB"/>
    <w:rsid w:val="007A366C"/>
    <w:rsid w:val="007A3774"/>
    <w:rsid w:val="007A3B35"/>
    <w:rsid w:val="007A3D43"/>
    <w:rsid w:val="007A4577"/>
    <w:rsid w:val="007A45AD"/>
    <w:rsid w:val="007A4742"/>
    <w:rsid w:val="007A48E9"/>
    <w:rsid w:val="007A4BD8"/>
    <w:rsid w:val="007A4C14"/>
    <w:rsid w:val="007A4C6E"/>
    <w:rsid w:val="007A5196"/>
    <w:rsid w:val="007A51AF"/>
    <w:rsid w:val="007A52D7"/>
    <w:rsid w:val="007A5623"/>
    <w:rsid w:val="007A576A"/>
    <w:rsid w:val="007A59BA"/>
    <w:rsid w:val="007A5AEC"/>
    <w:rsid w:val="007A5DF8"/>
    <w:rsid w:val="007A5E90"/>
    <w:rsid w:val="007A5F03"/>
    <w:rsid w:val="007A5FA8"/>
    <w:rsid w:val="007A601B"/>
    <w:rsid w:val="007A6322"/>
    <w:rsid w:val="007A65B2"/>
    <w:rsid w:val="007A6602"/>
    <w:rsid w:val="007A6621"/>
    <w:rsid w:val="007A6627"/>
    <w:rsid w:val="007A68BD"/>
    <w:rsid w:val="007A6908"/>
    <w:rsid w:val="007A6A05"/>
    <w:rsid w:val="007A6C30"/>
    <w:rsid w:val="007A6CD9"/>
    <w:rsid w:val="007A6E45"/>
    <w:rsid w:val="007A6EE3"/>
    <w:rsid w:val="007A7536"/>
    <w:rsid w:val="007A7A3C"/>
    <w:rsid w:val="007A7D75"/>
    <w:rsid w:val="007A7F31"/>
    <w:rsid w:val="007B041F"/>
    <w:rsid w:val="007B04E2"/>
    <w:rsid w:val="007B07B0"/>
    <w:rsid w:val="007B0AD5"/>
    <w:rsid w:val="007B0B62"/>
    <w:rsid w:val="007B0BFB"/>
    <w:rsid w:val="007B0E34"/>
    <w:rsid w:val="007B112A"/>
    <w:rsid w:val="007B12D0"/>
    <w:rsid w:val="007B12D7"/>
    <w:rsid w:val="007B1437"/>
    <w:rsid w:val="007B14A2"/>
    <w:rsid w:val="007B17A2"/>
    <w:rsid w:val="007B18FD"/>
    <w:rsid w:val="007B1947"/>
    <w:rsid w:val="007B19F4"/>
    <w:rsid w:val="007B1A08"/>
    <w:rsid w:val="007B1F34"/>
    <w:rsid w:val="007B227C"/>
    <w:rsid w:val="007B239D"/>
    <w:rsid w:val="007B2433"/>
    <w:rsid w:val="007B2462"/>
    <w:rsid w:val="007B25E5"/>
    <w:rsid w:val="007B27A2"/>
    <w:rsid w:val="007B2ADC"/>
    <w:rsid w:val="007B2B87"/>
    <w:rsid w:val="007B2BEA"/>
    <w:rsid w:val="007B3049"/>
    <w:rsid w:val="007B3275"/>
    <w:rsid w:val="007B33F7"/>
    <w:rsid w:val="007B33FF"/>
    <w:rsid w:val="007B3863"/>
    <w:rsid w:val="007B3C3B"/>
    <w:rsid w:val="007B3F16"/>
    <w:rsid w:val="007B3F45"/>
    <w:rsid w:val="007B4235"/>
    <w:rsid w:val="007B427A"/>
    <w:rsid w:val="007B43ED"/>
    <w:rsid w:val="007B44F4"/>
    <w:rsid w:val="007B46E1"/>
    <w:rsid w:val="007B48F0"/>
    <w:rsid w:val="007B4A26"/>
    <w:rsid w:val="007B4CCB"/>
    <w:rsid w:val="007B4CE1"/>
    <w:rsid w:val="007B4E48"/>
    <w:rsid w:val="007B4E6F"/>
    <w:rsid w:val="007B522C"/>
    <w:rsid w:val="007B53A4"/>
    <w:rsid w:val="007B56E8"/>
    <w:rsid w:val="007B5B39"/>
    <w:rsid w:val="007B5CEF"/>
    <w:rsid w:val="007B60C9"/>
    <w:rsid w:val="007B6468"/>
    <w:rsid w:val="007B6751"/>
    <w:rsid w:val="007B683D"/>
    <w:rsid w:val="007B6963"/>
    <w:rsid w:val="007B6DBB"/>
    <w:rsid w:val="007B6E22"/>
    <w:rsid w:val="007B708A"/>
    <w:rsid w:val="007B7244"/>
    <w:rsid w:val="007B7590"/>
    <w:rsid w:val="007B75E7"/>
    <w:rsid w:val="007B7665"/>
    <w:rsid w:val="007B767C"/>
    <w:rsid w:val="007B776D"/>
    <w:rsid w:val="007B7A21"/>
    <w:rsid w:val="007B7A73"/>
    <w:rsid w:val="007B7AE0"/>
    <w:rsid w:val="007B7AF8"/>
    <w:rsid w:val="007B7CE6"/>
    <w:rsid w:val="007B7DD4"/>
    <w:rsid w:val="007B7F05"/>
    <w:rsid w:val="007C013E"/>
    <w:rsid w:val="007C04E2"/>
    <w:rsid w:val="007C0C91"/>
    <w:rsid w:val="007C0F97"/>
    <w:rsid w:val="007C10DC"/>
    <w:rsid w:val="007C1186"/>
    <w:rsid w:val="007C1190"/>
    <w:rsid w:val="007C12B0"/>
    <w:rsid w:val="007C13C9"/>
    <w:rsid w:val="007C1542"/>
    <w:rsid w:val="007C16B6"/>
    <w:rsid w:val="007C1BCA"/>
    <w:rsid w:val="007C1D2E"/>
    <w:rsid w:val="007C1E78"/>
    <w:rsid w:val="007C2035"/>
    <w:rsid w:val="007C20C2"/>
    <w:rsid w:val="007C23E5"/>
    <w:rsid w:val="007C2536"/>
    <w:rsid w:val="007C25B1"/>
    <w:rsid w:val="007C2630"/>
    <w:rsid w:val="007C2824"/>
    <w:rsid w:val="007C2918"/>
    <w:rsid w:val="007C2C99"/>
    <w:rsid w:val="007C2CD6"/>
    <w:rsid w:val="007C2FD1"/>
    <w:rsid w:val="007C3180"/>
    <w:rsid w:val="007C335A"/>
    <w:rsid w:val="007C35B9"/>
    <w:rsid w:val="007C37E5"/>
    <w:rsid w:val="007C3AB0"/>
    <w:rsid w:val="007C3B0C"/>
    <w:rsid w:val="007C3D01"/>
    <w:rsid w:val="007C3E46"/>
    <w:rsid w:val="007C3FE5"/>
    <w:rsid w:val="007C4176"/>
    <w:rsid w:val="007C4243"/>
    <w:rsid w:val="007C4482"/>
    <w:rsid w:val="007C44D3"/>
    <w:rsid w:val="007C4773"/>
    <w:rsid w:val="007C48EC"/>
    <w:rsid w:val="007C4D5B"/>
    <w:rsid w:val="007C507D"/>
    <w:rsid w:val="007C5174"/>
    <w:rsid w:val="007C522C"/>
    <w:rsid w:val="007C5234"/>
    <w:rsid w:val="007C5252"/>
    <w:rsid w:val="007C5576"/>
    <w:rsid w:val="007C561E"/>
    <w:rsid w:val="007C562C"/>
    <w:rsid w:val="007C6092"/>
    <w:rsid w:val="007C6212"/>
    <w:rsid w:val="007C6632"/>
    <w:rsid w:val="007C673D"/>
    <w:rsid w:val="007C69A9"/>
    <w:rsid w:val="007C69AA"/>
    <w:rsid w:val="007C69B2"/>
    <w:rsid w:val="007C6A67"/>
    <w:rsid w:val="007C6C82"/>
    <w:rsid w:val="007C717D"/>
    <w:rsid w:val="007C75C4"/>
    <w:rsid w:val="007C7630"/>
    <w:rsid w:val="007C76EE"/>
    <w:rsid w:val="007C7ABA"/>
    <w:rsid w:val="007C7B08"/>
    <w:rsid w:val="007C7B6B"/>
    <w:rsid w:val="007C7F7F"/>
    <w:rsid w:val="007D00F4"/>
    <w:rsid w:val="007D04C6"/>
    <w:rsid w:val="007D073C"/>
    <w:rsid w:val="007D0CD1"/>
    <w:rsid w:val="007D0CE5"/>
    <w:rsid w:val="007D0E0B"/>
    <w:rsid w:val="007D0F5C"/>
    <w:rsid w:val="007D1191"/>
    <w:rsid w:val="007D1219"/>
    <w:rsid w:val="007D1492"/>
    <w:rsid w:val="007D18C8"/>
    <w:rsid w:val="007D233E"/>
    <w:rsid w:val="007D23DF"/>
    <w:rsid w:val="007D2508"/>
    <w:rsid w:val="007D2700"/>
    <w:rsid w:val="007D3134"/>
    <w:rsid w:val="007D3639"/>
    <w:rsid w:val="007D387B"/>
    <w:rsid w:val="007D3A09"/>
    <w:rsid w:val="007D3A28"/>
    <w:rsid w:val="007D3B28"/>
    <w:rsid w:val="007D3BE4"/>
    <w:rsid w:val="007D3CE3"/>
    <w:rsid w:val="007D3F9C"/>
    <w:rsid w:val="007D4394"/>
    <w:rsid w:val="007D443D"/>
    <w:rsid w:val="007D45CD"/>
    <w:rsid w:val="007D48DE"/>
    <w:rsid w:val="007D4DCB"/>
    <w:rsid w:val="007D4E9B"/>
    <w:rsid w:val="007D5206"/>
    <w:rsid w:val="007D547B"/>
    <w:rsid w:val="007D5738"/>
    <w:rsid w:val="007D57E0"/>
    <w:rsid w:val="007D59CA"/>
    <w:rsid w:val="007D59DA"/>
    <w:rsid w:val="007D59FA"/>
    <w:rsid w:val="007D5C02"/>
    <w:rsid w:val="007D5C63"/>
    <w:rsid w:val="007D5CB3"/>
    <w:rsid w:val="007D5E77"/>
    <w:rsid w:val="007D5F32"/>
    <w:rsid w:val="007D61E7"/>
    <w:rsid w:val="007D64EF"/>
    <w:rsid w:val="007D679D"/>
    <w:rsid w:val="007D685B"/>
    <w:rsid w:val="007D6BCE"/>
    <w:rsid w:val="007D6C5B"/>
    <w:rsid w:val="007D72B9"/>
    <w:rsid w:val="007D739D"/>
    <w:rsid w:val="007D76F7"/>
    <w:rsid w:val="007D77B4"/>
    <w:rsid w:val="007D7817"/>
    <w:rsid w:val="007D78B8"/>
    <w:rsid w:val="007D7B59"/>
    <w:rsid w:val="007D7C95"/>
    <w:rsid w:val="007E006A"/>
    <w:rsid w:val="007E01A5"/>
    <w:rsid w:val="007E07BF"/>
    <w:rsid w:val="007E0CE1"/>
    <w:rsid w:val="007E0F03"/>
    <w:rsid w:val="007E0FE1"/>
    <w:rsid w:val="007E1102"/>
    <w:rsid w:val="007E1464"/>
    <w:rsid w:val="007E1502"/>
    <w:rsid w:val="007E15E6"/>
    <w:rsid w:val="007E1684"/>
    <w:rsid w:val="007E17F5"/>
    <w:rsid w:val="007E1933"/>
    <w:rsid w:val="007E1AE1"/>
    <w:rsid w:val="007E1F37"/>
    <w:rsid w:val="007E1FF5"/>
    <w:rsid w:val="007E2192"/>
    <w:rsid w:val="007E25AF"/>
    <w:rsid w:val="007E2650"/>
    <w:rsid w:val="007E268E"/>
    <w:rsid w:val="007E2D9F"/>
    <w:rsid w:val="007E2DEE"/>
    <w:rsid w:val="007E2F24"/>
    <w:rsid w:val="007E30B9"/>
    <w:rsid w:val="007E32D8"/>
    <w:rsid w:val="007E3867"/>
    <w:rsid w:val="007E3AAA"/>
    <w:rsid w:val="007E3AC8"/>
    <w:rsid w:val="007E3BB5"/>
    <w:rsid w:val="007E3F28"/>
    <w:rsid w:val="007E4156"/>
    <w:rsid w:val="007E446D"/>
    <w:rsid w:val="007E44FC"/>
    <w:rsid w:val="007E46A0"/>
    <w:rsid w:val="007E46A2"/>
    <w:rsid w:val="007E47E8"/>
    <w:rsid w:val="007E494B"/>
    <w:rsid w:val="007E4974"/>
    <w:rsid w:val="007E4A13"/>
    <w:rsid w:val="007E4A77"/>
    <w:rsid w:val="007E4B36"/>
    <w:rsid w:val="007E4C21"/>
    <w:rsid w:val="007E50A7"/>
    <w:rsid w:val="007E5179"/>
    <w:rsid w:val="007E5495"/>
    <w:rsid w:val="007E56B2"/>
    <w:rsid w:val="007E5824"/>
    <w:rsid w:val="007E590D"/>
    <w:rsid w:val="007E5955"/>
    <w:rsid w:val="007E595E"/>
    <w:rsid w:val="007E5AAC"/>
    <w:rsid w:val="007E5AFF"/>
    <w:rsid w:val="007E5D24"/>
    <w:rsid w:val="007E5D91"/>
    <w:rsid w:val="007E5E1C"/>
    <w:rsid w:val="007E60D4"/>
    <w:rsid w:val="007E6263"/>
    <w:rsid w:val="007E634B"/>
    <w:rsid w:val="007E646F"/>
    <w:rsid w:val="007E6645"/>
    <w:rsid w:val="007E6701"/>
    <w:rsid w:val="007E6982"/>
    <w:rsid w:val="007E699F"/>
    <w:rsid w:val="007E6B66"/>
    <w:rsid w:val="007E6C21"/>
    <w:rsid w:val="007E6D7E"/>
    <w:rsid w:val="007E6E21"/>
    <w:rsid w:val="007E6E71"/>
    <w:rsid w:val="007E700A"/>
    <w:rsid w:val="007E73FD"/>
    <w:rsid w:val="007E75DC"/>
    <w:rsid w:val="007E75F7"/>
    <w:rsid w:val="007E78C2"/>
    <w:rsid w:val="007E78E9"/>
    <w:rsid w:val="007E7B1F"/>
    <w:rsid w:val="007E7C80"/>
    <w:rsid w:val="007E7E59"/>
    <w:rsid w:val="007F0318"/>
    <w:rsid w:val="007F032C"/>
    <w:rsid w:val="007F0488"/>
    <w:rsid w:val="007F0511"/>
    <w:rsid w:val="007F073D"/>
    <w:rsid w:val="007F08A2"/>
    <w:rsid w:val="007F0E13"/>
    <w:rsid w:val="007F0E3F"/>
    <w:rsid w:val="007F1317"/>
    <w:rsid w:val="007F13ED"/>
    <w:rsid w:val="007F143E"/>
    <w:rsid w:val="007F15DB"/>
    <w:rsid w:val="007F1619"/>
    <w:rsid w:val="007F1C69"/>
    <w:rsid w:val="007F1C96"/>
    <w:rsid w:val="007F1CCD"/>
    <w:rsid w:val="007F1E45"/>
    <w:rsid w:val="007F1FB5"/>
    <w:rsid w:val="007F21C0"/>
    <w:rsid w:val="007F24E2"/>
    <w:rsid w:val="007F26BC"/>
    <w:rsid w:val="007F2732"/>
    <w:rsid w:val="007F28AE"/>
    <w:rsid w:val="007F2A1D"/>
    <w:rsid w:val="007F2A95"/>
    <w:rsid w:val="007F2C4F"/>
    <w:rsid w:val="007F2D20"/>
    <w:rsid w:val="007F3182"/>
    <w:rsid w:val="007F3374"/>
    <w:rsid w:val="007F34BE"/>
    <w:rsid w:val="007F38DE"/>
    <w:rsid w:val="007F3B4B"/>
    <w:rsid w:val="007F3F6F"/>
    <w:rsid w:val="007F3F7F"/>
    <w:rsid w:val="007F42AF"/>
    <w:rsid w:val="007F4352"/>
    <w:rsid w:val="007F43B8"/>
    <w:rsid w:val="007F4541"/>
    <w:rsid w:val="007F46C7"/>
    <w:rsid w:val="007F473B"/>
    <w:rsid w:val="007F4896"/>
    <w:rsid w:val="007F4D9C"/>
    <w:rsid w:val="007F50D1"/>
    <w:rsid w:val="007F521D"/>
    <w:rsid w:val="007F5225"/>
    <w:rsid w:val="007F5417"/>
    <w:rsid w:val="007F54B5"/>
    <w:rsid w:val="007F5563"/>
    <w:rsid w:val="007F56C3"/>
    <w:rsid w:val="007F581B"/>
    <w:rsid w:val="007F5858"/>
    <w:rsid w:val="007F5B79"/>
    <w:rsid w:val="007F6150"/>
    <w:rsid w:val="007F631C"/>
    <w:rsid w:val="007F6591"/>
    <w:rsid w:val="007F6870"/>
    <w:rsid w:val="007F6B4B"/>
    <w:rsid w:val="007F6B9C"/>
    <w:rsid w:val="007F6BC3"/>
    <w:rsid w:val="007F70E9"/>
    <w:rsid w:val="007F7337"/>
    <w:rsid w:val="007F7744"/>
    <w:rsid w:val="007F7BB8"/>
    <w:rsid w:val="007F7CE2"/>
    <w:rsid w:val="007F7DE3"/>
    <w:rsid w:val="007F7E13"/>
    <w:rsid w:val="00800233"/>
    <w:rsid w:val="008003BC"/>
    <w:rsid w:val="00800461"/>
    <w:rsid w:val="008005E1"/>
    <w:rsid w:val="008006C5"/>
    <w:rsid w:val="00800ADA"/>
    <w:rsid w:val="00800B81"/>
    <w:rsid w:val="00800B83"/>
    <w:rsid w:val="00800B99"/>
    <w:rsid w:val="00800D1A"/>
    <w:rsid w:val="00800DD0"/>
    <w:rsid w:val="00800E78"/>
    <w:rsid w:val="008012BA"/>
    <w:rsid w:val="00801308"/>
    <w:rsid w:val="00801434"/>
    <w:rsid w:val="008014D9"/>
    <w:rsid w:val="0080159C"/>
    <w:rsid w:val="00801770"/>
    <w:rsid w:val="008018D2"/>
    <w:rsid w:val="00801BED"/>
    <w:rsid w:val="00801CE4"/>
    <w:rsid w:val="00801E26"/>
    <w:rsid w:val="00801F17"/>
    <w:rsid w:val="00801F29"/>
    <w:rsid w:val="0080211B"/>
    <w:rsid w:val="0080218A"/>
    <w:rsid w:val="008022BB"/>
    <w:rsid w:val="00802630"/>
    <w:rsid w:val="0080271A"/>
    <w:rsid w:val="0080284D"/>
    <w:rsid w:val="0080291F"/>
    <w:rsid w:val="008029E4"/>
    <w:rsid w:val="00802A6B"/>
    <w:rsid w:val="008030B6"/>
    <w:rsid w:val="008030F1"/>
    <w:rsid w:val="008031FB"/>
    <w:rsid w:val="008036FD"/>
    <w:rsid w:val="008037B7"/>
    <w:rsid w:val="008038FA"/>
    <w:rsid w:val="00803AB4"/>
    <w:rsid w:val="00803C9F"/>
    <w:rsid w:val="00803ECA"/>
    <w:rsid w:val="008040AE"/>
    <w:rsid w:val="008047B2"/>
    <w:rsid w:val="008048BC"/>
    <w:rsid w:val="00804BF8"/>
    <w:rsid w:val="00805665"/>
    <w:rsid w:val="00805728"/>
    <w:rsid w:val="00805AE2"/>
    <w:rsid w:val="00805E68"/>
    <w:rsid w:val="00805EAD"/>
    <w:rsid w:val="008060C8"/>
    <w:rsid w:val="008060DE"/>
    <w:rsid w:val="00806163"/>
    <w:rsid w:val="008062D5"/>
    <w:rsid w:val="008063C8"/>
    <w:rsid w:val="008066F9"/>
    <w:rsid w:val="00806926"/>
    <w:rsid w:val="00806B10"/>
    <w:rsid w:val="00806CB0"/>
    <w:rsid w:val="00806CE6"/>
    <w:rsid w:val="00806D45"/>
    <w:rsid w:val="00806DF3"/>
    <w:rsid w:val="00806E35"/>
    <w:rsid w:val="008076D4"/>
    <w:rsid w:val="0080774B"/>
    <w:rsid w:val="00807C39"/>
    <w:rsid w:val="00807F04"/>
    <w:rsid w:val="008106BC"/>
    <w:rsid w:val="00811141"/>
    <w:rsid w:val="008114F7"/>
    <w:rsid w:val="0081173F"/>
    <w:rsid w:val="008118C2"/>
    <w:rsid w:val="008118D8"/>
    <w:rsid w:val="00811979"/>
    <w:rsid w:val="00811AD2"/>
    <w:rsid w:val="00811B31"/>
    <w:rsid w:val="00811B41"/>
    <w:rsid w:val="00811C73"/>
    <w:rsid w:val="00811EF9"/>
    <w:rsid w:val="00812025"/>
    <w:rsid w:val="0081213C"/>
    <w:rsid w:val="0081228C"/>
    <w:rsid w:val="008126B1"/>
    <w:rsid w:val="008128A6"/>
    <w:rsid w:val="00812BA5"/>
    <w:rsid w:val="00812BB2"/>
    <w:rsid w:val="00812D1B"/>
    <w:rsid w:val="00812F00"/>
    <w:rsid w:val="00812FDD"/>
    <w:rsid w:val="008132D0"/>
    <w:rsid w:val="00813323"/>
    <w:rsid w:val="00813354"/>
    <w:rsid w:val="00813576"/>
    <w:rsid w:val="00813811"/>
    <w:rsid w:val="00813829"/>
    <w:rsid w:val="00813E51"/>
    <w:rsid w:val="008141E2"/>
    <w:rsid w:val="0081443E"/>
    <w:rsid w:val="008144B6"/>
    <w:rsid w:val="0081464B"/>
    <w:rsid w:val="0081486F"/>
    <w:rsid w:val="008148FA"/>
    <w:rsid w:val="00814ACC"/>
    <w:rsid w:val="00814ADC"/>
    <w:rsid w:val="00814D88"/>
    <w:rsid w:val="00814EA1"/>
    <w:rsid w:val="00815531"/>
    <w:rsid w:val="0081556E"/>
    <w:rsid w:val="008156A9"/>
    <w:rsid w:val="0081587D"/>
    <w:rsid w:val="00815EB8"/>
    <w:rsid w:val="00815FE8"/>
    <w:rsid w:val="00816074"/>
    <w:rsid w:val="0081629B"/>
    <w:rsid w:val="00816340"/>
    <w:rsid w:val="00816341"/>
    <w:rsid w:val="008163E5"/>
    <w:rsid w:val="0081643A"/>
    <w:rsid w:val="0081644F"/>
    <w:rsid w:val="00816597"/>
    <w:rsid w:val="008166B5"/>
    <w:rsid w:val="00816A3F"/>
    <w:rsid w:val="00816C14"/>
    <w:rsid w:val="00816D41"/>
    <w:rsid w:val="00816DEF"/>
    <w:rsid w:val="00816F6D"/>
    <w:rsid w:val="00817357"/>
    <w:rsid w:val="00817456"/>
    <w:rsid w:val="0081746A"/>
    <w:rsid w:val="008174D4"/>
    <w:rsid w:val="008174E3"/>
    <w:rsid w:val="008177C0"/>
    <w:rsid w:val="008177D1"/>
    <w:rsid w:val="008179D6"/>
    <w:rsid w:val="00817CD3"/>
    <w:rsid w:val="00817E6E"/>
    <w:rsid w:val="00820008"/>
    <w:rsid w:val="00820080"/>
    <w:rsid w:val="0082012D"/>
    <w:rsid w:val="00820148"/>
    <w:rsid w:val="008201B9"/>
    <w:rsid w:val="0082020E"/>
    <w:rsid w:val="0082041E"/>
    <w:rsid w:val="008207BD"/>
    <w:rsid w:val="0082097D"/>
    <w:rsid w:val="00820B9D"/>
    <w:rsid w:val="00821459"/>
    <w:rsid w:val="0082165C"/>
    <w:rsid w:val="0082179D"/>
    <w:rsid w:val="008217CA"/>
    <w:rsid w:val="00821A08"/>
    <w:rsid w:val="00821BEC"/>
    <w:rsid w:val="00821D31"/>
    <w:rsid w:val="00821D81"/>
    <w:rsid w:val="00822006"/>
    <w:rsid w:val="0082200E"/>
    <w:rsid w:val="00822036"/>
    <w:rsid w:val="008220CE"/>
    <w:rsid w:val="0082250C"/>
    <w:rsid w:val="00822668"/>
    <w:rsid w:val="0082266D"/>
    <w:rsid w:val="008227BC"/>
    <w:rsid w:val="00822984"/>
    <w:rsid w:val="00822C08"/>
    <w:rsid w:val="00822D07"/>
    <w:rsid w:val="00822E9F"/>
    <w:rsid w:val="00823259"/>
    <w:rsid w:val="00823406"/>
    <w:rsid w:val="00823797"/>
    <w:rsid w:val="0082388C"/>
    <w:rsid w:val="00823937"/>
    <w:rsid w:val="00823947"/>
    <w:rsid w:val="00823E2E"/>
    <w:rsid w:val="00823FB2"/>
    <w:rsid w:val="00824271"/>
    <w:rsid w:val="0082456F"/>
    <w:rsid w:val="008245A5"/>
    <w:rsid w:val="008247F8"/>
    <w:rsid w:val="008249FF"/>
    <w:rsid w:val="00824D6C"/>
    <w:rsid w:val="00824F11"/>
    <w:rsid w:val="00824F40"/>
    <w:rsid w:val="0082530F"/>
    <w:rsid w:val="008253DD"/>
    <w:rsid w:val="008253EA"/>
    <w:rsid w:val="0082549E"/>
    <w:rsid w:val="00825826"/>
    <w:rsid w:val="00825B54"/>
    <w:rsid w:val="00825D07"/>
    <w:rsid w:val="00825FEA"/>
    <w:rsid w:val="00826685"/>
    <w:rsid w:val="00826A71"/>
    <w:rsid w:val="00826D86"/>
    <w:rsid w:val="00826E4C"/>
    <w:rsid w:val="00826EEC"/>
    <w:rsid w:val="00826EF0"/>
    <w:rsid w:val="00827009"/>
    <w:rsid w:val="00827718"/>
    <w:rsid w:val="00827AA8"/>
    <w:rsid w:val="00827AFB"/>
    <w:rsid w:val="00827E09"/>
    <w:rsid w:val="00827EA7"/>
    <w:rsid w:val="00827F27"/>
    <w:rsid w:val="00827F2D"/>
    <w:rsid w:val="0083018D"/>
    <w:rsid w:val="00830631"/>
    <w:rsid w:val="00830695"/>
    <w:rsid w:val="008307BF"/>
    <w:rsid w:val="00830872"/>
    <w:rsid w:val="00830939"/>
    <w:rsid w:val="00830B09"/>
    <w:rsid w:val="00830B93"/>
    <w:rsid w:val="00831471"/>
    <w:rsid w:val="00831722"/>
    <w:rsid w:val="008318E8"/>
    <w:rsid w:val="00831A5C"/>
    <w:rsid w:val="00831C03"/>
    <w:rsid w:val="00831C24"/>
    <w:rsid w:val="00831D38"/>
    <w:rsid w:val="00831D7A"/>
    <w:rsid w:val="008320F9"/>
    <w:rsid w:val="00832256"/>
    <w:rsid w:val="00832560"/>
    <w:rsid w:val="00832630"/>
    <w:rsid w:val="00832A7D"/>
    <w:rsid w:val="00832EAF"/>
    <w:rsid w:val="00832EB8"/>
    <w:rsid w:val="0083354E"/>
    <w:rsid w:val="00833AA8"/>
    <w:rsid w:val="00833CD4"/>
    <w:rsid w:val="00833D3D"/>
    <w:rsid w:val="00833EF5"/>
    <w:rsid w:val="00834078"/>
    <w:rsid w:val="00834229"/>
    <w:rsid w:val="008343A9"/>
    <w:rsid w:val="008343C4"/>
    <w:rsid w:val="008344B7"/>
    <w:rsid w:val="00834828"/>
    <w:rsid w:val="00834848"/>
    <w:rsid w:val="00834B09"/>
    <w:rsid w:val="00835332"/>
    <w:rsid w:val="008353BD"/>
    <w:rsid w:val="00835644"/>
    <w:rsid w:val="00835808"/>
    <w:rsid w:val="00835868"/>
    <w:rsid w:val="008358C3"/>
    <w:rsid w:val="00835998"/>
    <w:rsid w:val="00835F63"/>
    <w:rsid w:val="0083603A"/>
    <w:rsid w:val="008362E8"/>
    <w:rsid w:val="00836318"/>
    <w:rsid w:val="0083631E"/>
    <w:rsid w:val="0083646B"/>
    <w:rsid w:val="00836549"/>
    <w:rsid w:val="008365B9"/>
    <w:rsid w:val="008365E2"/>
    <w:rsid w:val="00836687"/>
    <w:rsid w:val="0083668E"/>
    <w:rsid w:val="008366F9"/>
    <w:rsid w:val="008368C4"/>
    <w:rsid w:val="008368DA"/>
    <w:rsid w:val="00836993"/>
    <w:rsid w:val="00836C24"/>
    <w:rsid w:val="00836C2E"/>
    <w:rsid w:val="0083705B"/>
    <w:rsid w:val="00837143"/>
    <w:rsid w:val="00837153"/>
    <w:rsid w:val="00837423"/>
    <w:rsid w:val="0083744E"/>
    <w:rsid w:val="008377E7"/>
    <w:rsid w:val="00837E2E"/>
    <w:rsid w:val="00837E7F"/>
    <w:rsid w:val="00837EF8"/>
    <w:rsid w:val="0084015A"/>
    <w:rsid w:val="00840232"/>
    <w:rsid w:val="008403DB"/>
    <w:rsid w:val="008404A0"/>
    <w:rsid w:val="008406D5"/>
    <w:rsid w:val="00840F3F"/>
    <w:rsid w:val="008410D1"/>
    <w:rsid w:val="008411E0"/>
    <w:rsid w:val="00841303"/>
    <w:rsid w:val="0084183E"/>
    <w:rsid w:val="00841910"/>
    <w:rsid w:val="00841966"/>
    <w:rsid w:val="008419E7"/>
    <w:rsid w:val="00841EA2"/>
    <w:rsid w:val="00841F20"/>
    <w:rsid w:val="00842491"/>
    <w:rsid w:val="00842495"/>
    <w:rsid w:val="00842A40"/>
    <w:rsid w:val="00842ADA"/>
    <w:rsid w:val="00842ADF"/>
    <w:rsid w:val="00842C88"/>
    <w:rsid w:val="00842CA6"/>
    <w:rsid w:val="008436B2"/>
    <w:rsid w:val="00843775"/>
    <w:rsid w:val="008439A7"/>
    <w:rsid w:val="00843BB5"/>
    <w:rsid w:val="00844748"/>
    <w:rsid w:val="00844B7F"/>
    <w:rsid w:val="00845206"/>
    <w:rsid w:val="008454CC"/>
    <w:rsid w:val="0084554D"/>
    <w:rsid w:val="008455A8"/>
    <w:rsid w:val="008456B1"/>
    <w:rsid w:val="0084582D"/>
    <w:rsid w:val="008458F0"/>
    <w:rsid w:val="00845B9F"/>
    <w:rsid w:val="00845C07"/>
    <w:rsid w:val="00845E35"/>
    <w:rsid w:val="00845E59"/>
    <w:rsid w:val="00845FA2"/>
    <w:rsid w:val="0084610E"/>
    <w:rsid w:val="0084620C"/>
    <w:rsid w:val="008463E8"/>
    <w:rsid w:val="0084664B"/>
    <w:rsid w:val="008466FB"/>
    <w:rsid w:val="008467B4"/>
    <w:rsid w:val="008467F8"/>
    <w:rsid w:val="008467FF"/>
    <w:rsid w:val="008468F7"/>
    <w:rsid w:val="00846963"/>
    <w:rsid w:val="00846C81"/>
    <w:rsid w:val="00846CA5"/>
    <w:rsid w:val="00846D5C"/>
    <w:rsid w:val="00846FF5"/>
    <w:rsid w:val="00847073"/>
    <w:rsid w:val="008471A5"/>
    <w:rsid w:val="00847224"/>
    <w:rsid w:val="0084745C"/>
    <w:rsid w:val="00847460"/>
    <w:rsid w:val="0084746C"/>
    <w:rsid w:val="00847796"/>
    <w:rsid w:val="00847812"/>
    <w:rsid w:val="008479A7"/>
    <w:rsid w:val="00847A10"/>
    <w:rsid w:val="00847AD0"/>
    <w:rsid w:val="00847E9B"/>
    <w:rsid w:val="00847FA6"/>
    <w:rsid w:val="00850096"/>
    <w:rsid w:val="00850407"/>
    <w:rsid w:val="00850537"/>
    <w:rsid w:val="0085054F"/>
    <w:rsid w:val="008505AD"/>
    <w:rsid w:val="0085068A"/>
    <w:rsid w:val="00850AAB"/>
    <w:rsid w:val="00850C81"/>
    <w:rsid w:val="00850CEB"/>
    <w:rsid w:val="00850DD7"/>
    <w:rsid w:val="008510F1"/>
    <w:rsid w:val="00851186"/>
    <w:rsid w:val="0085127B"/>
    <w:rsid w:val="00851346"/>
    <w:rsid w:val="0085162D"/>
    <w:rsid w:val="00851836"/>
    <w:rsid w:val="0085185E"/>
    <w:rsid w:val="00851903"/>
    <w:rsid w:val="00851D30"/>
    <w:rsid w:val="00851DF6"/>
    <w:rsid w:val="00851E29"/>
    <w:rsid w:val="00852010"/>
    <w:rsid w:val="0085226E"/>
    <w:rsid w:val="008522D3"/>
    <w:rsid w:val="00852558"/>
    <w:rsid w:val="00852597"/>
    <w:rsid w:val="00852692"/>
    <w:rsid w:val="00852A09"/>
    <w:rsid w:val="00852B5C"/>
    <w:rsid w:val="00852C73"/>
    <w:rsid w:val="00852E08"/>
    <w:rsid w:val="0085311C"/>
    <w:rsid w:val="0085358C"/>
    <w:rsid w:val="008535CD"/>
    <w:rsid w:val="00853622"/>
    <w:rsid w:val="008539C9"/>
    <w:rsid w:val="00853A8E"/>
    <w:rsid w:val="00853C68"/>
    <w:rsid w:val="00853E38"/>
    <w:rsid w:val="00853F97"/>
    <w:rsid w:val="008542E1"/>
    <w:rsid w:val="008543C4"/>
    <w:rsid w:val="008546DF"/>
    <w:rsid w:val="00854797"/>
    <w:rsid w:val="008549B9"/>
    <w:rsid w:val="00854AF6"/>
    <w:rsid w:val="00854B02"/>
    <w:rsid w:val="00855149"/>
    <w:rsid w:val="0085561E"/>
    <w:rsid w:val="00855825"/>
    <w:rsid w:val="008559C0"/>
    <w:rsid w:val="008559FB"/>
    <w:rsid w:val="00855C72"/>
    <w:rsid w:val="00855D3A"/>
    <w:rsid w:val="00855D5B"/>
    <w:rsid w:val="00855F08"/>
    <w:rsid w:val="00855F35"/>
    <w:rsid w:val="00855FDF"/>
    <w:rsid w:val="00856024"/>
    <w:rsid w:val="00856054"/>
    <w:rsid w:val="00856410"/>
    <w:rsid w:val="008564D0"/>
    <w:rsid w:val="0085686B"/>
    <w:rsid w:val="008569D3"/>
    <w:rsid w:val="00856A5D"/>
    <w:rsid w:val="00856CCB"/>
    <w:rsid w:val="00856EE8"/>
    <w:rsid w:val="00857385"/>
    <w:rsid w:val="008573E8"/>
    <w:rsid w:val="008575CB"/>
    <w:rsid w:val="008575EF"/>
    <w:rsid w:val="00857921"/>
    <w:rsid w:val="008579BD"/>
    <w:rsid w:val="00857AD4"/>
    <w:rsid w:val="00857B93"/>
    <w:rsid w:val="00857DE3"/>
    <w:rsid w:val="008601D5"/>
    <w:rsid w:val="008602D1"/>
    <w:rsid w:val="008602F6"/>
    <w:rsid w:val="008603F1"/>
    <w:rsid w:val="008604A3"/>
    <w:rsid w:val="008605EF"/>
    <w:rsid w:val="0086061F"/>
    <w:rsid w:val="0086068A"/>
    <w:rsid w:val="0086079F"/>
    <w:rsid w:val="00860CDF"/>
    <w:rsid w:val="00860F4F"/>
    <w:rsid w:val="00860F6C"/>
    <w:rsid w:val="00860F92"/>
    <w:rsid w:val="00861111"/>
    <w:rsid w:val="00861419"/>
    <w:rsid w:val="0086161A"/>
    <w:rsid w:val="0086165F"/>
    <w:rsid w:val="0086173C"/>
    <w:rsid w:val="00861774"/>
    <w:rsid w:val="00861A0F"/>
    <w:rsid w:val="00861AD3"/>
    <w:rsid w:val="00861BCB"/>
    <w:rsid w:val="00861BE7"/>
    <w:rsid w:val="00861C29"/>
    <w:rsid w:val="008622B3"/>
    <w:rsid w:val="008623E3"/>
    <w:rsid w:val="0086254C"/>
    <w:rsid w:val="0086266F"/>
    <w:rsid w:val="008627D2"/>
    <w:rsid w:val="00862A9A"/>
    <w:rsid w:val="00862BC1"/>
    <w:rsid w:val="00862BE1"/>
    <w:rsid w:val="00862C8F"/>
    <w:rsid w:val="00862C99"/>
    <w:rsid w:val="00862CF0"/>
    <w:rsid w:val="008630DF"/>
    <w:rsid w:val="008631A0"/>
    <w:rsid w:val="00863220"/>
    <w:rsid w:val="00863248"/>
    <w:rsid w:val="00863902"/>
    <w:rsid w:val="008639CA"/>
    <w:rsid w:val="00863A06"/>
    <w:rsid w:val="00863AAB"/>
    <w:rsid w:val="00863B93"/>
    <w:rsid w:val="00863EAD"/>
    <w:rsid w:val="00863F30"/>
    <w:rsid w:val="00863F5F"/>
    <w:rsid w:val="00864012"/>
    <w:rsid w:val="00864222"/>
    <w:rsid w:val="00864229"/>
    <w:rsid w:val="00864423"/>
    <w:rsid w:val="00864683"/>
    <w:rsid w:val="00864AE5"/>
    <w:rsid w:val="00864B07"/>
    <w:rsid w:val="00864EA9"/>
    <w:rsid w:val="008650FA"/>
    <w:rsid w:val="008652BB"/>
    <w:rsid w:val="008655EF"/>
    <w:rsid w:val="008659DD"/>
    <w:rsid w:val="00865BC0"/>
    <w:rsid w:val="00865F3C"/>
    <w:rsid w:val="008660ED"/>
    <w:rsid w:val="008667CB"/>
    <w:rsid w:val="00866940"/>
    <w:rsid w:val="00866A0C"/>
    <w:rsid w:val="00866F93"/>
    <w:rsid w:val="008672A1"/>
    <w:rsid w:val="008672D3"/>
    <w:rsid w:val="008673CC"/>
    <w:rsid w:val="008673EC"/>
    <w:rsid w:val="008674FC"/>
    <w:rsid w:val="00867685"/>
    <w:rsid w:val="008676F9"/>
    <w:rsid w:val="008677D1"/>
    <w:rsid w:val="00867899"/>
    <w:rsid w:val="0086791C"/>
    <w:rsid w:val="0086799B"/>
    <w:rsid w:val="00867D0B"/>
    <w:rsid w:val="00867D13"/>
    <w:rsid w:val="00867F3E"/>
    <w:rsid w:val="008701CB"/>
    <w:rsid w:val="008703AF"/>
    <w:rsid w:val="008703F8"/>
    <w:rsid w:val="008705A5"/>
    <w:rsid w:val="00870616"/>
    <w:rsid w:val="008708FF"/>
    <w:rsid w:val="00870F31"/>
    <w:rsid w:val="00871083"/>
    <w:rsid w:val="008712AA"/>
    <w:rsid w:val="00871339"/>
    <w:rsid w:val="008714B2"/>
    <w:rsid w:val="008715DA"/>
    <w:rsid w:val="008716D8"/>
    <w:rsid w:val="008717EB"/>
    <w:rsid w:val="00871C24"/>
    <w:rsid w:val="00871E0F"/>
    <w:rsid w:val="00871EB6"/>
    <w:rsid w:val="00871FE9"/>
    <w:rsid w:val="00872079"/>
    <w:rsid w:val="00872482"/>
    <w:rsid w:val="0087258A"/>
    <w:rsid w:val="00872675"/>
    <w:rsid w:val="0087269C"/>
    <w:rsid w:val="0087299D"/>
    <w:rsid w:val="00872CA4"/>
    <w:rsid w:val="00872ED5"/>
    <w:rsid w:val="00873067"/>
    <w:rsid w:val="0087308A"/>
    <w:rsid w:val="008733AA"/>
    <w:rsid w:val="00873510"/>
    <w:rsid w:val="0087365F"/>
    <w:rsid w:val="008736E9"/>
    <w:rsid w:val="008738E6"/>
    <w:rsid w:val="00873986"/>
    <w:rsid w:val="00873A9B"/>
    <w:rsid w:val="00873AD2"/>
    <w:rsid w:val="00873BB3"/>
    <w:rsid w:val="00873D62"/>
    <w:rsid w:val="00873F8F"/>
    <w:rsid w:val="00874162"/>
    <w:rsid w:val="00874452"/>
    <w:rsid w:val="00874605"/>
    <w:rsid w:val="00874694"/>
    <w:rsid w:val="008748ED"/>
    <w:rsid w:val="00874A39"/>
    <w:rsid w:val="00874ACB"/>
    <w:rsid w:val="00874D1E"/>
    <w:rsid w:val="00874DAE"/>
    <w:rsid w:val="00874E46"/>
    <w:rsid w:val="008752B0"/>
    <w:rsid w:val="00875424"/>
    <w:rsid w:val="00875472"/>
    <w:rsid w:val="008757F8"/>
    <w:rsid w:val="0087581F"/>
    <w:rsid w:val="00875CAF"/>
    <w:rsid w:val="00875F4F"/>
    <w:rsid w:val="00876112"/>
    <w:rsid w:val="00876153"/>
    <w:rsid w:val="00876422"/>
    <w:rsid w:val="008764AD"/>
    <w:rsid w:val="008765F5"/>
    <w:rsid w:val="0087662B"/>
    <w:rsid w:val="0087664F"/>
    <w:rsid w:val="0087673E"/>
    <w:rsid w:val="008767D9"/>
    <w:rsid w:val="008768B7"/>
    <w:rsid w:val="00876A97"/>
    <w:rsid w:val="00876C50"/>
    <w:rsid w:val="00876D18"/>
    <w:rsid w:val="00876E58"/>
    <w:rsid w:val="00876F48"/>
    <w:rsid w:val="0087762B"/>
    <w:rsid w:val="00877AFC"/>
    <w:rsid w:val="00877CDB"/>
    <w:rsid w:val="00877EAB"/>
    <w:rsid w:val="00877F13"/>
    <w:rsid w:val="00880465"/>
    <w:rsid w:val="0088094B"/>
    <w:rsid w:val="00880CA9"/>
    <w:rsid w:val="00880D7D"/>
    <w:rsid w:val="00880E3B"/>
    <w:rsid w:val="00880E50"/>
    <w:rsid w:val="00880EA9"/>
    <w:rsid w:val="00880ED9"/>
    <w:rsid w:val="0088115E"/>
    <w:rsid w:val="008812C5"/>
    <w:rsid w:val="008813B7"/>
    <w:rsid w:val="008814B3"/>
    <w:rsid w:val="0088157F"/>
    <w:rsid w:val="008816B6"/>
    <w:rsid w:val="00881951"/>
    <w:rsid w:val="00881C20"/>
    <w:rsid w:val="00881D72"/>
    <w:rsid w:val="008821FA"/>
    <w:rsid w:val="0088268A"/>
    <w:rsid w:val="0088361C"/>
    <w:rsid w:val="00883A7D"/>
    <w:rsid w:val="00883B7F"/>
    <w:rsid w:val="00883C1D"/>
    <w:rsid w:val="00883D68"/>
    <w:rsid w:val="00883D98"/>
    <w:rsid w:val="00883F37"/>
    <w:rsid w:val="008840D8"/>
    <w:rsid w:val="0088411B"/>
    <w:rsid w:val="0088439D"/>
    <w:rsid w:val="0088462F"/>
    <w:rsid w:val="008846E5"/>
    <w:rsid w:val="008849DF"/>
    <w:rsid w:val="00885383"/>
    <w:rsid w:val="00885504"/>
    <w:rsid w:val="008856F3"/>
    <w:rsid w:val="0088579D"/>
    <w:rsid w:val="00885A7A"/>
    <w:rsid w:val="00885AAB"/>
    <w:rsid w:val="00885B2A"/>
    <w:rsid w:val="00885BCB"/>
    <w:rsid w:val="00886026"/>
    <w:rsid w:val="00886125"/>
    <w:rsid w:val="008862B2"/>
    <w:rsid w:val="00886428"/>
    <w:rsid w:val="00886596"/>
    <w:rsid w:val="008865F0"/>
    <w:rsid w:val="008868D0"/>
    <w:rsid w:val="00886A36"/>
    <w:rsid w:val="00886AD3"/>
    <w:rsid w:val="00886D45"/>
    <w:rsid w:val="00886E68"/>
    <w:rsid w:val="00886F7E"/>
    <w:rsid w:val="00886FAE"/>
    <w:rsid w:val="008871FE"/>
    <w:rsid w:val="00887208"/>
    <w:rsid w:val="008872E6"/>
    <w:rsid w:val="00887465"/>
    <w:rsid w:val="0088758C"/>
    <w:rsid w:val="00887711"/>
    <w:rsid w:val="00887754"/>
    <w:rsid w:val="00887B1A"/>
    <w:rsid w:val="00890037"/>
    <w:rsid w:val="008902DC"/>
    <w:rsid w:val="00890314"/>
    <w:rsid w:val="008906B5"/>
    <w:rsid w:val="00890734"/>
    <w:rsid w:val="008907B5"/>
    <w:rsid w:val="00890B50"/>
    <w:rsid w:val="00890DC6"/>
    <w:rsid w:val="00890FE0"/>
    <w:rsid w:val="00890FF0"/>
    <w:rsid w:val="008910A2"/>
    <w:rsid w:val="0089111A"/>
    <w:rsid w:val="00891300"/>
    <w:rsid w:val="00891954"/>
    <w:rsid w:val="00891D5E"/>
    <w:rsid w:val="00891F8D"/>
    <w:rsid w:val="0089219E"/>
    <w:rsid w:val="008922FB"/>
    <w:rsid w:val="00892632"/>
    <w:rsid w:val="00892780"/>
    <w:rsid w:val="0089300C"/>
    <w:rsid w:val="0089300F"/>
    <w:rsid w:val="00893012"/>
    <w:rsid w:val="00893027"/>
    <w:rsid w:val="008933F4"/>
    <w:rsid w:val="008934DC"/>
    <w:rsid w:val="00893522"/>
    <w:rsid w:val="00893576"/>
    <w:rsid w:val="008938CA"/>
    <w:rsid w:val="00893983"/>
    <w:rsid w:val="00893C3A"/>
    <w:rsid w:val="00893C3B"/>
    <w:rsid w:val="00893EF4"/>
    <w:rsid w:val="00893F58"/>
    <w:rsid w:val="008940D2"/>
    <w:rsid w:val="008940DB"/>
    <w:rsid w:val="008941A1"/>
    <w:rsid w:val="00894365"/>
    <w:rsid w:val="008946D6"/>
    <w:rsid w:val="008948AC"/>
    <w:rsid w:val="00894BB7"/>
    <w:rsid w:val="00894DCA"/>
    <w:rsid w:val="00894DEA"/>
    <w:rsid w:val="00894E04"/>
    <w:rsid w:val="00894E8B"/>
    <w:rsid w:val="008951A6"/>
    <w:rsid w:val="008952A9"/>
    <w:rsid w:val="0089542A"/>
    <w:rsid w:val="008954E0"/>
    <w:rsid w:val="00895507"/>
    <w:rsid w:val="008956F0"/>
    <w:rsid w:val="008957F0"/>
    <w:rsid w:val="00895A17"/>
    <w:rsid w:val="00895A5E"/>
    <w:rsid w:val="00895D2B"/>
    <w:rsid w:val="00895D4A"/>
    <w:rsid w:val="00896056"/>
    <w:rsid w:val="00896332"/>
    <w:rsid w:val="0089639A"/>
    <w:rsid w:val="008968E2"/>
    <w:rsid w:val="00896C38"/>
    <w:rsid w:val="00896C81"/>
    <w:rsid w:val="00896F44"/>
    <w:rsid w:val="00896FF5"/>
    <w:rsid w:val="00896FFD"/>
    <w:rsid w:val="0089734A"/>
    <w:rsid w:val="008973D5"/>
    <w:rsid w:val="0089762B"/>
    <w:rsid w:val="008977D1"/>
    <w:rsid w:val="008978B8"/>
    <w:rsid w:val="00897970"/>
    <w:rsid w:val="00897B34"/>
    <w:rsid w:val="00897E88"/>
    <w:rsid w:val="00897FD0"/>
    <w:rsid w:val="008A010A"/>
    <w:rsid w:val="008A01D8"/>
    <w:rsid w:val="008A0212"/>
    <w:rsid w:val="008A0679"/>
    <w:rsid w:val="008A0835"/>
    <w:rsid w:val="008A088C"/>
    <w:rsid w:val="008A08CB"/>
    <w:rsid w:val="008A0A24"/>
    <w:rsid w:val="008A0AC7"/>
    <w:rsid w:val="008A0BED"/>
    <w:rsid w:val="008A0D71"/>
    <w:rsid w:val="008A0EEE"/>
    <w:rsid w:val="008A1376"/>
    <w:rsid w:val="008A15AF"/>
    <w:rsid w:val="008A1AF1"/>
    <w:rsid w:val="008A1D2E"/>
    <w:rsid w:val="008A2421"/>
    <w:rsid w:val="008A2440"/>
    <w:rsid w:val="008A24D7"/>
    <w:rsid w:val="008A2504"/>
    <w:rsid w:val="008A27A6"/>
    <w:rsid w:val="008A2C04"/>
    <w:rsid w:val="008A36F7"/>
    <w:rsid w:val="008A3ACD"/>
    <w:rsid w:val="008A3D19"/>
    <w:rsid w:val="008A40CB"/>
    <w:rsid w:val="008A42FB"/>
    <w:rsid w:val="008A4401"/>
    <w:rsid w:val="008A4593"/>
    <w:rsid w:val="008A4840"/>
    <w:rsid w:val="008A4C71"/>
    <w:rsid w:val="008A4CA3"/>
    <w:rsid w:val="008A4D5D"/>
    <w:rsid w:val="008A50C6"/>
    <w:rsid w:val="008A5166"/>
    <w:rsid w:val="008A57E5"/>
    <w:rsid w:val="008A582A"/>
    <w:rsid w:val="008A5908"/>
    <w:rsid w:val="008A59AD"/>
    <w:rsid w:val="008A59FE"/>
    <w:rsid w:val="008A5A38"/>
    <w:rsid w:val="008A5C9E"/>
    <w:rsid w:val="008A5CBF"/>
    <w:rsid w:val="008A5FA3"/>
    <w:rsid w:val="008A62EE"/>
    <w:rsid w:val="008A67CD"/>
    <w:rsid w:val="008A6803"/>
    <w:rsid w:val="008A6851"/>
    <w:rsid w:val="008A6FC3"/>
    <w:rsid w:val="008A6FF6"/>
    <w:rsid w:val="008A7117"/>
    <w:rsid w:val="008A7153"/>
    <w:rsid w:val="008A7D09"/>
    <w:rsid w:val="008A7E35"/>
    <w:rsid w:val="008B0044"/>
    <w:rsid w:val="008B00AD"/>
    <w:rsid w:val="008B03DA"/>
    <w:rsid w:val="008B0B39"/>
    <w:rsid w:val="008B1234"/>
    <w:rsid w:val="008B13A9"/>
    <w:rsid w:val="008B148C"/>
    <w:rsid w:val="008B1922"/>
    <w:rsid w:val="008B1CCA"/>
    <w:rsid w:val="008B22F8"/>
    <w:rsid w:val="008B26D9"/>
    <w:rsid w:val="008B27CD"/>
    <w:rsid w:val="008B2893"/>
    <w:rsid w:val="008B2CAC"/>
    <w:rsid w:val="008B2CF0"/>
    <w:rsid w:val="008B2E8A"/>
    <w:rsid w:val="008B2FE1"/>
    <w:rsid w:val="008B3268"/>
    <w:rsid w:val="008B3376"/>
    <w:rsid w:val="008B36FE"/>
    <w:rsid w:val="008B386B"/>
    <w:rsid w:val="008B3BE1"/>
    <w:rsid w:val="008B3C44"/>
    <w:rsid w:val="008B3F43"/>
    <w:rsid w:val="008B40EF"/>
    <w:rsid w:val="008B41E5"/>
    <w:rsid w:val="008B4204"/>
    <w:rsid w:val="008B4300"/>
    <w:rsid w:val="008B4535"/>
    <w:rsid w:val="008B4690"/>
    <w:rsid w:val="008B4882"/>
    <w:rsid w:val="008B4913"/>
    <w:rsid w:val="008B4D6D"/>
    <w:rsid w:val="008B4E9C"/>
    <w:rsid w:val="008B4FD6"/>
    <w:rsid w:val="008B50BC"/>
    <w:rsid w:val="008B5446"/>
    <w:rsid w:val="008B5897"/>
    <w:rsid w:val="008B58A6"/>
    <w:rsid w:val="008B5C73"/>
    <w:rsid w:val="008B5D02"/>
    <w:rsid w:val="008B5D88"/>
    <w:rsid w:val="008B5FE2"/>
    <w:rsid w:val="008B61EF"/>
    <w:rsid w:val="008B6517"/>
    <w:rsid w:val="008B656B"/>
    <w:rsid w:val="008B6A79"/>
    <w:rsid w:val="008B6C1A"/>
    <w:rsid w:val="008B6D54"/>
    <w:rsid w:val="008B6DD2"/>
    <w:rsid w:val="008B6FAF"/>
    <w:rsid w:val="008B70C2"/>
    <w:rsid w:val="008B717A"/>
    <w:rsid w:val="008B7727"/>
    <w:rsid w:val="008B7898"/>
    <w:rsid w:val="008B7929"/>
    <w:rsid w:val="008B7A71"/>
    <w:rsid w:val="008B7D17"/>
    <w:rsid w:val="008C00C6"/>
    <w:rsid w:val="008C0229"/>
    <w:rsid w:val="008C05B6"/>
    <w:rsid w:val="008C0A57"/>
    <w:rsid w:val="008C0AA0"/>
    <w:rsid w:val="008C0D68"/>
    <w:rsid w:val="008C0EA5"/>
    <w:rsid w:val="008C0F91"/>
    <w:rsid w:val="008C13C6"/>
    <w:rsid w:val="008C1451"/>
    <w:rsid w:val="008C1466"/>
    <w:rsid w:val="008C16F4"/>
    <w:rsid w:val="008C1947"/>
    <w:rsid w:val="008C1E78"/>
    <w:rsid w:val="008C1EEB"/>
    <w:rsid w:val="008C1FF0"/>
    <w:rsid w:val="008C22EA"/>
    <w:rsid w:val="008C24EB"/>
    <w:rsid w:val="008C251C"/>
    <w:rsid w:val="008C27B5"/>
    <w:rsid w:val="008C2874"/>
    <w:rsid w:val="008C2B55"/>
    <w:rsid w:val="008C2D39"/>
    <w:rsid w:val="008C2D6C"/>
    <w:rsid w:val="008C2DE4"/>
    <w:rsid w:val="008C2E3A"/>
    <w:rsid w:val="008C2E85"/>
    <w:rsid w:val="008C301D"/>
    <w:rsid w:val="008C30F8"/>
    <w:rsid w:val="008C317F"/>
    <w:rsid w:val="008C329D"/>
    <w:rsid w:val="008C333C"/>
    <w:rsid w:val="008C36AC"/>
    <w:rsid w:val="008C394F"/>
    <w:rsid w:val="008C3A62"/>
    <w:rsid w:val="008C3A75"/>
    <w:rsid w:val="008C3A7C"/>
    <w:rsid w:val="008C3B46"/>
    <w:rsid w:val="008C3C4B"/>
    <w:rsid w:val="008C40F2"/>
    <w:rsid w:val="008C42A8"/>
    <w:rsid w:val="008C42C7"/>
    <w:rsid w:val="008C42CA"/>
    <w:rsid w:val="008C4389"/>
    <w:rsid w:val="008C46D5"/>
    <w:rsid w:val="008C49CE"/>
    <w:rsid w:val="008C4E54"/>
    <w:rsid w:val="008C4FCF"/>
    <w:rsid w:val="008C50E8"/>
    <w:rsid w:val="008C5408"/>
    <w:rsid w:val="008C567C"/>
    <w:rsid w:val="008C57AC"/>
    <w:rsid w:val="008C5849"/>
    <w:rsid w:val="008C58AA"/>
    <w:rsid w:val="008C59B4"/>
    <w:rsid w:val="008C5CAB"/>
    <w:rsid w:val="008C5EE2"/>
    <w:rsid w:val="008C61E9"/>
    <w:rsid w:val="008C6292"/>
    <w:rsid w:val="008C65E3"/>
    <w:rsid w:val="008C65E8"/>
    <w:rsid w:val="008C6AFA"/>
    <w:rsid w:val="008C6B42"/>
    <w:rsid w:val="008C6C5E"/>
    <w:rsid w:val="008C6CBD"/>
    <w:rsid w:val="008C6DCF"/>
    <w:rsid w:val="008C6FEB"/>
    <w:rsid w:val="008C724C"/>
    <w:rsid w:val="008C727E"/>
    <w:rsid w:val="008C72A3"/>
    <w:rsid w:val="008C74F6"/>
    <w:rsid w:val="008C75F8"/>
    <w:rsid w:val="008C763F"/>
    <w:rsid w:val="008C7731"/>
    <w:rsid w:val="008C79EC"/>
    <w:rsid w:val="008C7AC9"/>
    <w:rsid w:val="008C7B03"/>
    <w:rsid w:val="008C7BB6"/>
    <w:rsid w:val="008C7C51"/>
    <w:rsid w:val="008C7D16"/>
    <w:rsid w:val="008C7DE5"/>
    <w:rsid w:val="008C7E81"/>
    <w:rsid w:val="008C7EE4"/>
    <w:rsid w:val="008C7F1F"/>
    <w:rsid w:val="008D0053"/>
    <w:rsid w:val="008D0741"/>
    <w:rsid w:val="008D0A4D"/>
    <w:rsid w:val="008D0B33"/>
    <w:rsid w:val="008D0DB5"/>
    <w:rsid w:val="008D107C"/>
    <w:rsid w:val="008D115A"/>
    <w:rsid w:val="008D118B"/>
    <w:rsid w:val="008D12C6"/>
    <w:rsid w:val="008D1319"/>
    <w:rsid w:val="008D13B8"/>
    <w:rsid w:val="008D144B"/>
    <w:rsid w:val="008D1610"/>
    <w:rsid w:val="008D1696"/>
    <w:rsid w:val="008D1917"/>
    <w:rsid w:val="008D1C68"/>
    <w:rsid w:val="008D1E76"/>
    <w:rsid w:val="008D1F2D"/>
    <w:rsid w:val="008D2002"/>
    <w:rsid w:val="008D215E"/>
    <w:rsid w:val="008D2183"/>
    <w:rsid w:val="008D2237"/>
    <w:rsid w:val="008D23E9"/>
    <w:rsid w:val="008D28D6"/>
    <w:rsid w:val="008D2C37"/>
    <w:rsid w:val="008D2D66"/>
    <w:rsid w:val="008D3135"/>
    <w:rsid w:val="008D32A1"/>
    <w:rsid w:val="008D3568"/>
    <w:rsid w:val="008D356E"/>
    <w:rsid w:val="008D35B9"/>
    <w:rsid w:val="008D381D"/>
    <w:rsid w:val="008D3B2C"/>
    <w:rsid w:val="008D3BD8"/>
    <w:rsid w:val="008D3C40"/>
    <w:rsid w:val="008D3ED0"/>
    <w:rsid w:val="008D4264"/>
    <w:rsid w:val="008D47EE"/>
    <w:rsid w:val="008D49B6"/>
    <w:rsid w:val="008D4A32"/>
    <w:rsid w:val="008D4B97"/>
    <w:rsid w:val="008D4FBD"/>
    <w:rsid w:val="008D4FD3"/>
    <w:rsid w:val="008D4FF8"/>
    <w:rsid w:val="008D5495"/>
    <w:rsid w:val="008D5690"/>
    <w:rsid w:val="008D56DC"/>
    <w:rsid w:val="008D5987"/>
    <w:rsid w:val="008D5E80"/>
    <w:rsid w:val="008D5EB8"/>
    <w:rsid w:val="008D5EF7"/>
    <w:rsid w:val="008D626C"/>
    <w:rsid w:val="008D6F03"/>
    <w:rsid w:val="008D76E9"/>
    <w:rsid w:val="008D76F1"/>
    <w:rsid w:val="008D7931"/>
    <w:rsid w:val="008D7A61"/>
    <w:rsid w:val="008D7B56"/>
    <w:rsid w:val="008D7C40"/>
    <w:rsid w:val="008D7C68"/>
    <w:rsid w:val="008D7E43"/>
    <w:rsid w:val="008D7F95"/>
    <w:rsid w:val="008E0352"/>
    <w:rsid w:val="008E03DA"/>
    <w:rsid w:val="008E07B4"/>
    <w:rsid w:val="008E0B35"/>
    <w:rsid w:val="008E0C17"/>
    <w:rsid w:val="008E10EA"/>
    <w:rsid w:val="008E1274"/>
    <w:rsid w:val="008E137F"/>
    <w:rsid w:val="008E18F2"/>
    <w:rsid w:val="008E1B6B"/>
    <w:rsid w:val="008E1D46"/>
    <w:rsid w:val="008E1F77"/>
    <w:rsid w:val="008E20C6"/>
    <w:rsid w:val="008E24AD"/>
    <w:rsid w:val="008E26ED"/>
    <w:rsid w:val="008E29D8"/>
    <w:rsid w:val="008E2D2D"/>
    <w:rsid w:val="008E2E3D"/>
    <w:rsid w:val="008E30AE"/>
    <w:rsid w:val="008E30F3"/>
    <w:rsid w:val="008E3313"/>
    <w:rsid w:val="008E36AB"/>
    <w:rsid w:val="008E3720"/>
    <w:rsid w:val="008E392A"/>
    <w:rsid w:val="008E394B"/>
    <w:rsid w:val="008E39C8"/>
    <w:rsid w:val="008E3A0D"/>
    <w:rsid w:val="008E3C5E"/>
    <w:rsid w:val="008E3D4A"/>
    <w:rsid w:val="008E3FDE"/>
    <w:rsid w:val="008E43A2"/>
    <w:rsid w:val="008E4469"/>
    <w:rsid w:val="008E4579"/>
    <w:rsid w:val="008E45E3"/>
    <w:rsid w:val="008E4617"/>
    <w:rsid w:val="008E4784"/>
    <w:rsid w:val="008E48AD"/>
    <w:rsid w:val="008E4EAA"/>
    <w:rsid w:val="008E4FD5"/>
    <w:rsid w:val="008E5148"/>
    <w:rsid w:val="008E51FF"/>
    <w:rsid w:val="008E5445"/>
    <w:rsid w:val="008E5509"/>
    <w:rsid w:val="008E57F8"/>
    <w:rsid w:val="008E5870"/>
    <w:rsid w:val="008E5FDF"/>
    <w:rsid w:val="008E60AC"/>
    <w:rsid w:val="008E6189"/>
    <w:rsid w:val="008E62CB"/>
    <w:rsid w:val="008E6310"/>
    <w:rsid w:val="008E67E8"/>
    <w:rsid w:val="008E6918"/>
    <w:rsid w:val="008E6B3E"/>
    <w:rsid w:val="008E6BBB"/>
    <w:rsid w:val="008E6F32"/>
    <w:rsid w:val="008E6F4E"/>
    <w:rsid w:val="008E7012"/>
    <w:rsid w:val="008E7158"/>
    <w:rsid w:val="008E73BF"/>
    <w:rsid w:val="008E74E3"/>
    <w:rsid w:val="008E7854"/>
    <w:rsid w:val="008E78AE"/>
    <w:rsid w:val="008E7A30"/>
    <w:rsid w:val="008E7BEF"/>
    <w:rsid w:val="008E7F5F"/>
    <w:rsid w:val="008F0165"/>
    <w:rsid w:val="008F0186"/>
    <w:rsid w:val="008F01C6"/>
    <w:rsid w:val="008F022E"/>
    <w:rsid w:val="008F02E0"/>
    <w:rsid w:val="008F0709"/>
    <w:rsid w:val="008F0767"/>
    <w:rsid w:val="008F0804"/>
    <w:rsid w:val="008F0AF3"/>
    <w:rsid w:val="008F0B64"/>
    <w:rsid w:val="008F0E50"/>
    <w:rsid w:val="008F0EB6"/>
    <w:rsid w:val="008F1044"/>
    <w:rsid w:val="008F10EB"/>
    <w:rsid w:val="008F11EB"/>
    <w:rsid w:val="008F1263"/>
    <w:rsid w:val="008F129A"/>
    <w:rsid w:val="008F13B3"/>
    <w:rsid w:val="008F13B6"/>
    <w:rsid w:val="008F186E"/>
    <w:rsid w:val="008F18B9"/>
    <w:rsid w:val="008F1A6E"/>
    <w:rsid w:val="008F1BC6"/>
    <w:rsid w:val="008F1F17"/>
    <w:rsid w:val="008F2117"/>
    <w:rsid w:val="008F212F"/>
    <w:rsid w:val="008F23E2"/>
    <w:rsid w:val="008F251D"/>
    <w:rsid w:val="008F283F"/>
    <w:rsid w:val="008F29C4"/>
    <w:rsid w:val="008F2CB3"/>
    <w:rsid w:val="008F2DE4"/>
    <w:rsid w:val="008F2E7B"/>
    <w:rsid w:val="008F30C3"/>
    <w:rsid w:val="008F3127"/>
    <w:rsid w:val="008F319E"/>
    <w:rsid w:val="008F32CA"/>
    <w:rsid w:val="008F3607"/>
    <w:rsid w:val="008F367B"/>
    <w:rsid w:val="008F38F4"/>
    <w:rsid w:val="008F3B6C"/>
    <w:rsid w:val="008F3E52"/>
    <w:rsid w:val="008F419A"/>
    <w:rsid w:val="008F41D3"/>
    <w:rsid w:val="008F4347"/>
    <w:rsid w:val="008F43B0"/>
    <w:rsid w:val="008F4636"/>
    <w:rsid w:val="008F48FE"/>
    <w:rsid w:val="008F4D5C"/>
    <w:rsid w:val="008F4DD0"/>
    <w:rsid w:val="008F53DD"/>
    <w:rsid w:val="008F5846"/>
    <w:rsid w:val="008F5AD8"/>
    <w:rsid w:val="008F5B47"/>
    <w:rsid w:val="008F5E7C"/>
    <w:rsid w:val="008F6098"/>
    <w:rsid w:val="008F6104"/>
    <w:rsid w:val="008F6110"/>
    <w:rsid w:val="008F6217"/>
    <w:rsid w:val="008F621C"/>
    <w:rsid w:val="008F65A8"/>
    <w:rsid w:val="008F6A0D"/>
    <w:rsid w:val="008F6BAC"/>
    <w:rsid w:val="008F6CB0"/>
    <w:rsid w:val="008F6FF4"/>
    <w:rsid w:val="008F701A"/>
    <w:rsid w:val="008F7211"/>
    <w:rsid w:val="008F7246"/>
    <w:rsid w:val="008F7785"/>
    <w:rsid w:val="008F7B1C"/>
    <w:rsid w:val="00900049"/>
    <w:rsid w:val="009000CB"/>
    <w:rsid w:val="009000E4"/>
    <w:rsid w:val="00900142"/>
    <w:rsid w:val="00900753"/>
    <w:rsid w:val="0090093A"/>
    <w:rsid w:val="00900D12"/>
    <w:rsid w:val="00900F59"/>
    <w:rsid w:val="0090135C"/>
    <w:rsid w:val="00901545"/>
    <w:rsid w:val="00901553"/>
    <w:rsid w:val="009015DB"/>
    <w:rsid w:val="0090162A"/>
    <w:rsid w:val="00901684"/>
    <w:rsid w:val="009016AD"/>
    <w:rsid w:val="009017C3"/>
    <w:rsid w:val="009017C6"/>
    <w:rsid w:val="00901A0C"/>
    <w:rsid w:val="00901AD3"/>
    <w:rsid w:val="00901C72"/>
    <w:rsid w:val="00901D76"/>
    <w:rsid w:val="00901FCE"/>
    <w:rsid w:val="0090268D"/>
    <w:rsid w:val="009026FA"/>
    <w:rsid w:val="009027D0"/>
    <w:rsid w:val="00902BCE"/>
    <w:rsid w:val="00902E0F"/>
    <w:rsid w:val="00902F96"/>
    <w:rsid w:val="00903268"/>
    <w:rsid w:val="0090338A"/>
    <w:rsid w:val="0090351E"/>
    <w:rsid w:val="0090395B"/>
    <w:rsid w:val="00903C6F"/>
    <w:rsid w:val="00903CB8"/>
    <w:rsid w:val="00903D7E"/>
    <w:rsid w:val="009046E2"/>
    <w:rsid w:val="0090471D"/>
    <w:rsid w:val="009047C0"/>
    <w:rsid w:val="0090486C"/>
    <w:rsid w:val="009048A1"/>
    <w:rsid w:val="00904A12"/>
    <w:rsid w:val="00904BE0"/>
    <w:rsid w:val="00904BEF"/>
    <w:rsid w:val="00904E81"/>
    <w:rsid w:val="00905009"/>
    <w:rsid w:val="0090509C"/>
    <w:rsid w:val="00905161"/>
    <w:rsid w:val="009051E2"/>
    <w:rsid w:val="0090521D"/>
    <w:rsid w:val="00905263"/>
    <w:rsid w:val="009053E6"/>
    <w:rsid w:val="009054D3"/>
    <w:rsid w:val="00905B76"/>
    <w:rsid w:val="00905ED8"/>
    <w:rsid w:val="00906553"/>
    <w:rsid w:val="00906559"/>
    <w:rsid w:val="009068FE"/>
    <w:rsid w:val="0090691C"/>
    <w:rsid w:val="00906B2C"/>
    <w:rsid w:val="00906F2D"/>
    <w:rsid w:val="00906F73"/>
    <w:rsid w:val="00907051"/>
    <w:rsid w:val="00907079"/>
    <w:rsid w:val="00907350"/>
    <w:rsid w:val="009075D1"/>
    <w:rsid w:val="009075FD"/>
    <w:rsid w:val="009076A0"/>
    <w:rsid w:val="009076C5"/>
    <w:rsid w:val="009079AB"/>
    <w:rsid w:val="00907D85"/>
    <w:rsid w:val="00907D9A"/>
    <w:rsid w:val="009101DF"/>
    <w:rsid w:val="0091060C"/>
    <w:rsid w:val="0091080E"/>
    <w:rsid w:val="00910A00"/>
    <w:rsid w:val="00910B4D"/>
    <w:rsid w:val="00910CE4"/>
    <w:rsid w:val="00910F87"/>
    <w:rsid w:val="009110CB"/>
    <w:rsid w:val="00911AD1"/>
    <w:rsid w:val="00911B14"/>
    <w:rsid w:val="00911DB1"/>
    <w:rsid w:val="00911DE0"/>
    <w:rsid w:val="0091227E"/>
    <w:rsid w:val="009124CD"/>
    <w:rsid w:val="00912547"/>
    <w:rsid w:val="00912818"/>
    <w:rsid w:val="0091286B"/>
    <w:rsid w:val="00912A1B"/>
    <w:rsid w:val="00912C2A"/>
    <w:rsid w:val="00912CD9"/>
    <w:rsid w:val="00912D84"/>
    <w:rsid w:val="00912ED9"/>
    <w:rsid w:val="0091326D"/>
    <w:rsid w:val="00913302"/>
    <w:rsid w:val="00913423"/>
    <w:rsid w:val="009136E5"/>
    <w:rsid w:val="00913E5E"/>
    <w:rsid w:val="00913EA0"/>
    <w:rsid w:val="00913F65"/>
    <w:rsid w:val="0091404D"/>
    <w:rsid w:val="0091413D"/>
    <w:rsid w:val="00914152"/>
    <w:rsid w:val="00914185"/>
    <w:rsid w:val="00914267"/>
    <w:rsid w:val="00914700"/>
    <w:rsid w:val="00914A8A"/>
    <w:rsid w:val="00914AB2"/>
    <w:rsid w:val="00914C86"/>
    <w:rsid w:val="00914F6C"/>
    <w:rsid w:val="0091520C"/>
    <w:rsid w:val="0091542C"/>
    <w:rsid w:val="0091545E"/>
    <w:rsid w:val="00915474"/>
    <w:rsid w:val="009154FA"/>
    <w:rsid w:val="00915572"/>
    <w:rsid w:val="0091578D"/>
    <w:rsid w:val="00915916"/>
    <w:rsid w:val="00915925"/>
    <w:rsid w:val="00915960"/>
    <w:rsid w:val="00915A9E"/>
    <w:rsid w:val="00915C01"/>
    <w:rsid w:val="00915DAA"/>
    <w:rsid w:val="009161FC"/>
    <w:rsid w:val="009164D7"/>
    <w:rsid w:val="00916730"/>
    <w:rsid w:val="0091675A"/>
    <w:rsid w:val="0091685F"/>
    <w:rsid w:val="00916CC5"/>
    <w:rsid w:val="00916E65"/>
    <w:rsid w:val="009174D1"/>
    <w:rsid w:val="00917A9F"/>
    <w:rsid w:val="00917C60"/>
    <w:rsid w:val="00917F2B"/>
    <w:rsid w:val="00920082"/>
    <w:rsid w:val="009201F6"/>
    <w:rsid w:val="00920364"/>
    <w:rsid w:val="0092080E"/>
    <w:rsid w:val="00920B86"/>
    <w:rsid w:val="00920C08"/>
    <w:rsid w:val="00920D1C"/>
    <w:rsid w:val="00920D51"/>
    <w:rsid w:val="009211A9"/>
    <w:rsid w:val="009212F5"/>
    <w:rsid w:val="00921347"/>
    <w:rsid w:val="009213B7"/>
    <w:rsid w:val="009215A6"/>
    <w:rsid w:val="0092199E"/>
    <w:rsid w:val="009219D0"/>
    <w:rsid w:val="00921B8A"/>
    <w:rsid w:val="00921C76"/>
    <w:rsid w:val="0092207D"/>
    <w:rsid w:val="00922175"/>
    <w:rsid w:val="00922199"/>
    <w:rsid w:val="009221C4"/>
    <w:rsid w:val="009223A2"/>
    <w:rsid w:val="00922428"/>
    <w:rsid w:val="00922441"/>
    <w:rsid w:val="00922534"/>
    <w:rsid w:val="00922536"/>
    <w:rsid w:val="009225F6"/>
    <w:rsid w:val="00922C88"/>
    <w:rsid w:val="00922D37"/>
    <w:rsid w:val="009230B7"/>
    <w:rsid w:val="0092326E"/>
    <w:rsid w:val="00923364"/>
    <w:rsid w:val="0092341F"/>
    <w:rsid w:val="009242EF"/>
    <w:rsid w:val="009243FA"/>
    <w:rsid w:val="0092477E"/>
    <w:rsid w:val="00924807"/>
    <w:rsid w:val="009248B1"/>
    <w:rsid w:val="009248FA"/>
    <w:rsid w:val="009249AF"/>
    <w:rsid w:val="00924AA1"/>
    <w:rsid w:val="00924D62"/>
    <w:rsid w:val="0092504C"/>
    <w:rsid w:val="0092526F"/>
    <w:rsid w:val="00925270"/>
    <w:rsid w:val="00925297"/>
    <w:rsid w:val="00925322"/>
    <w:rsid w:val="00925417"/>
    <w:rsid w:val="009254EB"/>
    <w:rsid w:val="00925640"/>
    <w:rsid w:val="00925741"/>
    <w:rsid w:val="0092575B"/>
    <w:rsid w:val="009258E7"/>
    <w:rsid w:val="009259DB"/>
    <w:rsid w:val="00925A7D"/>
    <w:rsid w:val="00925BDE"/>
    <w:rsid w:val="00925F34"/>
    <w:rsid w:val="009260B4"/>
    <w:rsid w:val="00926246"/>
    <w:rsid w:val="00926269"/>
    <w:rsid w:val="0092644D"/>
    <w:rsid w:val="00926561"/>
    <w:rsid w:val="00926685"/>
    <w:rsid w:val="0092669E"/>
    <w:rsid w:val="00926920"/>
    <w:rsid w:val="00926CC0"/>
    <w:rsid w:val="00927047"/>
    <w:rsid w:val="0092706B"/>
    <w:rsid w:val="009273A3"/>
    <w:rsid w:val="009273D8"/>
    <w:rsid w:val="00927447"/>
    <w:rsid w:val="0092756C"/>
    <w:rsid w:val="0092756F"/>
    <w:rsid w:val="0092759C"/>
    <w:rsid w:val="009275C1"/>
    <w:rsid w:val="0092778B"/>
    <w:rsid w:val="00927791"/>
    <w:rsid w:val="00927F08"/>
    <w:rsid w:val="009302B0"/>
    <w:rsid w:val="00930320"/>
    <w:rsid w:val="0093033E"/>
    <w:rsid w:val="009304E2"/>
    <w:rsid w:val="0093053E"/>
    <w:rsid w:val="009305D5"/>
    <w:rsid w:val="00930671"/>
    <w:rsid w:val="009308F4"/>
    <w:rsid w:val="00930912"/>
    <w:rsid w:val="00930B6B"/>
    <w:rsid w:val="00930CAC"/>
    <w:rsid w:val="00930FF8"/>
    <w:rsid w:val="0093106E"/>
    <w:rsid w:val="00931108"/>
    <w:rsid w:val="0093116C"/>
    <w:rsid w:val="009314A0"/>
    <w:rsid w:val="0093178E"/>
    <w:rsid w:val="0093183C"/>
    <w:rsid w:val="00931AA7"/>
    <w:rsid w:val="00931BBF"/>
    <w:rsid w:val="00931C86"/>
    <w:rsid w:val="00931E26"/>
    <w:rsid w:val="00931E79"/>
    <w:rsid w:val="00932059"/>
    <w:rsid w:val="0093232B"/>
    <w:rsid w:val="00932605"/>
    <w:rsid w:val="00932AF1"/>
    <w:rsid w:val="00932F00"/>
    <w:rsid w:val="009330A7"/>
    <w:rsid w:val="009330BA"/>
    <w:rsid w:val="0093330D"/>
    <w:rsid w:val="009333EE"/>
    <w:rsid w:val="0093343C"/>
    <w:rsid w:val="0093364C"/>
    <w:rsid w:val="009336FC"/>
    <w:rsid w:val="0093371A"/>
    <w:rsid w:val="009339B0"/>
    <w:rsid w:val="00933A7B"/>
    <w:rsid w:val="00933AD7"/>
    <w:rsid w:val="00934076"/>
    <w:rsid w:val="00934295"/>
    <w:rsid w:val="009343A6"/>
    <w:rsid w:val="00934665"/>
    <w:rsid w:val="00934976"/>
    <w:rsid w:val="0093497A"/>
    <w:rsid w:val="00934AA7"/>
    <w:rsid w:val="00934AE1"/>
    <w:rsid w:val="00934B60"/>
    <w:rsid w:val="00934B9A"/>
    <w:rsid w:val="00934EC0"/>
    <w:rsid w:val="00934FC8"/>
    <w:rsid w:val="00935228"/>
    <w:rsid w:val="009354D7"/>
    <w:rsid w:val="009357D9"/>
    <w:rsid w:val="0093585A"/>
    <w:rsid w:val="00935CE4"/>
    <w:rsid w:val="00935D02"/>
    <w:rsid w:val="00935D5A"/>
    <w:rsid w:val="00935D83"/>
    <w:rsid w:val="00935EEC"/>
    <w:rsid w:val="009360CA"/>
    <w:rsid w:val="009361C9"/>
    <w:rsid w:val="00936218"/>
    <w:rsid w:val="0093632D"/>
    <w:rsid w:val="009365B5"/>
    <w:rsid w:val="009367A6"/>
    <w:rsid w:val="0093687C"/>
    <w:rsid w:val="009370B1"/>
    <w:rsid w:val="00937279"/>
    <w:rsid w:val="00937570"/>
    <w:rsid w:val="009375C8"/>
    <w:rsid w:val="00937C51"/>
    <w:rsid w:val="00937D80"/>
    <w:rsid w:val="0094001A"/>
    <w:rsid w:val="00940129"/>
    <w:rsid w:val="009401C5"/>
    <w:rsid w:val="00940392"/>
    <w:rsid w:val="009403C0"/>
    <w:rsid w:val="009404C9"/>
    <w:rsid w:val="009406DF"/>
    <w:rsid w:val="009408D8"/>
    <w:rsid w:val="00940D2C"/>
    <w:rsid w:val="00940F97"/>
    <w:rsid w:val="00941097"/>
    <w:rsid w:val="009410F9"/>
    <w:rsid w:val="00941152"/>
    <w:rsid w:val="0094135F"/>
    <w:rsid w:val="00941382"/>
    <w:rsid w:val="00941A1E"/>
    <w:rsid w:val="00941AD3"/>
    <w:rsid w:val="00941C79"/>
    <w:rsid w:val="00941F27"/>
    <w:rsid w:val="00941F70"/>
    <w:rsid w:val="009426D3"/>
    <w:rsid w:val="00942725"/>
    <w:rsid w:val="009427AA"/>
    <w:rsid w:val="009429FF"/>
    <w:rsid w:val="00942A8A"/>
    <w:rsid w:val="00942BAE"/>
    <w:rsid w:val="00942BEB"/>
    <w:rsid w:val="00942FB5"/>
    <w:rsid w:val="00943271"/>
    <w:rsid w:val="00943285"/>
    <w:rsid w:val="009434C6"/>
    <w:rsid w:val="00943AE1"/>
    <w:rsid w:val="00943C1F"/>
    <w:rsid w:val="00943F1A"/>
    <w:rsid w:val="00943FC7"/>
    <w:rsid w:val="00944477"/>
    <w:rsid w:val="009444A5"/>
    <w:rsid w:val="009447C8"/>
    <w:rsid w:val="00944852"/>
    <w:rsid w:val="00944AA1"/>
    <w:rsid w:val="00944BBB"/>
    <w:rsid w:val="00944C87"/>
    <w:rsid w:val="00944D96"/>
    <w:rsid w:val="0094544A"/>
    <w:rsid w:val="0094570A"/>
    <w:rsid w:val="009458DC"/>
    <w:rsid w:val="00945984"/>
    <w:rsid w:val="00945D09"/>
    <w:rsid w:val="00945EA3"/>
    <w:rsid w:val="00946000"/>
    <w:rsid w:val="0094618B"/>
    <w:rsid w:val="0094621F"/>
    <w:rsid w:val="00946316"/>
    <w:rsid w:val="009463D8"/>
    <w:rsid w:val="009465B1"/>
    <w:rsid w:val="009465C3"/>
    <w:rsid w:val="0094660E"/>
    <w:rsid w:val="00946927"/>
    <w:rsid w:val="0094694B"/>
    <w:rsid w:val="0094694E"/>
    <w:rsid w:val="00946B16"/>
    <w:rsid w:val="00947117"/>
    <w:rsid w:val="0094730D"/>
    <w:rsid w:val="009478C2"/>
    <w:rsid w:val="00947A66"/>
    <w:rsid w:val="00947C24"/>
    <w:rsid w:val="00947D2B"/>
    <w:rsid w:val="00950703"/>
    <w:rsid w:val="00950775"/>
    <w:rsid w:val="009507CA"/>
    <w:rsid w:val="009508B5"/>
    <w:rsid w:val="00950A95"/>
    <w:rsid w:val="00950C06"/>
    <w:rsid w:val="00950C67"/>
    <w:rsid w:val="00950D53"/>
    <w:rsid w:val="00950DF7"/>
    <w:rsid w:val="00950E52"/>
    <w:rsid w:val="00950F2F"/>
    <w:rsid w:val="00951198"/>
    <w:rsid w:val="009511B5"/>
    <w:rsid w:val="0095156D"/>
    <w:rsid w:val="009517AB"/>
    <w:rsid w:val="00951E92"/>
    <w:rsid w:val="0095203B"/>
    <w:rsid w:val="009521C6"/>
    <w:rsid w:val="00952667"/>
    <w:rsid w:val="00952738"/>
    <w:rsid w:val="00952BBD"/>
    <w:rsid w:val="00952EB8"/>
    <w:rsid w:val="00952F7D"/>
    <w:rsid w:val="00953016"/>
    <w:rsid w:val="00953201"/>
    <w:rsid w:val="009533DE"/>
    <w:rsid w:val="009534AA"/>
    <w:rsid w:val="00953642"/>
    <w:rsid w:val="00953691"/>
    <w:rsid w:val="00953768"/>
    <w:rsid w:val="00953AA2"/>
    <w:rsid w:val="00953BA4"/>
    <w:rsid w:val="00953C13"/>
    <w:rsid w:val="00953E3D"/>
    <w:rsid w:val="00953E61"/>
    <w:rsid w:val="00953FDD"/>
    <w:rsid w:val="009541B0"/>
    <w:rsid w:val="00954360"/>
    <w:rsid w:val="00954476"/>
    <w:rsid w:val="00954533"/>
    <w:rsid w:val="00954541"/>
    <w:rsid w:val="009545A1"/>
    <w:rsid w:val="009546E7"/>
    <w:rsid w:val="00954B0A"/>
    <w:rsid w:val="00954CB0"/>
    <w:rsid w:val="00954D56"/>
    <w:rsid w:val="00954D85"/>
    <w:rsid w:val="00955065"/>
    <w:rsid w:val="00955235"/>
    <w:rsid w:val="00955262"/>
    <w:rsid w:val="00955476"/>
    <w:rsid w:val="00955584"/>
    <w:rsid w:val="009555E0"/>
    <w:rsid w:val="00955610"/>
    <w:rsid w:val="0095567A"/>
    <w:rsid w:val="00955C08"/>
    <w:rsid w:val="009563B3"/>
    <w:rsid w:val="009563D6"/>
    <w:rsid w:val="0095649B"/>
    <w:rsid w:val="00956514"/>
    <w:rsid w:val="0095656E"/>
    <w:rsid w:val="0095667E"/>
    <w:rsid w:val="00956C47"/>
    <w:rsid w:val="00956C5D"/>
    <w:rsid w:val="00956E64"/>
    <w:rsid w:val="00956E6D"/>
    <w:rsid w:val="00956EFC"/>
    <w:rsid w:val="00957805"/>
    <w:rsid w:val="00957876"/>
    <w:rsid w:val="0095787C"/>
    <w:rsid w:val="009578BE"/>
    <w:rsid w:val="00957C98"/>
    <w:rsid w:val="00957DBE"/>
    <w:rsid w:val="00960138"/>
    <w:rsid w:val="0096059A"/>
    <w:rsid w:val="00960BDE"/>
    <w:rsid w:val="00960E21"/>
    <w:rsid w:val="00960E58"/>
    <w:rsid w:val="00960F4C"/>
    <w:rsid w:val="00961186"/>
    <w:rsid w:val="0096180F"/>
    <w:rsid w:val="009618B1"/>
    <w:rsid w:val="0096194F"/>
    <w:rsid w:val="00961AC2"/>
    <w:rsid w:val="00961DFD"/>
    <w:rsid w:val="00961E43"/>
    <w:rsid w:val="0096213B"/>
    <w:rsid w:val="00962240"/>
    <w:rsid w:val="009623FC"/>
    <w:rsid w:val="009625A0"/>
    <w:rsid w:val="0096261D"/>
    <w:rsid w:val="0096271C"/>
    <w:rsid w:val="00962C01"/>
    <w:rsid w:val="00962CD1"/>
    <w:rsid w:val="00962D19"/>
    <w:rsid w:val="00962D75"/>
    <w:rsid w:val="00963147"/>
    <w:rsid w:val="00963645"/>
    <w:rsid w:val="00963EA1"/>
    <w:rsid w:val="00963F3F"/>
    <w:rsid w:val="00963F55"/>
    <w:rsid w:val="009643E4"/>
    <w:rsid w:val="009648C4"/>
    <w:rsid w:val="00964945"/>
    <w:rsid w:val="00964D3A"/>
    <w:rsid w:val="00964D3F"/>
    <w:rsid w:val="00964D54"/>
    <w:rsid w:val="00964F5D"/>
    <w:rsid w:val="00965328"/>
    <w:rsid w:val="00965470"/>
    <w:rsid w:val="0096555B"/>
    <w:rsid w:val="00965715"/>
    <w:rsid w:val="0096579B"/>
    <w:rsid w:val="00965C2B"/>
    <w:rsid w:val="00965C31"/>
    <w:rsid w:val="00965E0C"/>
    <w:rsid w:val="00965E78"/>
    <w:rsid w:val="00965E9C"/>
    <w:rsid w:val="0096614D"/>
    <w:rsid w:val="009665B3"/>
    <w:rsid w:val="009666D3"/>
    <w:rsid w:val="00966809"/>
    <w:rsid w:val="009669FE"/>
    <w:rsid w:val="00966AE1"/>
    <w:rsid w:val="00966B11"/>
    <w:rsid w:val="00966C89"/>
    <w:rsid w:val="00966D9B"/>
    <w:rsid w:val="00966E13"/>
    <w:rsid w:val="00966E6D"/>
    <w:rsid w:val="0096718D"/>
    <w:rsid w:val="0096731D"/>
    <w:rsid w:val="009673AE"/>
    <w:rsid w:val="00967568"/>
    <w:rsid w:val="00967691"/>
    <w:rsid w:val="00967EDD"/>
    <w:rsid w:val="00967FA8"/>
    <w:rsid w:val="009700CD"/>
    <w:rsid w:val="009708C4"/>
    <w:rsid w:val="00970929"/>
    <w:rsid w:val="00970933"/>
    <w:rsid w:val="00970CDD"/>
    <w:rsid w:val="00970E15"/>
    <w:rsid w:val="00970F49"/>
    <w:rsid w:val="00971376"/>
    <w:rsid w:val="0097150B"/>
    <w:rsid w:val="00971A6F"/>
    <w:rsid w:val="00971A94"/>
    <w:rsid w:val="00971E11"/>
    <w:rsid w:val="00971E91"/>
    <w:rsid w:val="00971F10"/>
    <w:rsid w:val="00972043"/>
    <w:rsid w:val="00972060"/>
    <w:rsid w:val="00972077"/>
    <w:rsid w:val="0097236C"/>
    <w:rsid w:val="00972426"/>
    <w:rsid w:val="00972455"/>
    <w:rsid w:val="0097268E"/>
    <w:rsid w:val="0097282D"/>
    <w:rsid w:val="00972A75"/>
    <w:rsid w:val="00972F5E"/>
    <w:rsid w:val="009730EB"/>
    <w:rsid w:val="009735AF"/>
    <w:rsid w:val="0097361F"/>
    <w:rsid w:val="00973642"/>
    <w:rsid w:val="0097364A"/>
    <w:rsid w:val="00973742"/>
    <w:rsid w:val="009738CA"/>
    <w:rsid w:val="00973970"/>
    <w:rsid w:val="00973B42"/>
    <w:rsid w:val="00973B61"/>
    <w:rsid w:val="00973BC8"/>
    <w:rsid w:val="00973D8F"/>
    <w:rsid w:val="00973EC2"/>
    <w:rsid w:val="00974261"/>
    <w:rsid w:val="009744FC"/>
    <w:rsid w:val="0097451B"/>
    <w:rsid w:val="009746C6"/>
    <w:rsid w:val="00974A2B"/>
    <w:rsid w:val="00974A90"/>
    <w:rsid w:val="00974DAE"/>
    <w:rsid w:val="00974DF5"/>
    <w:rsid w:val="009750FD"/>
    <w:rsid w:val="0097511D"/>
    <w:rsid w:val="00975308"/>
    <w:rsid w:val="00975339"/>
    <w:rsid w:val="009753D4"/>
    <w:rsid w:val="009754C0"/>
    <w:rsid w:val="009758D4"/>
    <w:rsid w:val="009759B5"/>
    <w:rsid w:val="00975B65"/>
    <w:rsid w:val="00975C02"/>
    <w:rsid w:val="00975EDF"/>
    <w:rsid w:val="009761D6"/>
    <w:rsid w:val="009763DB"/>
    <w:rsid w:val="00976401"/>
    <w:rsid w:val="00976764"/>
    <w:rsid w:val="00976A28"/>
    <w:rsid w:val="00976AC4"/>
    <w:rsid w:val="00976B48"/>
    <w:rsid w:val="00976CEC"/>
    <w:rsid w:val="00976DF0"/>
    <w:rsid w:val="00977198"/>
    <w:rsid w:val="009771A1"/>
    <w:rsid w:val="00977408"/>
    <w:rsid w:val="00977463"/>
    <w:rsid w:val="00977752"/>
    <w:rsid w:val="00977FE9"/>
    <w:rsid w:val="009803B5"/>
    <w:rsid w:val="0098071F"/>
    <w:rsid w:val="0098077C"/>
    <w:rsid w:val="009809F6"/>
    <w:rsid w:val="00980B76"/>
    <w:rsid w:val="00980CB7"/>
    <w:rsid w:val="00980EDB"/>
    <w:rsid w:val="0098102A"/>
    <w:rsid w:val="009810AC"/>
    <w:rsid w:val="00981144"/>
    <w:rsid w:val="009813C4"/>
    <w:rsid w:val="009814B3"/>
    <w:rsid w:val="0098151E"/>
    <w:rsid w:val="0098157F"/>
    <w:rsid w:val="0098171C"/>
    <w:rsid w:val="00981747"/>
    <w:rsid w:val="00981776"/>
    <w:rsid w:val="00981791"/>
    <w:rsid w:val="009818D6"/>
    <w:rsid w:val="0098197A"/>
    <w:rsid w:val="00981C5A"/>
    <w:rsid w:val="0098220E"/>
    <w:rsid w:val="009824C9"/>
    <w:rsid w:val="00982725"/>
    <w:rsid w:val="00982D89"/>
    <w:rsid w:val="00982E13"/>
    <w:rsid w:val="00982F8D"/>
    <w:rsid w:val="00983026"/>
    <w:rsid w:val="0098303E"/>
    <w:rsid w:val="009830A8"/>
    <w:rsid w:val="0098323E"/>
    <w:rsid w:val="009834AF"/>
    <w:rsid w:val="0098388A"/>
    <w:rsid w:val="00983897"/>
    <w:rsid w:val="0098390C"/>
    <w:rsid w:val="00983E9A"/>
    <w:rsid w:val="00983FE5"/>
    <w:rsid w:val="009842F6"/>
    <w:rsid w:val="009843C6"/>
    <w:rsid w:val="00984569"/>
    <w:rsid w:val="00984606"/>
    <w:rsid w:val="009849F7"/>
    <w:rsid w:val="00984A67"/>
    <w:rsid w:val="00984D8C"/>
    <w:rsid w:val="00984E67"/>
    <w:rsid w:val="00984EE4"/>
    <w:rsid w:val="009850AD"/>
    <w:rsid w:val="00985808"/>
    <w:rsid w:val="0098585F"/>
    <w:rsid w:val="009858E4"/>
    <w:rsid w:val="00985C58"/>
    <w:rsid w:val="0098600A"/>
    <w:rsid w:val="0098609A"/>
    <w:rsid w:val="00986188"/>
    <w:rsid w:val="009862CB"/>
    <w:rsid w:val="00986381"/>
    <w:rsid w:val="0098651E"/>
    <w:rsid w:val="00986581"/>
    <w:rsid w:val="0098673A"/>
    <w:rsid w:val="00986835"/>
    <w:rsid w:val="00986862"/>
    <w:rsid w:val="009869BE"/>
    <w:rsid w:val="00986C51"/>
    <w:rsid w:val="00986E1C"/>
    <w:rsid w:val="00986E83"/>
    <w:rsid w:val="00987710"/>
    <w:rsid w:val="0098776C"/>
    <w:rsid w:val="0098777D"/>
    <w:rsid w:val="00987959"/>
    <w:rsid w:val="00987986"/>
    <w:rsid w:val="00987A17"/>
    <w:rsid w:val="00987DAA"/>
    <w:rsid w:val="00987E66"/>
    <w:rsid w:val="00987E81"/>
    <w:rsid w:val="009901FF"/>
    <w:rsid w:val="00990B37"/>
    <w:rsid w:val="00990BD2"/>
    <w:rsid w:val="00990C08"/>
    <w:rsid w:val="00990DF8"/>
    <w:rsid w:val="00990EE0"/>
    <w:rsid w:val="009910A4"/>
    <w:rsid w:val="009910AE"/>
    <w:rsid w:val="00991397"/>
    <w:rsid w:val="009917DE"/>
    <w:rsid w:val="009918D8"/>
    <w:rsid w:val="00991AE4"/>
    <w:rsid w:val="00991CA2"/>
    <w:rsid w:val="00991FE9"/>
    <w:rsid w:val="0099215E"/>
    <w:rsid w:val="009922DE"/>
    <w:rsid w:val="00992422"/>
    <w:rsid w:val="00992466"/>
    <w:rsid w:val="009926AA"/>
    <w:rsid w:val="00992CA0"/>
    <w:rsid w:val="00992F3F"/>
    <w:rsid w:val="00992FE2"/>
    <w:rsid w:val="009937D1"/>
    <w:rsid w:val="00993A62"/>
    <w:rsid w:val="00993BA8"/>
    <w:rsid w:val="00993D28"/>
    <w:rsid w:val="00993D4B"/>
    <w:rsid w:val="00994084"/>
    <w:rsid w:val="00994409"/>
    <w:rsid w:val="00994474"/>
    <w:rsid w:val="009945C5"/>
    <w:rsid w:val="009945F7"/>
    <w:rsid w:val="00994618"/>
    <w:rsid w:val="00994728"/>
    <w:rsid w:val="009948FE"/>
    <w:rsid w:val="00994924"/>
    <w:rsid w:val="009949A7"/>
    <w:rsid w:val="00994A53"/>
    <w:rsid w:val="00994AF2"/>
    <w:rsid w:val="00994B5B"/>
    <w:rsid w:val="00994E5F"/>
    <w:rsid w:val="00994EE5"/>
    <w:rsid w:val="00995135"/>
    <w:rsid w:val="0099524E"/>
    <w:rsid w:val="0099548D"/>
    <w:rsid w:val="00995630"/>
    <w:rsid w:val="00995A95"/>
    <w:rsid w:val="00995C5E"/>
    <w:rsid w:val="00995D92"/>
    <w:rsid w:val="009960B1"/>
    <w:rsid w:val="0099623C"/>
    <w:rsid w:val="009962EB"/>
    <w:rsid w:val="0099632C"/>
    <w:rsid w:val="00996596"/>
    <w:rsid w:val="00996715"/>
    <w:rsid w:val="00996746"/>
    <w:rsid w:val="00996890"/>
    <w:rsid w:val="00996923"/>
    <w:rsid w:val="00996A96"/>
    <w:rsid w:val="00996C2E"/>
    <w:rsid w:val="00996DB5"/>
    <w:rsid w:val="00996E1E"/>
    <w:rsid w:val="00996F4C"/>
    <w:rsid w:val="0099706C"/>
    <w:rsid w:val="00997412"/>
    <w:rsid w:val="00997447"/>
    <w:rsid w:val="00997566"/>
    <w:rsid w:val="0099794A"/>
    <w:rsid w:val="009979CF"/>
    <w:rsid w:val="00997BC2"/>
    <w:rsid w:val="00997E1B"/>
    <w:rsid w:val="00997E1E"/>
    <w:rsid w:val="009A0077"/>
    <w:rsid w:val="009A00AA"/>
    <w:rsid w:val="009A0133"/>
    <w:rsid w:val="009A0487"/>
    <w:rsid w:val="009A099E"/>
    <w:rsid w:val="009A0A3C"/>
    <w:rsid w:val="009A0B56"/>
    <w:rsid w:val="009A18B4"/>
    <w:rsid w:val="009A1921"/>
    <w:rsid w:val="009A1AAD"/>
    <w:rsid w:val="009A1DA3"/>
    <w:rsid w:val="009A1E9A"/>
    <w:rsid w:val="009A1EC6"/>
    <w:rsid w:val="009A1F33"/>
    <w:rsid w:val="009A206A"/>
    <w:rsid w:val="009A227D"/>
    <w:rsid w:val="009A22C6"/>
    <w:rsid w:val="009A2370"/>
    <w:rsid w:val="009A24A0"/>
    <w:rsid w:val="009A255D"/>
    <w:rsid w:val="009A257B"/>
    <w:rsid w:val="009A2623"/>
    <w:rsid w:val="009A2774"/>
    <w:rsid w:val="009A2DD4"/>
    <w:rsid w:val="009A2E0D"/>
    <w:rsid w:val="009A2FD2"/>
    <w:rsid w:val="009A3109"/>
    <w:rsid w:val="009A3383"/>
    <w:rsid w:val="009A3413"/>
    <w:rsid w:val="009A364A"/>
    <w:rsid w:val="009A369F"/>
    <w:rsid w:val="009A36EE"/>
    <w:rsid w:val="009A3714"/>
    <w:rsid w:val="009A3987"/>
    <w:rsid w:val="009A3A74"/>
    <w:rsid w:val="009A3CDE"/>
    <w:rsid w:val="009A3EAC"/>
    <w:rsid w:val="009A3F02"/>
    <w:rsid w:val="009A3F2C"/>
    <w:rsid w:val="009A433A"/>
    <w:rsid w:val="009A4611"/>
    <w:rsid w:val="009A4991"/>
    <w:rsid w:val="009A499E"/>
    <w:rsid w:val="009A4B59"/>
    <w:rsid w:val="009A4C21"/>
    <w:rsid w:val="009A4EA7"/>
    <w:rsid w:val="009A508D"/>
    <w:rsid w:val="009A511C"/>
    <w:rsid w:val="009A515E"/>
    <w:rsid w:val="009A5797"/>
    <w:rsid w:val="009A5BE7"/>
    <w:rsid w:val="009A5FC7"/>
    <w:rsid w:val="009A6400"/>
    <w:rsid w:val="009A6439"/>
    <w:rsid w:val="009A6589"/>
    <w:rsid w:val="009A6AA9"/>
    <w:rsid w:val="009A6B10"/>
    <w:rsid w:val="009A6C13"/>
    <w:rsid w:val="009A6F5C"/>
    <w:rsid w:val="009A7364"/>
    <w:rsid w:val="009A7374"/>
    <w:rsid w:val="009A75DA"/>
    <w:rsid w:val="009A7734"/>
    <w:rsid w:val="009A77DD"/>
    <w:rsid w:val="009A7800"/>
    <w:rsid w:val="009A7B78"/>
    <w:rsid w:val="009A7CDA"/>
    <w:rsid w:val="009A7CEA"/>
    <w:rsid w:val="009A7DB8"/>
    <w:rsid w:val="009B0206"/>
    <w:rsid w:val="009B0247"/>
    <w:rsid w:val="009B028D"/>
    <w:rsid w:val="009B04E5"/>
    <w:rsid w:val="009B0870"/>
    <w:rsid w:val="009B0C80"/>
    <w:rsid w:val="009B0D8D"/>
    <w:rsid w:val="009B1070"/>
    <w:rsid w:val="009B11D0"/>
    <w:rsid w:val="009B13B0"/>
    <w:rsid w:val="009B173C"/>
    <w:rsid w:val="009B180C"/>
    <w:rsid w:val="009B184A"/>
    <w:rsid w:val="009B1D8B"/>
    <w:rsid w:val="009B220E"/>
    <w:rsid w:val="009B23A4"/>
    <w:rsid w:val="009B275E"/>
    <w:rsid w:val="009B2798"/>
    <w:rsid w:val="009B2822"/>
    <w:rsid w:val="009B28BD"/>
    <w:rsid w:val="009B2952"/>
    <w:rsid w:val="009B2A34"/>
    <w:rsid w:val="009B2FB9"/>
    <w:rsid w:val="009B3534"/>
    <w:rsid w:val="009B37AD"/>
    <w:rsid w:val="009B38F8"/>
    <w:rsid w:val="009B3D54"/>
    <w:rsid w:val="009B3E04"/>
    <w:rsid w:val="009B439D"/>
    <w:rsid w:val="009B4810"/>
    <w:rsid w:val="009B482F"/>
    <w:rsid w:val="009B4E99"/>
    <w:rsid w:val="009B51F2"/>
    <w:rsid w:val="009B51F4"/>
    <w:rsid w:val="009B5320"/>
    <w:rsid w:val="009B532D"/>
    <w:rsid w:val="009B533C"/>
    <w:rsid w:val="009B5419"/>
    <w:rsid w:val="009B55CE"/>
    <w:rsid w:val="009B5768"/>
    <w:rsid w:val="009B580C"/>
    <w:rsid w:val="009B5D33"/>
    <w:rsid w:val="009B5FFA"/>
    <w:rsid w:val="009B65D0"/>
    <w:rsid w:val="009B662A"/>
    <w:rsid w:val="009B670B"/>
    <w:rsid w:val="009B67A2"/>
    <w:rsid w:val="009B68AC"/>
    <w:rsid w:val="009B6E18"/>
    <w:rsid w:val="009B6E43"/>
    <w:rsid w:val="009B6EEC"/>
    <w:rsid w:val="009B70E2"/>
    <w:rsid w:val="009B7280"/>
    <w:rsid w:val="009B731B"/>
    <w:rsid w:val="009B76AE"/>
    <w:rsid w:val="009B7B4F"/>
    <w:rsid w:val="009C012D"/>
    <w:rsid w:val="009C01F4"/>
    <w:rsid w:val="009C072A"/>
    <w:rsid w:val="009C0876"/>
    <w:rsid w:val="009C08AC"/>
    <w:rsid w:val="009C0912"/>
    <w:rsid w:val="009C09B2"/>
    <w:rsid w:val="009C0E73"/>
    <w:rsid w:val="009C0EB5"/>
    <w:rsid w:val="009C0ECD"/>
    <w:rsid w:val="009C0FED"/>
    <w:rsid w:val="009C125F"/>
    <w:rsid w:val="009C1381"/>
    <w:rsid w:val="009C140F"/>
    <w:rsid w:val="009C155D"/>
    <w:rsid w:val="009C16DF"/>
    <w:rsid w:val="009C1722"/>
    <w:rsid w:val="009C17F4"/>
    <w:rsid w:val="009C1D34"/>
    <w:rsid w:val="009C202C"/>
    <w:rsid w:val="009C20A2"/>
    <w:rsid w:val="009C2170"/>
    <w:rsid w:val="009C2302"/>
    <w:rsid w:val="009C2307"/>
    <w:rsid w:val="009C23CA"/>
    <w:rsid w:val="009C27E0"/>
    <w:rsid w:val="009C281B"/>
    <w:rsid w:val="009C297A"/>
    <w:rsid w:val="009C2A0D"/>
    <w:rsid w:val="009C2CA1"/>
    <w:rsid w:val="009C2EB7"/>
    <w:rsid w:val="009C30EB"/>
    <w:rsid w:val="009C32A8"/>
    <w:rsid w:val="009C3563"/>
    <w:rsid w:val="009C3950"/>
    <w:rsid w:val="009C3990"/>
    <w:rsid w:val="009C3A5E"/>
    <w:rsid w:val="009C3BA4"/>
    <w:rsid w:val="009C3D11"/>
    <w:rsid w:val="009C3DA5"/>
    <w:rsid w:val="009C3DC2"/>
    <w:rsid w:val="009C3FFF"/>
    <w:rsid w:val="009C4187"/>
    <w:rsid w:val="009C4293"/>
    <w:rsid w:val="009C4390"/>
    <w:rsid w:val="009C49F0"/>
    <w:rsid w:val="009C4AAB"/>
    <w:rsid w:val="009C5093"/>
    <w:rsid w:val="009C5186"/>
    <w:rsid w:val="009C52CB"/>
    <w:rsid w:val="009C5309"/>
    <w:rsid w:val="009C53BE"/>
    <w:rsid w:val="009C594C"/>
    <w:rsid w:val="009C5987"/>
    <w:rsid w:val="009C5BA6"/>
    <w:rsid w:val="009C5BC3"/>
    <w:rsid w:val="009C5BFE"/>
    <w:rsid w:val="009C5C26"/>
    <w:rsid w:val="009C5D4F"/>
    <w:rsid w:val="009C5EB6"/>
    <w:rsid w:val="009C5EFC"/>
    <w:rsid w:val="009C5F6F"/>
    <w:rsid w:val="009C6161"/>
    <w:rsid w:val="009C61A8"/>
    <w:rsid w:val="009C66A0"/>
    <w:rsid w:val="009C6943"/>
    <w:rsid w:val="009C6A6A"/>
    <w:rsid w:val="009C6AD1"/>
    <w:rsid w:val="009C6AF9"/>
    <w:rsid w:val="009C6C3A"/>
    <w:rsid w:val="009C6CC3"/>
    <w:rsid w:val="009C6D2F"/>
    <w:rsid w:val="009C6FF2"/>
    <w:rsid w:val="009C7073"/>
    <w:rsid w:val="009C707A"/>
    <w:rsid w:val="009C7C26"/>
    <w:rsid w:val="009C7C42"/>
    <w:rsid w:val="009D0055"/>
    <w:rsid w:val="009D04FB"/>
    <w:rsid w:val="009D055D"/>
    <w:rsid w:val="009D0643"/>
    <w:rsid w:val="009D065E"/>
    <w:rsid w:val="009D0B0F"/>
    <w:rsid w:val="009D114F"/>
    <w:rsid w:val="009D1152"/>
    <w:rsid w:val="009D116C"/>
    <w:rsid w:val="009D11F1"/>
    <w:rsid w:val="009D121A"/>
    <w:rsid w:val="009D17CA"/>
    <w:rsid w:val="009D1B38"/>
    <w:rsid w:val="009D1BD5"/>
    <w:rsid w:val="009D1E06"/>
    <w:rsid w:val="009D2087"/>
    <w:rsid w:val="009D22BF"/>
    <w:rsid w:val="009D26B6"/>
    <w:rsid w:val="009D2849"/>
    <w:rsid w:val="009D29F1"/>
    <w:rsid w:val="009D2A8F"/>
    <w:rsid w:val="009D2BE1"/>
    <w:rsid w:val="009D2C96"/>
    <w:rsid w:val="009D2CCA"/>
    <w:rsid w:val="009D2F59"/>
    <w:rsid w:val="009D3047"/>
    <w:rsid w:val="009D30C0"/>
    <w:rsid w:val="009D30F5"/>
    <w:rsid w:val="009D33AA"/>
    <w:rsid w:val="009D35F3"/>
    <w:rsid w:val="009D37E8"/>
    <w:rsid w:val="009D394B"/>
    <w:rsid w:val="009D396C"/>
    <w:rsid w:val="009D3A30"/>
    <w:rsid w:val="009D3B1D"/>
    <w:rsid w:val="009D409C"/>
    <w:rsid w:val="009D43D2"/>
    <w:rsid w:val="009D451A"/>
    <w:rsid w:val="009D47FF"/>
    <w:rsid w:val="009D4ACC"/>
    <w:rsid w:val="009D4E69"/>
    <w:rsid w:val="009D56C2"/>
    <w:rsid w:val="009D58CC"/>
    <w:rsid w:val="009D5D02"/>
    <w:rsid w:val="009D5D2D"/>
    <w:rsid w:val="009D5D86"/>
    <w:rsid w:val="009D5E9A"/>
    <w:rsid w:val="009D5F43"/>
    <w:rsid w:val="009D602F"/>
    <w:rsid w:val="009D6109"/>
    <w:rsid w:val="009D62DA"/>
    <w:rsid w:val="009D6348"/>
    <w:rsid w:val="009D64D1"/>
    <w:rsid w:val="009D6966"/>
    <w:rsid w:val="009D6A93"/>
    <w:rsid w:val="009D6B93"/>
    <w:rsid w:val="009D6FE3"/>
    <w:rsid w:val="009D7194"/>
    <w:rsid w:val="009D72B4"/>
    <w:rsid w:val="009D77CB"/>
    <w:rsid w:val="009D7A4B"/>
    <w:rsid w:val="009D7AD0"/>
    <w:rsid w:val="009D7CE6"/>
    <w:rsid w:val="009E0174"/>
    <w:rsid w:val="009E0244"/>
    <w:rsid w:val="009E071E"/>
    <w:rsid w:val="009E0A88"/>
    <w:rsid w:val="009E0AF1"/>
    <w:rsid w:val="009E0C6E"/>
    <w:rsid w:val="009E0CA6"/>
    <w:rsid w:val="009E0FB2"/>
    <w:rsid w:val="009E116C"/>
    <w:rsid w:val="009E1224"/>
    <w:rsid w:val="009E1AAD"/>
    <w:rsid w:val="009E1B5F"/>
    <w:rsid w:val="009E1C08"/>
    <w:rsid w:val="009E1EC5"/>
    <w:rsid w:val="009E2019"/>
    <w:rsid w:val="009E293B"/>
    <w:rsid w:val="009E2B5E"/>
    <w:rsid w:val="009E2C84"/>
    <w:rsid w:val="009E2CF1"/>
    <w:rsid w:val="009E303B"/>
    <w:rsid w:val="009E336C"/>
    <w:rsid w:val="009E33B7"/>
    <w:rsid w:val="009E3581"/>
    <w:rsid w:val="009E35F6"/>
    <w:rsid w:val="009E36C5"/>
    <w:rsid w:val="009E390E"/>
    <w:rsid w:val="009E3A16"/>
    <w:rsid w:val="009E3A47"/>
    <w:rsid w:val="009E3ACF"/>
    <w:rsid w:val="009E3B94"/>
    <w:rsid w:val="009E3BA7"/>
    <w:rsid w:val="009E3D70"/>
    <w:rsid w:val="009E3F17"/>
    <w:rsid w:val="009E4233"/>
    <w:rsid w:val="009E42AF"/>
    <w:rsid w:val="009E42F2"/>
    <w:rsid w:val="009E435A"/>
    <w:rsid w:val="009E4649"/>
    <w:rsid w:val="009E47DE"/>
    <w:rsid w:val="009E4837"/>
    <w:rsid w:val="009E530D"/>
    <w:rsid w:val="009E535F"/>
    <w:rsid w:val="009E57D0"/>
    <w:rsid w:val="009E57D6"/>
    <w:rsid w:val="009E58CA"/>
    <w:rsid w:val="009E591C"/>
    <w:rsid w:val="009E5A12"/>
    <w:rsid w:val="009E5B39"/>
    <w:rsid w:val="009E5B9E"/>
    <w:rsid w:val="009E5CEC"/>
    <w:rsid w:val="009E5D3A"/>
    <w:rsid w:val="009E5F57"/>
    <w:rsid w:val="009E61F5"/>
    <w:rsid w:val="009E6228"/>
    <w:rsid w:val="009E6286"/>
    <w:rsid w:val="009E644D"/>
    <w:rsid w:val="009E64A4"/>
    <w:rsid w:val="009E6B1E"/>
    <w:rsid w:val="009E6B43"/>
    <w:rsid w:val="009E6B9E"/>
    <w:rsid w:val="009E7238"/>
    <w:rsid w:val="009E75AA"/>
    <w:rsid w:val="009E774D"/>
    <w:rsid w:val="009E7A83"/>
    <w:rsid w:val="009E7B80"/>
    <w:rsid w:val="009E7C49"/>
    <w:rsid w:val="009E7C92"/>
    <w:rsid w:val="009E7CD4"/>
    <w:rsid w:val="009E7CE1"/>
    <w:rsid w:val="009E7FE2"/>
    <w:rsid w:val="009F013D"/>
    <w:rsid w:val="009F01DD"/>
    <w:rsid w:val="009F03BC"/>
    <w:rsid w:val="009F0666"/>
    <w:rsid w:val="009F07DA"/>
    <w:rsid w:val="009F0E03"/>
    <w:rsid w:val="009F0FC1"/>
    <w:rsid w:val="009F123D"/>
    <w:rsid w:val="009F15CC"/>
    <w:rsid w:val="009F1631"/>
    <w:rsid w:val="009F180C"/>
    <w:rsid w:val="009F1892"/>
    <w:rsid w:val="009F189B"/>
    <w:rsid w:val="009F19FB"/>
    <w:rsid w:val="009F1A0C"/>
    <w:rsid w:val="009F1D0F"/>
    <w:rsid w:val="009F1D72"/>
    <w:rsid w:val="009F1E8E"/>
    <w:rsid w:val="009F25DC"/>
    <w:rsid w:val="009F25FD"/>
    <w:rsid w:val="009F2922"/>
    <w:rsid w:val="009F2A5E"/>
    <w:rsid w:val="009F2A83"/>
    <w:rsid w:val="009F2B76"/>
    <w:rsid w:val="009F2D53"/>
    <w:rsid w:val="009F32DE"/>
    <w:rsid w:val="009F32E0"/>
    <w:rsid w:val="009F3370"/>
    <w:rsid w:val="009F3572"/>
    <w:rsid w:val="009F3767"/>
    <w:rsid w:val="009F3A1D"/>
    <w:rsid w:val="009F3A4E"/>
    <w:rsid w:val="009F3B9C"/>
    <w:rsid w:val="009F3BE5"/>
    <w:rsid w:val="009F41BD"/>
    <w:rsid w:val="009F420B"/>
    <w:rsid w:val="009F42B9"/>
    <w:rsid w:val="009F46ED"/>
    <w:rsid w:val="009F4881"/>
    <w:rsid w:val="009F4B39"/>
    <w:rsid w:val="009F4CAF"/>
    <w:rsid w:val="009F516D"/>
    <w:rsid w:val="009F5297"/>
    <w:rsid w:val="009F530E"/>
    <w:rsid w:val="009F5348"/>
    <w:rsid w:val="009F536A"/>
    <w:rsid w:val="009F55E8"/>
    <w:rsid w:val="009F589F"/>
    <w:rsid w:val="009F5AB5"/>
    <w:rsid w:val="009F5FE7"/>
    <w:rsid w:val="009F602D"/>
    <w:rsid w:val="009F63D4"/>
    <w:rsid w:val="009F6419"/>
    <w:rsid w:val="009F6755"/>
    <w:rsid w:val="009F67D7"/>
    <w:rsid w:val="009F69B5"/>
    <w:rsid w:val="009F6BDF"/>
    <w:rsid w:val="009F6BF5"/>
    <w:rsid w:val="009F6CBA"/>
    <w:rsid w:val="009F6F9E"/>
    <w:rsid w:val="009F7122"/>
    <w:rsid w:val="009F7558"/>
    <w:rsid w:val="009F795E"/>
    <w:rsid w:val="009F79E9"/>
    <w:rsid w:val="009F7B38"/>
    <w:rsid w:val="009F7C7A"/>
    <w:rsid w:val="009F7CC3"/>
    <w:rsid w:val="00A0003C"/>
    <w:rsid w:val="00A00319"/>
    <w:rsid w:val="00A00356"/>
    <w:rsid w:val="00A00A41"/>
    <w:rsid w:val="00A00A8F"/>
    <w:rsid w:val="00A00A92"/>
    <w:rsid w:val="00A00BB0"/>
    <w:rsid w:val="00A00BC1"/>
    <w:rsid w:val="00A00C7D"/>
    <w:rsid w:val="00A00D36"/>
    <w:rsid w:val="00A00FC1"/>
    <w:rsid w:val="00A00FE7"/>
    <w:rsid w:val="00A0152B"/>
    <w:rsid w:val="00A015FC"/>
    <w:rsid w:val="00A01714"/>
    <w:rsid w:val="00A019A0"/>
    <w:rsid w:val="00A01BFA"/>
    <w:rsid w:val="00A01D68"/>
    <w:rsid w:val="00A01FAE"/>
    <w:rsid w:val="00A020E9"/>
    <w:rsid w:val="00A02210"/>
    <w:rsid w:val="00A02370"/>
    <w:rsid w:val="00A02546"/>
    <w:rsid w:val="00A0255A"/>
    <w:rsid w:val="00A0269A"/>
    <w:rsid w:val="00A026F3"/>
    <w:rsid w:val="00A0286F"/>
    <w:rsid w:val="00A02A81"/>
    <w:rsid w:val="00A02B27"/>
    <w:rsid w:val="00A02F61"/>
    <w:rsid w:val="00A02FB4"/>
    <w:rsid w:val="00A031E6"/>
    <w:rsid w:val="00A0327F"/>
    <w:rsid w:val="00A03710"/>
    <w:rsid w:val="00A03AAF"/>
    <w:rsid w:val="00A03C1D"/>
    <w:rsid w:val="00A043B5"/>
    <w:rsid w:val="00A04932"/>
    <w:rsid w:val="00A04CAF"/>
    <w:rsid w:val="00A04CF3"/>
    <w:rsid w:val="00A04E90"/>
    <w:rsid w:val="00A04F39"/>
    <w:rsid w:val="00A04FD2"/>
    <w:rsid w:val="00A0501F"/>
    <w:rsid w:val="00A05439"/>
    <w:rsid w:val="00A054EA"/>
    <w:rsid w:val="00A0556E"/>
    <w:rsid w:val="00A05EBC"/>
    <w:rsid w:val="00A05F84"/>
    <w:rsid w:val="00A0604E"/>
    <w:rsid w:val="00A0614F"/>
    <w:rsid w:val="00A06198"/>
    <w:rsid w:val="00A0686F"/>
    <w:rsid w:val="00A070BB"/>
    <w:rsid w:val="00A070FA"/>
    <w:rsid w:val="00A07220"/>
    <w:rsid w:val="00A074F3"/>
    <w:rsid w:val="00A07547"/>
    <w:rsid w:val="00A0757F"/>
    <w:rsid w:val="00A07873"/>
    <w:rsid w:val="00A07E01"/>
    <w:rsid w:val="00A07F2D"/>
    <w:rsid w:val="00A1022D"/>
    <w:rsid w:val="00A102E4"/>
    <w:rsid w:val="00A103D6"/>
    <w:rsid w:val="00A105E5"/>
    <w:rsid w:val="00A10D83"/>
    <w:rsid w:val="00A10D8D"/>
    <w:rsid w:val="00A10F1C"/>
    <w:rsid w:val="00A1105C"/>
    <w:rsid w:val="00A1140D"/>
    <w:rsid w:val="00A11458"/>
    <w:rsid w:val="00A115B1"/>
    <w:rsid w:val="00A116B9"/>
    <w:rsid w:val="00A116BC"/>
    <w:rsid w:val="00A11723"/>
    <w:rsid w:val="00A11866"/>
    <w:rsid w:val="00A1186B"/>
    <w:rsid w:val="00A11A17"/>
    <w:rsid w:val="00A11A7B"/>
    <w:rsid w:val="00A11BFE"/>
    <w:rsid w:val="00A11D98"/>
    <w:rsid w:val="00A124C1"/>
    <w:rsid w:val="00A1260D"/>
    <w:rsid w:val="00A12794"/>
    <w:rsid w:val="00A127EB"/>
    <w:rsid w:val="00A12AE7"/>
    <w:rsid w:val="00A12AEE"/>
    <w:rsid w:val="00A12BE9"/>
    <w:rsid w:val="00A12FFA"/>
    <w:rsid w:val="00A1309D"/>
    <w:rsid w:val="00A13148"/>
    <w:rsid w:val="00A133E3"/>
    <w:rsid w:val="00A1351F"/>
    <w:rsid w:val="00A13630"/>
    <w:rsid w:val="00A13732"/>
    <w:rsid w:val="00A13758"/>
    <w:rsid w:val="00A13DC8"/>
    <w:rsid w:val="00A14050"/>
    <w:rsid w:val="00A14649"/>
    <w:rsid w:val="00A146FC"/>
    <w:rsid w:val="00A14716"/>
    <w:rsid w:val="00A147CC"/>
    <w:rsid w:val="00A148F1"/>
    <w:rsid w:val="00A14C19"/>
    <w:rsid w:val="00A15303"/>
    <w:rsid w:val="00A153F4"/>
    <w:rsid w:val="00A155A5"/>
    <w:rsid w:val="00A15AB5"/>
    <w:rsid w:val="00A15CCB"/>
    <w:rsid w:val="00A15D58"/>
    <w:rsid w:val="00A15DD3"/>
    <w:rsid w:val="00A1621F"/>
    <w:rsid w:val="00A165C2"/>
    <w:rsid w:val="00A16A2D"/>
    <w:rsid w:val="00A16F84"/>
    <w:rsid w:val="00A17248"/>
    <w:rsid w:val="00A173F8"/>
    <w:rsid w:val="00A175FF"/>
    <w:rsid w:val="00A176EB"/>
    <w:rsid w:val="00A1773E"/>
    <w:rsid w:val="00A17B49"/>
    <w:rsid w:val="00A17CBA"/>
    <w:rsid w:val="00A17F46"/>
    <w:rsid w:val="00A200A2"/>
    <w:rsid w:val="00A20126"/>
    <w:rsid w:val="00A20323"/>
    <w:rsid w:val="00A20375"/>
    <w:rsid w:val="00A203A2"/>
    <w:rsid w:val="00A20BD8"/>
    <w:rsid w:val="00A20C46"/>
    <w:rsid w:val="00A20E1E"/>
    <w:rsid w:val="00A21020"/>
    <w:rsid w:val="00A2120D"/>
    <w:rsid w:val="00A2126F"/>
    <w:rsid w:val="00A213A7"/>
    <w:rsid w:val="00A213B0"/>
    <w:rsid w:val="00A213DE"/>
    <w:rsid w:val="00A21549"/>
    <w:rsid w:val="00A21564"/>
    <w:rsid w:val="00A215A1"/>
    <w:rsid w:val="00A215C4"/>
    <w:rsid w:val="00A21684"/>
    <w:rsid w:val="00A21721"/>
    <w:rsid w:val="00A21874"/>
    <w:rsid w:val="00A21B64"/>
    <w:rsid w:val="00A21CC6"/>
    <w:rsid w:val="00A22124"/>
    <w:rsid w:val="00A22275"/>
    <w:rsid w:val="00A224C8"/>
    <w:rsid w:val="00A225A1"/>
    <w:rsid w:val="00A2266A"/>
    <w:rsid w:val="00A22AC8"/>
    <w:rsid w:val="00A22B5D"/>
    <w:rsid w:val="00A22F11"/>
    <w:rsid w:val="00A231AA"/>
    <w:rsid w:val="00A23289"/>
    <w:rsid w:val="00A2341F"/>
    <w:rsid w:val="00A2342B"/>
    <w:rsid w:val="00A2372D"/>
    <w:rsid w:val="00A2374F"/>
    <w:rsid w:val="00A2383A"/>
    <w:rsid w:val="00A23BFB"/>
    <w:rsid w:val="00A23D06"/>
    <w:rsid w:val="00A23D19"/>
    <w:rsid w:val="00A23E7D"/>
    <w:rsid w:val="00A23EA5"/>
    <w:rsid w:val="00A23EDA"/>
    <w:rsid w:val="00A23EF2"/>
    <w:rsid w:val="00A23F6E"/>
    <w:rsid w:val="00A24064"/>
    <w:rsid w:val="00A24136"/>
    <w:rsid w:val="00A24663"/>
    <w:rsid w:val="00A2479F"/>
    <w:rsid w:val="00A247F9"/>
    <w:rsid w:val="00A24CBB"/>
    <w:rsid w:val="00A24D17"/>
    <w:rsid w:val="00A25638"/>
    <w:rsid w:val="00A25B65"/>
    <w:rsid w:val="00A25B7A"/>
    <w:rsid w:val="00A261BE"/>
    <w:rsid w:val="00A265F3"/>
    <w:rsid w:val="00A266C3"/>
    <w:rsid w:val="00A26958"/>
    <w:rsid w:val="00A26BA1"/>
    <w:rsid w:val="00A26C83"/>
    <w:rsid w:val="00A26DF1"/>
    <w:rsid w:val="00A26EF8"/>
    <w:rsid w:val="00A270DA"/>
    <w:rsid w:val="00A2711F"/>
    <w:rsid w:val="00A273B5"/>
    <w:rsid w:val="00A273D8"/>
    <w:rsid w:val="00A27693"/>
    <w:rsid w:val="00A276F9"/>
    <w:rsid w:val="00A2787A"/>
    <w:rsid w:val="00A27BC7"/>
    <w:rsid w:val="00A27D8B"/>
    <w:rsid w:val="00A27F8D"/>
    <w:rsid w:val="00A27FCD"/>
    <w:rsid w:val="00A27FF3"/>
    <w:rsid w:val="00A300FF"/>
    <w:rsid w:val="00A30119"/>
    <w:rsid w:val="00A304CE"/>
    <w:rsid w:val="00A30796"/>
    <w:rsid w:val="00A307D2"/>
    <w:rsid w:val="00A30870"/>
    <w:rsid w:val="00A30B6D"/>
    <w:rsid w:val="00A30C0F"/>
    <w:rsid w:val="00A30D53"/>
    <w:rsid w:val="00A30F52"/>
    <w:rsid w:val="00A30F64"/>
    <w:rsid w:val="00A310F0"/>
    <w:rsid w:val="00A31296"/>
    <w:rsid w:val="00A314A6"/>
    <w:rsid w:val="00A317B4"/>
    <w:rsid w:val="00A317BD"/>
    <w:rsid w:val="00A3182F"/>
    <w:rsid w:val="00A319AC"/>
    <w:rsid w:val="00A31A6B"/>
    <w:rsid w:val="00A31CAB"/>
    <w:rsid w:val="00A31CB0"/>
    <w:rsid w:val="00A32416"/>
    <w:rsid w:val="00A32441"/>
    <w:rsid w:val="00A3254A"/>
    <w:rsid w:val="00A32570"/>
    <w:rsid w:val="00A3263F"/>
    <w:rsid w:val="00A3273B"/>
    <w:rsid w:val="00A32780"/>
    <w:rsid w:val="00A3298A"/>
    <w:rsid w:val="00A333BC"/>
    <w:rsid w:val="00A336CE"/>
    <w:rsid w:val="00A3390E"/>
    <w:rsid w:val="00A33959"/>
    <w:rsid w:val="00A33C15"/>
    <w:rsid w:val="00A33E7B"/>
    <w:rsid w:val="00A33ECE"/>
    <w:rsid w:val="00A340E8"/>
    <w:rsid w:val="00A34314"/>
    <w:rsid w:val="00A343AD"/>
    <w:rsid w:val="00A343C3"/>
    <w:rsid w:val="00A3443B"/>
    <w:rsid w:val="00A34739"/>
    <w:rsid w:val="00A34776"/>
    <w:rsid w:val="00A34816"/>
    <w:rsid w:val="00A348C8"/>
    <w:rsid w:val="00A34A2C"/>
    <w:rsid w:val="00A34AF4"/>
    <w:rsid w:val="00A34B3D"/>
    <w:rsid w:val="00A34E4B"/>
    <w:rsid w:val="00A351DA"/>
    <w:rsid w:val="00A35476"/>
    <w:rsid w:val="00A35574"/>
    <w:rsid w:val="00A3592A"/>
    <w:rsid w:val="00A35981"/>
    <w:rsid w:val="00A35CF0"/>
    <w:rsid w:val="00A35D0D"/>
    <w:rsid w:val="00A35DF3"/>
    <w:rsid w:val="00A35E55"/>
    <w:rsid w:val="00A36214"/>
    <w:rsid w:val="00A3662F"/>
    <w:rsid w:val="00A367A9"/>
    <w:rsid w:val="00A368EB"/>
    <w:rsid w:val="00A37074"/>
    <w:rsid w:val="00A3707C"/>
    <w:rsid w:val="00A3716E"/>
    <w:rsid w:val="00A372C3"/>
    <w:rsid w:val="00A37605"/>
    <w:rsid w:val="00A3763A"/>
    <w:rsid w:val="00A37650"/>
    <w:rsid w:val="00A3770D"/>
    <w:rsid w:val="00A37863"/>
    <w:rsid w:val="00A379CE"/>
    <w:rsid w:val="00A37CE6"/>
    <w:rsid w:val="00A37E7F"/>
    <w:rsid w:val="00A37EEB"/>
    <w:rsid w:val="00A4000C"/>
    <w:rsid w:val="00A40225"/>
    <w:rsid w:val="00A402EB"/>
    <w:rsid w:val="00A40353"/>
    <w:rsid w:val="00A4039C"/>
    <w:rsid w:val="00A408EF"/>
    <w:rsid w:val="00A4098E"/>
    <w:rsid w:val="00A40C4C"/>
    <w:rsid w:val="00A40F9D"/>
    <w:rsid w:val="00A4101C"/>
    <w:rsid w:val="00A4129C"/>
    <w:rsid w:val="00A413B7"/>
    <w:rsid w:val="00A41488"/>
    <w:rsid w:val="00A414EA"/>
    <w:rsid w:val="00A4162A"/>
    <w:rsid w:val="00A4189A"/>
    <w:rsid w:val="00A41FCD"/>
    <w:rsid w:val="00A42230"/>
    <w:rsid w:val="00A422D7"/>
    <w:rsid w:val="00A423C2"/>
    <w:rsid w:val="00A4249B"/>
    <w:rsid w:val="00A42F45"/>
    <w:rsid w:val="00A43144"/>
    <w:rsid w:val="00A43348"/>
    <w:rsid w:val="00A43592"/>
    <w:rsid w:val="00A4365E"/>
    <w:rsid w:val="00A439AC"/>
    <w:rsid w:val="00A43CFF"/>
    <w:rsid w:val="00A43D7C"/>
    <w:rsid w:val="00A43D9B"/>
    <w:rsid w:val="00A44167"/>
    <w:rsid w:val="00A44313"/>
    <w:rsid w:val="00A443F8"/>
    <w:rsid w:val="00A44466"/>
    <w:rsid w:val="00A44537"/>
    <w:rsid w:val="00A445AE"/>
    <w:rsid w:val="00A445B5"/>
    <w:rsid w:val="00A445EF"/>
    <w:rsid w:val="00A446D0"/>
    <w:rsid w:val="00A4478D"/>
    <w:rsid w:val="00A44907"/>
    <w:rsid w:val="00A44A03"/>
    <w:rsid w:val="00A44BA4"/>
    <w:rsid w:val="00A44E8B"/>
    <w:rsid w:val="00A44EEB"/>
    <w:rsid w:val="00A45555"/>
    <w:rsid w:val="00A45659"/>
    <w:rsid w:val="00A45823"/>
    <w:rsid w:val="00A459F6"/>
    <w:rsid w:val="00A45A27"/>
    <w:rsid w:val="00A45AA9"/>
    <w:rsid w:val="00A45C01"/>
    <w:rsid w:val="00A45C18"/>
    <w:rsid w:val="00A45ECE"/>
    <w:rsid w:val="00A460C2"/>
    <w:rsid w:val="00A460FE"/>
    <w:rsid w:val="00A4659E"/>
    <w:rsid w:val="00A466CA"/>
    <w:rsid w:val="00A46869"/>
    <w:rsid w:val="00A46891"/>
    <w:rsid w:val="00A46B16"/>
    <w:rsid w:val="00A46B2A"/>
    <w:rsid w:val="00A46D23"/>
    <w:rsid w:val="00A46FB1"/>
    <w:rsid w:val="00A47A19"/>
    <w:rsid w:val="00A47A55"/>
    <w:rsid w:val="00A47BD7"/>
    <w:rsid w:val="00A47C75"/>
    <w:rsid w:val="00A47FA7"/>
    <w:rsid w:val="00A50076"/>
    <w:rsid w:val="00A503E7"/>
    <w:rsid w:val="00A506BC"/>
    <w:rsid w:val="00A50A10"/>
    <w:rsid w:val="00A50B22"/>
    <w:rsid w:val="00A50CF3"/>
    <w:rsid w:val="00A510FD"/>
    <w:rsid w:val="00A51170"/>
    <w:rsid w:val="00A512FD"/>
    <w:rsid w:val="00A513E5"/>
    <w:rsid w:val="00A51478"/>
    <w:rsid w:val="00A519A9"/>
    <w:rsid w:val="00A51AAF"/>
    <w:rsid w:val="00A51AC4"/>
    <w:rsid w:val="00A51DFF"/>
    <w:rsid w:val="00A51EA5"/>
    <w:rsid w:val="00A51F0C"/>
    <w:rsid w:val="00A51F45"/>
    <w:rsid w:val="00A520D5"/>
    <w:rsid w:val="00A521ED"/>
    <w:rsid w:val="00A523A0"/>
    <w:rsid w:val="00A523B4"/>
    <w:rsid w:val="00A524FB"/>
    <w:rsid w:val="00A52770"/>
    <w:rsid w:val="00A5286D"/>
    <w:rsid w:val="00A528D8"/>
    <w:rsid w:val="00A5299A"/>
    <w:rsid w:val="00A52AE9"/>
    <w:rsid w:val="00A52E2C"/>
    <w:rsid w:val="00A52E63"/>
    <w:rsid w:val="00A530BF"/>
    <w:rsid w:val="00A53246"/>
    <w:rsid w:val="00A532F8"/>
    <w:rsid w:val="00A5355E"/>
    <w:rsid w:val="00A5366A"/>
    <w:rsid w:val="00A53697"/>
    <w:rsid w:val="00A538CC"/>
    <w:rsid w:val="00A53AE7"/>
    <w:rsid w:val="00A53C00"/>
    <w:rsid w:val="00A53EF1"/>
    <w:rsid w:val="00A54322"/>
    <w:rsid w:val="00A54440"/>
    <w:rsid w:val="00A5445F"/>
    <w:rsid w:val="00A546C8"/>
    <w:rsid w:val="00A549A3"/>
    <w:rsid w:val="00A54EC4"/>
    <w:rsid w:val="00A54F63"/>
    <w:rsid w:val="00A553B2"/>
    <w:rsid w:val="00A553F2"/>
    <w:rsid w:val="00A5557B"/>
    <w:rsid w:val="00A55655"/>
    <w:rsid w:val="00A556DD"/>
    <w:rsid w:val="00A55707"/>
    <w:rsid w:val="00A55CE5"/>
    <w:rsid w:val="00A55DD8"/>
    <w:rsid w:val="00A55E53"/>
    <w:rsid w:val="00A561B2"/>
    <w:rsid w:val="00A56359"/>
    <w:rsid w:val="00A56427"/>
    <w:rsid w:val="00A56479"/>
    <w:rsid w:val="00A56541"/>
    <w:rsid w:val="00A5664A"/>
    <w:rsid w:val="00A566EC"/>
    <w:rsid w:val="00A56708"/>
    <w:rsid w:val="00A567EF"/>
    <w:rsid w:val="00A56AF7"/>
    <w:rsid w:val="00A56B63"/>
    <w:rsid w:val="00A56CF7"/>
    <w:rsid w:val="00A56DF3"/>
    <w:rsid w:val="00A56FB4"/>
    <w:rsid w:val="00A56FEF"/>
    <w:rsid w:val="00A5702F"/>
    <w:rsid w:val="00A57293"/>
    <w:rsid w:val="00A572D3"/>
    <w:rsid w:val="00A5745C"/>
    <w:rsid w:val="00A575B0"/>
    <w:rsid w:val="00A57790"/>
    <w:rsid w:val="00A577F9"/>
    <w:rsid w:val="00A57829"/>
    <w:rsid w:val="00A5786D"/>
    <w:rsid w:val="00A579D9"/>
    <w:rsid w:val="00A57A0D"/>
    <w:rsid w:val="00A57A77"/>
    <w:rsid w:val="00A57AA0"/>
    <w:rsid w:val="00A57B04"/>
    <w:rsid w:val="00A57CDF"/>
    <w:rsid w:val="00A57E74"/>
    <w:rsid w:val="00A57E86"/>
    <w:rsid w:val="00A57ED8"/>
    <w:rsid w:val="00A60165"/>
    <w:rsid w:val="00A602E0"/>
    <w:rsid w:val="00A603E4"/>
    <w:rsid w:val="00A60402"/>
    <w:rsid w:val="00A605A2"/>
    <w:rsid w:val="00A609A6"/>
    <w:rsid w:val="00A60C21"/>
    <w:rsid w:val="00A611E5"/>
    <w:rsid w:val="00A613AA"/>
    <w:rsid w:val="00A61420"/>
    <w:rsid w:val="00A616B3"/>
    <w:rsid w:val="00A6195D"/>
    <w:rsid w:val="00A61C6E"/>
    <w:rsid w:val="00A61FB7"/>
    <w:rsid w:val="00A622A9"/>
    <w:rsid w:val="00A626D2"/>
    <w:rsid w:val="00A62946"/>
    <w:rsid w:val="00A62C0E"/>
    <w:rsid w:val="00A62C65"/>
    <w:rsid w:val="00A62CB9"/>
    <w:rsid w:val="00A6340B"/>
    <w:rsid w:val="00A63575"/>
    <w:rsid w:val="00A635F1"/>
    <w:rsid w:val="00A63AD8"/>
    <w:rsid w:val="00A63AE7"/>
    <w:rsid w:val="00A63B37"/>
    <w:rsid w:val="00A63EE9"/>
    <w:rsid w:val="00A6403B"/>
    <w:rsid w:val="00A6457B"/>
    <w:rsid w:val="00A645D1"/>
    <w:rsid w:val="00A6482F"/>
    <w:rsid w:val="00A64C1E"/>
    <w:rsid w:val="00A64E07"/>
    <w:rsid w:val="00A64E8D"/>
    <w:rsid w:val="00A64F12"/>
    <w:rsid w:val="00A6576F"/>
    <w:rsid w:val="00A657D7"/>
    <w:rsid w:val="00A65815"/>
    <w:rsid w:val="00A6582C"/>
    <w:rsid w:val="00A65948"/>
    <w:rsid w:val="00A65BC6"/>
    <w:rsid w:val="00A66277"/>
    <w:rsid w:val="00A666D6"/>
    <w:rsid w:val="00A6677F"/>
    <w:rsid w:val="00A667F5"/>
    <w:rsid w:val="00A6695A"/>
    <w:rsid w:val="00A66C72"/>
    <w:rsid w:val="00A66D52"/>
    <w:rsid w:val="00A66DFD"/>
    <w:rsid w:val="00A66E11"/>
    <w:rsid w:val="00A66F51"/>
    <w:rsid w:val="00A6724B"/>
    <w:rsid w:val="00A67279"/>
    <w:rsid w:val="00A675C3"/>
    <w:rsid w:val="00A67AFA"/>
    <w:rsid w:val="00A67B3A"/>
    <w:rsid w:val="00A67C86"/>
    <w:rsid w:val="00A67D0C"/>
    <w:rsid w:val="00A70016"/>
    <w:rsid w:val="00A70099"/>
    <w:rsid w:val="00A70120"/>
    <w:rsid w:val="00A7015B"/>
    <w:rsid w:val="00A70525"/>
    <w:rsid w:val="00A70747"/>
    <w:rsid w:val="00A70AC4"/>
    <w:rsid w:val="00A70BF5"/>
    <w:rsid w:val="00A71048"/>
    <w:rsid w:val="00A71629"/>
    <w:rsid w:val="00A71718"/>
    <w:rsid w:val="00A71832"/>
    <w:rsid w:val="00A71950"/>
    <w:rsid w:val="00A71958"/>
    <w:rsid w:val="00A719EC"/>
    <w:rsid w:val="00A71B78"/>
    <w:rsid w:val="00A71D9C"/>
    <w:rsid w:val="00A722D9"/>
    <w:rsid w:val="00A72368"/>
    <w:rsid w:val="00A725F1"/>
    <w:rsid w:val="00A72626"/>
    <w:rsid w:val="00A7267D"/>
    <w:rsid w:val="00A727F2"/>
    <w:rsid w:val="00A7297A"/>
    <w:rsid w:val="00A729DB"/>
    <w:rsid w:val="00A72CC0"/>
    <w:rsid w:val="00A72CC7"/>
    <w:rsid w:val="00A72D0D"/>
    <w:rsid w:val="00A72D12"/>
    <w:rsid w:val="00A72E7D"/>
    <w:rsid w:val="00A72EC2"/>
    <w:rsid w:val="00A73282"/>
    <w:rsid w:val="00A73515"/>
    <w:rsid w:val="00A7364F"/>
    <w:rsid w:val="00A73797"/>
    <w:rsid w:val="00A7380E"/>
    <w:rsid w:val="00A73899"/>
    <w:rsid w:val="00A73A31"/>
    <w:rsid w:val="00A73A52"/>
    <w:rsid w:val="00A73A90"/>
    <w:rsid w:val="00A73A92"/>
    <w:rsid w:val="00A73C07"/>
    <w:rsid w:val="00A73D2F"/>
    <w:rsid w:val="00A73F88"/>
    <w:rsid w:val="00A741DB"/>
    <w:rsid w:val="00A741F6"/>
    <w:rsid w:val="00A742CB"/>
    <w:rsid w:val="00A743D3"/>
    <w:rsid w:val="00A7445F"/>
    <w:rsid w:val="00A745AB"/>
    <w:rsid w:val="00A74AAD"/>
    <w:rsid w:val="00A7534C"/>
    <w:rsid w:val="00A7535F"/>
    <w:rsid w:val="00A753CE"/>
    <w:rsid w:val="00A754CD"/>
    <w:rsid w:val="00A755E1"/>
    <w:rsid w:val="00A756AD"/>
    <w:rsid w:val="00A75710"/>
    <w:rsid w:val="00A75776"/>
    <w:rsid w:val="00A75859"/>
    <w:rsid w:val="00A75C3A"/>
    <w:rsid w:val="00A75CCA"/>
    <w:rsid w:val="00A75EA8"/>
    <w:rsid w:val="00A7646F"/>
    <w:rsid w:val="00A7654D"/>
    <w:rsid w:val="00A76579"/>
    <w:rsid w:val="00A76582"/>
    <w:rsid w:val="00A76791"/>
    <w:rsid w:val="00A76A26"/>
    <w:rsid w:val="00A76FC8"/>
    <w:rsid w:val="00A770BD"/>
    <w:rsid w:val="00A77148"/>
    <w:rsid w:val="00A774DC"/>
    <w:rsid w:val="00A7799A"/>
    <w:rsid w:val="00A8001E"/>
    <w:rsid w:val="00A800DA"/>
    <w:rsid w:val="00A80286"/>
    <w:rsid w:val="00A8086A"/>
    <w:rsid w:val="00A80882"/>
    <w:rsid w:val="00A809A7"/>
    <w:rsid w:val="00A80A56"/>
    <w:rsid w:val="00A80A7D"/>
    <w:rsid w:val="00A80C0A"/>
    <w:rsid w:val="00A8118A"/>
    <w:rsid w:val="00A8122D"/>
    <w:rsid w:val="00A81432"/>
    <w:rsid w:val="00A8178F"/>
    <w:rsid w:val="00A817DE"/>
    <w:rsid w:val="00A818C8"/>
    <w:rsid w:val="00A81950"/>
    <w:rsid w:val="00A81CD3"/>
    <w:rsid w:val="00A81CD7"/>
    <w:rsid w:val="00A82163"/>
    <w:rsid w:val="00A82295"/>
    <w:rsid w:val="00A822DF"/>
    <w:rsid w:val="00A82393"/>
    <w:rsid w:val="00A823B8"/>
    <w:rsid w:val="00A82795"/>
    <w:rsid w:val="00A82A72"/>
    <w:rsid w:val="00A82A95"/>
    <w:rsid w:val="00A82AD7"/>
    <w:rsid w:val="00A82C15"/>
    <w:rsid w:val="00A82C8D"/>
    <w:rsid w:val="00A82CE9"/>
    <w:rsid w:val="00A82D13"/>
    <w:rsid w:val="00A82D61"/>
    <w:rsid w:val="00A82F85"/>
    <w:rsid w:val="00A83273"/>
    <w:rsid w:val="00A8329C"/>
    <w:rsid w:val="00A83467"/>
    <w:rsid w:val="00A83692"/>
    <w:rsid w:val="00A83936"/>
    <w:rsid w:val="00A83A59"/>
    <w:rsid w:val="00A83E74"/>
    <w:rsid w:val="00A83FED"/>
    <w:rsid w:val="00A84456"/>
    <w:rsid w:val="00A8459B"/>
    <w:rsid w:val="00A845A0"/>
    <w:rsid w:val="00A84BEB"/>
    <w:rsid w:val="00A84C3B"/>
    <w:rsid w:val="00A84E6D"/>
    <w:rsid w:val="00A84E80"/>
    <w:rsid w:val="00A85079"/>
    <w:rsid w:val="00A85195"/>
    <w:rsid w:val="00A85512"/>
    <w:rsid w:val="00A85531"/>
    <w:rsid w:val="00A8561F"/>
    <w:rsid w:val="00A8564A"/>
    <w:rsid w:val="00A859E6"/>
    <w:rsid w:val="00A8634C"/>
    <w:rsid w:val="00A865AC"/>
    <w:rsid w:val="00A867AE"/>
    <w:rsid w:val="00A86A8D"/>
    <w:rsid w:val="00A86C3E"/>
    <w:rsid w:val="00A86F86"/>
    <w:rsid w:val="00A86FBB"/>
    <w:rsid w:val="00A87000"/>
    <w:rsid w:val="00A871CF"/>
    <w:rsid w:val="00A871F3"/>
    <w:rsid w:val="00A87244"/>
    <w:rsid w:val="00A8725B"/>
    <w:rsid w:val="00A8759E"/>
    <w:rsid w:val="00A87669"/>
    <w:rsid w:val="00A87895"/>
    <w:rsid w:val="00A87FDE"/>
    <w:rsid w:val="00A87FF0"/>
    <w:rsid w:val="00A9004D"/>
    <w:rsid w:val="00A90243"/>
    <w:rsid w:val="00A90CAE"/>
    <w:rsid w:val="00A90DD0"/>
    <w:rsid w:val="00A90EAB"/>
    <w:rsid w:val="00A90FCF"/>
    <w:rsid w:val="00A91214"/>
    <w:rsid w:val="00A9124B"/>
    <w:rsid w:val="00A9126A"/>
    <w:rsid w:val="00A915C1"/>
    <w:rsid w:val="00A9179C"/>
    <w:rsid w:val="00A91FA6"/>
    <w:rsid w:val="00A920DF"/>
    <w:rsid w:val="00A923C6"/>
    <w:rsid w:val="00A925EF"/>
    <w:rsid w:val="00A929E6"/>
    <w:rsid w:val="00A92A2D"/>
    <w:rsid w:val="00A92B30"/>
    <w:rsid w:val="00A933E7"/>
    <w:rsid w:val="00A941FE"/>
    <w:rsid w:val="00A94263"/>
    <w:rsid w:val="00A94531"/>
    <w:rsid w:val="00A946B0"/>
    <w:rsid w:val="00A947AC"/>
    <w:rsid w:val="00A94844"/>
    <w:rsid w:val="00A94952"/>
    <w:rsid w:val="00A94972"/>
    <w:rsid w:val="00A949D8"/>
    <w:rsid w:val="00A94A5F"/>
    <w:rsid w:val="00A94C1B"/>
    <w:rsid w:val="00A94F6E"/>
    <w:rsid w:val="00A94FA1"/>
    <w:rsid w:val="00A953C8"/>
    <w:rsid w:val="00A953D0"/>
    <w:rsid w:val="00A95451"/>
    <w:rsid w:val="00A955A7"/>
    <w:rsid w:val="00A9577C"/>
    <w:rsid w:val="00A9578D"/>
    <w:rsid w:val="00A95920"/>
    <w:rsid w:val="00A95C39"/>
    <w:rsid w:val="00A95C88"/>
    <w:rsid w:val="00A95E98"/>
    <w:rsid w:val="00A9613B"/>
    <w:rsid w:val="00A961F7"/>
    <w:rsid w:val="00A96234"/>
    <w:rsid w:val="00A964D8"/>
    <w:rsid w:val="00A96527"/>
    <w:rsid w:val="00A965FC"/>
    <w:rsid w:val="00A96AA1"/>
    <w:rsid w:val="00A96B92"/>
    <w:rsid w:val="00A96BF9"/>
    <w:rsid w:val="00A96C59"/>
    <w:rsid w:val="00A97295"/>
    <w:rsid w:val="00A973C6"/>
    <w:rsid w:val="00A97669"/>
    <w:rsid w:val="00A977F7"/>
    <w:rsid w:val="00A97935"/>
    <w:rsid w:val="00A97BB0"/>
    <w:rsid w:val="00AA03FE"/>
    <w:rsid w:val="00AA0524"/>
    <w:rsid w:val="00AA0A9F"/>
    <w:rsid w:val="00AA0CCA"/>
    <w:rsid w:val="00AA14AD"/>
    <w:rsid w:val="00AA15BB"/>
    <w:rsid w:val="00AA1602"/>
    <w:rsid w:val="00AA1A12"/>
    <w:rsid w:val="00AA1D8E"/>
    <w:rsid w:val="00AA2053"/>
    <w:rsid w:val="00AA2170"/>
    <w:rsid w:val="00AA21DB"/>
    <w:rsid w:val="00AA24B0"/>
    <w:rsid w:val="00AA24E5"/>
    <w:rsid w:val="00AA24F7"/>
    <w:rsid w:val="00AA28FD"/>
    <w:rsid w:val="00AA2978"/>
    <w:rsid w:val="00AA2B11"/>
    <w:rsid w:val="00AA2DD6"/>
    <w:rsid w:val="00AA303B"/>
    <w:rsid w:val="00AA30BD"/>
    <w:rsid w:val="00AA31C8"/>
    <w:rsid w:val="00AA35C0"/>
    <w:rsid w:val="00AA3B7F"/>
    <w:rsid w:val="00AA3BDE"/>
    <w:rsid w:val="00AA3E24"/>
    <w:rsid w:val="00AA3EC9"/>
    <w:rsid w:val="00AA421C"/>
    <w:rsid w:val="00AA48E3"/>
    <w:rsid w:val="00AA4A58"/>
    <w:rsid w:val="00AA525D"/>
    <w:rsid w:val="00AA52A7"/>
    <w:rsid w:val="00AA55FD"/>
    <w:rsid w:val="00AA5785"/>
    <w:rsid w:val="00AA5858"/>
    <w:rsid w:val="00AA592E"/>
    <w:rsid w:val="00AA5B34"/>
    <w:rsid w:val="00AA5EAC"/>
    <w:rsid w:val="00AA606C"/>
    <w:rsid w:val="00AA6209"/>
    <w:rsid w:val="00AA66C8"/>
    <w:rsid w:val="00AA6BBB"/>
    <w:rsid w:val="00AA6BF1"/>
    <w:rsid w:val="00AA6BFC"/>
    <w:rsid w:val="00AA6C2C"/>
    <w:rsid w:val="00AA6C54"/>
    <w:rsid w:val="00AA6CB0"/>
    <w:rsid w:val="00AA6D12"/>
    <w:rsid w:val="00AA6F0C"/>
    <w:rsid w:val="00AA6F44"/>
    <w:rsid w:val="00AA7581"/>
    <w:rsid w:val="00AA759E"/>
    <w:rsid w:val="00AA7633"/>
    <w:rsid w:val="00AA767A"/>
    <w:rsid w:val="00AA7758"/>
    <w:rsid w:val="00AA77E2"/>
    <w:rsid w:val="00AA7AB9"/>
    <w:rsid w:val="00AA7EC5"/>
    <w:rsid w:val="00AA7F6D"/>
    <w:rsid w:val="00AB03CC"/>
    <w:rsid w:val="00AB0444"/>
    <w:rsid w:val="00AB0491"/>
    <w:rsid w:val="00AB052D"/>
    <w:rsid w:val="00AB058A"/>
    <w:rsid w:val="00AB05DC"/>
    <w:rsid w:val="00AB06A6"/>
    <w:rsid w:val="00AB0B4B"/>
    <w:rsid w:val="00AB0C3A"/>
    <w:rsid w:val="00AB1125"/>
    <w:rsid w:val="00AB138F"/>
    <w:rsid w:val="00AB16C1"/>
    <w:rsid w:val="00AB1910"/>
    <w:rsid w:val="00AB1A70"/>
    <w:rsid w:val="00AB1E7C"/>
    <w:rsid w:val="00AB20D1"/>
    <w:rsid w:val="00AB2187"/>
    <w:rsid w:val="00AB240F"/>
    <w:rsid w:val="00AB266B"/>
    <w:rsid w:val="00AB2B02"/>
    <w:rsid w:val="00AB2BFA"/>
    <w:rsid w:val="00AB2C27"/>
    <w:rsid w:val="00AB2E9F"/>
    <w:rsid w:val="00AB2F7D"/>
    <w:rsid w:val="00AB320D"/>
    <w:rsid w:val="00AB327E"/>
    <w:rsid w:val="00AB35F6"/>
    <w:rsid w:val="00AB3770"/>
    <w:rsid w:val="00AB3B42"/>
    <w:rsid w:val="00AB3BE1"/>
    <w:rsid w:val="00AB3D95"/>
    <w:rsid w:val="00AB3E0D"/>
    <w:rsid w:val="00AB3E35"/>
    <w:rsid w:val="00AB3FDC"/>
    <w:rsid w:val="00AB4291"/>
    <w:rsid w:val="00AB485B"/>
    <w:rsid w:val="00AB4D63"/>
    <w:rsid w:val="00AB4DB2"/>
    <w:rsid w:val="00AB5415"/>
    <w:rsid w:val="00AB54BF"/>
    <w:rsid w:val="00AB57BF"/>
    <w:rsid w:val="00AB5853"/>
    <w:rsid w:val="00AB5941"/>
    <w:rsid w:val="00AB59B7"/>
    <w:rsid w:val="00AB5DC5"/>
    <w:rsid w:val="00AB5E3B"/>
    <w:rsid w:val="00AB5E93"/>
    <w:rsid w:val="00AB603C"/>
    <w:rsid w:val="00AB60F9"/>
    <w:rsid w:val="00AB628A"/>
    <w:rsid w:val="00AB6450"/>
    <w:rsid w:val="00AB6476"/>
    <w:rsid w:val="00AB65E5"/>
    <w:rsid w:val="00AB6726"/>
    <w:rsid w:val="00AB6932"/>
    <w:rsid w:val="00AB6B22"/>
    <w:rsid w:val="00AB6B7E"/>
    <w:rsid w:val="00AB6CE9"/>
    <w:rsid w:val="00AB6D0B"/>
    <w:rsid w:val="00AB7008"/>
    <w:rsid w:val="00AB70A2"/>
    <w:rsid w:val="00AB7267"/>
    <w:rsid w:val="00AB745F"/>
    <w:rsid w:val="00AB763C"/>
    <w:rsid w:val="00AB77E8"/>
    <w:rsid w:val="00AB78FF"/>
    <w:rsid w:val="00AB7A2E"/>
    <w:rsid w:val="00AB7C02"/>
    <w:rsid w:val="00AB7C31"/>
    <w:rsid w:val="00AB7E36"/>
    <w:rsid w:val="00AB7E52"/>
    <w:rsid w:val="00AB7F11"/>
    <w:rsid w:val="00AC0066"/>
    <w:rsid w:val="00AC006D"/>
    <w:rsid w:val="00AC00B3"/>
    <w:rsid w:val="00AC0271"/>
    <w:rsid w:val="00AC02A8"/>
    <w:rsid w:val="00AC0345"/>
    <w:rsid w:val="00AC05A7"/>
    <w:rsid w:val="00AC09A4"/>
    <w:rsid w:val="00AC09AC"/>
    <w:rsid w:val="00AC0B05"/>
    <w:rsid w:val="00AC0F00"/>
    <w:rsid w:val="00AC1349"/>
    <w:rsid w:val="00AC1386"/>
    <w:rsid w:val="00AC1495"/>
    <w:rsid w:val="00AC15BB"/>
    <w:rsid w:val="00AC165F"/>
    <w:rsid w:val="00AC17FF"/>
    <w:rsid w:val="00AC1CB8"/>
    <w:rsid w:val="00AC21C5"/>
    <w:rsid w:val="00AC2551"/>
    <w:rsid w:val="00AC256D"/>
    <w:rsid w:val="00AC2601"/>
    <w:rsid w:val="00AC2642"/>
    <w:rsid w:val="00AC290F"/>
    <w:rsid w:val="00AC2BA5"/>
    <w:rsid w:val="00AC2CD1"/>
    <w:rsid w:val="00AC2CFF"/>
    <w:rsid w:val="00AC2D15"/>
    <w:rsid w:val="00AC2E73"/>
    <w:rsid w:val="00AC2EF3"/>
    <w:rsid w:val="00AC2F63"/>
    <w:rsid w:val="00AC3495"/>
    <w:rsid w:val="00AC361A"/>
    <w:rsid w:val="00AC41C5"/>
    <w:rsid w:val="00AC43F5"/>
    <w:rsid w:val="00AC4449"/>
    <w:rsid w:val="00AC4862"/>
    <w:rsid w:val="00AC49A9"/>
    <w:rsid w:val="00AC4B56"/>
    <w:rsid w:val="00AC51D2"/>
    <w:rsid w:val="00AC533D"/>
    <w:rsid w:val="00AC53FC"/>
    <w:rsid w:val="00AC5538"/>
    <w:rsid w:val="00AC56E9"/>
    <w:rsid w:val="00AC57BF"/>
    <w:rsid w:val="00AC5845"/>
    <w:rsid w:val="00AC5B81"/>
    <w:rsid w:val="00AC5D3F"/>
    <w:rsid w:val="00AC5E93"/>
    <w:rsid w:val="00AC5FB0"/>
    <w:rsid w:val="00AC5FFA"/>
    <w:rsid w:val="00AC64C0"/>
    <w:rsid w:val="00AC652A"/>
    <w:rsid w:val="00AC6665"/>
    <w:rsid w:val="00AC6707"/>
    <w:rsid w:val="00AC6827"/>
    <w:rsid w:val="00AC688C"/>
    <w:rsid w:val="00AC69F7"/>
    <w:rsid w:val="00AC6A1D"/>
    <w:rsid w:val="00AC6BA4"/>
    <w:rsid w:val="00AC6D05"/>
    <w:rsid w:val="00AC6EE7"/>
    <w:rsid w:val="00AC71D5"/>
    <w:rsid w:val="00AC72CE"/>
    <w:rsid w:val="00AC761E"/>
    <w:rsid w:val="00AC77C2"/>
    <w:rsid w:val="00AC7C6D"/>
    <w:rsid w:val="00AD0162"/>
    <w:rsid w:val="00AD025C"/>
    <w:rsid w:val="00AD057C"/>
    <w:rsid w:val="00AD0A29"/>
    <w:rsid w:val="00AD0B33"/>
    <w:rsid w:val="00AD0B8F"/>
    <w:rsid w:val="00AD0D93"/>
    <w:rsid w:val="00AD0FF4"/>
    <w:rsid w:val="00AD117E"/>
    <w:rsid w:val="00AD17B9"/>
    <w:rsid w:val="00AD1807"/>
    <w:rsid w:val="00AD18A7"/>
    <w:rsid w:val="00AD1A0F"/>
    <w:rsid w:val="00AD1C66"/>
    <w:rsid w:val="00AD1EA0"/>
    <w:rsid w:val="00AD1F11"/>
    <w:rsid w:val="00AD1FF4"/>
    <w:rsid w:val="00AD20DA"/>
    <w:rsid w:val="00AD2170"/>
    <w:rsid w:val="00AD22FC"/>
    <w:rsid w:val="00AD24EF"/>
    <w:rsid w:val="00AD2535"/>
    <w:rsid w:val="00AD25A6"/>
    <w:rsid w:val="00AD26BF"/>
    <w:rsid w:val="00AD2969"/>
    <w:rsid w:val="00AD2CC1"/>
    <w:rsid w:val="00AD2CEA"/>
    <w:rsid w:val="00AD2F93"/>
    <w:rsid w:val="00AD3276"/>
    <w:rsid w:val="00AD32FD"/>
    <w:rsid w:val="00AD3831"/>
    <w:rsid w:val="00AD3A1F"/>
    <w:rsid w:val="00AD3C0C"/>
    <w:rsid w:val="00AD3D51"/>
    <w:rsid w:val="00AD3E36"/>
    <w:rsid w:val="00AD4336"/>
    <w:rsid w:val="00AD4483"/>
    <w:rsid w:val="00AD47D4"/>
    <w:rsid w:val="00AD484C"/>
    <w:rsid w:val="00AD48EF"/>
    <w:rsid w:val="00AD4A11"/>
    <w:rsid w:val="00AD4AFA"/>
    <w:rsid w:val="00AD4B8F"/>
    <w:rsid w:val="00AD4D19"/>
    <w:rsid w:val="00AD4D24"/>
    <w:rsid w:val="00AD4DB4"/>
    <w:rsid w:val="00AD4E9E"/>
    <w:rsid w:val="00AD5043"/>
    <w:rsid w:val="00AD5266"/>
    <w:rsid w:val="00AD52F5"/>
    <w:rsid w:val="00AD53F9"/>
    <w:rsid w:val="00AD5735"/>
    <w:rsid w:val="00AD58E3"/>
    <w:rsid w:val="00AD5962"/>
    <w:rsid w:val="00AD59D7"/>
    <w:rsid w:val="00AD59E0"/>
    <w:rsid w:val="00AD5A24"/>
    <w:rsid w:val="00AD5A3B"/>
    <w:rsid w:val="00AD5AF3"/>
    <w:rsid w:val="00AD5C63"/>
    <w:rsid w:val="00AD601A"/>
    <w:rsid w:val="00AD624B"/>
    <w:rsid w:val="00AD6440"/>
    <w:rsid w:val="00AD6B0D"/>
    <w:rsid w:val="00AD6C8C"/>
    <w:rsid w:val="00AD6DE7"/>
    <w:rsid w:val="00AD708F"/>
    <w:rsid w:val="00AD7149"/>
    <w:rsid w:val="00AD7233"/>
    <w:rsid w:val="00AD73E6"/>
    <w:rsid w:val="00AD74EB"/>
    <w:rsid w:val="00AD753E"/>
    <w:rsid w:val="00AD75F6"/>
    <w:rsid w:val="00AD78C9"/>
    <w:rsid w:val="00AD78F8"/>
    <w:rsid w:val="00AD7985"/>
    <w:rsid w:val="00AD7A56"/>
    <w:rsid w:val="00AD7B88"/>
    <w:rsid w:val="00AD7B9F"/>
    <w:rsid w:val="00AD7C3D"/>
    <w:rsid w:val="00AD7D5F"/>
    <w:rsid w:val="00AE00CA"/>
    <w:rsid w:val="00AE026F"/>
    <w:rsid w:val="00AE02BD"/>
    <w:rsid w:val="00AE092F"/>
    <w:rsid w:val="00AE0A6C"/>
    <w:rsid w:val="00AE0DA0"/>
    <w:rsid w:val="00AE1043"/>
    <w:rsid w:val="00AE12FB"/>
    <w:rsid w:val="00AE134C"/>
    <w:rsid w:val="00AE1492"/>
    <w:rsid w:val="00AE1579"/>
    <w:rsid w:val="00AE1898"/>
    <w:rsid w:val="00AE1940"/>
    <w:rsid w:val="00AE1977"/>
    <w:rsid w:val="00AE1AC2"/>
    <w:rsid w:val="00AE1C83"/>
    <w:rsid w:val="00AE1D79"/>
    <w:rsid w:val="00AE1DAC"/>
    <w:rsid w:val="00AE1F9A"/>
    <w:rsid w:val="00AE2271"/>
    <w:rsid w:val="00AE2584"/>
    <w:rsid w:val="00AE2801"/>
    <w:rsid w:val="00AE28F0"/>
    <w:rsid w:val="00AE2D62"/>
    <w:rsid w:val="00AE2F5D"/>
    <w:rsid w:val="00AE3175"/>
    <w:rsid w:val="00AE34FC"/>
    <w:rsid w:val="00AE3552"/>
    <w:rsid w:val="00AE3685"/>
    <w:rsid w:val="00AE3ABC"/>
    <w:rsid w:val="00AE3C4D"/>
    <w:rsid w:val="00AE3D26"/>
    <w:rsid w:val="00AE4052"/>
    <w:rsid w:val="00AE4287"/>
    <w:rsid w:val="00AE42D6"/>
    <w:rsid w:val="00AE44C4"/>
    <w:rsid w:val="00AE45FF"/>
    <w:rsid w:val="00AE4637"/>
    <w:rsid w:val="00AE4664"/>
    <w:rsid w:val="00AE46B4"/>
    <w:rsid w:val="00AE4B21"/>
    <w:rsid w:val="00AE4CEE"/>
    <w:rsid w:val="00AE4FD6"/>
    <w:rsid w:val="00AE51A9"/>
    <w:rsid w:val="00AE5238"/>
    <w:rsid w:val="00AE528C"/>
    <w:rsid w:val="00AE5F6A"/>
    <w:rsid w:val="00AE6137"/>
    <w:rsid w:val="00AE6284"/>
    <w:rsid w:val="00AE63CB"/>
    <w:rsid w:val="00AE64AA"/>
    <w:rsid w:val="00AE65B0"/>
    <w:rsid w:val="00AE66A8"/>
    <w:rsid w:val="00AE685B"/>
    <w:rsid w:val="00AE6C34"/>
    <w:rsid w:val="00AE6DBA"/>
    <w:rsid w:val="00AE7348"/>
    <w:rsid w:val="00AE74D5"/>
    <w:rsid w:val="00AE7A6E"/>
    <w:rsid w:val="00AE7B1F"/>
    <w:rsid w:val="00AE7D2B"/>
    <w:rsid w:val="00AE7F90"/>
    <w:rsid w:val="00AF0001"/>
    <w:rsid w:val="00AF01C7"/>
    <w:rsid w:val="00AF0288"/>
    <w:rsid w:val="00AF06A5"/>
    <w:rsid w:val="00AF0A2C"/>
    <w:rsid w:val="00AF0B5D"/>
    <w:rsid w:val="00AF0BF8"/>
    <w:rsid w:val="00AF0D06"/>
    <w:rsid w:val="00AF0D37"/>
    <w:rsid w:val="00AF0ED2"/>
    <w:rsid w:val="00AF1006"/>
    <w:rsid w:val="00AF12EE"/>
    <w:rsid w:val="00AF19E9"/>
    <w:rsid w:val="00AF2981"/>
    <w:rsid w:val="00AF2988"/>
    <w:rsid w:val="00AF2E54"/>
    <w:rsid w:val="00AF320B"/>
    <w:rsid w:val="00AF327B"/>
    <w:rsid w:val="00AF330B"/>
    <w:rsid w:val="00AF35D2"/>
    <w:rsid w:val="00AF35F0"/>
    <w:rsid w:val="00AF35FF"/>
    <w:rsid w:val="00AF385B"/>
    <w:rsid w:val="00AF3B89"/>
    <w:rsid w:val="00AF3D04"/>
    <w:rsid w:val="00AF3DA4"/>
    <w:rsid w:val="00AF4034"/>
    <w:rsid w:val="00AF46FB"/>
    <w:rsid w:val="00AF4723"/>
    <w:rsid w:val="00AF498B"/>
    <w:rsid w:val="00AF4BB4"/>
    <w:rsid w:val="00AF5097"/>
    <w:rsid w:val="00AF541F"/>
    <w:rsid w:val="00AF5487"/>
    <w:rsid w:val="00AF54A5"/>
    <w:rsid w:val="00AF550D"/>
    <w:rsid w:val="00AF56BB"/>
    <w:rsid w:val="00AF5BDE"/>
    <w:rsid w:val="00AF5CB4"/>
    <w:rsid w:val="00AF5DF9"/>
    <w:rsid w:val="00AF60A5"/>
    <w:rsid w:val="00AF614D"/>
    <w:rsid w:val="00AF6331"/>
    <w:rsid w:val="00AF6335"/>
    <w:rsid w:val="00AF63DF"/>
    <w:rsid w:val="00AF645A"/>
    <w:rsid w:val="00AF679E"/>
    <w:rsid w:val="00AF6ACD"/>
    <w:rsid w:val="00AF6DC7"/>
    <w:rsid w:val="00AF7334"/>
    <w:rsid w:val="00AF7367"/>
    <w:rsid w:val="00AF7505"/>
    <w:rsid w:val="00AF7513"/>
    <w:rsid w:val="00AF7999"/>
    <w:rsid w:val="00AF7C34"/>
    <w:rsid w:val="00AF7E84"/>
    <w:rsid w:val="00B00123"/>
    <w:rsid w:val="00B004C2"/>
    <w:rsid w:val="00B00740"/>
    <w:rsid w:val="00B007E9"/>
    <w:rsid w:val="00B009E9"/>
    <w:rsid w:val="00B01098"/>
    <w:rsid w:val="00B013BE"/>
    <w:rsid w:val="00B01594"/>
    <w:rsid w:val="00B01D63"/>
    <w:rsid w:val="00B01FC7"/>
    <w:rsid w:val="00B01FCE"/>
    <w:rsid w:val="00B0207B"/>
    <w:rsid w:val="00B0214B"/>
    <w:rsid w:val="00B024A2"/>
    <w:rsid w:val="00B025DA"/>
    <w:rsid w:val="00B025F6"/>
    <w:rsid w:val="00B028FF"/>
    <w:rsid w:val="00B02A68"/>
    <w:rsid w:val="00B02B86"/>
    <w:rsid w:val="00B02CD5"/>
    <w:rsid w:val="00B02D70"/>
    <w:rsid w:val="00B02DA0"/>
    <w:rsid w:val="00B02E60"/>
    <w:rsid w:val="00B030B7"/>
    <w:rsid w:val="00B03193"/>
    <w:rsid w:val="00B03297"/>
    <w:rsid w:val="00B035F0"/>
    <w:rsid w:val="00B03624"/>
    <w:rsid w:val="00B03791"/>
    <w:rsid w:val="00B037E3"/>
    <w:rsid w:val="00B03943"/>
    <w:rsid w:val="00B03953"/>
    <w:rsid w:val="00B03B5B"/>
    <w:rsid w:val="00B03D01"/>
    <w:rsid w:val="00B03F3A"/>
    <w:rsid w:val="00B04091"/>
    <w:rsid w:val="00B0469C"/>
    <w:rsid w:val="00B046E8"/>
    <w:rsid w:val="00B04A91"/>
    <w:rsid w:val="00B04C4A"/>
    <w:rsid w:val="00B04F26"/>
    <w:rsid w:val="00B05197"/>
    <w:rsid w:val="00B052B3"/>
    <w:rsid w:val="00B05337"/>
    <w:rsid w:val="00B05454"/>
    <w:rsid w:val="00B05573"/>
    <w:rsid w:val="00B05699"/>
    <w:rsid w:val="00B0575F"/>
    <w:rsid w:val="00B058CC"/>
    <w:rsid w:val="00B05909"/>
    <w:rsid w:val="00B05A1A"/>
    <w:rsid w:val="00B05C7C"/>
    <w:rsid w:val="00B05E41"/>
    <w:rsid w:val="00B06047"/>
    <w:rsid w:val="00B0610A"/>
    <w:rsid w:val="00B064A4"/>
    <w:rsid w:val="00B065BF"/>
    <w:rsid w:val="00B06678"/>
    <w:rsid w:val="00B06841"/>
    <w:rsid w:val="00B0698F"/>
    <w:rsid w:val="00B069E6"/>
    <w:rsid w:val="00B06B0D"/>
    <w:rsid w:val="00B06B90"/>
    <w:rsid w:val="00B06ECF"/>
    <w:rsid w:val="00B0708F"/>
    <w:rsid w:val="00B0729E"/>
    <w:rsid w:val="00B07390"/>
    <w:rsid w:val="00B0740C"/>
    <w:rsid w:val="00B07586"/>
    <w:rsid w:val="00B079B5"/>
    <w:rsid w:val="00B07A04"/>
    <w:rsid w:val="00B10041"/>
    <w:rsid w:val="00B102D0"/>
    <w:rsid w:val="00B1032D"/>
    <w:rsid w:val="00B10462"/>
    <w:rsid w:val="00B10673"/>
    <w:rsid w:val="00B10801"/>
    <w:rsid w:val="00B10AEC"/>
    <w:rsid w:val="00B10CB7"/>
    <w:rsid w:val="00B10CDF"/>
    <w:rsid w:val="00B11222"/>
    <w:rsid w:val="00B1124F"/>
    <w:rsid w:val="00B1130C"/>
    <w:rsid w:val="00B115DC"/>
    <w:rsid w:val="00B1185D"/>
    <w:rsid w:val="00B118DB"/>
    <w:rsid w:val="00B11949"/>
    <w:rsid w:val="00B1195E"/>
    <w:rsid w:val="00B11A77"/>
    <w:rsid w:val="00B11B22"/>
    <w:rsid w:val="00B11D93"/>
    <w:rsid w:val="00B11EB5"/>
    <w:rsid w:val="00B121F9"/>
    <w:rsid w:val="00B12484"/>
    <w:rsid w:val="00B12516"/>
    <w:rsid w:val="00B12538"/>
    <w:rsid w:val="00B12903"/>
    <w:rsid w:val="00B12D72"/>
    <w:rsid w:val="00B12F19"/>
    <w:rsid w:val="00B13095"/>
    <w:rsid w:val="00B131F8"/>
    <w:rsid w:val="00B132D9"/>
    <w:rsid w:val="00B1376E"/>
    <w:rsid w:val="00B13CB7"/>
    <w:rsid w:val="00B13D25"/>
    <w:rsid w:val="00B13E45"/>
    <w:rsid w:val="00B13EB9"/>
    <w:rsid w:val="00B1422C"/>
    <w:rsid w:val="00B142B0"/>
    <w:rsid w:val="00B1438A"/>
    <w:rsid w:val="00B1438C"/>
    <w:rsid w:val="00B14899"/>
    <w:rsid w:val="00B14B2C"/>
    <w:rsid w:val="00B14B62"/>
    <w:rsid w:val="00B14BEC"/>
    <w:rsid w:val="00B14CC7"/>
    <w:rsid w:val="00B1503B"/>
    <w:rsid w:val="00B150DD"/>
    <w:rsid w:val="00B15174"/>
    <w:rsid w:val="00B1551F"/>
    <w:rsid w:val="00B155A4"/>
    <w:rsid w:val="00B15B0A"/>
    <w:rsid w:val="00B15C0A"/>
    <w:rsid w:val="00B15F7E"/>
    <w:rsid w:val="00B16569"/>
    <w:rsid w:val="00B16D7D"/>
    <w:rsid w:val="00B16DF8"/>
    <w:rsid w:val="00B16EBE"/>
    <w:rsid w:val="00B16FB9"/>
    <w:rsid w:val="00B16FED"/>
    <w:rsid w:val="00B17086"/>
    <w:rsid w:val="00B1718E"/>
    <w:rsid w:val="00B17191"/>
    <w:rsid w:val="00B171EB"/>
    <w:rsid w:val="00B174DF"/>
    <w:rsid w:val="00B1779C"/>
    <w:rsid w:val="00B178A1"/>
    <w:rsid w:val="00B179C7"/>
    <w:rsid w:val="00B17B05"/>
    <w:rsid w:val="00B17CA2"/>
    <w:rsid w:val="00B17CA5"/>
    <w:rsid w:val="00B17EC3"/>
    <w:rsid w:val="00B200F8"/>
    <w:rsid w:val="00B2012E"/>
    <w:rsid w:val="00B20275"/>
    <w:rsid w:val="00B203CD"/>
    <w:rsid w:val="00B20478"/>
    <w:rsid w:val="00B20536"/>
    <w:rsid w:val="00B20781"/>
    <w:rsid w:val="00B20BF6"/>
    <w:rsid w:val="00B20F91"/>
    <w:rsid w:val="00B2108E"/>
    <w:rsid w:val="00B21373"/>
    <w:rsid w:val="00B21392"/>
    <w:rsid w:val="00B215D0"/>
    <w:rsid w:val="00B2186F"/>
    <w:rsid w:val="00B21A39"/>
    <w:rsid w:val="00B21A7D"/>
    <w:rsid w:val="00B21AAB"/>
    <w:rsid w:val="00B21C30"/>
    <w:rsid w:val="00B21D35"/>
    <w:rsid w:val="00B2219A"/>
    <w:rsid w:val="00B22205"/>
    <w:rsid w:val="00B22207"/>
    <w:rsid w:val="00B22354"/>
    <w:rsid w:val="00B22452"/>
    <w:rsid w:val="00B22704"/>
    <w:rsid w:val="00B229EB"/>
    <w:rsid w:val="00B22B34"/>
    <w:rsid w:val="00B22C82"/>
    <w:rsid w:val="00B22E68"/>
    <w:rsid w:val="00B22FFA"/>
    <w:rsid w:val="00B2321E"/>
    <w:rsid w:val="00B23330"/>
    <w:rsid w:val="00B234CD"/>
    <w:rsid w:val="00B2355F"/>
    <w:rsid w:val="00B23677"/>
    <w:rsid w:val="00B236C3"/>
    <w:rsid w:val="00B23CAA"/>
    <w:rsid w:val="00B23E65"/>
    <w:rsid w:val="00B2410D"/>
    <w:rsid w:val="00B24130"/>
    <w:rsid w:val="00B2422E"/>
    <w:rsid w:val="00B2426B"/>
    <w:rsid w:val="00B24353"/>
    <w:rsid w:val="00B2442C"/>
    <w:rsid w:val="00B245C0"/>
    <w:rsid w:val="00B2480C"/>
    <w:rsid w:val="00B24975"/>
    <w:rsid w:val="00B24ACB"/>
    <w:rsid w:val="00B250E0"/>
    <w:rsid w:val="00B251C8"/>
    <w:rsid w:val="00B25500"/>
    <w:rsid w:val="00B255B0"/>
    <w:rsid w:val="00B2581A"/>
    <w:rsid w:val="00B25823"/>
    <w:rsid w:val="00B258F7"/>
    <w:rsid w:val="00B25A47"/>
    <w:rsid w:val="00B25F75"/>
    <w:rsid w:val="00B26038"/>
    <w:rsid w:val="00B26074"/>
    <w:rsid w:val="00B26390"/>
    <w:rsid w:val="00B264B5"/>
    <w:rsid w:val="00B26514"/>
    <w:rsid w:val="00B26C14"/>
    <w:rsid w:val="00B26C25"/>
    <w:rsid w:val="00B26FCF"/>
    <w:rsid w:val="00B27195"/>
    <w:rsid w:val="00B27AF1"/>
    <w:rsid w:val="00B27CAA"/>
    <w:rsid w:val="00B27CB1"/>
    <w:rsid w:val="00B3000C"/>
    <w:rsid w:val="00B301F2"/>
    <w:rsid w:val="00B3036C"/>
    <w:rsid w:val="00B30503"/>
    <w:rsid w:val="00B30797"/>
    <w:rsid w:val="00B307EA"/>
    <w:rsid w:val="00B307FB"/>
    <w:rsid w:val="00B3085F"/>
    <w:rsid w:val="00B30B94"/>
    <w:rsid w:val="00B30BC3"/>
    <w:rsid w:val="00B30CE1"/>
    <w:rsid w:val="00B30FB8"/>
    <w:rsid w:val="00B31774"/>
    <w:rsid w:val="00B31AD4"/>
    <w:rsid w:val="00B31D8D"/>
    <w:rsid w:val="00B3255A"/>
    <w:rsid w:val="00B325DA"/>
    <w:rsid w:val="00B32638"/>
    <w:rsid w:val="00B328BD"/>
    <w:rsid w:val="00B329B4"/>
    <w:rsid w:val="00B32A1D"/>
    <w:rsid w:val="00B32B5A"/>
    <w:rsid w:val="00B32BC9"/>
    <w:rsid w:val="00B32F1E"/>
    <w:rsid w:val="00B3327E"/>
    <w:rsid w:val="00B33345"/>
    <w:rsid w:val="00B333EF"/>
    <w:rsid w:val="00B3353F"/>
    <w:rsid w:val="00B335C1"/>
    <w:rsid w:val="00B33784"/>
    <w:rsid w:val="00B33887"/>
    <w:rsid w:val="00B33C4A"/>
    <w:rsid w:val="00B33F69"/>
    <w:rsid w:val="00B341CE"/>
    <w:rsid w:val="00B3436D"/>
    <w:rsid w:val="00B344F4"/>
    <w:rsid w:val="00B3467A"/>
    <w:rsid w:val="00B34735"/>
    <w:rsid w:val="00B34843"/>
    <w:rsid w:val="00B349DC"/>
    <w:rsid w:val="00B34A1C"/>
    <w:rsid w:val="00B34A72"/>
    <w:rsid w:val="00B34B4F"/>
    <w:rsid w:val="00B34BB0"/>
    <w:rsid w:val="00B34ECC"/>
    <w:rsid w:val="00B35071"/>
    <w:rsid w:val="00B35090"/>
    <w:rsid w:val="00B35161"/>
    <w:rsid w:val="00B35298"/>
    <w:rsid w:val="00B3555E"/>
    <w:rsid w:val="00B35AB1"/>
    <w:rsid w:val="00B35B91"/>
    <w:rsid w:val="00B35C6B"/>
    <w:rsid w:val="00B35E54"/>
    <w:rsid w:val="00B363A5"/>
    <w:rsid w:val="00B36406"/>
    <w:rsid w:val="00B365B1"/>
    <w:rsid w:val="00B36971"/>
    <w:rsid w:val="00B36DFD"/>
    <w:rsid w:val="00B37BED"/>
    <w:rsid w:val="00B37DB2"/>
    <w:rsid w:val="00B37F0D"/>
    <w:rsid w:val="00B37FA6"/>
    <w:rsid w:val="00B37FB3"/>
    <w:rsid w:val="00B400CC"/>
    <w:rsid w:val="00B400E1"/>
    <w:rsid w:val="00B40161"/>
    <w:rsid w:val="00B40345"/>
    <w:rsid w:val="00B403FF"/>
    <w:rsid w:val="00B406BE"/>
    <w:rsid w:val="00B40732"/>
    <w:rsid w:val="00B40B91"/>
    <w:rsid w:val="00B40C4C"/>
    <w:rsid w:val="00B40CB2"/>
    <w:rsid w:val="00B40DF8"/>
    <w:rsid w:val="00B41140"/>
    <w:rsid w:val="00B41303"/>
    <w:rsid w:val="00B41889"/>
    <w:rsid w:val="00B41D33"/>
    <w:rsid w:val="00B41E89"/>
    <w:rsid w:val="00B41F42"/>
    <w:rsid w:val="00B41FE2"/>
    <w:rsid w:val="00B4210A"/>
    <w:rsid w:val="00B421A9"/>
    <w:rsid w:val="00B42338"/>
    <w:rsid w:val="00B424B4"/>
    <w:rsid w:val="00B424C2"/>
    <w:rsid w:val="00B4251A"/>
    <w:rsid w:val="00B42B1A"/>
    <w:rsid w:val="00B42C01"/>
    <w:rsid w:val="00B42C64"/>
    <w:rsid w:val="00B42D7A"/>
    <w:rsid w:val="00B42E13"/>
    <w:rsid w:val="00B42E93"/>
    <w:rsid w:val="00B42F0D"/>
    <w:rsid w:val="00B42FF6"/>
    <w:rsid w:val="00B43314"/>
    <w:rsid w:val="00B43381"/>
    <w:rsid w:val="00B43690"/>
    <w:rsid w:val="00B43C41"/>
    <w:rsid w:val="00B43D52"/>
    <w:rsid w:val="00B43E33"/>
    <w:rsid w:val="00B43F95"/>
    <w:rsid w:val="00B44215"/>
    <w:rsid w:val="00B447C1"/>
    <w:rsid w:val="00B448C8"/>
    <w:rsid w:val="00B44A51"/>
    <w:rsid w:val="00B44B29"/>
    <w:rsid w:val="00B44C00"/>
    <w:rsid w:val="00B45095"/>
    <w:rsid w:val="00B450D4"/>
    <w:rsid w:val="00B456A2"/>
    <w:rsid w:val="00B45803"/>
    <w:rsid w:val="00B459D2"/>
    <w:rsid w:val="00B45B72"/>
    <w:rsid w:val="00B45BBD"/>
    <w:rsid w:val="00B45E03"/>
    <w:rsid w:val="00B46317"/>
    <w:rsid w:val="00B464A3"/>
    <w:rsid w:val="00B468CA"/>
    <w:rsid w:val="00B46B7D"/>
    <w:rsid w:val="00B46DA2"/>
    <w:rsid w:val="00B46DFE"/>
    <w:rsid w:val="00B46EBA"/>
    <w:rsid w:val="00B4719C"/>
    <w:rsid w:val="00B473BB"/>
    <w:rsid w:val="00B477B6"/>
    <w:rsid w:val="00B4783D"/>
    <w:rsid w:val="00B479B4"/>
    <w:rsid w:val="00B47AAA"/>
    <w:rsid w:val="00B47D39"/>
    <w:rsid w:val="00B47F5D"/>
    <w:rsid w:val="00B503D9"/>
    <w:rsid w:val="00B50531"/>
    <w:rsid w:val="00B50631"/>
    <w:rsid w:val="00B506AA"/>
    <w:rsid w:val="00B5070E"/>
    <w:rsid w:val="00B509B9"/>
    <w:rsid w:val="00B50E36"/>
    <w:rsid w:val="00B50F25"/>
    <w:rsid w:val="00B51199"/>
    <w:rsid w:val="00B511BB"/>
    <w:rsid w:val="00B5149E"/>
    <w:rsid w:val="00B5183A"/>
    <w:rsid w:val="00B519F7"/>
    <w:rsid w:val="00B51A4C"/>
    <w:rsid w:val="00B51FAB"/>
    <w:rsid w:val="00B520C5"/>
    <w:rsid w:val="00B522BC"/>
    <w:rsid w:val="00B526CC"/>
    <w:rsid w:val="00B52814"/>
    <w:rsid w:val="00B529E4"/>
    <w:rsid w:val="00B52AA6"/>
    <w:rsid w:val="00B534DC"/>
    <w:rsid w:val="00B53FDE"/>
    <w:rsid w:val="00B5406A"/>
    <w:rsid w:val="00B54195"/>
    <w:rsid w:val="00B5420E"/>
    <w:rsid w:val="00B54276"/>
    <w:rsid w:val="00B543FA"/>
    <w:rsid w:val="00B54518"/>
    <w:rsid w:val="00B547E0"/>
    <w:rsid w:val="00B54856"/>
    <w:rsid w:val="00B54A2E"/>
    <w:rsid w:val="00B54A9F"/>
    <w:rsid w:val="00B54F73"/>
    <w:rsid w:val="00B55022"/>
    <w:rsid w:val="00B552AC"/>
    <w:rsid w:val="00B554B1"/>
    <w:rsid w:val="00B55573"/>
    <w:rsid w:val="00B55578"/>
    <w:rsid w:val="00B5563C"/>
    <w:rsid w:val="00B55827"/>
    <w:rsid w:val="00B558EA"/>
    <w:rsid w:val="00B5598C"/>
    <w:rsid w:val="00B559BC"/>
    <w:rsid w:val="00B559CD"/>
    <w:rsid w:val="00B55B0F"/>
    <w:rsid w:val="00B55B72"/>
    <w:rsid w:val="00B55BAB"/>
    <w:rsid w:val="00B565B5"/>
    <w:rsid w:val="00B56792"/>
    <w:rsid w:val="00B56901"/>
    <w:rsid w:val="00B5698F"/>
    <w:rsid w:val="00B56A65"/>
    <w:rsid w:val="00B56D9F"/>
    <w:rsid w:val="00B56F9E"/>
    <w:rsid w:val="00B57087"/>
    <w:rsid w:val="00B57338"/>
    <w:rsid w:val="00B57367"/>
    <w:rsid w:val="00B57403"/>
    <w:rsid w:val="00B574C3"/>
    <w:rsid w:val="00B574CE"/>
    <w:rsid w:val="00B57908"/>
    <w:rsid w:val="00B579B0"/>
    <w:rsid w:val="00B57EC7"/>
    <w:rsid w:val="00B57FB5"/>
    <w:rsid w:val="00B6017D"/>
    <w:rsid w:val="00B604C9"/>
    <w:rsid w:val="00B604D1"/>
    <w:rsid w:val="00B60CF7"/>
    <w:rsid w:val="00B60E84"/>
    <w:rsid w:val="00B60EAD"/>
    <w:rsid w:val="00B60F38"/>
    <w:rsid w:val="00B60FDC"/>
    <w:rsid w:val="00B6179C"/>
    <w:rsid w:val="00B620E3"/>
    <w:rsid w:val="00B6217D"/>
    <w:rsid w:val="00B623E7"/>
    <w:rsid w:val="00B62C6F"/>
    <w:rsid w:val="00B62E4A"/>
    <w:rsid w:val="00B63002"/>
    <w:rsid w:val="00B63171"/>
    <w:rsid w:val="00B6328D"/>
    <w:rsid w:val="00B6333F"/>
    <w:rsid w:val="00B63351"/>
    <w:rsid w:val="00B63486"/>
    <w:rsid w:val="00B634C8"/>
    <w:rsid w:val="00B63579"/>
    <w:rsid w:val="00B6367B"/>
    <w:rsid w:val="00B637E5"/>
    <w:rsid w:val="00B63870"/>
    <w:rsid w:val="00B638A5"/>
    <w:rsid w:val="00B63A81"/>
    <w:rsid w:val="00B63AE4"/>
    <w:rsid w:val="00B63DA4"/>
    <w:rsid w:val="00B63E3C"/>
    <w:rsid w:val="00B64273"/>
    <w:rsid w:val="00B6450E"/>
    <w:rsid w:val="00B64A3B"/>
    <w:rsid w:val="00B64ABF"/>
    <w:rsid w:val="00B64B94"/>
    <w:rsid w:val="00B64D20"/>
    <w:rsid w:val="00B64DA9"/>
    <w:rsid w:val="00B653D8"/>
    <w:rsid w:val="00B653E7"/>
    <w:rsid w:val="00B653F8"/>
    <w:rsid w:val="00B654A5"/>
    <w:rsid w:val="00B656B7"/>
    <w:rsid w:val="00B656BB"/>
    <w:rsid w:val="00B65978"/>
    <w:rsid w:val="00B65A0C"/>
    <w:rsid w:val="00B65BD4"/>
    <w:rsid w:val="00B65D18"/>
    <w:rsid w:val="00B65DA0"/>
    <w:rsid w:val="00B65DF2"/>
    <w:rsid w:val="00B65E6D"/>
    <w:rsid w:val="00B65F0B"/>
    <w:rsid w:val="00B65FC8"/>
    <w:rsid w:val="00B65FCF"/>
    <w:rsid w:val="00B660C3"/>
    <w:rsid w:val="00B66173"/>
    <w:rsid w:val="00B66453"/>
    <w:rsid w:val="00B665D9"/>
    <w:rsid w:val="00B66AEC"/>
    <w:rsid w:val="00B66CC1"/>
    <w:rsid w:val="00B66CDF"/>
    <w:rsid w:val="00B66DAC"/>
    <w:rsid w:val="00B6724B"/>
    <w:rsid w:val="00B672FF"/>
    <w:rsid w:val="00B6731B"/>
    <w:rsid w:val="00B673A8"/>
    <w:rsid w:val="00B673DE"/>
    <w:rsid w:val="00B67693"/>
    <w:rsid w:val="00B676CB"/>
    <w:rsid w:val="00B679D2"/>
    <w:rsid w:val="00B67F10"/>
    <w:rsid w:val="00B70037"/>
    <w:rsid w:val="00B70436"/>
    <w:rsid w:val="00B70459"/>
    <w:rsid w:val="00B704BA"/>
    <w:rsid w:val="00B70A6D"/>
    <w:rsid w:val="00B70DEE"/>
    <w:rsid w:val="00B710A0"/>
    <w:rsid w:val="00B7111D"/>
    <w:rsid w:val="00B71444"/>
    <w:rsid w:val="00B71677"/>
    <w:rsid w:val="00B7170F"/>
    <w:rsid w:val="00B71935"/>
    <w:rsid w:val="00B71A09"/>
    <w:rsid w:val="00B71BF3"/>
    <w:rsid w:val="00B72114"/>
    <w:rsid w:val="00B72588"/>
    <w:rsid w:val="00B728CD"/>
    <w:rsid w:val="00B729A2"/>
    <w:rsid w:val="00B732A9"/>
    <w:rsid w:val="00B73420"/>
    <w:rsid w:val="00B73482"/>
    <w:rsid w:val="00B734B4"/>
    <w:rsid w:val="00B73714"/>
    <w:rsid w:val="00B73BB3"/>
    <w:rsid w:val="00B73D43"/>
    <w:rsid w:val="00B73E39"/>
    <w:rsid w:val="00B73ED1"/>
    <w:rsid w:val="00B740D5"/>
    <w:rsid w:val="00B74341"/>
    <w:rsid w:val="00B744F8"/>
    <w:rsid w:val="00B7467F"/>
    <w:rsid w:val="00B746BF"/>
    <w:rsid w:val="00B7473F"/>
    <w:rsid w:val="00B74B1D"/>
    <w:rsid w:val="00B74C19"/>
    <w:rsid w:val="00B74CAA"/>
    <w:rsid w:val="00B74D06"/>
    <w:rsid w:val="00B74E0C"/>
    <w:rsid w:val="00B74E69"/>
    <w:rsid w:val="00B75276"/>
    <w:rsid w:val="00B7561C"/>
    <w:rsid w:val="00B75852"/>
    <w:rsid w:val="00B75898"/>
    <w:rsid w:val="00B75A48"/>
    <w:rsid w:val="00B75CF1"/>
    <w:rsid w:val="00B75DF7"/>
    <w:rsid w:val="00B7619B"/>
    <w:rsid w:val="00B763D5"/>
    <w:rsid w:val="00B763E4"/>
    <w:rsid w:val="00B764AE"/>
    <w:rsid w:val="00B766CE"/>
    <w:rsid w:val="00B76763"/>
    <w:rsid w:val="00B774F8"/>
    <w:rsid w:val="00B775D8"/>
    <w:rsid w:val="00B777C0"/>
    <w:rsid w:val="00B779B9"/>
    <w:rsid w:val="00B779D7"/>
    <w:rsid w:val="00B77D6A"/>
    <w:rsid w:val="00B77EA9"/>
    <w:rsid w:val="00B800AD"/>
    <w:rsid w:val="00B80486"/>
    <w:rsid w:val="00B80493"/>
    <w:rsid w:val="00B808A1"/>
    <w:rsid w:val="00B8091A"/>
    <w:rsid w:val="00B80A44"/>
    <w:rsid w:val="00B80AC7"/>
    <w:rsid w:val="00B80B5C"/>
    <w:rsid w:val="00B80B8B"/>
    <w:rsid w:val="00B80BAD"/>
    <w:rsid w:val="00B80FD6"/>
    <w:rsid w:val="00B810E9"/>
    <w:rsid w:val="00B81153"/>
    <w:rsid w:val="00B811F1"/>
    <w:rsid w:val="00B81245"/>
    <w:rsid w:val="00B81311"/>
    <w:rsid w:val="00B816B9"/>
    <w:rsid w:val="00B818E3"/>
    <w:rsid w:val="00B81A93"/>
    <w:rsid w:val="00B81BB6"/>
    <w:rsid w:val="00B81FA3"/>
    <w:rsid w:val="00B82017"/>
    <w:rsid w:val="00B82054"/>
    <w:rsid w:val="00B8234D"/>
    <w:rsid w:val="00B82551"/>
    <w:rsid w:val="00B8255A"/>
    <w:rsid w:val="00B8256E"/>
    <w:rsid w:val="00B826E2"/>
    <w:rsid w:val="00B82A1F"/>
    <w:rsid w:val="00B83107"/>
    <w:rsid w:val="00B83161"/>
    <w:rsid w:val="00B83C2C"/>
    <w:rsid w:val="00B83D91"/>
    <w:rsid w:val="00B83F5F"/>
    <w:rsid w:val="00B840FB"/>
    <w:rsid w:val="00B84184"/>
    <w:rsid w:val="00B84515"/>
    <w:rsid w:val="00B846F9"/>
    <w:rsid w:val="00B847AD"/>
    <w:rsid w:val="00B84918"/>
    <w:rsid w:val="00B84A05"/>
    <w:rsid w:val="00B84A13"/>
    <w:rsid w:val="00B84B37"/>
    <w:rsid w:val="00B84E97"/>
    <w:rsid w:val="00B84EE0"/>
    <w:rsid w:val="00B85035"/>
    <w:rsid w:val="00B854FF"/>
    <w:rsid w:val="00B855A8"/>
    <w:rsid w:val="00B855E6"/>
    <w:rsid w:val="00B85741"/>
    <w:rsid w:val="00B85C45"/>
    <w:rsid w:val="00B85CA1"/>
    <w:rsid w:val="00B85DD1"/>
    <w:rsid w:val="00B864E5"/>
    <w:rsid w:val="00B866FF"/>
    <w:rsid w:val="00B8699B"/>
    <w:rsid w:val="00B869CB"/>
    <w:rsid w:val="00B86E64"/>
    <w:rsid w:val="00B86E7A"/>
    <w:rsid w:val="00B86F65"/>
    <w:rsid w:val="00B86F8C"/>
    <w:rsid w:val="00B870D3"/>
    <w:rsid w:val="00B871E8"/>
    <w:rsid w:val="00B8722E"/>
    <w:rsid w:val="00B876B6"/>
    <w:rsid w:val="00B878A7"/>
    <w:rsid w:val="00B87A7D"/>
    <w:rsid w:val="00B87AB4"/>
    <w:rsid w:val="00B87C75"/>
    <w:rsid w:val="00B87DB9"/>
    <w:rsid w:val="00B87EC7"/>
    <w:rsid w:val="00B87F1C"/>
    <w:rsid w:val="00B90406"/>
    <w:rsid w:val="00B9055F"/>
    <w:rsid w:val="00B905DC"/>
    <w:rsid w:val="00B907C0"/>
    <w:rsid w:val="00B90858"/>
    <w:rsid w:val="00B90A79"/>
    <w:rsid w:val="00B90A82"/>
    <w:rsid w:val="00B90C5C"/>
    <w:rsid w:val="00B90E60"/>
    <w:rsid w:val="00B913DB"/>
    <w:rsid w:val="00B9144A"/>
    <w:rsid w:val="00B917AB"/>
    <w:rsid w:val="00B9185A"/>
    <w:rsid w:val="00B919C0"/>
    <w:rsid w:val="00B919C6"/>
    <w:rsid w:val="00B91A41"/>
    <w:rsid w:val="00B91E27"/>
    <w:rsid w:val="00B91E47"/>
    <w:rsid w:val="00B920B2"/>
    <w:rsid w:val="00B92165"/>
    <w:rsid w:val="00B92328"/>
    <w:rsid w:val="00B9250F"/>
    <w:rsid w:val="00B92521"/>
    <w:rsid w:val="00B925BE"/>
    <w:rsid w:val="00B925DA"/>
    <w:rsid w:val="00B92738"/>
    <w:rsid w:val="00B92988"/>
    <w:rsid w:val="00B92D28"/>
    <w:rsid w:val="00B92D3B"/>
    <w:rsid w:val="00B92DCE"/>
    <w:rsid w:val="00B92E0E"/>
    <w:rsid w:val="00B932E8"/>
    <w:rsid w:val="00B936D7"/>
    <w:rsid w:val="00B93743"/>
    <w:rsid w:val="00B938F3"/>
    <w:rsid w:val="00B939E8"/>
    <w:rsid w:val="00B93C85"/>
    <w:rsid w:val="00B93E6F"/>
    <w:rsid w:val="00B941B6"/>
    <w:rsid w:val="00B94393"/>
    <w:rsid w:val="00B944BB"/>
    <w:rsid w:val="00B944F8"/>
    <w:rsid w:val="00B946A7"/>
    <w:rsid w:val="00B94768"/>
    <w:rsid w:val="00B94CA5"/>
    <w:rsid w:val="00B94E9F"/>
    <w:rsid w:val="00B951F2"/>
    <w:rsid w:val="00B95607"/>
    <w:rsid w:val="00B958CE"/>
    <w:rsid w:val="00B9591A"/>
    <w:rsid w:val="00B959C4"/>
    <w:rsid w:val="00B95A53"/>
    <w:rsid w:val="00B95A58"/>
    <w:rsid w:val="00B95C26"/>
    <w:rsid w:val="00B95F1F"/>
    <w:rsid w:val="00B9603A"/>
    <w:rsid w:val="00B9627A"/>
    <w:rsid w:val="00B9644B"/>
    <w:rsid w:val="00B9644E"/>
    <w:rsid w:val="00B96474"/>
    <w:rsid w:val="00B96924"/>
    <w:rsid w:val="00B96F9D"/>
    <w:rsid w:val="00B970F8"/>
    <w:rsid w:val="00B975A0"/>
    <w:rsid w:val="00B97605"/>
    <w:rsid w:val="00B97904"/>
    <w:rsid w:val="00B9793C"/>
    <w:rsid w:val="00B97A3C"/>
    <w:rsid w:val="00B97B0F"/>
    <w:rsid w:val="00B97D81"/>
    <w:rsid w:val="00B97E4C"/>
    <w:rsid w:val="00B97E4D"/>
    <w:rsid w:val="00B97EB7"/>
    <w:rsid w:val="00BA010C"/>
    <w:rsid w:val="00BA01CF"/>
    <w:rsid w:val="00BA02D6"/>
    <w:rsid w:val="00BA03C8"/>
    <w:rsid w:val="00BA046F"/>
    <w:rsid w:val="00BA0526"/>
    <w:rsid w:val="00BA05D2"/>
    <w:rsid w:val="00BA08D7"/>
    <w:rsid w:val="00BA0F84"/>
    <w:rsid w:val="00BA10A7"/>
    <w:rsid w:val="00BA15FC"/>
    <w:rsid w:val="00BA178C"/>
    <w:rsid w:val="00BA1875"/>
    <w:rsid w:val="00BA19FA"/>
    <w:rsid w:val="00BA1B10"/>
    <w:rsid w:val="00BA1B96"/>
    <w:rsid w:val="00BA1D95"/>
    <w:rsid w:val="00BA1E1F"/>
    <w:rsid w:val="00BA1E41"/>
    <w:rsid w:val="00BA20C5"/>
    <w:rsid w:val="00BA219F"/>
    <w:rsid w:val="00BA221B"/>
    <w:rsid w:val="00BA2379"/>
    <w:rsid w:val="00BA2385"/>
    <w:rsid w:val="00BA23DA"/>
    <w:rsid w:val="00BA2481"/>
    <w:rsid w:val="00BA25F4"/>
    <w:rsid w:val="00BA2671"/>
    <w:rsid w:val="00BA281F"/>
    <w:rsid w:val="00BA2874"/>
    <w:rsid w:val="00BA2892"/>
    <w:rsid w:val="00BA299D"/>
    <w:rsid w:val="00BA2CB1"/>
    <w:rsid w:val="00BA2DB1"/>
    <w:rsid w:val="00BA3012"/>
    <w:rsid w:val="00BA3297"/>
    <w:rsid w:val="00BA36CB"/>
    <w:rsid w:val="00BA39EF"/>
    <w:rsid w:val="00BA3ED2"/>
    <w:rsid w:val="00BA40D7"/>
    <w:rsid w:val="00BA41E5"/>
    <w:rsid w:val="00BA43D6"/>
    <w:rsid w:val="00BA476E"/>
    <w:rsid w:val="00BA48AD"/>
    <w:rsid w:val="00BA4901"/>
    <w:rsid w:val="00BA4BF2"/>
    <w:rsid w:val="00BA4DC5"/>
    <w:rsid w:val="00BA516B"/>
    <w:rsid w:val="00BA526F"/>
    <w:rsid w:val="00BA5350"/>
    <w:rsid w:val="00BA5354"/>
    <w:rsid w:val="00BA5583"/>
    <w:rsid w:val="00BA56C4"/>
    <w:rsid w:val="00BA57ED"/>
    <w:rsid w:val="00BA585B"/>
    <w:rsid w:val="00BA58DE"/>
    <w:rsid w:val="00BA5A26"/>
    <w:rsid w:val="00BA5B59"/>
    <w:rsid w:val="00BA5BBC"/>
    <w:rsid w:val="00BA5D90"/>
    <w:rsid w:val="00BA60F2"/>
    <w:rsid w:val="00BA644A"/>
    <w:rsid w:val="00BA644C"/>
    <w:rsid w:val="00BA667C"/>
    <w:rsid w:val="00BA6E8D"/>
    <w:rsid w:val="00BA745C"/>
    <w:rsid w:val="00BA7576"/>
    <w:rsid w:val="00BA7609"/>
    <w:rsid w:val="00BA7711"/>
    <w:rsid w:val="00BA7748"/>
    <w:rsid w:val="00BA7B8A"/>
    <w:rsid w:val="00BA7DA4"/>
    <w:rsid w:val="00BA7E35"/>
    <w:rsid w:val="00BA7E97"/>
    <w:rsid w:val="00BA7ECA"/>
    <w:rsid w:val="00BB0060"/>
    <w:rsid w:val="00BB025D"/>
    <w:rsid w:val="00BB02FB"/>
    <w:rsid w:val="00BB0332"/>
    <w:rsid w:val="00BB05EA"/>
    <w:rsid w:val="00BB083D"/>
    <w:rsid w:val="00BB0B30"/>
    <w:rsid w:val="00BB0F6E"/>
    <w:rsid w:val="00BB10C9"/>
    <w:rsid w:val="00BB1157"/>
    <w:rsid w:val="00BB1452"/>
    <w:rsid w:val="00BB1516"/>
    <w:rsid w:val="00BB179D"/>
    <w:rsid w:val="00BB180D"/>
    <w:rsid w:val="00BB1B19"/>
    <w:rsid w:val="00BB1BE4"/>
    <w:rsid w:val="00BB1BE6"/>
    <w:rsid w:val="00BB1ED4"/>
    <w:rsid w:val="00BB1EDE"/>
    <w:rsid w:val="00BB1F1A"/>
    <w:rsid w:val="00BB2022"/>
    <w:rsid w:val="00BB21BB"/>
    <w:rsid w:val="00BB22AC"/>
    <w:rsid w:val="00BB26D6"/>
    <w:rsid w:val="00BB2AD5"/>
    <w:rsid w:val="00BB2C2C"/>
    <w:rsid w:val="00BB2DE5"/>
    <w:rsid w:val="00BB2E00"/>
    <w:rsid w:val="00BB3650"/>
    <w:rsid w:val="00BB3677"/>
    <w:rsid w:val="00BB373E"/>
    <w:rsid w:val="00BB380A"/>
    <w:rsid w:val="00BB38CC"/>
    <w:rsid w:val="00BB3A4B"/>
    <w:rsid w:val="00BB3AEC"/>
    <w:rsid w:val="00BB3EA8"/>
    <w:rsid w:val="00BB4807"/>
    <w:rsid w:val="00BB48CF"/>
    <w:rsid w:val="00BB49CB"/>
    <w:rsid w:val="00BB4A68"/>
    <w:rsid w:val="00BB4B0A"/>
    <w:rsid w:val="00BB4F33"/>
    <w:rsid w:val="00BB4F70"/>
    <w:rsid w:val="00BB501B"/>
    <w:rsid w:val="00BB501D"/>
    <w:rsid w:val="00BB5325"/>
    <w:rsid w:val="00BB556A"/>
    <w:rsid w:val="00BB57C0"/>
    <w:rsid w:val="00BB582D"/>
    <w:rsid w:val="00BB5B5A"/>
    <w:rsid w:val="00BB5BE6"/>
    <w:rsid w:val="00BB5E18"/>
    <w:rsid w:val="00BB5E71"/>
    <w:rsid w:val="00BB5F4B"/>
    <w:rsid w:val="00BB6020"/>
    <w:rsid w:val="00BB60EA"/>
    <w:rsid w:val="00BB631A"/>
    <w:rsid w:val="00BB6371"/>
    <w:rsid w:val="00BB6994"/>
    <w:rsid w:val="00BB6DD6"/>
    <w:rsid w:val="00BB6F43"/>
    <w:rsid w:val="00BB7063"/>
    <w:rsid w:val="00BB70A9"/>
    <w:rsid w:val="00BB72E4"/>
    <w:rsid w:val="00BB772B"/>
    <w:rsid w:val="00BB773B"/>
    <w:rsid w:val="00BB7A3E"/>
    <w:rsid w:val="00BB7AB9"/>
    <w:rsid w:val="00BB7ADE"/>
    <w:rsid w:val="00BB7DB1"/>
    <w:rsid w:val="00BB7E56"/>
    <w:rsid w:val="00BB7ED8"/>
    <w:rsid w:val="00BB7F0E"/>
    <w:rsid w:val="00BC0071"/>
    <w:rsid w:val="00BC0154"/>
    <w:rsid w:val="00BC04F2"/>
    <w:rsid w:val="00BC075C"/>
    <w:rsid w:val="00BC0762"/>
    <w:rsid w:val="00BC0A55"/>
    <w:rsid w:val="00BC0C31"/>
    <w:rsid w:val="00BC0D89"/>
    <w:rsid w:val="00BC0F6D"/>
    <w:rsid w:val="00BC1164"/>
    <w:rsid w:val="00BC119D"/>
    <w:rsid w:val="00BC126C"/>
    <w:rsid w:val="00BC135A"/>
    <w:rsid w:val="00BC1600"/>
    <w:rsid w:val="00BC1778"/>
    <w:rsid w:val="00BC17C3"/>
    <w:rsid w:val="00BC1CD9"/>
    <w:rsid w:val="00BC1E62"/>
    <w:rsid w:val="00BC1E9C"/>
    <w:rsid w:val="00BC233C"/>
    <w:rsid w:val="00BC24C1"/>
    <w:rsid w:val="00BC25BE"/>
    <w:rsid w:val="00BC268D"/>
    <w:rsid w:val="00BC273C"/>
    <w:rsid w:val="00BC2A20"/>
    <w:rsid w:val="00BC2BA5"/>
    <w:rsid w:val="00BC2D0C"/>
    <w:rsid w:val="00BC2D13"/>
    <w:rsid w:val="00BC2D53"/>
    <w:rsid w:val="00BC2DC1"/>
    <w:rsid w:val="00BC2FB4"/>
    <w:rsid w:val="00BC309E"/>
    <w:rsid w:val="00BC32A4"/>
    <w:rsid w:val="00BC3559"/>
    <w:rsid w:val="00BC3597"/>
    <w:rsid w:val="00BC3621"/>
    <w:rsid w:val="00BC3721"/>
    <w:rsid w:val="00BC3891"/>
    <w:rsid w:val="00BC3D30"/>
    <w:rsid w:val="00BC3E18"/>
    <w:rsid w:val="00BC3F49"/>
    <w:rsid w:val="00BC4342"/>
    <w:rsid w:val="00BC43C4"/>
    <w:rsid w:val="00BC4469"/>
    <w:rsid w:val="00BC4654"/>
    <w:rsid w:val="00BC4887"/>
    <w:rsid w:val="00BC4C02"/>
    <w:rsid w:val="00BC4CC9"/>
    <w:rsid w:val="00BC4DBD"/>
    <w:rsid w:val="00BC4DDC"/>
    <w:rsid w:val="00BC4E33"/>
    <w:rsid w:val="00BC4EC5"/>
    <w:rsid w:val="00BC5212"/>
    <w:rsid w:val="00BC5228"/>
    <w:rsid w:val="00BC5263"/>
    <w:rsid w:val="00BC538C"/>
    <w:rsid w:val="00BC54BD"/>
    <w:rsid w:val="00BC5626"/>
    <w:rsid w:val="00BC566A"/>
    <w:rsid w:val="00BC5700"/>
    <w:rsid w:val="00BC5C58"/>
    <w:rsid w:val="00BC5D4D"/>
    <w:rsid w:val="00BC5DA3"/>
    <w:rsid w:val="00BC5EDD"/>
    <w:rsid w:val="00BC5FE7"/>
    <w:rsid w:val="00BC5FF4"/>
    <w:rsid w:val="00BC622D"/>
    <w:rsid w:val="00BC6A83"/>
    <w:rsid w:val="00BC6BBC"/>
    <w:rsid w:val="00BC6C86"/>
    <w:rsid w:val="00BC6CD2"/>
    <w:rsid w:val="00BC6F63"/>
    <w:rsid w:val="00BC704E"/>
    <w:rsid w:val="00BC723C"/>
    <w:rsid w:val="00BC7480"/>
    <w:rsid w:val="00BC7522"/>
    <w:rsid w:val="00BC7773"/>
    <w:rsid w:val="00BC79AD"/>
    <w:rsid w:val="00BC7A3A"/>
    <w:rsid w:val="00BC7C6D"/>
    <w:rsid w:val="00BC7C8A"/>
    <w:rsid w:val="00BC7E70"/>
    <w:rsid w:val="00BD04F9"/>
    <w:rsid w:val="00BD0C24"/>
    <w:rsid w:val="00BD0E5D"/>
    <w:rsid w:val="00BD10B7"/>
    <w:rsid w:val="00BD117F"/>
    <w:rsid w:val="00BD1631"/>
    <w:rsid w:val="00BD1675"/>
    <w:rsid w:val="00BD1A85"/>
    <w:rsid w:val="00BD1CD2"/>
    <w:rsid w:val="00BD1FAD"/>
    <w:rsid w:val="00BD200C"/>
    <w:rsid w:val="00BD216D"/>
    <w:rsid w:val="00BD219C"/>
    <w:rsid w:val="00BD22FF"/>
    <w:rsid w:val="00BD234F"/>
    <w:rsid w:val="00BD25A5"/>
    <w:rsid w:val="00BD2820"/>
    <w:rsid w:val="00BD291D"/>
    <w:rsid w:val="00BD2AFC"/>
    <w:rsid w:val="00BD2CAC"/>
    <w:rsid w:val="00BD2EEB"/>
    <w:rsid w:val="00BD319B"/>
    <w:rsid w:val="00BD337B"/>
    <w:rsid w:val="00BD33AF"/>
    <w:rsid w:val="00BD38B0"/>
    <w:rsid w:val="00BD3A7B"/>
    <w:rsid w:val="00BD3BCB"/>
    <w:rsid w:val="00BD3EB7"/>
    <w:rsid w:val="00BD3F28"/>
    <w:rsid w:val="00BD4137"/>
    <w:rsid w:val="00BD454D"/>
    <w:rsid w:val="00BD4890"/>
    <w:rsid w:val="00BD4CE3"/>
    <w:rsid w:val="00BD4F0E"/>
    <w:rsid w:val="00BD50B2"/>
    <w:rsid w:val="00BD5467"/>
    <w:rsid w:val="00BD5627"/>
    <w:rsid w:val="00BD5630"/>
    <w:rsid w:val="00BD57AA"/>
    <w:rsid w:val="00BD586D"/>
    <w:rsid w:val="00BD5978"/>
    <w:rsid w:val="00BD5BC7"/>
    <w:rsid w:val="00BD5C36"/>
    <w:rsid w:val="00BD5D1A"/>
    <w:rsid w:val="00BD5DF7"/>
    <w:rsid w:val="00BD5F66"/>
    <w:rsid w:val="00BD6236"/>
    <w:rsid w:val="00BD6388"/>
    <w:rsid w:val="00BD6576"/>
    <w:rsid w:val="00BD659A"/>
    <w:rsid w:val="00BD6844"/>
    <w:rsid w:val="00BD6B1C"/>
    <w:rsid w:val="00BD6BF0"/>
    <w:rsid w:val="00BD6DD1"/>
    <w:rsid w:val="00BD71D8"/>
    <w:rsid w:val="00BD71F2"/>
    <w:rsid w:val="00BD7426"/>
    <w:rsid w:val="00BD751C"/>
    <w:rsid w:val="00BD7627"/>
    <w:rsid w:val="00BD765F"/>
    <w:rsid w:val="00BD76F7"/>
    <w:rsid w:val="00BD784A"/>
    <w:rsid w:val="00BD7973"/>
    <w:rsid w:val="00BD7ABC"/>
    <w:rsid w:val="00BD7B3F"/>
    <w:rsid w:val="00BD7E80"/>
    <w:rsid w:val="00BE01C7"/>
    <w:rsid w:val="00BE06FA"/>
    <w:rsid w:val="00BE091F"/>
    <w:rsid w:val="00BE0947"/>
    <w:rsid w:val="00BE0970"/>
    <w:rsid w:val="00BE0E5B"/>
    <w:rsid w:val="00BE0E5E"/>
    <w:rsid w:val="00BE0F9D"/>
    <w:rsid w:val="00BE1480"/>
    <w:rsid w:val="00BE1616"/>
    <w:rsid w:val="00BE17AD"/>
    <w:rsid w:val="00BE17AF"/>
    <w:rsid w:val="00BE19AC"/>
    <w:rsid w:val="00BE1A40"/>
    <w:rsid w:val="00BE1C58"/>
    <w:rsid w:val="00BE1EB5"/>
    <w:rsid w:val="00BE20BC"/>
    <w:rsid w:val="00BE241E"/>
    <w:rsid w:val="00BE252F"/>
    <w:rsid w:val="00BE2542"/>
    <w:rsid w:val="00BE2697"/>
    <w:rsid w:val="00BE29F6"/>
    <w:rsid w:val="00BE2D69"/>
    <w:rsid w:val="00BE2E99"/>
    <w:rsid w:val="00BE2F03"/>
    <w:rsid w:val="00BE2F06"/>
    <w:rsid w:val="00BE32AA"/>
    <w:rsid w:val="00BE3379"/>
    <w:rsid w:val="00BE33B8"/>
    <w:rsid w:val="00BE348A"/>
    <w:rsid w:val="00BE348F"/>
    <w:rsid w:val="00BE3875"/>
    <w:rsid w:val="00BE39C4"/>
    <w:rsid w:val="00BE3BB9"/>
    <w:rsid w:val="00BE3DC3"/>
    <w:rsid w:val="00BE40B9"/>
    <w:rsid w:val="00BE415F"/>
    <w:rsid w:val="00BE41C9"/>
    <w:rsid w:val="00BE433D"/>
    <w:rsid w:val="00BE4CEB"/>
    <w:rsid w:val="00BE4FCA"/>
    <w:rsid w:val="00BE51AD"/>
    <w:rsid w:val="00BE52F3"/>
    <w:rsid w:val="00BE547D"/>
    <w:rsid w:val="00BE568C"/>
    <w:rsid w:val="00BE5798"/>
    <w:rsid w:val="00BE5890"/>
    <w:rsid w:val="00BE58AC"/>
    <w:rsid w:val="00BE592A"/>
    <w:rsid w:val="00BE5C27"/>
    <w:rsid w:val="00BE5EA6"/>
    <w:rsid w:val="00BE5F64"/>
    <w:rsid w:val="00BE616F"/>
    <w:rsid w:val="00BE6683"/>
    <w:rsid w:val="00BE66EF"/>
    <w:rsid w:val="00BE69C6"/>
    <w:rsid w:val="00BE6AA9"/>
    <w:rsid w:val="00BE6D6A"/>
    <w:rsid w:val="00BE7184"/>
    <w:rsid w:val="00BE76F2"/>
    <w:rsid w:val="00BE77AA"/>
    <w:rsid w:val="00BE77E2"/>
    <w:rsid w:val="00BE7858"/>
    <w:rsid w:val="00BE798E"/>
    <w:rsid w:val="00BE79B6"/>
    <w:rsid w:val="00BE7AC2"/>
    <w:rsid w:val="00BE7B3C"/>
    <w:rsid w:val="00BE7CFC"/>
    <w:rsid w:val="00BE7E5C"/>
    <w:rsid w:val="00BE7F9B"/>
    <w:rsid w:val="00BE7FB7"/>
    <w:rsid w:val="00BF01AC"/>
    <w:rsid w:val="00BF024B"/>
    <w:rsid w:val="00BF0337"/>
    <w:rsid w:val="00BF0528"/>
    <w:rsid w:val="00BF05E4"/>
    <w:rsid w:val="00BF0776"/>
    <w:rsid w:val="00BF09FE"/>
    <w:rsid w:val="00BF0B58"/>
    <w:rsid w:val="00BF0CB6"/>
    <w:rsid w:val="00BF0D0D"/>
    <w:rsid w:val="00BF0DE5"/>
    <w:rsid w:val="00BF10C5"/>
    <w:rsid w:val="00BF114A"/>
    <w:rsid w:val="00BF130A"/>
    <w:rsid w:val="00BF16CC"/>
    <w:rsid w:val="00BF18BD"/>
    <w:rsid w:val="00BF1BD6"/>
    <w:rsid w:val="00BF1D81"/>
    <w:rsid w:val="00BF1DA0"/>
    <w:rsid w:val="00BF1DC6"/>
    <w:rsid w:val="00BF1F72"/>
    <w:rsid w:val="00BF1FDF"/>
    <w:rsid w:val="00BF207F"/>
    <w:rsid w:val="00BF20EE"/>
    <w:rsid w:val="00BF269C"/>
    <w:rsid w:val="00BF2AF7"/>
    <w:rsid w:val="00BF2BE2"/>
    <w:rsid w:val="00BF30EC"/>
    <w:rsid w:val="00BF3359"/>
    <w:rsid w:val="00BF341C"/>
    <w:rsid w:val="00BF3564"/>
    <w:rsid w:val="00BF365C"/>
    <w:rsid w:val="00BF3816"/>
    <w:rsid w:val="00BF3822"/>
    <w:rsid w:val="00BF38A0"/>
    <w:rsid w:val="00BF3D47"/>
    <w:rsid w:val="00BF407D"/>
    <w:rsid w:val="00BF43C5"/>
    <w:rsid w:val="00BF4620"/>
    <w:rsid w:val="00BF4621"/>
    <w:rsid w:val="00BF498E"/>
    <w:rsid w:val="00BF4AD8"/>
    <w:rsid w:val="00BF4EB7"/>
    <w:rsid w:val="00BF5046"/>
    <w:rsid w:val="00BF5086"/>
    <w:rsid w:val="00BF53BC"/>
    <w:rsid w:val="00BF5671"/>
    <w:rsid w:val="00BF5B48"/>
    <w:rsid w:val="00BF5C85"/>
    <w:rsid w:val="00BF5E35"/>
    <w:rsid w:val="00BF6165"/>
    <w:rsid w:val="00BF6328"/>
    <w:rsid w:val="00BF6332"/>
    <w:rsid w:val="00BF66FF"/>
    <w:rsid w:val="00BF673B"/>
    <w:rsid w:val="00BF68EE"/>
    <w:rsid w:val="00BF6BD4"/>
    <w:rsid w:val="00BF6C11"/>
    <w:rsid w:val="00BF6C60"/>
    <w:rsid w:val="00BF7100"/>
    <w:rsid w:val="00BF710A"/>
    <w:rsid w:val="00BF75F6"/>
    <w:rsid w:val="00BF7916"/>
    <w:rsid w:val="00BF79E9"/>
    <w:rsid w:val="00BF7BEE"/>
    <w:rsid w:val="00BF7CFB"/>
    <w:rsid w:val="00BF7D4A"/>
    <w:rsid w:val="00C0024A"/>
    <w:rsid w:val="00C002F3"/>
    <w:rsid w:val="00C0033C"/>
    <w:rsid w:val="00C003AD"/>
    <w:rsid w:val="00C00623"/>
    <w:rsid w:val="00C00624"/>
    <w:rsid w:val="00C00641"/>
    <w:rsid w:val="00C00ACF"/>
    <w:rsid w:val="00C00DB4"/>
    <w:rsid w:val="00C00E0F"/>
    <w:rsid w:val="00C00E45"/>
    <w:rsid w:val="00C01310"/>
    <w:rsid w:val="00C0146B"/>
    <w:rsid w:val="00C014D7"/>
    <w:rsid w:val="00C015C3"/>
    <w:rsid w:val="00C015FF"/>
    <w:rsid w:val="00C01714"/>
    <w:rsid w:val="00C018DD"/>
    <w:rsid w:val="00C019A7"/>
    <w:rsid w:val="00C01AE8"/>
    <w:rsid w:val="00C01D5D"/>
    <w:rsid w:val="00C01DFA"/>
    <w:rsid w:val="00C022CF"/>
    <w:rsid w:val="00C0278C"/>
    <w:rsid w:val="00C0282D"/>
    <w:rsid w:val="00C02E9D"/>
    <w:rsid w:val="00C02F66"/>
    <w:rsid w:val="00C030D7"/>
    <w:rsid w:val="00C034EC"/>
    <w:rsid w:val="00C03501"/>
    <w:rsid w:val="00C03AC5"/>
    <w:rsid w:val="00C03AD5"/>
    <w:rsid w:val="00C04022"/>
    <w:rsid w:val="00C0452F"/>
    <w:rsid w:val="00C048EE"/>
    <w:rsid w:val="00C04A0E"/>
    <w:rsid w:val="00C04B98"/>
    <w:rsid w:val="00C04F11"/>
    <w:rsid w:val="00C04F79"/>
    <w:rsid w:val="00C04FB8"/>
    <w:rsid w:val="00C051A6"/>
    <w:rsid w:val="00C05420"/>
    <w:rsid w:val="00C05552"/>
    <w:rsid w:val="00C057CB"/>
    <w:rsid w:val="00C05828"/>
    <w:rsid w:val="00C05854"/>
    <w:rsid w:val="00C059DA"/>
    <w:rsid w:val="00C05A45"/>
    <w:rsid w:val="00C05C30"/>
    <w:rsid w:val="00C05E0B"/>
    <w:rsid w:val="00C05F31"/>
    <w:rsid w:val="00C065AB"/>
    <w:rsid w:val="00C065E4"/>
    <w:rsid w:val="00C06701"/>
    <w:rsid w:val="00C06810"/>
    <w:rsid w:val="00C06BE5"/>
    <w:rsid w:val="00C0719B"/>
    <w:rsid w:val="00C0721B"/>
    <w:rsid w:val="00C072F2"/>
    <w:rsid w:val="00C0740D"/>
    <w:rsid w:val="00C07410"/>
    <w:rsid w:val="00C0755D"/>
    <w:rsid w:val="00C07594"/>
    <w:rsid w:val="00C07AC9"/>
    <w:rsid w:val="00C07C95"/>
    <w:rsid w:val="00C07EC9"/>
    <w:rsid w:val="00C1025D"/>
    <w:rsid w:val="00C102B2"/>
    <w:rsid w:val="00C102DF"/>
    <w:rsid w:val="00C10411"/>
    <w:rsid w:val="00C1044F"/>
    <w:rsid w:val="00C1046D"/>
    <w:rsid w:val="00C106DC"/>
    <w:rsid w:val="00C10854"/>
    <w:rsid w:val="00C10B16"/>
    <w:rsid w:val="00C10C3B"/>
    <w:rsid w:val="00C10C55"/>
    <w:rsid w:val="00C10CF7"/>
    <w:rsid w:val="00C112A0"/>
    <w:rsid w:val="00C1138C"/>
    <w:rsid w:val="00C114B2"/>
    <w:rsid w:val="00C11592"/>
    <w:rsid w:val="00C11A22"/>
    <w:rsid w:val="00C11BC4"/>
    <w:rsid w:val="00C120C4"/>
    <w:rsid w:val="00C121C2"/>
    <w:rsid w:val="00C122A7"/>
    <w:rsid w:val="00C123D6"/>
    <w:rsid w:val="00C123E3"/>
    <w:rsid w:val="00C12478"/>
    <w:rsid w:val="00C1247F"/>
    <w:rsid w:val="00C1248F"/>
    <w:rsid w:val="00C125D4"/>
    <w:rsid w:val="00C1265D"/>
    <w:rsid w:val="00C126E2"/>
    <w:rsid w:val="00C12994"/>
    <w:rsid w:val="00C12D02"/>
    <w:rsid w:val="00C12F2C"/>
    <w:rsid w:val="00C131C6"/>
    <w:rsid w:val="00C13413"/>
    <w:rsid w:val="00C134F2"/>
    <w:rsid w:val="00C1363C"/>
    <w:rsid w:val="00C13647"/>
    <w:rsid w:val="00C137EB"/>
    <w:rsid w:val="00C13B0F"/>
    <w:rsid w:val="00C13B23"/>
    <w:rsid w:val="00C13CD9"/>
    <w:rsid w:val="00C1403D"/>
    <w:rsid w:val="00C14818"/>
    <w:rsid w:val="00C148A7"/>
    <w:rsid w:val="00C14951"/>
    <w:rsid w:val="00C14AA6"/>
    <w:rsid w:val="00C14ABD"/>
    <w:rsid w:val="00C14B23"/>
    <w:rsid w:val="00C14F34"/>
    <w:rsid w:val="00C14F81"/>
    <w:rsid w:val="00C1546D"/>
    <w:rsid w:val="00C15869"/>
    <w:rsid w:val="00C159C6"/>
    <w:rsid w:val="00C15B2C"/>
    <w:rsid w:val="00C160A1"/>
    <w:rsid w:val="00C16130"/>
    <w:rsid w:val="00C163AB"/>
    <w:rsid w:val="00C1641E"/>
    <w:rsid w:val="00C16581"/>
    <w:rsid w:val="00C165DB"/>
    <w:rsid w:val="00C16843"/>
    <w:rsid w:val="00C16936"/>
    <w:rsid w:val="00C16A6A"/>
    <w:rsid w:val="00C16CD0"/>
    <w:rsid w:val="00C16D66"/>
    <w:rsid w:val="00C16DA9"/>
    <w:rsid w:val="00C16E01"/>
    <w:rsid w:val="00C16E66"/>
    <w:rsid w:val="00C16F43"/>
    <w:rsid w:val="00C17098"/>
    <w:rsid w:val="00C17443"/>
    <w:rsid w:val="00C1746B"/>
    <w:rsid w:val="00C17485"/>
    <w:rsid w:val="00C1751D"/>
    <w:rsid w:val="00C176C5"/>
    <w:rsid w:val="00C178AA"/>
    <w:rsid w:val="00C17B11"/>
    <w:rsid w:val="00C17CBC"/>
    <w:rsid w:val="00C200D9"/>
    <w:rsid w:val="00C2023B"/>
    <w:rsid w:val="00C20488"/>
    <w:rsid w:val="00C205A5"/>
    <w:rsid w:val="00C206BA"/>
    <w:rsid w:val="00C20A22"/>
    <w:rsid w:val="00C20B32"/>
    <w:rsid w:val="00C20D82"/>
    <w:rsid w:val="00C218F7"/>
    <w:rsid w:val="00C21A63"/>
    <w:rsid w:val="00C21AEE"/>
    <w:rsid w:val="00C21B1E"/>
    <w:rsid w:val="00C21DF4"/>
    <w:rsid w:val="00C22164"/>
    <w:rsid w:val="00C224CA"/>
    <w:rsid w:val="00C226EA"/>
    <w:rsid w:val="00C226EC"/>
    <w:rsid w:val="00C2290B"/>
    <w:rsid w:val="00C2292D"/>
    <w:rsid w:val="00C22B04"/>
    <w:rsid w:val="00C22EC2"/>
    <w:rsid w:val="00C22F08"/>
    <w:rsid w:val="00C23660"/>
    <w:rsid w:val="00C2379D"/>
    <w:rsid w:val="00C2389C"/>
    <w:rsid w:val="00C23995"/>
    <w:rsid w:val="00C23A53"/>
    <w:rsid w:val="00C23B77"/>
    <w:rsid w:val="00C23C21"/>
    <w:rsid w:val="00C23CF3"/>
    <w:rsid w:val="00C23D44"/>
    <w:rsid w:val="00C24000"/>
    <w:rsid w:val="00C2412F"/>
    <w:rsid w:val="00C24173"/>
    <w:rsid w:val="00C241A0"/>
    <w:rsid w:val="00C24591"/>
    <w:rsid w:val="00C24970"/>
    <w:rsid w:val="00C24CCE"/>
    <w:rsid w:val="00C24D19"/>
    <w:rsid w:val="00C24F88"/>
    <w:rsid w:val="00C25001"/>
    <w:rsid w:val="00C250E4"/>
    <w:rsid w:val="00C25198"/>
    <w:rsid w:val="00C25410"/>
    <w:rsid w:val="00C25AE4"/>
    <w:rsid w:val="00C25B48"/>
    <w:rsid w:val="00C25CA1"/>
    <w:rsid w:val="00C2609B"/>
    <w:rsid w:val="00C261D0"/>
    <w:rsid w:val="00C2622E"/>
    <w:rsid w:val="00C262ED"/>
    <w:rsid w:val="00C2646F"/>
    <w:rsid w:val="00C26B9B"/>
    <w:rsid w:val="00C26D7D"/>
    <w:rsid w:val="00C26FCC"/>
    <w:rsid w:val="00C27297"/>
    <w:rsid w:val="00C2748A"/>
    <w:rsid w:val="00C277FE"/>
    <w:rsid w:val="00C27852"/>
    <w:rsid w:val="00C278B7"/>
    <w:rsid w:val="00C27B78"/>
    <w:rsid w:val="00C27F31"/>
    <w:rsid w:val="00C27F56"/>
    <w:rsid w:val="00C301D8"/>
    <w:rsid w:val="00C30289"/>
    <w:rsid w:val="00C30321"/>
    <w:rsid w:val="00C30387"/>
    <w:rsid w:val="00C3038A"/>
    <w:rsid w:val="00C3057E"/>
    <w:rsid w:val="00C30670"/>
    <w:rsid w:val="00C307C4"/>
    <w:rsid w:val="00C307DA"/>
    <w:rsid w:val="00C3098F"/>
    <w:rsid w:val="00C30B8C"/>
    <w:rsid w:val="00C30C83"/>
    <w:rsid w:val="00C31041"/>
    <w:rsid w:val="00C31227"/>
    <w:rsid w:val="00C3133A"/>
    <w:rsid w:val="00C3136C"/>
    <w:rsid w:val="00C313CE"/>
    <w:rsid w:val="00C31B8E"/>
    <w:rsid w:val="00C31E05"/>
    <w:rsid w:val="00C32133"/>
    <w:rsid w:val="00C32238"/>
    <w:rsid w:val="00C3243E"/>
    <w:rsid w:val="00C32564"/>
    <w:rsid w:val="00C325C7"/>
    <w:rsid w:val="00C32947"/>
    <w:rsid w:val="00C32A10"/>
    <w:rsid w:val="00C335BA"/>
    <w:rsid w:val="00C33851"/>
    <w:rsid w:val="00C33950"/>
    <w:rsid w:val="00C33B0A"/>
    <w:rsid w:val="00C33F7E"/>
    <w:rsid w:val="00C340C6"/>
    <w:rsid w:val="00C34189"/>
    <w:rsid w:val="00C34762"/>
    <w:rsid w:val="00C34A1B"/>
    <w:rsid w:val="00C34A6A"/>
    <w:rsid w:val="00C34E77"/>
    <w:rsid w:val="00C34EE6"/>
    <w:rsid w:val="00C34F0C"/>
    <w:rsid w:val="00C358DE"/>
    <w:rsid w:val="00C35A16"/>
    <w:rsid w:val="00C35B67"/>
    <w:rsid w:val="00C35D30"/>
    <w:rsid w:val="00C35D93"/>
    <w:rsid w:val="00C35DE6"/>
    <w:rsid w:val="00C35E3D"/>
    <w:rsid w:val="00C3620A"/>
    <w:rsid w:val="00C36763"/>
    <w:rsid w:val="00C36800"/>
    <w:rsid w:val="00C36919"/>
    <w:rsid w:val="00C36D7C"/>
    <w:rsid w:val="00C36E4E"/>
    <w:rsid w:val="00C36F14"/>
    <w:rsid w:val="00C372A1"/>
    <w:rsid w:val="00C37481"/>
    <w:rsid w:val="00C3781B"/>
    <w:rsid w:val="00C40283"/>
    <w:rsid w:val="00C40406"/>
    <w:rsid w:val="00C404F2"/>
    <w:rsid w:val="00C405A6"/>
    <w:rsid w:val="00C405F0"/>
    <w:rsid w:val="00C4065F"/>
    <w:rsid w:val="00C40A4E"/>
    <w:rsid w:val="00C40C46"/>
    <w:rsid w:val="00C40EC9"/>
    <w:rsid w:val="00C40EE7"/>
    <w:rsid w:val="00C4102A"/>
    <w:rsid w:val="00C41203"/>
    <w:rsid w:val="00C41BF4"/>
    <w:rsid w:val="00C41C0F"/>
    <w:rsid w:val="00C41CCD"/>
    <w:rsid w:val="00C41DB5"/>
    <w:rsid w:val="00C41E2A"/>
    <w:rsid w:val="00C41FE9"/>
    <w:rsid w:val="00C42188"/>
    <w:rsid w:val="00C4234D"/>
    <w:rsid w:val="00C426C2"/>
    <w:rsid w:val="00C42733"/>
    <w:rsid w:val="00C42738"/>
    <w:rsid w:val="00C42A57"/>
    <w:rsid w:val="00C42A7C"/>
    <w:rsid w:val="00C42B9F"/>
    <w:rsid w:val="00C42D36"/>
    <w:rsid w:val="00C42EF8"/>
    <w:rsid w:val="00C431F8"/>
    <w:rsid w:val="00C433C6"/>
    <w:rsid w:val="00C43583"/>
    <w:rsid w:val="00C4372C"/>
    <w:rsid w:val="00C43F6F"/>
    <w:rsid w:val="00C44023"/>
    <w:rsid w:val="00C4420A"/>
    <w:rsid w:val="00C44233"/>
    <w:rsid w:val="00C443D0"/>
    <w:rsid w:val="00C44592"/>
    <w:rsid w:val="00C445C0"/>
    <w:rsid w:val="00C4479E"/>
    <w:rsid w:val="00C447F2"/>
    <w:rsid w:val="00C449AB"/>
    <w:rsid w:val="00C44E94"/>
    <w:rsid w:val="00C44F69"/>
    <w:rsid w:val="00C45057"/>
    <w:rsid w:val="00C452F6"/>
    <w:rsid w:val="00C4534F"/>
    <w:rsid w:val="00C4546A"/>
    <w:rsid w:val="00C45625"/>
    <w:rsid w:val="00C459E7"/>
    <w:rsid w:val="00C45E30"/>
    <w:rsid w:val="00C45E79"/>
    <w:rsid w:val="00C4683D"/>
    <w:rsid w:val="00C46A81"/>
    <w:rsid w:val="00C46AA6"/>
    <w:rsid w:val="00C46B09"/>
    <w:rsid w:val="00C46E42"/>
    <w:rsid w:val="00C46E92"/>
    <w:rsid w:val="00C471AA"/>
    <w:rsid w:val="00C4725F"/>
    <w:rsid w:val="00C4732D"/>
    <w:rsid w:val="00C47AC1"/>
    <w:rsid w:val="00C47D9C"/>
    <w:rsid w:val="00C47DF3"/>
    <w:rsid w:val="00C500C9"/>
    <w:rsid w:val="00C50153"/>
    <w:rsid w:val="00C507A3"/>
    <w:rsid w:val="00C50909"/>
    <w:rsid w:val="00C50A38"/>
    <w:rsid w:val="00C50B36"/>
    <w:rsid w:val="00C50BC5"/>
    <w:rsid w:val="00C50BFD"/>
    <w:rsid w:val="00C50CDF"/>
    <w:rsid w:val="00C50D8E"/>
    <w:rsid w:val="00C50F04"/>
    <w:rsid w:val="00C5100D"/>
    <w:rsid w:val="00C515CF"/>
    <w:rsid w:val="00C51A46"/>
    <w:rsid w:val="00C51A81"/>
    <w:rsid w:val="00C51B27"/>
    <w:rsid w:val="00C51D73"/>
    <w:rsid w:val="00C52166"/>
    <w:rsid w:val="00C52456"/>
    <w:rsid w:val="00C52552"/>
    <w:rsid w:val="00C52669"/>
    <w:rsid w:val="00C526C1"/>
    <w:rsid w:val="00C527B6"/>
    <w:rsid w:val="00C52827"/>
    <w:rsid w:val="00C52873"/>
    <w:rsid w:val="00C52931"/>
    <w:rsid w:val="00C529D7"/>
    <w:rsid w:val="00C52A56"/>
    <w:rsid w:val="00C52B6E"/>
    <w:rsid w:val="00C52D89"/>
    <w:rsid w:val="00C52F48"/>
    <w:rsid w:val="00C530C2"/>
    <w:rsid w:val="00C5320F"/>
    <w:rsid w:val="00C532D5"/>
    <w:rsid w:val="00C535EF"/>
    <w:rsid w:val="00C536FA"/>
    <w:rsid w:val="00C539C1"/>
    <w:rsid w:val="00C53BC5"/>
    <w:rsid w:val="00C53C40"/>
    <w:rsid w:val="00C54167"/>
    <w:rsid w:val="00C5432F"/>
    <w:rsid w:val="00C5433A"/>
    <w:rsid w:val="00C5453D"/>
    <w:rsid w:val="00C54553"/>
    <w:rsid w:val="00C545AA"/>
    <w:rsid w:val="00C547A0"/>
    <w:rsid w:val="00C549B1"/>
    <w:rsid w:val="00C54B09"/>
    <w:rsid w:val="00C54BB9"/>
    <w:rsid w:val="00C54C83"/>
    <w:rsid w:val="00C54CB9"/>
    <w:rsid w:val="00C54EA9"/>
    <w:rsid w:val="00C551F5"/>
    <w:rsid w:val="00C55498"/>
    <w:rsid w:val="00C55503"/>
    <w:rsid w:val="00C556A6"/>
    <w:rsid w:val="00C558F2"/>
    <w:rsid w:val="00C55B6A"/>
    <w:rsid w:val="00C55D12"/>
    <w:rsid w:val="00C55F32"/>
    <w:rsid w:val="00C56009"/>
    <w:rsid w:val="00C5618A"/>
    <w:rsid w:val="00C56720"/>
    <w:rsid w:val="00C56B50"/>
    <w:rsid w:val="00C56B95"/>
    <w:rsid w:val="00C56E89"/>
    <w:rsid w:val="00C570F1"/>
    <w:rsid w:val="00C5749A"/>
    <w:rsid w:val="00C57843"/>
    <w:rsid w:val="00C5792B"/>
    <w:rsid w:val="00C57959"/>
    <w:rsid w:val="00C57E3D"/>
    <w:rsid w:val="00C6019A"/>
    <w:rsid w:val="00C6025E"/>
    <w:rsid w:val="00C605E4"/>
    <w:rsid w:val="00C6091D"/>
    <w:rsid w:val="00C60CF4"/>
    <w:rsid w:val="00C610DD"/>
    <w:rsid w:val="00C611B2"/>
    <w:rsid w:val="00C61293"/>
    <w:rsid w:val="00C612B1"/>
    <w:rsid w:val="00C615D7"/>
    <w:rsid w:val="00C61643"/>
    <w:rsid w:val="00C6191F"/>
    <w:rsid w:val="00C61A90"/>
    <w:rsid w:val="00C61BE0"/>
    <w:rsid w:val="00C61EAB"/>
    <w:rsid w:val="00C61ED4"/>
    <w:rsid w:val="00C62010"/>
    <w:rsid w:val="00C6242E"/>
    <w:rsid w:val="00C627DC"/>
    <w:rsid w:val="00C62833"/>
    <w:rsid w:val="00C62B58"/>
    <w:rsid w:val="00C62BCF"/>
    <w:rsid w:val="00C62BD2"/>
    <w:rsid w:val="00C62D29"/>
    <w:rsid w:val="00C62E78"/>
    <w:rsid w:val="00C62EB2"/>
    <w:rsid w:val="00C63143"/>
    <w:rsid w:val="00C63215"/>
    <w:rsid w:val="00C6345B"/>
    <w:rsid w:val="00C635DB"/>
    <w:rsid w:val="00C636BB"/>
    <w:rsid w:val="00C63715"/>
    <w:rsid w:val="00C63CF0"/>
    <w:rsid w:val="00C63DF3"/>
    <w:rsid w:val="00C63E07"/>
    <w:rsid w:val="00C6468E"/>
    <w:rsid w:val="00C64B02"/>
    <w:rsid w:val="00C64BD0"/>
    <w:rsid w:val="00C64DA3"/>
    <w:rsid w:val="00C65109"/>
    <w:rsid w:val="00C6571C"/>
    <w:rsid w:val="00C6571E"/>
    <w:rsid w:val="00C657A8"/>
    <w:rsid w:val="00C657E2"/>
    <w:rsid w:val="00C65956"/>
    <w:rsid w:val="00C65A09"/>
    <w:rsid w:val="00C65CD7"/>
    <w:rsid w:val="00C660D3"/>
    <w:rsid w:val="00C661ED"/>
    <w:rsid w:val="00C663F5"/>
    <w:rsid w:val="00C664F5"/>
    <w:rsid w:val="00C6654E"/>
    <w:rsid w:val="00C666F2"/>
    <w:rsid w:val="00C66990"/>
    <w:rsid w:val="00C66E1B"/>
    <w:rsid w:val="00C66ED6"/>
    <w:rsid w:val="00C66F4D"/>
    <w:rsid w:val="00C670B5"/>
    <w:rsid w:val="00C6716F"/>
    <w:rsid w:val="00C671C4"/>
    <w:rsid w:val="00C6749B"/>
    <w:rsid w:val="00C679DB"/>
    <w:rsid w:val="00C67BA5"/>
    <w:rsid w:val="00C67C9A"/>
    <w:rsid w:val="00C67F7C"/>
    <w:rsid w:val="00C7011C"/>
    <w:rsid w:val="00C70130"/>
    <w:rsid w:val="00C703A6"/>
    <w:rsid w:val="00C7043D"/>
    <w:rsid w:val="00C70668"/>
    <w:rsid w:val="00C70845"/>
    <w:rsid w:val="00C708F8"/>
    <w:rsid w:val="00C70C46"/>
    <w:rsid w:val="00C70E7B"/>
    <w:rsid w:val="00C70EE5"/>
    <w:rsid w:val="00C71270"/>
    <w:rsid w:val="00C712FD"/>
    <w:rsid w:val="00C71665"/>
    <w:rsid w:val="00C7185D"/>
    <w:rsid w:val="00C718E1"/>
    <w:rsid w:val="00C71A20"/>
    <w:rsid w:val="00C71A78"/>
    <w:rsid w:val="00C71A99"/>
    <w:rsid w:val="00C71AEA"/>
    <w:rsid w:val="00C71BA7"/>
    <w:rsid w:val="00C71BEE"/>
    <w:rsid w:val="00C71C98"/>
    <w:rsid w:val="00C71DC4"/>
    <w:rsid w:val="00C71FBD"/>
    <w:rsid w:val="00C721A5"/>
    <w:rsid w:val="00C7255F"/>
    <w:rsid w:val="00C72952"/>
    <w:rsid w:val="00C72EAA"/>
    <w:rsid w:val="00C72F2C"/>
    <w:rsid w:val="00C72F5C"/>
    <w:rsid w:val="00C7301C"/>
    <w:rsid w:val="00C73213"/>
    <w:rsid w:val="00C734E6"/>
    <w:rsid w:val="00C7395F"/>
    <w:rsid w:val="00C73A71"/>
    <w:rsid w:val="00C73D29"/>
    <w:rsid w:val="00C73F18"/>
    <w:rsid w:val="00C73F83"/>
    <w:rsid w:val="00C7400D"/>
    <w:rsid w:val="00C740B3"/>
    <w:rsid w:val="00C740EB"/>
    <w:rsid w:val="00C7427C"/>
    <w:rsid w:val="00C7438E"/>
    <w:rsid w:val="00C745D5"/>
    <w:rsid w:val="00C7496E"/>
    <w:rsid w:val="00C74AF0"/>
    <w:rsid w:val="00C74B90"/>
    <w:rsid w:val="00C74CF4"/>
    <w:rsid w:val="00C74FC7"/>
    <w:rsid w:val="00C75039"/>
    <w:rsid w:val="00C7518B"/>
    <w:rsid w:val="00C751C7"/>
    <w:rsid w:val="00C754CE"/>
    <w:rsid w:val="00C75635"/>
    <w:rsid w:val="00C75AEF"/>
    <w:rsid w:val="00C75D6A"/>
    <w:rsid w:val="00C75F0B"/>
    <w:rsid w:val="00C75F89"/>
    <w:rsid w:val="00C76134"/>
    <w:rsid w:val="00C76193"/>
    <w:rsid w:val="00C76260"/>
    <w:rsid w:val="00C765D3"/>
    <w:rsid w:val="00C76787"/>
    <w:rsid w:val="00C76837"/>
    <w:rsid w:val="00C76A33"/>
    <w:rsid w:val="00C76A36"/>
    <w:rsid w:val="00C76C3F"/>
    <w:rsid w:val="00C76CBA"/>
    <w:rsid w:val="00C7705E"/>
    <w:rsid w:val="00C7714F"/>
    <w:rsid w:val="00C77215"/>
    <w:rsid w:val="00C7728F"/>
    <w:rsid w:val="00C77326"/>
    <w:rsid w:val="00C775D8"/>
    <w:rsid w:val="00C77741"/>
    <w:rsid w:val="00C779CC"/>
    <w:rsid w:val="00C77BFF"/>
    <w:rsid w:val="00C77E01"/>
    <w:rsid w:val="00C77EE8"/>
    <w:rsid w:val="00C80044"/>
    <w:rsid w:val="00C80402"/>
    <w:rsid w:val="00C80616"/>
    <w:rsid w:val="00C80642"/>
    <w:rsid w:val="00C80807"/>
    <w:rsid w:val="00C8083C"/>
    <w:rsid w:val="00C809A7"/>
    <w:rsid w:val="00C80E91"/>
    <w:rsid w:val="00C8117F"/>
    <w:rsid w:val="00C8119A"/>
    <w:rsid w:val="00C81461"/>
    <w:rsid w:val="00C815B0"/>
    <w:rsid w:val="00C81790"/>
    <w:rsid w:val="00C817DD"/>
    <w:rsid w:val="00C81B0C"/>
    <w:rsid w:val="00C81B2F"/>
    <w:rsid w:val="00C8207B"/>
    <w:rsid w:val="00C82099"/>
    <w:rsid w:val="00C82410"/>
    <w:rsid w:val="00C8267A"/>
    <w:rsid w:val="00C82A95"/>
    <w:rsid w:val="00C82D0F"/>
    <w:rsid w:val="00C82DEC"/>
    <w:rsid w:val="00C83071"/>
    <w:rsid w:val="00C83399"/>
    <w:rsid w:val="00C835CD"/>
    <w:rsid w:val="00C83675"/>
    <w:rsid w:val="00C836D7"/>
    <w:rsid w:val="00C8374F"/>
    <w:rsid w:val="00C83801"/>
    <w:rsid w:val="00C83CAC"/>
    <w:rsid w:val="00C83E92"/>
    <w:rsid w:val="00C840A9"/>
    <w:rsid w:val="00C84223"/>
    <w:rsid w:val="00C84840"/>
    <w:rsid w:val="00C848AA"/>
    <w:rsid w:val="00C84B12"/>
    <w:rsid w:val="00C84B9B"/>
    <w:rsid w:val="00C84D17"/>
    <w:rsid w:val="00C84DAC"/>
    <w:rsid w:val="00C84EE4"/>
    <w:rsid w:val="00C8540F"/>
    <w:rsid w:val="00C8547D"/>
    <w:rsid w:val="00C854CB"/>
    <w:rsid w:val="00C854E9"/>
    <w:rsid w:val="00C855E5"/>
    <w:rsid w:val="00C85813"/>
    <w:rsid w:val="00C858A8"/>
    <w:rsid w:val="00C85D72"/>
    <w:rsid w:val="00C85DA1"/>
    <w:rsid w:val="00C85EF1"/>
    <w:rsid w:val="00C8627D"/>
    <w:rsid w:val="00C86316"/>
    <w:rsid w:val="00C864E8"/>
    <w:rsid w:val="00C86622"/>
    <w:rsid w:val="00C86A25"/>
    <w:rsid w:val="00C871AD"/>
    <w:rsid w:val="00C8736D"/>
    <w:rsid w:val="00C876B6"/>
    <w:rsid w:val="00C877F3"/>
    <w:rsid w:val="00C87A7E"/>
    <w:rsid w:val="00C87B7A"/>
    <w:rsid w:val="00C87D07"/>
    <w:rsid w:val="00C9015E"/>
    <w:rsid w:val="00C902CF"/>
    <w:rsid w:val="00C9043F"/>
    <w:rsid w:val="00C9055E"/>
    <w:rsid w:val="00C907C1"/>
    <w:rsid w:val="00C90936"/>
    <w:rsid w:val="00C90C29"/>
    <w:rsid w:val="00C9117E"/>
    <w:rsid w:val="00C91197"/>
    <w:rsid w:val="00C91227"/>
    <w:rsid w:val="00C9122D"/>
    <w:rsid w:val="00C91290"/>
    <w:rsid w:val="00C91878"/>
    <w:rsid w:val="00C91B83"/>
    <w:rsid w:val="00C91CE8"/>
    <w:rsid w:val="00C91E07"/>
    <w:rsid w:val="00C91E8F"/>
    <w:rsid w:val="00C91FC3"/>
    <w:rsid w:val="00C92071"/>
    <w:rsid w:val="00C92133"/>
    <w:rsid w:val="00C921C9"/>
    <w:rsid w:val="00C92358"/>
    <w:rsid w:val="00C924AD"/>
    <w:rsid w:val="00C929A9"/>
    <w:rsid w:val="00C92A45"/>
    <w:rsid w:val="00C92B25"/>
    <w:rsid w:val="00C930DD"/>
    <w:rsid w:val="00C931E5"/>
    <w:rsid w:val="00C9339B"/>
    <w:rsid w:val="00C934CF"/>
    <w:rsid w:val="00C9358A"/>
    <w:rsid w:val="00C93641"/>
    <w:rsid w:val="00C937CF"/>
    <w:rsid w:val="00C93909"/>
    <w:rsid w:val="00C9393A"/>
    <w:rsid w:val="00C939EF"/>
    <w:rsid w:val="00C93F06"/>
    <w:rsid w:val="00C93FFF"/>
    <w:rsid w:val="00C94198"/>
    <w:rsid w:val="00C9419B"/>
    <w:rsid w:val="00C948F8"/>
    <w:rsid w:val="00C949CE"/>
    <w:rsid w:val="00C94F31"/>
    <w:rsid w:val="00C94F33"/>
    <w:rsid w:val="00C94F3E"/>
    <w:rsid w:val="00C94F48"/>
    <w:rsid w:val="00C94FE9"/>
    <w:rsid w:val="00C952AB"/>
    <w:rsid w:val="00C952AE"/>
    <w:rsid w:val="00C953B1"/>
    <w:rsid w:val="00C95715"/>
    <w:rsid w:val="00C9596D"/>
    <w:rsid w:val="00C95A9C"/>
    <w:rsid w:val="00C95F32"/>
    <w:rsid w:val="00C96453"/>
    <w:rsid w:val="00C96558"/>
    <w:rsid w:val="00C96963"/>
    <w:rsid w:val="00C96C9C"/>
    <w:rsid w:val="00C96F2A"/>
    <w:rsid w:val="00C9706E"/>
    <w:rsid w:val="00C97375"/>
    <w:rsid w:val="00C97C27"/>
    <w:rsid w:val="00C97F26"/>
    <w:rsid w:val="00CA02BE"/>
    <w:rsid w:val="00CA06F4"/>
    <w:rsid w:val="00CA0A35"/>
    <w:rsid w:val="00CA0CFA"/>
    <w:rsid w:val="00CA0F10"/>
    <w:rsid w:val="00CA1057"/>
    <w:rsid w:val="00CA1188"/>
    <w:rsid w:val="00CA1402"/>
    <w:rsid w:val="00CA1497"/>
    <w:rsid w:val="00CA14EE"/>
    <w:rsid w:val="00CA15BC"/>
    <w:rsid w:val="00CA15CE"/>
    <w:rsid w:val="00CA15FA"/>
    <w:rsid w:val="00CA1645"/>
    <w:rsid w:val="00CA1699"/>
    <w:rsid w:val="00CA1810"/>
    <w:rsid w:val="00CA1866"/>
    <w:rsid w:val="00CA186C"/>
    <w:rsid w:val="00CA2843"/>
    <w:rsid w:val="00CA2A97"/>
    <w:rsid w:val="00CA2AF7"/>
    <w:rsid w:val="00CA2B33"/>
    <w:rsid w:val="00CA2B53"/>
    <w:rsid w:val="00CA2B63"/>
    <w:rsid w:val="00CA2CAA"/>
    <w:rsid w:val="00CA3569"/>
    <w:rsid w:val="00CA360C"/>
    <w:rsid w:val="00CA3830"/>
    <w:rsid w:val="00CA39EE"/>
    <w:rsid w:val="00CA4038"/>
    <w:rsid w:val="00CA4268"/>
    <w:rsid w:val="00CA4324"/>
    <w:rsid w:val="00CA449B"/>
    <w:rsid w:val="00CA44F1"/>
    <w:rsid w:val="00CA468A"/>
    <w:rsid w:val="00CA4783"/>
    <w:rsid w:val="00CA4A8E"/>
    <w:rsid w:val="00CA4B69"/>
    <w:rsid w:val="00CA4BF3"/>
    <w:rsid w:val="00CA5020"/>
    <w:rsid w:val="00CA517A"/>
    <w:rsid w:val="00CA51A8"/>
    <w:rsid w:val="00CA51B8"/>
    <w:rsid w:val="00CA54EA"/>
    <w:rsid w:val="00CA55C4"/>
    <w:rsid w:val="00CA56DC"/>
    <w:rsid w:val="00CA56DD"/>
    <w:rsid w:val="00CA588B"/>
    <w:rsid w:val="00CA5AB7"/>
    <w:rsid w:val="00CA5DC2"/>
    <w:rsid w:val="00CA5DFB"/>
    <w:rsid w:val="00CA5E8D"/>
    <w:rsid w:val="00CA6124"/>
    <w:rsid w:val="00CA6469"/>
    <w:rsid w:val="00CA6483"/>
    <w:rsid w:val="00CA6525"/>
    <w:rsid w:val="00CA6AB3"/>
    <w:rsid w:val="00CA6AF9"/>
    <w:rsid w:val="00CA6C14"/>
    <w:rsid w:val="00CA6D5B"/>
    <w:rsid w:val="00CA6E9C"/>
    <w:rsid w:val="00CA6F66"/>
    <w:rsid w:val="00CA6FB6"/>
    <w:rsid w:val="00CA756C"/>
    <w:rsid w:val="00CA7D7C"/>
    <w:rsid w:val="00CB020F"/>
    <w:rsid w:val="00CB0225"/>
    <w:rsid w:val="00CB0466"/>
    <w:rsid w:val="00CB05C6"/>
    <w:rsid w:val="00CB0730"/>
    <w:rsid w:val="00CB0796"/>
    <w:rsid w:val="00CB0797"/>
    <w:rsid w:val="00CB083D"/>
    <w:rsid w:val="00CB0855"/>
    <w:rsid w:val="00CB0A07"/>
    <w:rsid w:val="00CB0BC3"/>
    <w:rsid w:val="00CB0D1C"/>
    <w:rsid w:val="00CB0DE3"/>
    <w:rsid w:val="00CB0E5E"/>
    <w:rsid w:val="00CB13D0"/>
    <w:rsid w:val="00CB1584"/>
    <w:rsid w:val="00CB1B93"/>
    <w:rsid w:val="00CB1BD2"/>
    <w:rsid w:val="00CB1ED2"/>
    <w:rsid w:val="00CB1EF5"/>
    <w:rsid w:val="00CB1F3C"/>
    <w:rsid w:val="00CB2157"/>
    <w:rsid w:val="00CB226B"/>
    <w:rsid w:val="00CB2424"/>
    <w:rsid w:val="00CB2696"/>
    <w:rsid w:val="00CB291E"/>
    <w:rsid w:val="00CB2BF1"/>
    <w:rsid w:val="00CB2CE6"/>
    <w:rsid w:val="00CB2CEF"/>
    <w:rsid w:val="00CB2ED6"/>
    <w:rsid w:val="00CB30D6"/>
    <w:rsid w:val="00CB34B1"/>
    <w:rsid w:val="00CB34FE"/>
    <w:rsid w:val="00CB363C"/>
    <w:rsid w:val="00CB39A4"/>
    <w:rsid w:val="00CB3ACD"/>
    <w:rsid w:val="00CB3D69"/>
    <w:rsid w:val="00CB3DBB"/>
    <w:rsid w:val="00CB3E49"/>
    <w:rsid w:val="00CB3EBA"/>
    <w:rsid w:val="00CB4058"/>
    <w:rsid w:val="00CB40F9"/>
    <w:rsid w:val="00CB444E"/>
    <w:rsid w:val="00CB4D19"/>
    <w:rsid w:val="00CB4F11"/>
    <w:rsid w:val="00CB5105"/>
    <w:rsid w:val="00CB541A"/>
    <w:rsid w:val="00CB5557"/>
    <w:rsid w:val="00CB5715"/>
    <w:rsid w:val="00CB57AF"/>
    <w:rsid w:val="00CB57B4"/>
    <w:rsid w:val="00CB58B1"/>
    <w:rsid w:val="00CB5B32"/>
    <w:rsid w:val="00CB5C0C"/>
    <w:rsid w:val="00CB5E39"/>
    <w:rsid w:val="00CB60A7"/>
    <w:rsid w:val="00CB60FA"/>
    <w:rsid w:val="00CB6156"/>
    <w:rsid w:val="00CB6268"/>
    <w:rsid w:val="00CB631D"/>
    <w:rsid w:val="00CB64A1"/>
    <w:rsid w:val="00CB6925"/>
    <w:rsid w:val="00CB6CD0"/>
    <w:rsid w:val="00CB6E0E"/>
    <w:rsid w:val="00CB74DC"/>
    <w:rsid w:val="00CB7549"/>
    <w:rsid w:val="00CB776F"/>
    <w:rsid w:val="00CB7CCF"/>
    <w:rsid w:val="00CB7E5A"/>
    <w:rsid w:val="00CC0362"/>
    <w:rsid w:val="00CC0789"/>
    <w:rsid w:val="00CC07EF"/>
    <w:rsid w:val="00CC08E2"/>
    <w:rsid w:val="00CC0C46"/>
    <w:rsid w:val="00CC0DD1"/>
    <w:rsid w:val="00CC0EE2"/>
    <w:rsid w:val="00CC0EE8"/>
    <w:rsid w:val="00CC11B8"/>
    <w:rsid w:val="00CC12BC"/>
    <w:rsid w:val="00CC13CA"/>
    <w:rsid w:val="00CC1407"/>
    <w:rsid w:val="00CC14D1"/>
    <w:rsid w:val="00CC16FD"/>
    <w:rsid w:val="00CC186B"/>
    <w:rsid w:val="00CC18F3"/>
    <w:rsid w:val="00CC19C3"/>
    <w:rsid w:val="00CC1B06"/>
    <w:rsid w:val="00CC20BC"/>
    <w:rsid w:val="00CC2195"/>
    <w:rsid w:val="00CC22B2"/>
    <w:rsid w:val="00CC2416"/>
    <w:rsid w:val="00CC2418"/>
    <w:rsid w:val="00CC252E"/>
    <w:rsid w:val="00CC2844"/>
    <w:rsid w:val="00CC2A39"/>
    <w:rsid w:val="00CC2AF7"/>
    <w:rsid w:val="00CC2C2D"/>
    <w:rsid w:val="00CC2CD2"/>
    <w:rsid w:val="00CC311F"/>
    <w:rsid w:val="00CC3144"/>
    <w:rsid w:val="00CC32C7"/>
    <w:rsid w:val="00CC32D6"/>
    <w:rsid w:val="00CC340A"/>
    <w:rsid w:val="00CC356F"/>
    <w:rsid w:val="00CC3656"/>
    <w:rsid w:val="00CC36C7"/>
    <w:rsid w:val="00CC3BE2"/>
    <w:rsid w:val="00CC3D63"/>
    <w:rsid w:val="00CC3E5E"/>
    <w:rsid w:val="00CC3EFE"/>
    <w:rsid w:val="00CC3F82"/>
    <w:rsid w:val="00CC4454"/>
    <w:rsid w:val="00CC445C"/>
    <w:rsid w:val="00CC461B"/>
    <w:rsid w:val="00CC469E"/>
    <w:rsid w:val="00CC486B"/>
    <w:rsid w:val="00CC4DA7"/>
    <w:rsid w:val="00CC4E21"/>
    <w:rsid w:val="00CC4FAE"/>
    <w:rsid w:val="00CC540A"/>
    <w:rsid w:val="00CC54B1"/>
    <w:rsid w:val="00CC5720"/>
    <w:rsid w:val="00CC58DE"/>
    <w:rsid w:val="00CC5942"/>
    <w:rsid w:val="00CC5A03"/>
    <w:rsid w:val="00CC5A75"/>
    <w:rsid w:val="00CC5CB5"/>
    <w:rsid w:val="00CC5E74"/>
    <w:rsid w:val="00CC6185"/>
    <w:rsid w:val="00CC632F"/>
    <w:rsid w:val="00CC64DB"/>
    <w:rsid w:val="00CC66BC"/>
    <w:rsid w:val="00CC686A"/>
    <w:rsid w:val="00CC69DA"/>
    <w:rsid w:val="00CC6B18"/>
    <w:rsid w:val="00CC6C55"/>
    <w:rsid w:val="00CC6C83"/>
    <w:rsid w:val="00CC7406"/>
    <w:rsid w:val="00CC748E"/>
    <w:rsid w:val="00CC75BD"/>
    <w:rsid w:val="00CC7802"/>
    <w:rsid w:val="00CC78AE"/>
    <w:rsid w:val="00CC7C36"/>
    <w:rsid w:val="00CC7C83"/>
    <w:rsid w:val="00CC7CE6"/>
    <w:rsid w:val="00CC7DD1"/>
    <w:rsid w:val="00CC7DF2"/>
    <w:rsid w:val="00CC7E36"/>
    <w:rsid w:val="00CD0169"/>
    <w:rsid w:val="00CD018D"/>
    <w:rsid w:val="00CD032A"/>
    <w:rsid w:val="00CD03CD"/>
    <w:rsid w:val="00CD040E"/>
    <w:rsid w:val="00CD052E"/>
    <w:rsid w:val="00CD079A"/>
    <w:rsid w:val="00CD07AF"/>
    <w:rsid w:val="00CD0939"/>
    <w:rsid w:val="00CD0983"/>
    <w:rsid w:val="00CD0A05"/>
    <w:rsid w:val="00CD0A66"/>
    <w:rsid w:val="00CD0ABD"/>
    <w:rsid w:val="00CD0C4B"/>
    <w:rsid w:val="00CD0D0F"/>
    <w:rsid w:val="00CD0F47"/>
    <w:rsid w:val="00CD0FA2"/>
    <w:rsid w:val="00CD0FD9"/>
    <w:rsid w:val="00CD10D1"/>
    <w:rsid w:val="00CD11A6"/>
    <w:rsid w:val="00CD125F"/>
    <w:rsid w:val="00CD138A"/>
    <w:rsid w:val="00CD14C3"/>
    <w:rsid w:val="00CD1573"/>
    <w:rsid w:val="00CD1917"/>
    <w:rsid w:val="00CD1B59"/>
    <w:rsid w:val="00CD1C7A"/>
    <w:rsid w:val="00CD1D24"/>
    <w:rsid w:val="00CD1E85"/>
    <w:rsid w:val="00CD1EB5"/>
    <w:rsid w:val="00CD1EEE"/>
    <w:rsid w:val="00CD2220"/>
    <w:rsid w:val="00CD22E1"/>
    <w:rsid w:val="00CD2303"/>
    <w:rsid w:val="00CD23D7"/>
    <w:rsid w:val="00CD2745"/>
    <w:rsid w:val="00CD29FA"/>
    <w:rsid w:val="00CD2BE2"/>
    <w:rsid w:val="00CD2ED8"/>
    <w:rsid w:val="00CD30A8"/>
    <w:rsid w:val="00CD319F"/>
    <w:rsid w:val="00CD3208"/>
    <w:rsid w:val="00CD383D"/>
    <w:rsid w:val="00CD3A57"/>
    <w:rsid w:val="00CD3B05"/>
    <w:rsid w:val="00CD3BBA"/>
    <w:rsid w:val="00CD3BD6"/>
    <w:rsid w:val="00CD3DED"/>
    <w:rsid w:val="00CD3E0C"/>
    <w:rsid w:val="00CD41C6"/>
    <w:rsid w:val="00CD4218"/>
    <w:rsid w:val="00CD4485"/>
    <w:rsid w:val="00CD478B"/>
    <w:rsid w:val="00CD4DFD"/>
    <w:rsid w:val="00CD5101"/>
    <w:rsid w:val="00CD5123"/>
    <w:rsid w:val="00CD5234"/>
    <w:rsid w:val="00CD536E"/>
    <w:rsid w:val="00CD53A3"/>
    <w:rsid w:val="00CD5551"/>
    <w:rsid w:val="00CD558F"/>
    <w:rsid w:val="00CD5820"/>
    <w:rsid w:val="00CD5984"/>
    <w:rsid w:val="00CD5F31"/>
    <w:rsid w:val="00CD609E"/>
    <w:rsid w:val="00CD63D5"/>
    <w:rsid w:val="00CD6639"/>
    <w:rsid w:val="00CD667F"/>
    <w:rsid w:val="00CD6C19"/>
    <w:rsid w:val="00CD6CA7"/>
    <w:rsid w:val="00CD6D0F"/>
    <w:rsid w:val="00CD6D2C"/>
    <w:rsid w:val="00CD6DF6"/>
    <w:rsid w:val="00CD6FAC"/>
    <w:rsid w:val="00CD7195"/>
    <w:rsid w:val="00CD71B9"/>
    <w:rsid w:val="00CD72B7"/>
    <w:rsid w:val="00CD72F9"/>
    <w:rsid w:val="00CD7613"/>
    <w:rsid w:val="00CD78DE"/>
    <w:rsid w:val="00CE02D8"/>
    <w:rsid w:val="00CE0397"/>
    <w:rsid w:val="00CE053E"/>
    <w:rsid w:val="00CE05F3"/>
    <w:rsid w:val="00CE07E1"/>
    <w:rsid w:val="00CE081F"/>
    <w:rsid w:val="00CE0945"/>
    <w:rsid w:val="00CE1507"/>
    <w:rsid w:val="00CE1796"/>
    <w:rsid w:val="00CE18D9"/>
    <w:rsid w:val="00CE1CE7"/>
    <w:rsid w:val="00CE2266"/>
    <w:rsid w:val="00CE23E3"/>
    <w:rsid w:val="00CE24A7"/>
    <w:rsid w:val="00CE24E5"/>
    <w:rsid w:val="00CE2562"/>
    <w:rsid w:val="00CE2765"/>
    <w:rsid w:val="00CE2D2D"/>
    <w:rsid w:val="00CE2D70"/>
    <w:rsid w:val="00CE2ECC"/>
    <w:rsid w:val="00CE35AF"/>
    <w:rsid w:val="00CE36D2"/>
    <w:rsid w:val="00CE36FF"/>
    <w:rsid w:val="00CE389B"/>
    <w:rsid w:val="00CE3A13"/>
    <w:rsid w:val="00CE3A5B"/>
    <w:rsid w:val="00CE3AFE"/>
    <w:rsid w:val="00CE3C72"/>
    <w:rsid w:val="00CE3C74"/>
    <w:rsid w:val="00CE3F6D"/>
    <w:rsid w:val="00CE4001"/>
    <w:rsid w:val="00CE40D2"/>
    <w:rsid w:val="00CE43D8"/>
    <w:rsid w:val="00CE43EF"/>
    <w:rsid w:val="00CE468B"/>
    <w:rsid w:val="00CE4D7E"/>
    <w:rsid w:val="00CE4EA9"/>
    <w:rsid w:val="00CE4F35"/>
    <w:rsid w:val="00CE4F46"/>
    <w:rsid w:val="00CE5041"/>
    <w:rsid w:val="00CE5491"/>
    <w:rsid w:val="00CE54A0"/>
    <w:rsid w:val="00CE54D3"/>
    <w:rsid w:val="00CE54F9"/>
    <w:rsid w:val="00CE572D"/>
    <w:rsid w:val="00CE5AA8"/>
    <w:rsid w:val="00CE5C07"/>
    <w:rsid w:val="00CE5DFE"/>
    <w:rsid w:val="00CE6115"/>
    <w:rsid w:val="00CE6211"/>
    <w:rsid w:val="00CE638C"/>
    <w:rsid w:val="00CE68BC"/>
    <w:rsid w:val="00CE6959"/>
    <w:rsid w:val="00CE6969"/>
    <w:rsid w:val="00CE6A2B"/>
    <w:rsid w:val="00CE6A9F"/>
    <w:rsid w:val="00CE6DB7"/>
    <w:rsid w:val="00CE70C0"/>
    <w:rsid w:val="00CE7118"/>
    <w:rsid w:val="00CE7621"/>
    <w:rsid w:val="00CE77D1"/>
    <w:rsid w:val="00CE7960"/>
    <w:rsid w:val="00CE7EB8"/>
    <w:rsid w:val="00CE7FBC"/>
    <w:rsid w:val="00CF011C"/>
    <w:rsid w:val="00CF0274"/>
    <w:rsid w:val="00CF0293"/>
    <w:rsid w:val="00CF02BB"/>
    <w:rsid w:val="00CF03F9"/>
    <w:rsid w:val="00CF0607"/>
    <w:rsid w:val="00CF0872"/>
    <w:rsid w:val="00CF08F7"/>
    <w:rsid w:val="00CF09EC"/>
    <w:rsid w:val="00CF0A1C"/>
    <w:rsid w:val="00CF0B6C"/>
    <w:rsid w:val="00CF16E0"/>
    <w:rsid w:val="00CF1C03"/>
    <w:rsid w:val="00CF1F08"/>
    <w:rsid w:val="00CF1FC5"/>
    <w:rsid w:val="00CF2216"/>
    <w:rsid w:val="00CF2306"/>
    <w:rsid w:val="00CF231E"/>
    <w:rsid w:val="00CF236A"/>
    <w:rsid w:val="00CF24A9"/>
    <w:rsid w:val="00CF2563"/>
    <w:rsid w:val="00CF2569"/>
    <w:rsid w:val="00CF2607"/>
    <w:rsid w:val="00CF29BB"/>
    <w:rsid w:val="00CF29C8"/>
    <w:rsid w:val="00CF2CA8"/>
    <w:rsid w:val="00CF2D5E"/>
    <w:rsid w:val="00CF2EAA"/>
    <w:rsid w:val="00CF2FE7"/>
    <w:rsid w:val="00CF34FB"/>
    <w:rsid w:val="00CF3594"/>
    <w:rsid w:val="00CF35A4"/>
    <w:rsid w:val="00CF3754"/>
    <w:rsid w:val="00CF3BB7"/>
    <w:rsid w:val="00CF3C45"/>
    <w:rsid w:val="00CF3CA3"/>
    <w:rsid w:val="00CF3CFC"/>
    <w:rsid w:val="00CF3E4B"/>
    <w:rsid w:val="00CF4228"/>
    <w:rsid w:val="00CF434B"/>
    <w:rsid w:val="00CF439F"/>
    <w:rsid w:val="00CF43FA"/>
    <w:rsid w:val="00CF445A"/>
    <w:rsid w:val="00CF445E"/>
    <w:rsid w:val="00CF476A"/>
    <w:rsid w:val="00CF487F"/>
    <w:rsid w:val="00CF4AB3"/>
    <w:rsid w:val="00CF4C58"/>
    <w:rsid w:val="00CF4E4C"/>
    <w:rsid w:val="00CF5155"/>
    <w:rsid w:val="00CF51C9"/>
    <w:rsid w:val="00CF51EC"/>
    <w:rsid w:val="00CF52FD"/>
    <w:rsid w:val="00CF5348"/>
    <w:rsid w:val="00CF550A"/>
    <w:rsid w:val="00CF5691"/>
    <w:rsid w:val="00CF5AB9"/>
    <w:rsid w:val="00CF5DFB"/>
    <w:rsid w:val="00CF5E79"/>
    <w:rsid w:val="00CF5FBB"/>
    <w:rsid w:val="00CF6610"/>
    <w:rsid w:val="00CF693D"/>
    <w:rsid w:val="00CF6AE1"/>
    <w:rsid w:val="00CF6BF3"/>
    <w:rsid w:val="00CF6F84"/>
    <w:rsid w:val="00CF6FD6"/>
    <w:rsid w:val="00CF74FF"/>
    <w:rsid w:val="00CF752C"/>
    <w:rsid w:val="00CF7662"/>
    <w:rsid w:val="00CF76C4"/>
    <w:rsid w:val="00CF773A"/>
    <w:rsid w:val="00CF79D7"/>
    <w:rsid w:val="00CF7BCC"/>
    <w:rsid w:val="00D003AC"/>
    <w:rsid w:val="00D004BD"/>
    <w:rsid w:val="00D00715"/>
    <w:rsid w:val="00D00777"/>
    <w:rsid w:val="00D01288"/>
    <w:rsid w:val="00D0138E"/>
    <w:rsid w:val="00D01570"/>
    <w:rsid w:val="00D02115"/>
    <w:rsid w:val="00D02153"/>
    <w:rsid w:val="00D0241C"/>
    <w:rsid w:val="00D0246D"/>
    <w:rsid w:val="00D02494"/>
    <w:rsid w:val="00D027C2"/>
    <w:rsid w:val="00D02887"/>
    <w:rsid w:val="00D028B6"/>
    <w:rsid w:val="00D02D9A"/>
    <w:rsid w:val="00D02E5A"/>
    <w:rsid w:val="00D031C7"/>
    <w:rsid w:val="00D03565"/>
    <w:rsid w:val="00D0388C"/>
    <w:rsid w:val="00D040B4"/>
    <w:rsid w:val="00D041C3"/>
    <w:rsid w:val="00D042F4"/>
    <w:rsid w:val="00D04545"/>
    <w:rsid w:val="00D04676"/>
    <w:rsid w:val="00D04727"/>
    <w:rsid w:val="00D04786"/>
    <w:rsid w:val="00D04A6F"/>
    <w:rsid w:val="00D04BD7"/>
    <w:rsid w:val="00D051A5"/>
    <w:rsid w:val="00D0552C"/>
    <w:rsid w:val="00D05604"/>
    <w:rsid w:val="00D057BF"/>
    <w:rsid w:val="00D058A6"/>
    <w:rsid w:val="00D058E4"/>
    <w:rsid w:val="00D05B69"/>
    <w:rsid w:val="00D05D5B"/>
    <w:rsid w:val="00D0609D"/>
    <w:rsid w:val="00D060FB"/>
    <w:rsid w:val="00D064E3"/>
    <w:rsid w:val="00D064F2"/>
    <w:rsid w:val="00D06668"/>
    <w:rsid w:val="00D066B8"/>
    <w:rsid w:val="00D06906"/>
    <w:rsid w:val="00D06A1E"/>
    <w:rsid w:val="00D06B4F"/>
    <w:rsid w:val="00D06EBB"/>
    <w:rsid w:val="00D0723B"/>
    <w:rsid w:val="00D074F2"/>
    <w:rsid w:val="00D0753F"/>
    <w:rsid w:val="00D07855"/>
    <w:rsid w:val="00D07CAF"/>
    <w:rsid w:val="00D07D34"/>
    <w:rsid w:val="00D100E6"/>
    <w:rsid w:val="00D103BF"/>
    <w:rsid w:val="00D105B8"/>
    <w:rsid w:val="00D1071A"/>
    <w:rsid w:val="00D10869"/>
    <w:rsid w:val="00D10A98"/>
    <w:rsid w:val="00D10AE1"/>
    <w:rsid w:val="00D10CF5"/>
    <w:rsid w:val="00D10D8C"/>
    <w:rsid w:val="00D1106A"/>
    <w:rsid w:val="00D11386"/>
    <w:rsid w:val="00D11397"/>
    <w:rsid w:val="00D1161B"/>
    <w:rsid w:val="00D11B35"/>
    <w:rsid w:val="00D11C96"/>
    <w:rsid w:val="00D11F65"/>
    <w:rsid w:val="00D12184"/>
    <w:rsid w:val="00D121C3"/>
    <w:rsid w:val="00D12365"/>
    <w:rsid w:val="00D125BA"/>
    <w:rsid w:val="00D125F4"/>
    <w:rsid w:val="00D12737"/>
    <w:rsid w:val="00D12794"/>
    <w:rsid w:val="00D127A6"/>
    <w:rsid w:val="00D12805"/>
    <w:rsid w:val="00D12887"/>
    <w:rsid w:val="00D1293F"/>
    <w:rsid w:val="00D12AE6"/>
    <w:rsid w:val="00D12C28"/>
    <w:rsid w:val="00D12C5C"/>
    <w:rsid w:val="00D12DF0"/>
    <w:rsid w:val="00D1309E"/>
    <w:rsid w:val="00D1315D"/>
    <w:rsid w:val="00D13275"/>
    <w:rsid w:val="00D13446"/>
    <w:rsid w:val="00D13451"/>
    <w:rsid w:val="00D139D0"/>
    <w:rsid w:val="00D13A7A"/>
    <w:rsid w:val="00D13CF3"/>
    <w:rsid w:val="00D13F2D"/>
    <w:rsid w:val="00D13FAD"/>
    <w:rsid w:val="00D143D0"/>
    <w:rsid w:val="00D1473C"/>
    <w:rsid w:val="00D14B86"/>
    <w:rsid w:val="00D14C22"/>
    <w:rsid w:val="00D15361"/>
    <w:rsid w:val="00D15365"/>
    <w:rsid w:val="00D15539"/>
    <w:rsid w:val="00D15D61"/>
    <w:rsid w:val="00D15DBC"/>
    <w:rsid w:val="00D161DB"/>
    <w:rsid w:val="00D162C6"/>
    <w:rsid w:val="00D163C5"/>
    <w:rsid w:val="00D168E2"/>
    <w:rsid w:val="00D16938"/>
    <w:rsid w:val="00D16B76"/>
    <w:rsid w:val="00D16C74"/>
    <w:rsid w:val="00D16F95"/>
    <w:rsid w:val="00D17219"/>
    <w:rsid w:val="00D172D6"/>
    <w:rsid w:val="00D175E7"/>
    <w:rsid w:val="00D1795B"/>
    <w:rsid w:val="00D17977"/>
    <w:rsid w:val="00D17B16"/>
    <w:rsid w:val="00D2007D"/>
    <w:rsid w:val="00D202AD"/>
    <w:rsid w:val="00D206EF"/>
    <w:rsid w:val="00D20D51"/>
    <w:rsid w:val="00D20E33"/>
    <w:rsid w:val="00D21341"/>
    <w:rsid w:val="00D21ACC"/>
    <w:rsid w:val="00D21DB4"/>
    <w:rsid w:val="00D21E92"/>
    <w:rsid w:val="00D22053"/>
    <w:rsid w:val="00D220E0"/>
    <w:rsid w:val="00D22152"/>
    <w:rsid w:val="00D223F4"/>
    <w:rsid w:val="00D2241B"/>
    <w:rsid w:val="00D22484"/>
    <w:rsid w:val="00D22768"/>
    <w:rsid w:val="00D2315F"/>
    <w:rsid w:val="00D2340B"/>
    <w:rsid w:val="00D23578"/>
    <w:rsid w:val="00D23BFC"/>
    <w:rsid w:val="00D242C1"/>
    <w:rsid w:val="00D24385"/>
    <w:rsid w:val="00D243EA"/>
    <w:rsid w:val="00D24440"/>
    <w:rsid w:val="00D2496F"/>
    <w:rsid w:val="00D24A11"/>
    <w:rsid w:val="00D24A8F"/>
    <w:rsid w:val="00D24BA9"/>
    <w:rsid w:val="00D24CBA"/>
    <w:rsid w:val="00D25010"/>
    <w:rsid w:val="00D250A1"/>
    <w:rsid w:val="00D25217"/>
    <w:rsid w:val="00D252A4"/>
    <w:rsid w:val="00D252B0"/>
    <w:rsid w:val="00D2531F"/>
    <w:rsid w:val="00D2547B"/>
    <w:rsid w:val="00D255AC"/>
    <w:rsid w:val="00D255AE"/>
    <w:rsid w:val="00D25678"/>
    <w:rsid w:val="00D25C0D"/>
    <w:rsid w:val="00D25C13"/>
    <w:rsid w:val="00D26027"/>
    <w:rsid w:val="00D261B5"/>
    <w:rsid w:val="00D2622A"/>
    <w:rsid w:val="00D264FC"/>
    <w:rsid w:val="00D26500"/>
    <w:rsid w:val="00D266B0"/>
    <w:rsid w:val="00D267DA"/>
    <w:rsid w:val="00D26A7F"/>
    <w:rsid w:val="00D26AB2"/>
    <w:rsid w:val="00D26AE2"/>
    <w:rsid w:val="00D26B9E"/>
    <w:rsid w:val="00D26E37"/>
    <w:rsid w:val="00D26F0D"/>
    <w:rsid w:val="00D2704D"/>
    <w:rsid w:val="00D274C5"/>
    <w:rsid w:val="00D27A65"/>
    <w:rsid w:val="00D27B59"/>
    <w:rsid w:val="00D27E8C"/>
    <w:rsid w:val="00D27ECD"/>
    <w:rsid w:val="00D301A4"/>
    <w:rsid w:val="00D302B2"/>
    <w:rsid w:val="00D30543"/>
    <w:rsid w:val="00D305AA"/>
    <w:rsid w:val="00D30794"/>
    <w:rsid w:val="00D30A3A"/>
    <w:rsid w:val="00D30A60"/>
    <w:rsid w:val="00D30D65"/>
    <w:rsid w:val="00D30E20"/>
    <w:rsid w:val="00D30F47"/>
    <w:rsid w:val="00D31480"/>
    <w:rsid w:val="00D315E8"/>
    <w:rsid w:val="00D316A4"/>
    <w:rsid w:val="00D318C0"/>
    <w:rsid w:val="00D31E14"/>
    <w:rsid w:val="00D321EE"/>
    <w:rsid w:val="00D323C7"/>
    <w:rsid w:val="00D3288E"/>
    <w:rsid w:val="00D32890"/>
    <w:rsid w:val="00D32AE6"/>
    <w:rsid w:val="00D32CC5"/>
    <w:rsid w:val="00D32CDB"/>
    <w:rsid w:val="00D32D54"/>
    <w:rsid w:val="00D32EB2"/>
    <w:rsid w:val="00D331D2"/>
    <w:rsid w:val="00D333C5"/>
    <w:rsid w:val="00D334A7"/>
    <w:rsid w:val="00D334DE"/>
    <w:rsid w:val="00D336A3"/>
    <w:rsid w:val="00D3393B"/>
    <w:rsid w:val="00D339A6"/>
    <w:rsid w:val="00D339C8"/>
    <w:rsid w:val="00D33BD2"/>
    <w:rsid w:val="00D34261"/>
    <w:rsid w:val="00D34298"/>
    <w:rsid w:val="00D342E9"/>
    <w:rsid w:val="00D34412"/>
    <w:rsid w:val="00D3468F"/>
    <w:rsid w:val="00D34920"/>
    <w:rsid w:val="00D349C0"/>
    <w:rsid w:val="00D34CEA"/>
    <w:rsid w:val="00D351FE"/>
    <w:rsid w:val="00D35243"/>
    <w:rsid w:val="00D35534"/>
    <w:rsid w:val="00D357F1"/>
    <w:rsid w:val="00D357F3"/>
    <w:rsid w:val="00D3633A"/>
    <w:rsid w:val="00D36397"/>
    <w:rsid w:val="00D3644A"/>
    <w:rsid w:val="00D36792"/>
    <w:rsid w:val="00D367FE"/>
    <w:rsid w:val="00D368A1"/>
    <w:rsid w:val="00D36E16"/>
    <w:rsid w:val="00D36FEA"/>
    <w:rsid w:val="00D37017"/>
    <w:rsid w:val="00D371CD"/>
    <w:rsid w:val="00D37312"/>
    <w:rsid w:val="00D37468"/>
    <w:rsid w:val="00D3799A"/>
    <w:rsid w:val="00D37E54"/>
    <w:rsid w:val="00D40061"/>
    <w:rsid w:val="00D4009B"/>
    <w:rsid w:val="00D40168"/>
    <w:rsid w:val="00D401EA"/>
    <w:rsid w:val="00D402B6"/>
    <w:rsid w:val="00D40418"/>
    <w:rsid w:val="00D4043D"/>
    <w:rsid w:val="00D40547"/>
    <w:rsid w:val="00D4090B"/>
    <w:rsid w:val="00D40D70"/>
    <w:rsid w:val="00D4122E"/>
    <w:rsid w:val="00D41487"/>
    <w:rsid w:val="00D41999"/>
    <w:rsid w:val="00D41A80"/>
    <w:rsid w:val="00D41AB9"/>
    <w:rsid w:val="00D41C3B"/>
    <w:rsid w:val="00D41E2C"/>
    <w:rsid w:val="00D41FBE"/>
    <w:rsid w:val="00D41FC3"/>
    <w:rsid w:val="00D42251"/>
    <w:rsid w:val="00D42DA2"/>
    <w:rsid w:val="00D42EF4"/>
    <w:rsid w:val="00D4332D"/>
    <w:rsid w:val="00D43357"/>
    <w:rsid w:val="00D4335B"/>
    <w:rsid w:val="00D43479"/>
    <w:rsid w:val="00D4385C"/>
    <w:rsid w:val="00D43AC6"/>
    <w:rsid w:val="00D43B05"/>
    <w:rsid w:val="00D43D0F"/>
    <w:rsid w:val="00D440D6"/>
    <w:rsid w:val="00D44167"/>
    <w:rsid w:val="00D441A6"/>
    <w:rsid w:val="00D4420B"/>
    <w:rsid w:val="00D44694"/>
    <w:rsid w:val="00D447B5"/>
    <w:rsid w:val="00D44819"/>
    <w:rsid w:val="00D448C8"/>
    <w:rsid w:val="00D44959"/>
    <w:rsid w:val="00D44B3A"/>
    <w:rsid w:val="00D44C63"/>
    <w:rsid w:val="00D45077"/>
    <w:rsid w:val="00D455F1"/>
    <w:rsid w:val="00D4572A"/>
    <w:rsid w:val="00D4582E"/>
    <w:rsid w:val="00D45959"/>
    <w:rsid w:val="00D459CA"/>
    <w:rsid w:val="00D46570"/>
    <w:rsid w:val="00D4664B"/>
    <w:rsid w:val="00D4679A"/>
    <w:rsid w:val="00D468DA"/>
    <w:rsid w:val="00D46914"/>
    <w:rsid w:val="00D46928"/>
    <w:rsid w:val="00D46BCF"/>
    <w:rsid w:val="00D46FA5"/>
    <w:rsid w:val="00D47116"/>
    <w:rsid w:val="00D4712A"/>
    <w:rsid w:val="00D4720C"/>
    <w:rsid w:val="00D47300"/>
    <w:rsid w:val="00D4767E"/>
    <w:rsid w:val="00D476D1"/>
    <w:rsid w:val="00D476E6"/>
    <w:rsid w:val="00D47970"/>
    <w:rsid w:val="00D479D5"/>
    <w:rsid w:val="00D47B33"/>
    <w:rsid w:val="00D47C77"/>
    <w:rsid w:val="00D47C99"/>
    <w:rsid w:val="00D47ED4"/>
    <w:rsid w:val="00D47EF3"/>
    <w:rsid w:val="00D47F18"/>
    <w:rsid w:val="00D5001A"/>
    <w:rsid w:val="00D50416"/>
    <w:rsid w:val="00D50591"/>
    <w:rsid w:val="00D505C7"/>
    <w:rsid w:val="00D50648"/>
    <w:rsid w:val="00D50AC0"/>
    <w:rsid w:val="00D50FB3"/>
    <w:rsid w:val="00D5175B"/>
    <w:rsid w:val="00D51C6C"/>
    <w:rsid w:val="00D51C75"/>
    <w:rsid w:val="00D52325"/>
    <w:rsid w:val="00D52589"/>
    <w:rsid w:val="00D52711"/>
    <w:rsid w:val="00D52869"/>
    <w:rsid w:val="00D5288B"/>
    <w:rsid w:val="00D52AF8"/>
    <w:rsid w:val="00D52E68"/>
    <w:rsid w:val="00D53578"/>
    <w:rsid w:val="00D537B0"/>
    <w:rsid w:val="00D537FE"/>
    <w:rsid w:val="00D538B9"/>
    <w:rsid w:val="00D53A0C"/>
    <w:rsid w:val="00D53BA4"/>
    <w:rsid w:val="00D53CCE"/>
    <w:rsid w:val="00D53D6F"/>
    <w:rsid w:val="00D53E37"/>
    <w:rsid w:val="00D53E7B"/>
    <w:rsid w:val="00D53FB3"/>
    <w:rsid w:val="00D544B4"/>
    <w:rsid w:val="00D54564"/>
    <w:rsid w:val="00D545FA"/>
    <w:rsid w:val="00D54609"/>
    <w:rsid w:val="00D546D5"/>
    <w:rsid w:val="00D54706"/>
    <w:rsid w:val="00D5491B"/>
    <w:rsid w:val="00D54C32"/>
    <w:rsid w:val="00D54F12"/>
    <w:rsid w:val="00D55094"/>
    <w:rsid w:val="00D5510E"/>
    <w:rsid w:val="00D55158"/>
    <w:rsid w:val="00D55186"/>
    <w:rsid w:val="00D55426"/>
    <w:rsid w:val="00D5566A"/>
    <w:rsid w:val="00D5566E"/>
    <w:rsid w:val="00D5572B"/>
    <w:rsid w:val="00D55A08"/>
    <w:rsid w:val="00D55C4A"/>
    <w:rsid w:val="00D55EF0"/>
    <w:rsid w:val="00D55F08"/>
    <w:rsid w:val="00D56055"/>
    <w:rsid w:val="00D562E3"/>
    <w:rsid w:val="00D563A6"/>
    <w:rsid w:val="00D5649A"/>
    <w:rsid w:val="00D566C7"/>
    <w:rsid w:val="00D567B1"/>
    <w:rsid w:val="00D567D7"/>
    <w:rsid w:val="00D56A3F"/>
    <w:rsid w:val="00D56C1B"/>
    <w:rsid w:val="00D571DF"/>
    <w:rsid w:val="00D572C4"/>
    <w:rsid w:val="00D576CC"/>
    <w:rsid w:val="00D57ACE"/>
    <w:rsid w:val="00D57DAC"/>
    <w:rsid w:val="00D57F84"/>
    <w:rsid w:val="00D601BC"/>
    <w:rsid w:val="00D6039C"/>
    <w:rsid w:val="00D60601"/>
    <w:rsid w:val="00D6088A"/>
    <w:rsid w:val="00D60A04"/>
    <w:rsid w:val="00D60A9A"/>
    <w:rsid w:val="00D60DB0"/>
    <w:rsid w:val="00D60F6A"/>
    <w:rsid w:val="00D61040"/>
    <w:rsid w:val="00D610AD"/>
    <w:rsid w:val="00D616A8"/>
    <w:rsid w:val="00D617E3"/>
    <w:rsid w:val="00D6181D"/>
    <w:rsid w:val="00D61976"/>
    <w:rsid w:val="00D61AA9"/>
    <w:rsid w:val="00D61D15"/>
    <w:rsid w:val="00D61EAB"/>
    <w:rsid w:val="00D62015"/>
    <w:rsid w:val="00D620CB"/>
    <w:rsid w:val="00D62612"/>
    <w:rsid w:val="00D6275E"/>
    <w:rsid w:val="00D629CB"/>
    <w:rsid w:val="00D62CA6"/>
    <w:rsid w:val="00D62DDF"/>
    <w:rsid w:val="00D635ED"/>
    <w:rsid w:val="00D63798"/>
    <w:rsid w:val="00D63944"/>
    <w:rsid w:val="00D63994"/>
    <w:rsid w:val="00D63AFD"/>
    <w:rsid w:val="00D63B8B"/>
    <w:rsid w:val="00D63CC2"/>
    <w:rsid w:val="00D63D7A"/>
    <w:rsid w:val="00D63DE3"/>
    <w:rsid w:val="00D63ED8"/>
    <w:rsid w:val="00D63FB7"/>
    <w:rsid w:val="00D63FE0"/>
    <w:rsid w:val="00D6407E"/>
    <w:rsid w:val="00D64532"/>
    <w:rsid w:val="00D645A4"/>
    <w:rsid w:val="00D649FD"/>
    <w:rsid w:val="00D64B24"/>
    <w:rsid w:val="00D64B62"/>
    <w:rsid w:val="00D64BCA"/>
    <w:rsid w:val="00D64C9C"/>
    <w:rsid w:val="00D651B5"/>
    <w:rsid w:val="00D651FB"/>
    <w:rsid w:val="00D653DE"/>
    <w:rsid w:val="00D655AB"/>
    <w:rsid w:val="00D65672"/>
    <w:rsid w:val="00D6590A"/>
    <w:rsid w:val="00D65B59"/>
    <w:rsid w:val="00D65BAF"/>
    <w:rsid w:val="00D663E0"/>
    <w:rsid w:val="00D66775"/>
    <w:rsid w:val="00D668D3"/>
    <w:rsid w:val="00D66915"/>
    <w:rsid w:val="00D66927"/>
    <w:rsid w:val="00D66C92"/>
    <w:rsid w:val="00D670BA"/>
    <w:rsid w:val="00D671B8"/>
    <w:rsid w:val="00D67544"/>
    <w:rsid w:val="00D67638"/>
    <w:rsid w:val="00D676A0"/>
    <w:rsid w:val="00D676B8"/>
    <w:rsid w:val="00D67EE6"/>
    <w:rsid w:val="00D70169"/>
    <w:rsid w:val="00D701BF"/>
    <w:rsid w:val="00D702E9"/>
    <w:rsid w:val="00D705CB"/>
    <w:rsid w:val="00D7064B"/>
    <w:rsid w:val="00D70838"/>
    <w:rsid w:val="00D708BD"/>
    <w:rsid w:val="00D7096B"/>
    <w:rsid w:val="00D709B2"/>
    <w:rsid w:val="00D70E10"/>
    <w:rsid w:val="00D7101E"/>
    <w:rsid w:val="00D7135E"/>
    <w:rsid w:val="00D71389"/>
    <w:rsid w:val="00D716A9"/>
    <w:rsid w:val="00D71C2A"/>
    <w:rsid w:val="00D71C63"/>
    <w:rsid w:val="00D71E8F"/>
    <w:rsid w:val="00D72198"/>
    <w:rsid w:val="00D721E0"/>
    <w:rsid w:val="00D722DC"/>
    <w:rsid w:val="00D722ED"/>
    <w:rsid w:val="00D724D7"/>
    <w:rsid w:val="00D7264C"/>
    <w:rsid w:val="00D728E8"/>
    <w:rsid w:val="00D72966"/>
    <w:rsid w:val="00D7297B"/>
    <w:rsid w:val="00D729E3"/>
    <w:rsid w:val="00D72B2C"/>
    <w:rsid w:val="00D72EBB"/>
    <w:rsid w:val="00D72F87"/>
    <w:rsid w:val="00D731AE"/>
    <w:rsid w:val="00D73295"/>
    <w:rsid w:val="00D736B5"/>
    <w:rsid w:val="00D7386D"/>
    <w:rsid w:val="00D73D91"/>
    <w:rsid w:val="00D73E92"/>
    <w:rsid w:val="00D7422E"/>
    <w:rsid w:val="00D74245"/>
    <w:rsid w:val="00D74258"/>
    <w:rsid w:val="00D74363"/>
    <w:rsid w:val="00D7443F"/>
    <w:rsid w:val="00D74596"/>
    <w:rsid w:val="00D74651"/>
    <w:rsid w:val="00D74717"/>
    <w:rsid w:val="00D74889"/>
    <w:rsid w:val="00D749B3"/>
    <w:rsid w:val="00D74BD6"/>
    <w:rsid w:val="00D74C89"/>
    <w:rsid w:val="00D74E90"/>
    <w:rsid w:val="00D74FB9"/>
    <w:rsid w:val="00D75105"/>
    <w:rsid w:val="00D7559A"/>
    <w:rsid w:val="00D758BC"/>
    <w:rsid w:val="00D75D0E"/>
    <w:rsid w:val="00D75D65"/>
    <w:rsid w:val="00D7601E"/>
    <w:rsid w:val="00D760C8"/>
    <w:rsid w:val="00D7610B"/>
    <w:rsid w:val="00D76137"/>
    <w:rsid w:val="00D7614F"/>
    <w:rsid w:val="00D76246"/>
    <w:rsid w:val="00D76335"/>
    <w:rsid w:val="00D766DA"/>
    <w:rsid w:val="00D767B3"/>
    <w:rsid w:val="00D767D0"/>
    <w:rsid w:val="00D769B9"/>
    <w:rsid w:val="00D769ED"/>
    <w:rsid w:val="00D76B6B"/>
    <w:rsid w:val="00D76FFE"/>
    <w:rsid w:val="00D771F9"/>
    <w:rsid w:val="00D773CC"/>
    <w:rsid w:val="00D776F0"/>
    <w:rsid w:val="00D778AE"/>
    <w:rsid w:val="00D779AF"/>
    <w:rsid w:val="00D77C90"/>
    <w:rsid w:val="00D802BE"/>
    <w:rsid w:val="00D803FD"/>
    <w:rsid w:val="00D8048C"/>
    <w:rsid w:val="00D804E3"/>
    <w:rsid w:val="00D806EF"/>
    <w:rsid w:val="00D80A64"/>
    <w:rsid w:val="00D80EE3"/>
    <w:rsid w:val="00D81025"/>
    <w:rsid w:val="00D8127F"/>
    <w:rsid w:val="00D81324"/>
    <w:rsid w:val="00D813FD"/>
    <w:rsid w:val="00D816FA"/>
    <w:rsid w:val="00D81715"/>
    <w:rsid w:val="00D819D7"/>
    <w:rsid w:val="00D81ED9"/>
    <w:rsid w:val="00D82318"/>
    <w:rsid w:val="00D82363"/>
    <w:rsid w:val="00D8288A"/>
    <w:rsid w:val="00D82AD0"/>
    <w:rsid w:val="00D82CCE"/>
    <w:rsid w:val="00D82FCC"/>
    <w:rsid w:val="00D82FFC"/>
    <w:rsid w:val="00D8354A"/>
    <w:rsid w:val="00D8379A"/>
    <w:rsid w:val="00D839ED"/>
    <w:rsid w:val="00D83B86"/>
    <w:rsid w:val="00D84138"/>
    <w:rsid w:val="00D84234"/>
    <w:rsid w:val="00D842C2"/>
    <w:rsid w:val="00D84357"/>
    <w:rsid w:val="00D843D8"/>
    <w:rsid w:val="00D84452"/>
    <w:rsid w:val="00D846AF"/>
    <w:rsid w:val="00D84A50"/>
    <w:rsid w:val="00D84BCC"/>
    <w:rsid w:val="00D84C10"/>
    <w:rsid w:val="00D84D76"/>
    <w:rsid w:val="00D852F8"/>
    <w:rsid w:val="00D853E7"/>
    <w:rsid w:val="00D85582"/>
    <w:rsid w:val="00D8569C"/>
    <w:rsid w:val="00D85A2C"/>
    <w:rsid w:val="00D85BBB"/>
    <w:rsid w:val="00D85BC7"/>
    <w:rsid w:val="00D85D6E"/>
    <w:rsid w:val="00D8608A"/>
    <w:rsid w:val="00D861D0"/>
    <w:rsid w:val="00D861F4"/>
    <w:rsid w:val="00D86772"/>
    <w:rsid w:val="00D8682C"/>
    <w:rsid w:val="00D86A8F"/>
    <w:rsid w:val="00D86B28"/>
    <w:rsid w:val="00D86D6F"/>
    <w:rsid w:val="00D86E85"/>
    <w:rsid w:val="00D86F7A"/>
    <w:rsid w:val="00D86FF3"/>
    <w:rsid w:val="00D87173"/>
    <w:rsid w:val="00D871BE"/>
    <w:rsid w:val="00D87309"/>
    <w:rsid w:val="00D875C1"/>
    <w:rsid w:val="00D879A7"/>
    <w:rsid w:val="00D87C4D"/>
    <w:rsid w:val="00D87F38"/>
    <w:rsid w:val="00D87FD2"/>
    <w:rsid w:val="00D900F0"/>
    <w:rsid w:val="00D900F7"/>
    <w:rsid w:val="00D90AAA"/>
    <w:rsid w:val="00D90BDF"/>
    <w:rsid w:val="00D90C79"/>
    <w:rsid w:val="00D90C94"/>
    <w:rsid w:val="00D910F8"/>
    <w:rsid w:val="00D91314"/>
    <w:rsid w:val="00D91A43"/>
    <w:rsid w:val="00D91A4B"/>
    <w:rsid w:val="00D91BFD"/>
    <w:rsid w:val="00D91DE4"/>
    <w:rsid w:val="00D91EC1"/>
    <w:rsid w:val="00D91EDC"/>
    <w:rsid w:val="00D922A8"/>
    <w:rsid w:val="00D923BC"/>
    <w:rsid w:val="00D9262D"/>
    <w:rsid w:val="00D92709"/>
    <w:rsid w:val="00D927AD"/>
    <w:rsid w:val="00D928DA"/>
    <w:rsid w:val="00D92F72"/>
    <w:rsid w:val="00D93039"/>
    <w:rsid w:val="00D931CA"/>
    <w:rsid w:val="00D933E0"/>
    <w:rsid w:val="00D934C2"/>
    <w:rsid w:val="00D936C9"/>
    <w:rsid w:val="00D93A2C"/>
    <w:rsid w:val="00D93DEB"/>
    <w:rsid w:val="00D93EB4"/>
    <w:rsid w:val="00D9403A"/>
    <w:rsid w:val="00D9425F"/>
    <w:rsid w:val="00D943C1"/>
    <w:rsid w:val="00D94706"/>
    <w:rsid w:val="00D947AD"/>
    <w:rsid w:val="00D94879"/>
    <w:rsid w:val="00D948A6"/>
    <w:rsid w:val="00D94CBB"/>
    <w:rsid w:val="00D95069"/>
    <w:rsid w:val="00D9528C"/>
    <w:rsid w:val="00D95375"/>
    <w:rsid w:val="00D9562B"/>
    <w:rsid w:val="00D959DF"/>
    <w:rsid w:val="00D959E0"/>
    <w:rsid w:val="00D95A5A"/>
    <w:rsid w:val="00D95ABE"/>
    <w:rsid w:val="00D95AFB"/>
    <w:rsid w:val="00D95C0B"/>
    <w:rsid w:val="00D95C35"/>
    <w:rsid w:val="00D95DFD"/>
    <w:rsid w:val="00D95F7F"/>
    <w:rsid w:val="00D962A5"/>
    <w:rsid w:val="00D96437"/>
    <w:rsid w:val="00D96455"/>
    <w:rsid w:val="00D964E4"/>
    <w:rsid w:val="00D96762"/>
    <w:rsid w:val="00D96DBB"/>
    <w:rsid w:val="00D96E12"/>
    <w:rsid w:val="00D96FCD"/>
    <w:rsid w:val="00D9739A"/>
    <w:rsid w:val="00D97493"/>
    <w:rsid w:val="00D9757B"/>
    <w:rsid w:val="00D97A43"/>
    <w:rsid w:val="00D97A66"/>
    <w:rsid w:val="00D97E27"/>
    <w:rsid w:val="00DA00F8"/>
    <w:rsid w:val="00DA01D8"/>
    <w:rsid w:val="00DA0405"/>
    <w:rsid w:val="00DA0559"/>
    <w:rsid w:val="00DA05B8"/>
    <w:rsid w:val="00DA071D"/>
    <w:rsid w:val="00DA08C1"/>
    <w:rsid w:val="00DA0ACC"/>
    <w:rsid w:val="00DA0B1B"/>
    <w:rsid w:val="00DA0C35"/>
    <w:rsid w:val="00DA0D20"/>
    <w:rsid w:val="00DA1061"/>
    <w:rsid w:val="00DA13D3"/>
    <w:rsid w:val="00DA13E4"/>
    <w:rsid w:val="00DA1623"/>
    <w:rsid w:val="00DA1A99"/>
    <w:rsid w:val="00DA1C37"/>
    <w:rsid w:val="00DA1C59"/>
    <w:rsid w:val="00DA1F2E"/>
    <w:rsid w:val="00DA1FD0"/>
    <w:rsid w:val="00DA216D"/>
    <w:rsid w:val="00DA2416"/>
    <w:rsid w:val="00DA260C"/>
    <w:rsid w:val="00DA27A2"/>
    <w:rsid w:val="00DA27D4"/>
    <w:rsid w:val="00DA286C"/>
    <w:rsid w:val="00DA293A"/>
    <w:rsid w:val="00DA2C96"/>
    <w:rsid w:val="00DA32E6"/>
    <w:rsid w:val="00DA33D7"/>
    <w:rsid w:val="00DA38B6"/>
    <w:rsid w:val="00DA3B52"/>
    <w:rsid w:val="00DA3BA8"/>
    <w:rsid w:val="00DA40A2"/>
    <w:rsid w:val="00DA4272"/>
    <w:rsid w:val="00DA435A"/>
    <w:rsid w:val="00DA47E1"/>
    <w:rsid w:val="00DA484E"/>
    <w:rsid w:val="00DA4965"/>
    <w:rsid w:val="00DA4B29"/>
    <w:rsid w:val="00DA4CC4"/>
    <w:rsid w:val="00DA4DDE"/>
    <w:rsid w:val="00DA522E"/>
    <w:rsid w:val="00DA5294"/>
    <w:rsid w:val="00DA538B"/>
    <w:rsid w:val="00DA5455"/>
    <w:rsid w:val="00DA5471"/>
    <w:rsid w:val="00DA5764"/>
    <w:rsid w:val="00DA583D"/>
    <w:rsid w:val="00DA5AC7"/>
    <w:rsid w:val="00DA5B89"/>
    <w:rsid w:val="00DA5C89"/>
    <w:rsid w:val="00DA5DF5"/>
    <w:rsid w:val="00DA5FD4"/>
    <w:rsid w:val="00DA60F5"/>
    <w:rsid w:val="00DA634C"/>
    <w:rsid w:val="00DA68F7"/>
    <w:rsid w:val="00DA6A99"/>
    <w:rsid w:val="00DA6A9B"/>
    <w:rsid w:val="00DA6AFF"/>
    <w:rsid w:val="00DA6FBD"/>
    <w:rsid w:val="00DA7004"/>
    <w:rsid w:val="00DA741B"/>
    <w:rsid w:val="00DA7679"/>
    <w:rsid w:val="00DA778D"/>
    <w:rsid w:val="00DA7999"/>
    <w:rsid w:val="00DA7B70"/>
    <w:rsid w:val="00DA7F2D"/>
    <w:rsid w:val="00DB0127"/>
    <w:rsid w:val="00DB0144"/>
    <w:rsid w:val="00DB0263"/>
    <w:rsid w:val="00DB05C2"/>
    <w:rsid w:val="00DB0666"/>
    <w:rsid w:val="00DB06EB"/>
    <w:rsid w:val="00DB0A52"/>
    <w:rsid w:val="00DB0C0C"/>
    <w:rsid w:val="00DB0D0C"/>
    <w:rsid w:val="00DB0F38"/>
    <w:rsid w:val="00DB0F42"/>
    <w:rsid w:val="00DB0FA8"/>
    <w:rsid w:val="00DB11A7"/>
    <w:rsid w:val="00DB1328"/>
    <w:rsid w:val="00DB16F2"/>
    <w:rsid w:val="00DB182B"/>
    <w:rsid w:val="00DB1B66"/>
    <w:rsid w:val="00DB1BBA"/>
    <w:rsid w:val="00DB1BD2"/>
    <w:rsid w:val="00DB1D52"/>
    <w:rsid w:val="00DB1DDB"/>
    <w:rsid w:val="00DB201D"/>
    <w:rsid w:val="00DB265F"/>
    <w:rsid w:val="00DB2755"/>
    <w:rsid w:val="00DB2768"/>
    <w:rsid w:val="00DB28E8"/>
    <w:rsid w:val="00DB291E"/>
    <w:rsid w:val="00DB2C96"/>
    <w:rsid w:val="00DB30FC"/>
    <w:rsid w:val="00DB3131"/>
    <w:rsid w:val="00DB3149"/>
    <w:rsid w:val="00DB32C0"/>
    <w:rsid w:val="00DB33A8"/>
    <w:rsid w:val="00DB3479"/>
    <w:rsid w:val="00DB35C0"/>
    <w:rsid w:val="00DB3794"/>
    <w:rsid w:val="00DB38AC"/>
    <w:rsid w:val="00DB38E6"/>
    <w:rsid w:val="00DB39B2"/>
    <w:rsid w:val="00DB3ADF"/>
    <w:rsid w:val="00DB3DEB"/>
    <w:rsid w:val="00DB3E8D"/>
    <w:rsid w:val="00DB3EBB"/>
    <w:rsid w:val="00DB46A5"/>
    <w:rsid w:val="00DB4793"/>
    <w:rsid w:val="00DB47F5"/>
    <w:rsid w:val="00DB4838"/>
    <w:rsid w:val="00DB4D15"/>
    <w:rsid w:val="00DB4F56"/>
    <w:rsid w:val="00DB4F71"/>
    <w:rsid w:val="00DB50FE"/>
    <w:rsid w:val="00DB5136"/>
    <w:rsid w:val="00DB5224"/>
    <w:rsid w:val="00DB52B8"/>
    <w:rsid w:val="00DB559B"/>
    <w:rsid w:val="00DB55EA"/>
    <w:rsid w:val="00DB5BAB"/>
    <w:rsid w:val="00DB5E2D"/>
    <w:rsid w:val="00DB5EB6"/>
    <w:rsid w:val="00DB631E"/>
    <w:rsid w:val="00DB64D5"/>
    <w:rsid w:val="00DB654F"/>
    <w:rsid w:val="00DB6833"/>
    <w:rsid w:val="00DB6886"/>
    <w:rsid w:val="00DB6B6E"/>
    <w:rsid w:val="00DB6D7C"/>
    <w:rsid w:val="00DB6E13"/>
    <w:rsid w:val="00DB7363"/>
    <w:rsid w:val="00DB749A"/>
    <w:rsid w:val="00DB7853"/>
    <w:rsid w:val="00DB7862"/>
    <w:rsid w:val="00DB7B09"/>
    <w:rsid w:val="00DB7CB5"/>
    <w:rsid w:val="00DB7D47"/>
    <w:rsid w:val="00DC0349"/>
    <w:rsid w:val="00DC081A"/>
    <w:rsid w:val="00DC091E"/>
    <w:rsid w:val="00DC098C"/>
    <w:rsid w:val="00DC0A46"/>
    <w:rsid w:val="00DC0AA4"/>
    <w:rsid w:val="00DC0B5C"/>
    <w:rsid w:val="00DC0BA7"/>
    <w:rsid w:val="00DC0C97"/>
    <w:rsid w:val="00DC0EC5"/>
    <w:rsid w:val="00DC137E"/>
    <w:rsid w:val="00DC157E"/>
    <w:rsid w:val="00DC161C"/>
    <w:rsid w:val="00DC16C6"/>
    <w:rsid w:val="00DC174E"/>
    <w:rsid w:val="00DC18C7"/>
    <w:rsid w:val="00DC1976"/>
    <w:rsid w:val="00DC1C5C"/>
    <w:rsid w:val="00DC1C9A"/>
    <w:rsid w:val="00DC22B0"/>
    <w:rsid w:val="00DC231A"/>
    <w:rsid w:val="00DC2499"/>
    <w:rsid w:val="00DC27C5"/>
    <w:rsid w:val="00DC28D6"/>
    <w:rsid w:val="00DC2B7D"/>
    <w:rsid w:val="00DC2C6B"/>
    <w:rsid w:val="00DC2E84"/>
    <w:rsid w:val="00DC2F03"/>
    <w:rsid w:val="00DC3180"/>
    <w:rsid w:val="00DC3333"/>
    <w:rsid w:val="00DC367E"/>
    <w:rsid w:val="00DC39A3"/>
    <w:rsid w:val="00DC3C2D"/>
    <w:rsid w:val="00DC41FA"/>
    <w:rsid w:val="00DC44B6"/>
    <w:rsid w:val="00DC44C3"/>
    <w:rsid w:val="00DC4567"/>
    <w:rsid w:val="00DC4594"/>
    <w:rsid w:val="00DC471F"/>
    <w:rsid w:val="00DC4776"/>
    <w:rsid w:val="00DC4820"/>
    <w:rsid w:val="00DC4B64"/>
    <w:rsid w:val="00DC4C5E"/>
    <w:rsid w:val="00DC4D31"/>
    <w:rsid w:val="00DC4F36"/>
    <w:rsid w:val="00DC5367"/>
    <w:rsid w:val="00DC53ED"/>
    <w:rsid w:val="00DC5470"/>
    <w:rsid w:val="00DC552B"/>
    <w:rsid w:val="00DC57E8"/>
    <w:rsid w:val="00DC5944"/>
    <w:rsid w:val="00DC5B21"/>
    <w:rsid w:val="00DC5D58"/>
    <w:rsid w:val="00DC613C"/>
    <w:rsid w:val="00DC62D8"/>
    <w:rsid w:val="00DC6AFB"/>
    <w:rsid w:val="00DC6CE6"/>
    <w:rsid w:val="00DC6E70"/>
    <w:rsid w:val="00DC6F1A"/>
    <w:rsid w:val="00DC6F81"/>
    <w:rsid w:val="00DC6FCB"/>
    <w:rsid w:val="00DC7017"/>
    <w:rsid w:val="00DC706E"/>
    <w:rsid w:val="00DC70E4"/>
    <w:rsid w:val="00DC717D"/>
    <w:rsid w:val="00DC723C"/>
    <w:rsid w:val="00DC7398"/>
    <w:rsid w:val="00DC74C4"/>
    <w:rsid w:val="00DC7A82"/>
    <w:rsid w:val="00DD002E"/>
    <w:rsid w:val="00DD019D"/>
    <w:rsid w:val="00DD0494"/>
    <w:rsid w:val="00DD06CC"/>
    <w:rsid w:val="00DD0833"/>
    <w:rsid w:val="00DD0892"/>
    <w:rsid w:val="00DD0C54"/>
    <w:rsid w:val="00DD0E67"/>
    <w:rsid w:val="00DD0EE9"/>
    <w:rsid w:val="00DD10DD"/>
    <w:rsid w:val="00DD1334"/>
    <w:rsid w:val="00DD16C6"/>
    <w:rsid w:val="00DD1864"/>
    <w:rsid w:val="00DD1BBB"/>
    <w:rsid w:val="00DD1BE3"/>
    <w:rsid w:val="00DD1CE5"/>
    <w:rsid w:val="00DD1E9B"/>
    <w:rsid w:val="00DD2029"/>
    <w:rsid w:val="00DD20FD"/>
    <w:rsid w:val="00DD21A1"/>
    <w:rsid w:val="00DD2521"/>
    <w:rsid w:val="00DD2962"/>
    <w:rsid w:val="00DD2B47"/>
    <w:rsid w:val="00DD2DD0"/>
    <w:rsid w:val="00DD2DE1"/>
    <w:rsid w:val="00DD2FD8"/>
    <w:rsid w:val="00DD3116"/>
    <w:rsid w:val="00DD33BB"/>
    <w:rsid w:val="00DD3A5F"/>
    <w:rsid w:val="00DD3A7F"/>
    <w:rsid w:val="00DD3CBD"/>
    <w:rsid w:val="00DD3D98"/>
    <w:rsid w:val="00DD3F36"/>
    <w:rsid w:val="00DD41E2"/>
    <w:rsid w:val="00DD4529"/>
    <w:rsid w:val="00DD4549"/>
    <w:rsid w:val="00DD4760"/>
    <w:rsid w:val="00DD4AB8"/>
    <w:rsid w:val="00DD4ABD"/>
    <w:rsid w:val="00DD4C61"/>
    <w:rsid w:val="00DD4C72"/>
    <w:rsid w:val="00DD4CAA"/>
    <w:rsid w:val="00DD531E"/>
    <w:rsid w:val="00DD5491"/>
    <w:rsid w:val="00DD54B5"/>
    <w:rsid w:val="00DD54F9"/>
    <w:rsid w:val="00DD5656"/>
    <w:rsid w:val="00DD5795"/>
    <w:rsid w:val="00DD5AA2"/>
    <w:rsid w:val="00DD5AC3"/>
    <w:rsid w:val="00DD5B01"/>
    <w:rsid w:val="00DD5BB1"/>
    <w:rsid w:val="00DD5C85"/>
    <w:rsid w:val="00DD61A1"/>
    <w:rsid w:val="00DD626D"/>
    <w:rsid w:val="00DD68EC"/>
    <w:rsid w:val="00DD6915"/>
    <w:rsid w:val="00DD6955"/>
    <w:rsid w:val="00DD6AB2"/>
    <w:rsid w:val="00DD6B80"/>
    <w:rsid w:val="00DD6C8B"/>
    <w:rsid w:val="00DD6EB1"/>
    <w:rsid w:val="00DD7432"/>
    <w:rsid w:val="00DD7732"/>
    <w:rsid w:val="00DD7891"/>
    <w:rsid w:val="00DD7A19"/>
    <w:rsid w:val="00DD7DE0"/>
    <w:rsid w:val="00DD7EAF"/>
    <w:rsid w:val="00DE0028"/>
    <w:rsid w:val="00DE00CF"/>
    <w:rsid w:val="00DE0113"/>
    <w:rsid w:val="00DE0370"/>
    <w:rsid w:val="00DE03B5"/>
    <w:rsid w:val="00DE05D4"/>
    <w:rsid w:val="00DE0697"/>
    <w:rsid w:val="00DE072C"/>
    <w:rsid w:val="00DE0798"/>
    <w:rsid w:val="00DE0B18"/>
    <w:rsid w:val="00DE0BA5"/>
    <w:rsid w:val="00DE0BE9"/>
    <w:rsid w:val="00DE0D17"/>
    <w:rsid w:val="00DE0D46"/>
    <w:rsid w:val="00DE0DBD"/>
    <w:rsid w:val="00DE0EFF"/>
    <w:rsid w:val="00DE0FB1"/>
    <w:rsid w:val="00DE10F3"/>
    <w:rsid w:val="00DE1118"/>
    <w:rsid w:val="00DE1226"/>
    <w:rsid w:val="00DE13C2"/>
    <w:rsid w:val="00DE163F"/>
    <w:rsid w:val="00DE1745"/>
    <w:rsid w:val="00DE19C9"/>
    <w:rsid w:val="00DE1BAA"/>
    <w:rsid w:val="00DE1C4E"/>
    <w:rsid w:val="00DE1E32"/>
    <w:rsid w:val="00DE203F"/>
    <w:rsid w:val="00DE2320"/>
    <w:rsid w:val="00DE241B"/>
    <w:rsid w:val="00DE2958"/>
    <w:rsid w:val="00DE301F"/>
    <w:rsid w:val="00DE3060"/>
    <w:rsid w:val="00DE31BA"/>
    <w:rsid w:val="00DE39A6"/>
    <w:rsid w:val="00DE3DC3"/>
    <w:rsid w:val="00DE3F87"/>
    <w:rsid w:val="00DE400C"/>
    <w:rsid w:val="00DE41D8"/>
    <w:rsid w:val="00DE4246"/>
    <w:rsid w:val="00DE48A2"/>
    <w:rsid w:val="00DE4E8C"/>
    <w:rsid w:val="00DE4EE8"/>
    <w:rsid w:val="00DE5188"/>
    <w:rsid w:val="00DE5300"/>
    <w:rsid w:val="00DE5369"/>
    <w:rsid w:val="00DE5450"/>
    <w:rsid w:val="00DE5468"/>
    <w:rsid w:val="00DE54D8"/>
    <w:rsid w:val="00DE558B"/>
    <w:rsid w:val="00DE57C0"/>
    <w:rsid w:val="00DE5969"/>
    <w:rsid w:val="00DE59F7"/>
    <w:rsid w:val="00DE5A04"/>
    <w:rsid w:val="00DE5B10"/>
    <w:rsid w:val="00DE5BF9"/>
    <w:rsid w:val="00DE5C79"/>
    <w:rsid w:val="00DE5D89"/>
    <w:rsid w:val="00DE5E5F"/>
    <w:rsid w:val="00DE5FD0"/>
    <w:rsid w:val="00DE603C"/>
    <w:rsid w:val="00DE606B"/>
    <w:rsid w:val="00DE6089"/>
    <w:rsid w:val="00DE61B3"/>
    <w:rsid w:val="00DE61D0"/>
    <w:rsid w:val="00DE6456"/>
    <w:rsid w:val="00DE64C5"/>
    <w:rsid w:val="00DE65BF"/>
    <w:rsid w:val="00DE68D0"/>
    <w:rsid w:val="00DE7024"/>
    <w:rsid w:val="00DE7298"/>
    <w:rsid w:val="00DE743C"/>
    <w:rsid w:val="00DE7637"/>
    <w:rsid w:val="00DE7822"/>
    <w:rsid w:val="00DE7976"/>
    <w:rsid w:val="00DE7BD1"/>
    <w:rsid w:val="00DE7E59"/>
    <w:rsid w:val="00DE7EB2"/>
    <w:rsid w:val="00DE7F31"/>
    <w:rsid w:val="00DF013A"/>
    <w:rsid w:val="00DF01C9"/>
    <w:rsid w:val="00DF0200"/>
    <w:rsid w:val="00DF05AE"/>
    <w:rsid w:val="00DF0668"/>
    <w:rsid w:val="00DF0756"/>
    <w:rsid w:val="00DF089D"/>
    <w:rsid w:val="00DF0E60"/>
    <w:rsid w:val="00DF0F0A"/>
    <w:rsid w:val="00DF1406"/>
    <w:rsid w:val="00DF14C1"/>
    <w:rsid w:val="00DF1978"/>
    <w:rsid w:val="00DF199E"/>
    <w:rsid w:val="00DF23B6"/>
    <w:rsid w:val="00DF25C0"/>
    <w:rsid w:val="00DF269E"/>
    <w:rsid w:val="00DF2B09"/>
    <w:rsid w:val="00DF2C8D"/>
    <w:rsid w:val="00DF2E58"/>
    <w:rsid w:val="00DF3013"/>
    <w:rsid w:val="00DF306C"/>
    <w:rsid w:val="00DF3523"/>
    <w:rsid w:val="00DF3763"/>
    <w:rsid w:val="00DF379A"/>
    <w:rsid w:val="00DF3A14"/>
    <w:rsid w:val="00DF3ABE"/>
    <w:rsid w:val="00DF3B4D"/>
    <w:rsid w:val="00DF3C6A"/>
    <w:rsid w:val="00DF3D4D"/>
    <w:rsid w:val="00DF3F66"/>
    <w:rsid w:val="00DF4690"/>
    <w:rsid w:val="00DF46B7"/>
    <w:rsid w:val="00DF471E"/>
    <w:rsid w:val="00DF47ED"/>
    <w:rsid w:val="00DF4A9F"/>
    <w:rsid w:val="00DF5061"/>
    <w:rsid w:val="00DF50A6"/>
    <w:rsid w:val="00DF5893"/>
    <w:rsid w:val="00DF59D7"/>
    <w:rsid w:val="00DF5E88"/>
    <w:rsid w:val="00DF611A"/>
    <w:rsid w:val="00DF64E3"/>
    <w:rsid w:val="00DF6C33"/>
    <w:rsid w:val="00DF6C9F"/>
    <w:rsid w:val="00DF6D7E"/>
    <w:rsid w:val="00DF701A"/>
    <w:rsid w:val="00DF7124"/>
    <w:rsid w:val="00DF7134"/>
    <w:rsid w:val="00DF7154"/>
    <w:rsid w:val="00DF7305"/>
    <w:rsid w:val="00DF7339"/>
    <w:rsid w:val="00DF7437"/>
    <w:rsid w:val="00DF75BA"/>
    <w:rsid w:val="00DF763E"/>
    <w:rsid w:val="00DF7C22"/>
    <w:rsid w:val="00DF7DC6"/>
    <w:rsid w:val="00DF7DFF"/>
    <w:rsid w:val="00DF7F4D"/>
    <w:rsid w:val="00E00240"/>
    <w:rsid w:val="00E002B0"/>
    <w:rsid w:val="00E00516"/>
    <w:rsid w:val="00E00637"/>
    <w:rsid w:val="00E009AD"/>
    <w:rsid w:val="00E009B4"/>
    <w:rsid w:val="00E00A36"/>
    <w:rsid w:val="00E00C89"/>
    <w:rsid w:val="00E00FBF"/>
    <w:rsid w:val="00E01364"/>
    <w:rsid w:val="00E01AB6"/>
    <w:rsid w:val="00E01B87"/>
    <w:rsid w:val="00E01E25"/>
    <w:rsid w:val="00E0216F"/>
    <w:rsid w:val="00E0238F"/>
    <w:rsid w:val="00E02391"/>
    <w:rsid w:val="00E023D6"/>
    <w:rsid w:val="00E02493"/>
    <w:rsid w:val="00E026B0"/>
    <w:rsid w:val="00E0292A"/>
    <w:rsid w:val="00E02968"/>
    <w:rsid w:val="00E02D3F"/>
    <w:rsid w:val="00E02E71"/>
    <w:rsid w:val="00E02EC4"/>
    <w:rsid w:val="00E02F6A"/>
    <w:rsid w:val="00E02FDF"/>
    <w:rsid w:val="00E030C8"/>
    <w:rsid w:val="00E030F6"/>
    <w:rsid w:val="00E032AB"/>
    <w:rsid w:val="00E032AE"/>
    <w:rsid w:val="00E03502"/>
    <w:rsid w:val="00E03649"/>
    <w:rsid w:val="00E03772"/>
    <w:rsid w:val="00E0377D"/>
    <w:rsid w:val="00E03882"/>
    <w:rsid w:val="00E038F0"/>
    <w:rsid w:val="00E03967"/>
    <w:rsid w:val="00E03C7B"/>
    <w:rsid w:val="00E03E61"/>
    <w:rsid w:val="00E03EB8"/>
    <w:rsid w:val="00E03FD1"/>
    <w:rsid w:val="00E040E2"/>
    <w:rsid w:val="00E04205"/>
    <w:rsid w:val="00E042CC"/>
    <w:rsid w:val="00E04448"/>
    <w:rsid w:val="00E04700"/>
    <w:rsid w:val="00E04D43"/>
    <w:rsid w:val="00E04EC2"/>
    <w:rsid w:val="00E04F9F"/>
    <w:rsid w:val="00E05021"/>
    <w:rsid w:val="00E05C32"/>
    <w:rsid w:val="00E05F27"/>
    <w:rsid w:val="00E063FD"/>
    <w:rsid w:val="00E0653F"/>
    <w:rsid w:val="00E065E3"/>
    <w:rsid w:val="00E06921"/>
    <w:rsid w:val="00E06AB1"/>
    <w:rsid w:val="00E06ABE"/>
    <w:rsid w:val="00E06B9D"/>
    <w:rsid w:val="00E06BF4"/>
    <w:rsid w:val="00E06C5A"/>
    <w:rsid w:val="00E06CA9"/>
    <w:rsid w:val="00E06CAB"/>
    <w:rsid w:val="00E06F28"/>
    <w:rsid w:val="00E07135"/>
    <w:rsid w:val="00E07340"/>
    <w:rsid w:val="00E076E5"/>
    <w:rsid w:val="00E078C0"/>
    <w:rsid w:val="00E079A2"/>
    <w:rsid w:val="00E07A8E"/>
    <w:rsid w:val="00E07BEA"/>
    <w:rsid w:val="00E07C7A"/>
    <w:rsid w:val="00E07F65"/>
    <w:rsid w:val="00E100AC"/>
    <w:rsid w:val="00E101C6"/>
    <w:rsid w:val="00E106DA"/>
    <w:rsid w:val="00E10981"/>
    <w:rsid w:val="00E109D9"/>
    <w:rsid w:val="00E1108F"/>
    <w:rsid w:val="00E1145B"/>
    <w:rsid w:val="00E11508"/>
    <w:rsid w:val="00E11617"/>
    <w:rsid w:val="00E1166A"/>
    <w:rsid w:val="00E11797"/>
    <w:rsid w:val="00E117F9"/>
    <w:rsid w:val="00E118E8"/>
    <w:rsid w:val="00E11BFF"/>
    <w:rsid w:val="00E11E48"/>
    <w:rsid w:val="00E11E49"/>
    <w:rsid w:val="00E12063"/>
    <w:rsid w:val="00E12066"/>
    <w:rsid w:val="00E1212A"/>
    <w:rsid w:val="00E1255B"/>
    <w:rsid w:val="00E125D8"/>
    <w:rsid w:val="00E129CF"/>
    <w:rsid w:val="00E12A7A"/>
    <w:rsid w:val="00E12B79"/>
    <w:rsid w:val="00E12E84"/>
    <w:rsid w:val="00E13060"/>
    <w:rsid w:val="00E1346D"/>
    <w:rsid w:val="00E1368F"/>
    <w:rsid w:val="00E13765"/>
    <w:rsid w:val="00E137D0"/>
    <w:rsid w:val="00E137DB"/>
    <w:rsid w:val="00E1395F"/>
    <w:rsid w:val="00E13DFC"/>
    <w:rsid w:val="00E13EBB"/>
    <w:rsid w:val="00E140CA"/>
    <w:rsid w:val="00E14215"/>
    <w:rsid w:val="00E14464"/>
    <w:rsid w:val="00E1450A"/>
    <w:rsid w:val="00E146B0"/>
    <w:rsid w:val="00E146D9"/>
    <w:rsid w:val="00E14B6E"/>
    <w:rsid w:val="00E14EA9"/>
    <w:rsid w:val="00E14F9A"/>
    <w:rsid w:val="00E1500E"/>
    <w:rsid w:val="00E1527D"/>
    <w:rsid w:val="00E152BC"/>
    <w:rsid w:val="00E153AA"/>
    <w:rsid w:val="00E15461"/>
    <w:rsid w:val="00E154C7"/>
    <w:rsid w:val="00E1573C"/>
    <w:rsid w:val="00E15988"/>
    <w:rsid w:val="00E15BDE"/>
    <w:rsid w:val="00E15C9F"/>
    <w:rsid w:val="00E15EAD"/>
    <w:rsid w:val="00E1604E"/>
    <w:rsid w:val="00E162CD"/>
    <w:rsid w:val="00E163CC"/>
    <w:rsid w:val="00E16863"/>
    <w:rsid w:val="00E16FE0"/>
    <w:rsid w:val="00E17572"/>
    <w:rsid w:val="00E17589"/>
    <w:rsid w:val="00E176CF"/>
    <w:rsid w:val="00E1779A"/>
    <w:rsid w:val="00E179B3"/>
    <w:rsid w:val="00E179D6"/>
    <w:rsid w:val="00E17B29"/>
    <w:rsid w:val="00E17D26"/>
    <w:rsid w:val="00E17D7B"/>
    <w:rsid w:val="00E17EDC"/>
    <w:rsid w:val="00E202AA"/>
    <w:rsid w:val="00E2037D"/>
    <w:rsid w:val="00E20387"/>
    <w:rsid w:val="00E2069A"/>
    <w:rsid w:val="00E20A8E"/>
    <w:rsid w:val="00E20A90"/>
    <w:rsid w:val="00E20BDD"/>
    <w:rsid w:val="00E20D0B"/>
    <w:rsid w:val="00E2120E"/>
    <w:rsid w:val="00E21304"/>
    <w:rsid w:val="00E218E4"/>
    <w:rsid w:val="00E21AB6"/>
    <w:rsid w:val="00E21CC6"/>
    <w:rsid w:val="00E21E3C"/>
    <w:rsid w:val="00E22218"/>
    <w:rsid w:val="00E222BD"/>
    <w:rsid w:val="00E222BE"/>
    <w:rsid w:val="00E223C5"/>
    <w:rsid w:val="00E223DD"/>
    <w:rsid w:val="00E22596"/>
    <w:rsid w:val="00E2266A"/>
    <w:rsid w:val="00E22A86"/>
    <w:rsid w:val="00E22AAA"/>
    <w:rsid w:val="00E22BAE"/>
    <w:rsid w:val="00E22E06"/>
    <w:rsid w:val="00E22E12"/>
    <w:rsid w:val="00E231A6"/>
    <w:rsid w:val="00E231B1"/>
    <w:rsid w:val="00E23242"/>
    <w:rsid w:val="00E23291"/>
    <w:rsid w:val="00E2341E"/>
    <w:rsid w:val="00E235DF"/>
    <w:rsid w:val="00E23949"/>
    <w:rsid w:val="00E23A6A"/>
    <w:rsid w:val="00E23F4B"/>
    <w:rsid w:val="00E24049"/>
    <w:rsid w:val="00E24138"/>
    <w:rsid w:val="00E243B8"/>
    <w:rsid w:val="00E243FD"/>
    <w:rsid w:val="00E2454C"/>
    <w:rsid w:val="00E2487B"/>
    <w:rsid w:val="00E2491D"/>
    <w:rsid w:val="00E2494E"/>
    <w:rsid w:val="00E24F41"/>
    <w:rsid w:val="00E24F6F"/>
    <w:rsid w:val="00E25137"/>
    <w:rsid w:val="00E251F9"/>
    <w:rsid w:val="00E252EE"/>
    <w:rsid w:val="00E25854"/>
    <w:rsid w:val="00E2587A"/>
    <w:rsid w:val="00E25936"/>
    <w:rsid w:val="00E25B70"/>
    <w:rsid w:val="00E25D29"/>
    <w:rsid w:val="00E25F2D"/>
    <w:rsid w:val="00E26055"/>
    <w:rsid w:val="00E2617A"/>
    <w:rsid w:val="00E2672B"/>
    <w:rsid w:val="00E268AA"/>
    <w:rsid w:val="00E26A88"/>
    <w:rsid w:val="00E26C1A"/>
    <w:rsid w:val="00E26CFB"/>
    <w:rsid w:val="00E26D71"/>
    <w:rsid w:val="00E26E7D"/>
    <w:rsid w:val="00E26FB1"/>
    <w:rsid w:val="00E2702B"/>
    <w:rsid w:val="00E27A8A"/>
    <w:rsid w:val="00E27B01"/>
    <w:rsid w:val="00E27D17"/>
    <w:rsid w:val="00E27D9B"/>
    <w:rsid w:val="00E30028"/>
    <w:rsid w:val="00E3012F"/>
    <w:rsid w:val="00E30689"/>
    <w:rsid w:val="00E3077A"/>
    <w:rsid w:val="00E30A0D"/>
    <w:rsid w:val="00E30D75"/>
    <w:rsid w:val="00E30E4A"/>
    <w:rsid w:val="00E31444"/>
    <w:rsid w:val="00E3147D"/>
    <w:rsid w:val="00E317F7"/>
    <w:rsid w:val="00E31A41"/>
    <w:rsid w:val="00E31F24"/>
    <w:rsid w:val="00E31FBC"/>
    <w:rsid w:val="00E323F8"/>
    <w:rsid w:val="00E32414"/>
    <w:rsid w:val="00E3259E"/>
    <w:rsid w:val="00E326BF"/>
    <w:rsid w:val="00E326C5"/>
    <w:rsid w:val="00E327CF"/>
    <w:rsid w:val="00E32993"/>
    <w:rsid w:val="00E32AF5"/>
    <w:rsid w:val="00E32B16"/>
    <w:rsid w:val="00E32CB2"/>
    <w:rsid w:val="00E32E59"/>
    <w:rsid w:val="00E32E6B"/>
    <w:rsid w:val="00E32E80"/>
    <w:rsid w:val="00E330C0"/>
    <w:rsid w:val="00E332D0"/>
    <w:rsid w:val="00E333D9"/>
    <w:rsid w:val="00E33537"/>
    <w:rsid w:val="00E335BE"/>
    <w:rsid w:val="00E335C6"/>
    <w:rsid w:val="00E3387D"/>
    <w:rsid w:val="00E33D27"/>
    <w:rsid w:val="00E33EBE"/>
    <w:rsid w:val="00E341EC"/>
    <w:rsid w:val="00E3430B"/>
    <w:rsid w:val="00E3434B"/>
    <w:rsid w:val="00E34761"/>
    <w:rsid w:val="00E349DE"/>
    <w:rsid w:val="00E34B42"/>
    <w:rsid w:val="00E34E9B"/>
    <w:rsid w:val="00E34F33"/>
    <w:rsid w:val="00E35102"/>
    <w:rsid w:val="00E3527D"/>
    <w:rsid w:val="00E3570C"/>
    <w:rsid w:val="00E35B43"/>
    <w:rsid w:val="00E36636"/>
    <w:rsid w:val="00E366A7"/>
    <w:rsid w:val="00E36A6A"/>
    <w:rsid w:val="00E36B37"/>
    <w:rsid w:val="00E36CDC"/>
    <w:rsid w:val="00E36DA9"/>
    <w:rsid w:val="00E370B3"/>
    <w:rsid w:val="00E37124"/>
    <w:rsid w:val="00E372DF"/>
    <w:rsid w:val="00E373E6"/>
    <w:rsid w:val="00E37913"/>
    <w:rsid w:val="00E37B75"/>
    <w:rsid w:val="00E37C13"/>
    <w:rsid w:val="00E37DC4"/>
    <w:rsid w:val="00E37FEC"/>
    <w:rsid w:val="00E4002E"/>
    <w:rsid w:val="00E400D4"/>
    <w:rsid w:val="00E401CE"/>
    <w:rsid w:val="00E4029A"/>
    <w:rsid w:val="00E4042D"/>
    <w:rsid w:val="00E40548"/>
    <w:rsid w:val="00E40564"/>
    <w:rsid w:val="00E40A18"/>
    <w:rsid w:val="00E40DF1"/>
    <w:rsid w:val="00E40E8F"/>
    <w:rsid w:val="00E410E6"/>
    <w:rsid w:val="00E4146F"/>
    <w:rsid w:val="00E4155D"/>
    <w:rsid w:val="00E4155E"/>
    <w:rsid w:val="00E41970"/>
    <w:rsid w:val="00E41E5F"/>
    <w:rsid w:val="00E42055"/>
    <w:rsid w:val="00E42318"/>
    <w:rsid w:val="00E42382"/>
    <w:rsid w:val="00E42548"/>
    <w:rsid w:val="00E42576"/>
    <w:rsid w:val="00E42701"/>
    <w:rsid w:val="00E4285C"/>
    <w:rsid w:val="00E42B64"/>
    <w:rsid w:val="00E42BCD"/>
    <w:rsid w:val="00E42BF5"/>
    <w:rsid w:val="00E4308F"/>
    <w:rsid w:val="00E431E9"/>
    <w:rsid w:val="00E437B4"/>
    <w:rsid w:val="00E4390E"/>
    <w:rsid w:val="00E43BE1"/>
    <w:rsid w:val="00E441F2"/>
    <w:rsid w:val="00E4459B"/>
    <w:rsid w:val="00E4462A"/>
    <w:rsid w:val="00E44671"/>
    <w:rsid w:val="00E44B42"/>
    <w:rsid w:val="00E44D9C"/>
    <w:rsid w:val="00E450AC"/>
    <w:rsid w:val="00E4540D"/>
    <w:rsid w:val="00E4559C"/>
    <w:rsid w:val="00E458FD"/>
    <w:rsid w:val="00E45A39"/>
    <w:rsid w:val="00E45ACA"/>
    <w:rsid w:val="00E45B89"/>
    <w:rsid w:val="00E4619C"/>
    <w:rsid w:val="00E46408"/>
    <w:rsid w:val="00E4652A"/>
    <w:rsid w:val="00E465B7"/>
    <w:rsid w:val="00E466A4"/>
    <w:rsid w:val="00E466DA"/>
    <w:rsid w:val="00E46ABF"/>
    <w:rsid w:val="00E46B32"/>
    <w:rsid w:val="00E46B9A"/>
    <w:rsid w:val="00E46C63"/>
    <w:rsid w:val="00E46F65"/>
    <w:rsid w:val="00E471BB"/>
    <w:rsid w:val="00E4728C"/>
    <w:rsid w:val="00E47759"/>
    <w:rsid w:val="00E4780A"/>
    <w:rsid w:val="00E47902"/>
    <w:rsid w:val="00E47BEC"/>
    <w:rsid w:val="00E47D4A"/>
    <w:rsid w:val="00E47E29"/>
    <w:rsid w:val="00E47EFF"/>
    <w:rsid w:val="00E47F1A"/>
    <w:rsid w:val="00E50013"/>
    <w:rsid w:val="00E50A75"/>
    <w:rsid w:val="00E50C55"/>
    <w:rsid w:val="00E50C61"/>
    <w:rsid w:val="00E50F6F"/>
    <w:rsid w:val="00E51282"/>
    <w:rsid w:val="00E513B4"/>
    <w:rsid w:val="00E5163D"/>
    <w:rsid w:val="00E518B6"/>
    <w:rsid w:val="00E518F5"/>
    <w:rsid w:val="00E51917"/>
    <w:rsid w:val="00E51B17"/>
    <w:rsid w:val="00E51B23"/>
    <w:rsid w:val="00E51E2E"/>
    <w:rsid w:val="00E51E82"/>
    <w:rsid w:val="00E51FB6"/>
    <w:rsid w:val="00E52036"/>
    <w:rsid w:val="00E52129"/>
    <w:rsid w:val="00E52187"/>
    <w:rsid w:val="00E52194"/>
    <w:rsid w:val="00E52376"/>
    <w:rsid w:val="00E5242F"/>
    <w:rsid w:val="00E52470"/>
    <w:rsid w:val="00E5268C"/>
    <w:rsid w:val="00E5269C"/>
    <w:rsid w:val="00E52BF7"/>
    <w:rsid w:val="00E52E2B"/>
    <w:rsid w:val="00E53132"/>
    <w:rsid w:val="00E53208"/>
    <w:rsid w:val="00E5367B"/>
    <w:rsid w:val="00E53A12"/>
    <w:rsid w:val="00E53ACB"/>
    <w:rsid w:val="00E53CC6"/>
    <w:rsid w:val="00E53EE0"/>
    <w:rsid w:val="00E54226"/>
    <w:rsid w:val="00E5464A"/>
    <w:rsid w:val="00E54D1F"/>
    <w:rsid w:val="00E54EA5"/>
    <w:rsid w:val="00E55207"/>
    <w:rsid w:val="00E55221"/>
    <w:rsid w:val="00E55367"/>
    <w:rsid w:val="00E554E0"/>
    <w:rsid w:val="00E55506"/>
    <w:rsid w:val="00E5606F"/>
    <w:rsid w:val="00E561A2"/>
    <w:rsid w:val="00E561FA"/>
    <w:rsid w:val="00E562BF"/>
    <w:rsid w:val="00E5630A"/>
    <w:rsid w:val="00E563D6"/>
    <w:rsid w:val="00E56619"/>
    <w:rsid w:val="00E5669F"/>
    <w:rsid w:val="00E56D84"/>
    <w:rsid w:val="00E57188"/>
    <w:rsid w:val="00E575B6"/>
    <w:rsid w:val="00E57792"/>
    <w:rsid w:val="00E57847"/>
    <w:rsid w:val="00E57B08"/>
    <w:rsid w:val="00E57C58"/>
    <w:rsid w:val="00E57CBF"/>
    <w:rsid w:val="00E57FCD"/>
    <w:rsid w:val="00E60074"/>
    <w:rsid w:val="00E60148"/>
    <w:rsid w:val="00E60234"/>
    <w:rsid w:val="00E60761"/>
    <w:rsid w:val="00E60A0B"/>
    <w:rsid w:val="00E60CE8"/>
    <w:rsid w:val="00E61158"/>
    <w:rsid w:val="00E611C5"/>
    <w:rsid w:val="00E61264"/>
    <w:rsid w:val="00E612CA"/>
    <w:rsid w:val="00E612D3"/>
    <w:rsid w:val="00E613FB"/>
    <w:rsid w:val="00E614E6"/>
    <w:rsid w:val="00E614E9"/>
    <w:rsid w:val="00E616AE"/>
    <w:rsid w:val="00E61874"/>
    <w:rsid w:val="00E62100"/>
    <w:rsid w:val="00E62192"/>
    <w:rsid w:val="00E6261C"/>
    <w:rsid w:val="00E62769"/>
    <w:rsid w:val="00E62845"/>
    <w:rsid w:val="00E62E2F"/>
    <w:rsid w:val="00E6317D"/>
    <w:rsid w:val="00E631D3"/>
    <w:rsid w:val="00E631E2"/>
    <w:rsid w:val="00E63531"/>
    <w:rsid w:val="00E638A3"/>
    <w:rsid w:val="00E638A5"/>
    <w:rsid w:val="00E6392E"/>
    <w:rsid w:val="00E639D3"/>
    <w:rsid w:val="00E63CD7"/>
    <w:rsid w:val="00E63D04"/>
    <w:rsid w:val="00E63D45"/>
    <w:rsid w:val="00E641DE"/>
    <w:rsid w:val="00E6443C"/>
    <w:rsid w:val="00E64592"/>
    <w:rsid w:val="00E648FA"/>
    <w:rsid w:val="00E64E91"/>
    <w:rsid w:val="00E650B1"/>
    <w:rsid w:val="00E6511A"/>
    <w:rsid w:val="00E6552D"/>
    <w:rsid w:val="00E656F8"/>
    <w:rsid w:val="00E65A42"/>
    <w:rsid w:val="00E65D9B"/>
    <w:rsid w:val="00E65DE3"/>
    <w:rsid w:val="00E6617C"/>
    <w:rsid w:val="00E66182"/>
    <w:rsid w:val="00E661AD"/>
    <w:rsid w:val="00E66382"/>
    <w:rsid w:val="00E6640A"/>
    <w:rsid w:val="00E664C0"/>
    <w:rsid w:val="00E666DE"/>
    <w:rsid w:val="00E66936"/>
    <w:rsid w:val="00E66C93"/>
    <w:rsid w:val="00E66DB1"/>
    <w:rsid w:val="00E66DE7"/>
    <w:rsid w:val="00E66DFC"/>
    <w:rsid w:val="00E66F39"/>
    <w:rsid w:val="00E670FA"/>
    <w:rsid w:val="00E678A2"/>
    <w:rsid w:val="00E67910"/>
    <w:rsid w:val="00E67BDB"/>
    <w:rsid w:val="00E67E08"/>
    <w:rsid w:val="00E70294"/>
    <w:rsid w:val="00E7036A"/>
    <w:rsid w:val="00E70885"/>
    <w:rsid w:val="00E70945"/>
    <w:rsid w:val="00E709A8"/>
    <w:rsid w:val="00E70B4A"/>
    <w:rsid w:val="00E70CE7"/>
    <w:rsid w:val="00E70CED"/>
    <w:rsid w:val="00E70E79"/>
    <w:rsid w:val="00E711DE"/>
    <w:rsid w:val="00E712A7"/>
    <w:rsid w:val="00E7139A"/>
    <w:rsid w:val="00E713AA"/>
    <w:rsid w:val="00E71476"/>
    <w:rsid w:val="00E7161F"/>
    <w:rsid w:val="00E71648"/>
    <w:rsid w:val="00E716C1"/>
    <w:rsid w:val="00E717A8"/>
    <w:rsid w:val="00E71F5C"/>
    <w:rsid w:val="00E7205A"/>
    <w:rsid w:val="00E7208B"/>
    <w:rsid w:val="00E721D9"/>
    <w:rsid w:val="00E722D9"/>
    <w:rsid w:val="00E72361"/>
    <w:rsid w:val="00E724FF"/>
    <w:rsid w:val="00E72687"/>
    <w:rsid w:val="00E727E9"/>
    <w:rsid w:val="00E72821"/>
    <w:rsid w:val="00E72CD4"/>
    <w:rsid w:val="00E72FC4"/>
    <w:rsid w:val="00E732AD"/>
    <w:rsid w:val="00E73AF1"/>
    <w:rsid w:val="00E73E6D"/>
    <w:rsid w:val="00E740CB"/>
    <w:rsid w:val="00E74175"/>
    <w:rsid w:val="00E7421C"/>
    <w:rsid w:val="00E745E6"/>
    <w:rsid w:val="00E74665"/>
    <w:rsid w:val="00E747CF"/>
    <w:rsid w:val="00E74B19"/>
    <w:rsid w:val="00E74F30"/>
    <w:rsid w:val="00E7572E"/>
    <w:rsid w:val="00E75788"/>
    <w:rsid w:val="00E758DC"/>
    <w:rsid w:val="00E75B69"/>
    <w:rsid w:val="00E75E73"/>
    <w:rsid w:val="00E7601B"/>
    <w:rsid w:val="00E761E3"/>
    <w:rsid w:val="00E7621F"/>
    <w:rsid w:val="00E762F1"/>
    <w:rsid w:val="00E7630F"/>
    <w:rsid w:val="00E76352"/>
    <w:rsid w:val="00E7662A"/>
    <w:rsid w:val="00E767B2"/>
    <w:rsid w:val="00E7681B"/>
    <w:rsid w:val="00E768BC"/>
    <w:rsid w:val="00E769D7"/>
    <w:rsid w:val="00E76AB6"/>
    <w:rsid w:val="00E76E00"/>
    <w:rsid w:val="00E76E68"/>
    <w:rsid w:val="00E77129"/>
    <w:rsid w:val="00E774CF"/>
    <w:rsid w:val="00E774E7"/>
    <w:rsid w:val="00E77784"/>
    <w:rsid w:val="00E77902"/>
    <w:rsid w:val="00E77A8C"/>
    <w:rsid w:val="00E77C0D"/>
    <w:rsid w:val="00E77E1D"/>
    <w:rsid w:val="00E77F90"/>
    <w:rsid w:val="00E80438"/>
    <w:rsid w:val="00E8048E"/>
    <w:rsid w:val="00E805B1"/>
    <w:rsid w:val="00E805FF"/>
    <w:rsid w:val="00E8085B"/>
    <w:rsid w:val="00E80956"/>
    <w:rsid w:val="00E8096B"/>
    <w:rsid w:val="00E809E7"/>
    <w:rsid w:val="00E809EC"/>
    <w:rsid w:val="00E80A17"/>
    <w:rsid w:val="00E80E05"/>
    <w:rsid w:val="00E812CE"/>
    <w:rsid w:val="00E8143A"/>
    <w:rsid w:val="00E816D5"/>
    <w:rsid w:val="00E816E6"/>
    <w:rsid w:val="00E81790"/>
    <w:rsid w:val="00E81962"/>
    <w:rsid w:val="00E81B8B"/>
    <w:rsid w:val="00E81CFC"/>
    <w:rsid w:val="00E820E0"/>
    <w:rsid w:val="00E820FF"/>
    <w:rsid w:val="00E82133"/>
    <w:rsid w:val="00E82142"/>
    <w:rsid w:val="00E82259"/>
    <w:rsid w:val="00E822B6"/>
    <w:rsid w:val="00E82422"/>
    <w:rsid w:val="00E824E3"/>
    <w:rsid w:val="00E825F4"/>
    <w:rsid w:val="00E82BA0"/>
    <w:rsid w:val="00E82BEF"/>
    <w:rsid w:val="00E82CC4"/>
    <w:rsid w:val="00E82DBF"/>
    <w:rsid w:val="00E83163"/>
    <w:rsid w:val="00E83437"/>
    <w:rsid w:val="00E8344A"/>
    <w:rsid w:val="00E83556"/>
    <w:rsid w:val="00E836C0"/>
    <w:rsid w:val="00E83D31"/>
    <w:rsid w:val="00E83D52"/>
    <w:rsid w:val="00E83E25"/>
    <w:rsid w:val="00E83E37"/>
    <w:rsid w:val="00E84187"/>
    <w:rsid w:val="00E845DC"/>
    <w:rsid w:val="00E85218"/>
    <w:rsid w:val="00E85237"/>
    <w:rsid w:val="00E852B6"/>
    <w:rsid w:val="00E852F8"/>
    <w:rsid w:val="00E85755"/>
    <w:rsid w:val="00E85EEF"/>
    <w:rsid w:val="00E85F20"/>
    <w:rsid w:val="00E86113"/>
    <w:rsid w:val="00E862B4"/>
    <w:rsid w:val="00E86361"/>
    <w:rsid w:val="00E8686F"/>
    <w:rsid w:val="00E869D1"/>
    <w:rsid w:val="00E86C0E"/>
    <w:rsid w:val="00E86FC9"/>
    <w:rsid w:val="00E87412"/>
    <w:rsid w:val="00E874F2"/>
    <w:rsid w:val="00E87681"/>
    <w:rsid w:val="00E8769D"/>
    <w:rsid w:val="00E87772"/>
    <w:rsid w:val="00E877EF"/>
    <w:rsid w:val="00E905FB"/>
    <w:rsid w:val="00E90616"/>
    <w:rsid w:val="00E9082C"/>
    <w:rsid w:val="00E90850"/>
    <w:rsid w:val="00E90A2D"/>
    <w:rsid w:val="00E90DF3"/>
    <w:rsid w:val="00E91301"/>
    <w:rsid w:val="00E913AD"/>
    <w:rsid w:val="00E9145D"/>
    <w:rsid w:val="00E917FA"/>
    <w:rsid w:val="00E91891"/>
    <w:rsid w:val="00E91A1E"/>
    <w:rsid w:val="00E91B5A"/>
    <w:rsid w:val="00E91CE9"/>
    <w:rsid w:val="00E91D72"/>
    <w:rsid w:val="00E91ED7"/>
    <w:rsid w:val="00E92044"/>
    <w:rsid w:val="00E92128"/>
    <w:rsid w:val="00E922D5"/>
    <w:rsid w:val="00E926F5"/>
    <w:rsid w:val="00E927A0"/>
    <w:rsid w:val="00E92857"/>
    <w:rsid w:val="00E92D6F"/>
    <w:rsid w:val="00E92D84"/>
    <w:rsid w:val="00E92D91"/>
    <w:rsid w:val="00E92D9D"/>
    <w:rsid w:val="00E92E71"/>
    <w:rsid w:val="00E92FF4"/>
    <w:rsid w:val="00E9319F"/>
    <w:rsid w:val="00E931F0"/>
    <w:rsid w:val="00E932F9"/>
    <w:rsid w:val="00E93307"/>
    <w:rsid w:val="00E93410"/>
    <w:rsid w:val="00E937EE"/>
    <w:rsid w:val="00E939C7"/>
    <w:rsid w:val="00E939FC"/>
    <w:rsid w:val="00E93AB9"/>
    <w:rsid w:val="00E93DB6"/>
    <w:rsid w:val="00E94432"/>
    <w:rsid w:val="00E948D6"/>
    <w:rsid w:val="00E94B1A"/>
    <w:rsid w:val="00E94DF9"/>
    <w:rsid w:val="00E94E40"/>
    <w:rsid w:val="00E94FD5"/>
    <w:rsid w:val="00E9511E"/>
    <w:rsid w:val="00E9525E"/>
    <w:rsid w:val="00E955B3"/>
    <w:rsid w:val="00E9562B"/>
    <w:rsid w:val="00E95D5C"/>
    <w:rsid w:val="00E95F1B"/>
    <w:rsid w:val="00E95FA4"/>
    <w:rsid w:val="00E963A6"/>
    <w:rsid w:val="00E9649E"/>
    <w:rsid w:val="00E9663D"/>
    <w:rsid w:val="00E9667D"/>
    <w:rsid w:val="00E966FF"/>
    <w:rsid w:val="00E96940"/>
    <w:rsid w:val="00E96C59"/>
    <w:rsid w:val="00E96D45"/>
    <w:rsid w:val="00E9735C"/>
    <w:rsid w:val="00E976C0"/>
    <w:rsid w:val="00E97846"/>
    <w:rsid w:val="00E97B4B"/>
    <w:rsid w:val="00E97C07"/>
    <w:rsid w:val="00E97E6A"/>
    <w:rsid w:val="00EA00E8"/>
    <w:rsid w:val="00EA019F"/>
    <w:rsid w:val="00EA02FE"/>
    <w:rsid w:val="00EA042C"/>
    <w:rsid w:val="00EA043B"/>
    <w:rsid w:val="00EA09BA"/>
    <w:rsid w:val="00EA0CC9"/>
    <w:rsid w:val="00EA0DF4"/>
    <w:rsid w:val="00EA10DE"/>
    <w:rsid w:val="00EA11EB"/>
    <w:rsid w:val="00EA13C5"/>
    <w:rsid w:val="00EA19D1"/>
    <w:rsid w:val="00EA1A81"/>
    <w:rsid w:val="00EA1DA7"/>
    <w:rsid w:val="00EA2168"/>
    <w:rsid w:val="00EA21E4"/>
    <w:rsid w:val="00EA2225"/>
    <w:rsid w:val="00EA22A1"/>
    <w:rsid w:val="00EA238F"/>
    <w:rsid w:val="00EA23F4"/>
    <w:rsid w:val="00EA2454"/>
    <w:rsid w:val="00EA277D"/>
    <w:rsid w:val="00EA28CB"/>
    <w:rsid w:val="00EA2947"/>
    <w:rsid w:val="00EA2CCF"/>
    <w:rsid w:val="00EA336B"/>
    <w:rsid w:val="00EA3600"/>
    <w:rsid w:val="00EA38EA"/>
    <w:rsid w:val="00EA39F1"/>
    <w:rsid w:val="00EA3E2C"/>
    <w:rsid w:val="00EA4076"/>
    <w:rsid w:val="00EA407C"/>
    <w:rsid w:val="00EA420C"/>
    <w:rsid w:val="00EA4349"/>
    <w:rsid w:val="00EA44FD"/>
    <w:rsid w:val="00EA48F0"/>
    <w:rsid w:val="00EA4A03"/>
    <w:rsid w:val="00EA4A17"/>
    <w:rsid w:val="00EA4B8C"/>
    <w:rsid w:val="00EA4DD9"/>
    <w:rsid w:val="00EA509D"/>
    <w:rsid w:val="00EA51D9"/>
    <w:rsid w:val="00EA54A9"/>
    <w:rsid w:val="00EA588B"/>
    <w:rsid w:val="00EA58FA"/>
    <w:rsid w:val="00EA5AD4"/>
    <w:rsid w:val="00EA5B1B"/>
    <w:rsid w:val="00EA5C99"/>
    <w:rsid w:val="00EA6442"/>
    <w:rsid w:val="00EA6549"/>
    <w:rsid w:val="00EA66C4"/>
    <w:rsid w:val="00EA6A14"/>
    <w:rsid w:val="00EA6B23"/>
    <w:rsid w:val="00EA6E77"/>
    <w:rsid w:val="00EA7173"/>
    <w:rsid w:val="00EA7301"/>
    <w:rsid w:val="00EA744F"/>
    <w:rsid w:val="00EA75CD"/>
    <w:rsid w:val="00EA765A"/>
    <w:rsid w:val="00EA783C"/>
    <w:rsid w:val="00EA7BCA"/>
    <w:rsid w:val="00EA7CC4"/>
    <w:rsid w:val="00EA7F9D"/>
    <w:rsid w:val="00EB00DC"/>
    <w:rsid w:val="00EB04CA"/>
    <w:rsid w:val="00EB04D4"/>
    <w:rsid w:val="00EB09BD"/>
    <w:rsid w:val="00EB0B54"/>
    <w:rsid w:val="00EB0C6C"/>
    <w:rsid w:val="00EB1060"/>
    <w:rsid w:val="00EB1295"/>
    <w:rsid w:val="00EB13FD"/>
    <w:rsid w:val="00EB146A"/>
    <w:rsid w:val="00EB14E3"/>
    <w:rsid w:val="00EB17D6"/>
    <w:rsid w:val="00EB18B7"/>
    <w:rsid w:val="00EB199B"/>
    <w:rsid w:val="00EB1B73"/>
    <w:rsid w:val="00EB1CB7"/>
    <w:rsid w:val="00EB1DF2"/>
    <w:rsid w:val="00EB1E82"/>
    <w:rsid w:val="00EB1FAA"/>
    <w:rsid w:val="00EB21F8"/>
    <w:rsid w:val="00EB2226"/>
    <w:rsid w:val="00EB223B"/>
    <w:rsid w:val="00EB28B9"/>
    <w:rsid w:val="00EB2BB0"/>
    <w:rsid w:val="00EB2FAE"/>
    <w:rsid w:val="00EB3396"/>
    <w:rsid w:val="00EB33A2"/>
    <w:rsid w:val="00EB3658"/>
    <w:rsid w:val="00EB36F7"/>
    <w:rsid w:val="00EB3C1F"/>
    <w:rsid w:val="00EB3D77"/>
    <w:rsid w:val="00EB3F0B"/>
    <w:rsid w:val="00EB3F88"/>
    <w:rsid w:val="00EB40D8"/>
    <w:rsid w:val="00EB4319"/>
    <w:rsid w:val="00EB4470"/>
    <w:rsid w:val="00EB452F"/>
    <w:rsid w:val="00EB45B5"/>
    <w:rsid w:val="00EB4647"/>
    <w:rsid w:val="00EB494D"/>
    <w:rsid w:val="00EB4EA0"/>
    <w:rsid w:val="00EB5025"/>
    <w:rsid w:val="00EB5070"/>
    <w:rsid w:val="00EB51F6"/>
    <w:rsid w:val="00EB5626"/>
    <w:rsid w:val="00EB56A5"/>
    <w:rsid w:val="00EB585E"/>
    <w:rsid w:val="00EB5C2D"/>
    <w:rsid w:val="00EB5E92"/>
    <w:rsid w:val="00EB6138"/>
    <w:rsid w:val="00EB68EE"/>
    <w:rsid w:val="00EB6A9D"/>
    <w:rsid w:val="00EB6CBB"/>
    <w:rsid w:val="00EB6DD7"/>
    <w:rsid w:val="00EB6DFA"/>
    <w:rsid w:val="00EB6F10"/>
    <w:rsid w:val="00EB6F2F"/>
    <w:rsid w:val="00EB71F6"/>
    <w:rsid w:val="00EB7316"/>
    <w:rsid w:val="00EB7478"/>
    <w:rsid w:val="00EB75C4"/>
    <w:rsid w:val="00EB75E1"/>
    <w:rsid w:val="00EB7608"/>
    <w:rsid w:val="00EB7759"/>
    <w:rsid w:val="00EB7E91"/>
    <w:rsid w:val="00EC00DE"/>
    <w:rsid w:val="00EC0233"/>
    <w:rsid w:val="00EC02B0"/>
    <w:rsid w:val="00EC05FE"/>
    <w:rsid w:val="00EC0A51"/>
    <w:rsid w:val="00EC0DFF"/>
    <w:rsid w:val="00EC102D"/>
    <w:rsid w:val="00EC120F"/>
    <w:rsid w:val="00EC18ED"/>
    <w:rsid w:val="00EC1924"/>
    <w:rsid w:val="00EC198A"/>
    <w:rsid w:val="00EC1B2B"/>
    <w:rsid w:val="00EC2101"/>
    <w:rsid w:val="00EC235A"/>
    <w:rsid w:val="00EC2831"/>
    <w:rsid w:val="00EC2964"/>
    <w:rsid w:val="00EC2974"/>
    <w:rsid w:val="00EC298D"/>
    <w:rsid w:val="00EC2B14"/>
    <w:rsid w:val="00EC30D6"/>
    <w:rsid w:val="00EC3134"/>
    <w:rsid w:val="00EC334E"/>
    <w:rsid w:val="00EC3550"/>
    <w:rsid w:val="00EC35F4"/>
    <w:rsid w:val="00EC3644"/>
    <w:rsid w:val="00EC3688"/>
    <w:rsid w:val="00EC3910"/>
    <w:rsid w:val="00EC39B5"/>
    <w:rsid w:val="00EC3C1A"/>
    <w:rsid w:val="00EC4207"/>
    <w:rsid w:val="00EC445D"/>
    <w:rsid w:val="00EC46D1"/>
    <w:rsid w:val="00EC47F0"/>
    <w:rsid w:val="00EC4D65"/>
    <w:rsid w:val="00EC4F09"/>
    <w:rsid w:val="00EC4F56"/>
    <w:rsid w:val="00EC50FB"/>
    <w:rsid w:val="00EC5216"/>
    <w:rsid w:val="00EC5629"/>
    <w:rsid w:val="00EC5661"/>
    <w:rsid w:val="00EC5AD8"/>
    <w:rsid w:val="00EC5B44"/>
    <w:rsid w:val="00EC5FF6"/>
    <w:rsid w:val="00EC6408"/>
    <w:rsid w:val="00EC67E5"/>
    <w:rsid w:val="00EC6845"/>
    <w:rsid w:val="00EC6A07"/>
    <w:rsid w:val="00EC6F34"/>
    <w:rsid w:val="00EC72F9"/>
    <w:rsid w:val="00EC798F"/>
    <w:rsid w:val="00EC7A79"/>
    <w:rsid w:val="00ED00C7"/>
    <w:rsid w:val="00ED014E"/>
    <w:rsid w:val="00ED0407"/>
    <w:rsid w:val="00ED0645"/>
    <w:rsid w:val="00ED0738"/>
    <w:rsid w:val="00ED07F7"/>
    <w:rsid w:val="00ED08E5"/>
    <w:rsid w:val="00ED0FD7"/>
    <w:rsid w:val="00ED1098"/>
    <w:rsid w:val="00ED1312"/>
    <w:rsid w:val="00ED15FA"/>
    <w:rsid w:val="00ED16BA"/>
    <w:rsid w:val="00ED184D"/>
    <w:rsid w:val="00ED18A2"/>
    <w:rsid w:val="00ED1B76"/>
    <w:rsid w:val="00ED1B7B"/>
    <w:rsid w:val="00ED1D43"/>
    <w:rsid w:val="00ED1F62"/>
    <w:rsid w:val="00ED210C"/>
    <w:rsid w:val="00ED23A4"/>
    <w:rsid w:val="00ED2631"/>
    <w:rsid w:val="00ED2693"/>
    <w:rsid w:val="00ED27E7"/>
    <w:rsid w:val="00ED2E5C"/>
    <w:rsid w:val="00ED2FAE"/>
    <w:rsid w:val="00ED3028"/>
    <w:rsid w:val="00ED311F"/>
    <w:rsid w:val="00ED3200"/>
    <w:rsid w:val="00ED360B"/>
    <w:rsid w:val="00ED37CE"/>
    <w:rsid w:val="00ED38A8"/>
    <w:rsid w:val="00ED3A53"/>
    <w:rsid w:val="00ED3A67"/>
    <w:rsid w:val="00ED3AF9"/>
    <w:rsid w:val="00ED3BE1"/>
    <w:rsid w:val="00ED3D47"/>
    <w:rsid w:val="00ED3D68"/>
    <w:rsid w:val="00ED3DB2"/>
    <w:rsid w:val="00ED4173"/>
    <w:rsid w:val="00ED42E2"/>
    <w:rsid w:val="00ED43C6"/>
    <w:rsid w:val="00ED459F"/>
    <w:rsid w:val="00ED46D7"/>
    <w:rsid w:val="00ED4736"/>
    <w:rsid w:val="00ED47D0"/>
    <w:rsid w:val="00ED48D4"/>
    <w:rsid w:val="00ED4945"/>
    <w:rsid w:val="00ED4FEE"/>
    <w:rsid w:val="00ED5044"/>
    <w:rsid w:val="00ED5236"/>
    <w:rsid w:val="00ED52EE"/>
    <w:rsid w:val="00ED5301"/>
    <w:rsid w:val="00ED5539"/>
    <w:rsid w:val="00ED5564"/>
    <w:rsid w:val="00ED574D"/>
    <w:rsid w:val="00ED58FC"/>
    <w:rsid w:val="00ED59AA"/>
    <w:rsid w:val="00ED5D26"/>
    <w:rsid w:val="00ED5DED"/>
    <w:rsid w:val="00ED617E"/>
    <w:rsid w:val="00ED6235"/>
    <w:rsid w:val="00ED6598"/>
    <w:rsid w:val="00ED67AD"/>
    <w:rsid w:val="00ED6829"/>
    <w:rsid w:val="00ED6890"/>
    <w:rsid w:val="00ED6ADC"/>
    <w:rsid w:val="00ED6BC1"/>
    <w:rsid w:val="00ED6C96"/>
    <w:rsid w:val="00ED6CE6"/>
    <w:rsid w:val="00ED6DED"/>
    <w:rsid w:val="00ED6E23"/>
    <w:rsid w:val="00ED6EAC"/>
    <w:rsid w:val="00ED6ED7"/>
    <w:rsid w:val="00ED72DC"/>
    <w:rsid w:val="00ED7334"/>
    <w:rsid w:val="00ED7422"/>
    <w:rsid w:val="00ED79CD"/>
    <w:rsid w:val="00EE0110"/>
    <w:rsid w:val="00EE03BA"/>
    <w:rsid w:val="00EE060D"/>
    <w:rsid w:val="00EE07BC"/>
    <w:rsid w:val="00EE08C9"/>
    <w:rsid w:val="00EE09C5"/>
    <w:rsid w:val="00EE0CFE"/>
    <w:rsid w:val="00EE0DD1"/>
    <w:rsid w:val="00EE0FE0"/>
    <w:rsid w:val="00EE147C"/>
    <w:rsid w:val="00EE17E8"/>
    <w:rsid w:val="00EE19BB"/>
    <w:rsid w:val="00EE1DAB"/>
    <w:rsid w:val="00EE1DCF"/>
    <w:rsid w:val="00EE1E59"/>
    <w:rsid w:val="00EE1E74"/>
    <w:rsid w:val="00EE23DE"/>
    <w:rsid w:val="00EE255D"/>
    <w:rsid w:val="00EE2866"/>
    <w:rsid w:val="00EE2A29"/>
    <w:rsid w:val="00EE2A7B"/>
    <w:rsid w:val="00EE2BA9"/>
    <w:rsid w:val="00EE2C49"/>
    <w:rsid w:val="00EE2DF8"/>
    <w:rsid w:val="00EE2F92"/>
    <w:rsid w:val="00EE2FD2"/>
    <w:rsid w:val="00EE311D"/>
    <w:rsid w:val="00EE312A"/>
    <w:rsid w:val="00EE3183"/>
    <w:rsid w:val="00EE3280"/>
    <w:rsid w:val="00EE3329"/>
    <w:rsid w:val="00EE3A11"/>
    <w:rsid w:val="00EE3A67"/>
    <w:rsid w:val="00EE3BAC"/>
    <w:rsid w:val="00EE3C6C"/>
    <w:rsid w:val="00EE3EB5"/>
    <w:rsid w:val="00EE4073"/>
    <w:rsid w:val="00EE4356"/>
    <w:rsid w:val="00EE43AA"/>
    <w:rsid w:val="00EE443F"/>
    <w:rsid w:val="00EE4480"/>
    <w:rsid w:val="00EE4594"/>
    <w:rsid w:val="00EE461C"/>
    <w:rsid w:val="00EE47B1"/>
    <w:rsid w:val="00EE4C59"/>
    <w:rsid w:val="00EE4C6C"/>
    <w:rsid w:val="00EE4CF8"/>
    <w:rsid w:val="00EE4DE5"/>
    <w:rsid w:val="00EE4E25"/>
    <w:rsid w:val="00EE4FAB"/>
    <w:rsid w:val="00EE53EE"/>
    <w:rsid w:val="00EE54D8"/>
    <w:rsid w:val="00EE55F4"/>
    <w:rsid w:val="00EE5693"/>
    <w:rsid w:val="00EE5A95"/>
    <w:rsid w:val="00EE5B31"/>
    <w:rsid w:val="00EE5B5A"/>
    <w:rsid w:val="00EE5EFF"/>
    <w:rsid w:val="00EE6280"/>
    <w:rsid w:val="00EE62F4"/>
    <w:rsid w:val="00EE637A"/>
    <w:rsid w:val="00EE67A9"/>
    <w:rsid w:val="00EE68E3"/>
    <w:rsid w:val="00EE6A03"/>
    <w:rsid w:val="00EE6A75"/>
    <w:rsid w:val="00EE6B37"/>
    <w:rsid w:val="00EE6D0C"/>
    <w:rsid w:val="00EE71A1"/>
    <w:rsid w:val="00EE7226"/>
    <w:rsid w:val="00EE7438"/>
    <w:rsid w:val="00EE7480"/>
    <w:rsid w:val="00EE76D9"/>
    <w:rsid w:val="00EE7BA5"/>
    <w:rsid w:val="00EF01BF"/>
    <w:rsid w:val="00EF01DA"/>
    <w:rsid w:val="00EF0452"/>
    <w:rsid w:val="00EF0724"/>
    <w:rsid w:val="00EF07E2"/>
    <w:rsid w:val="00EF08B6"/>
    <w:rsid w:val="00EF097C"/>
    <w:rsid w:val="00EF0B8B"/>
    <w:rsid w:val="00EF0B9A"/>
    <w:rsid w:val="00EF0CD0"/>
    <w:rsid w:val="00EF1142"/>
    <w:rsid w:val="00EF132F"/>
    <w:rsid w:val="00EF138F"/>
    <w:rsid w:val="00EF14E4"/>
    <w:rsid w:val="00EF15E0"/>
    <w:rsid w:val="00EF170B"/>
    <w:rsid w:val="00EF1AA3"/>
    <w:rsid w:val="00EF1BB9"/>
    <w:rsid w:val="00EF2081"/>
    <w:rsid w:val="00EF232D"/>
    <w:rsid w:val="00EF243D"/>
    <w:rsid w:val="00EF2608"/>
    <w:rsid w:val="00EF2C0D"/>
    <w:rsid w:val="00EF3615"/>
    <w:rsid w:val="00EF37FA"/>
    <w:rsid w:val="00EF396B"/>
    <w:rsid w:val="00EF39EB"/>
    <w:rsid w:val="00EF3B58"/>
    <w:rsid w:val="00EF3D22"/>
    <w:rsid w:val="00EF3E6B"/>
    <w:rsid w:val="00EF3F8F"/>
    <w:rsid w:val="00EF3FC4"/>
    <w:rsid w:val="00EF41A9"/>
    <w:rsid w:val="00EF4371"/>
    <w:rsid w:val="00EF4635"/>
    <w:rsid w:val="00EF46C7"/>
    <w:rsid w:val="00EF4B92"/>
    <w:rsid w:val="00EF4BD5"/>
    <w:rsid w:val="00EF4BE7"/>
    <w:rsid w:val="00EF4C54"/>
    <w:rsid w:val="00EF4F54"/>
    <w:rsid w:val="00EF5085"/>
    <w:rsid w:val="00EF50AC"/>
    <w:rsid w:val="00EF5196"/>
    <w:rsid w:val="00EF527C"/>
    <w:rsid w:val="00EF5508"/>
    <w:rsid w:val="00EF5E9E"/>
    <w:rsid w:val="00EF664A"/>
    <w:rsid w:val="00EF68A0"/>
    <w:rsid w:val="00EF69ED"/>
    <w:rsid w:val="00EF6B6F"/>
    <w:rsid w:val="00EF6B76"/>
    <w:rsid w:val="00EF6E0A"/>
    <w:rsid w:val="00EF701B"/>
    <w:rsid w:val="00EF7076"/>
    <w:rsid w:val="00EF72D8"/>
    <w:rsid w:val="00EF7388"/>
    <w:rsid w:val="00EF771E"/>
    <w:rsid w:val="00EF7774"/>
    <w:rsid w:val="00EF7CBC"/>
    <w:rsid w:val="00EF7E5E"/>
    <w:rsid w:val="00F0057A"/>
    <w:rsid w:val="00F00713"/>
    <w:rsid w:val="00F008E4"/>
    <w:rsid w:val="00F0092D"/>
    <w:rsid w:val="00F00BBC"/>
    <w:rsid w:val="00F00E44"/>
    <w:rsid w:val="00F0108D"/>
    <w:rsid w:val="00F0144A"/>
    <w:rsid w:val="00F01513"/>
    <w:rsid w:val="00F01B9A"/>
    <w:rsid w:val="00F01E93"/>
    <w:rsid w:val="00F01F13"/>
    <w:rsid w:val="00F02112"/>
    <w:rsid w:val="00F023D3"/>
    <w:rsid w:val="00F026AC"/>
    <w:rsid w:val="00F02762"/>
    <w:rsid w:val="00F0285B"/>
    <w:rsid w:val="00F02C6C"/>
    <w:rsid w:val="00F031BF"/>
    <w:rsid w:val="00F03301"/>
    <w:rsid w:val="00F0356E"/>
    <w:rsid w:val="00F0359F"/>
    <w:rsid w:val="00F03BCC"/>
    <w:rsid w:val="00F03C5C"/>
    <w:rsid w:val="00F03D4D"/>
    <w:rsid w:val="00F03EB9"/>
    <w:rsid w:val="00F04054"/>
    <w:rsid w:val="00F041FC"/>
    <w:rsid w:val="00F04307"/>
    <w:rsid w:val="00F04C2C"/>
    <w:rsid w:val="00F04F85"/>
    <w:rsid w:val="00F05557"/>
    <w:rsid w:val="00F05646"/>
    <w:rsid w:val="00F0571B"/>
    <w:rsid w:val="00F05C1C"/>
    <w:rsid w:val="00F05E53"/>
    <w:rsid w:val="00F05F43"/>
    <w:rsid w:val="00F065EB"/>
    <w:rsid w:val="00F069D1"/>
    <w:rsid w:val="00F06A05"/>
    <w:rsid w:val="00F06CE2"/>
    <w:rsid w:val="00F0736B"/>
    <w:rsid w:val="00F0745C"/>
    <w:rsid w:val="00F075F8"/>
    <w:rsid w:val="00F07910"/>
    <w:rsid w:val="00F07AD9"/>
    <w:rsid w:val="00F07B1B"/>
    <w:rsid w:val="00F07D14"/>
    <w:rsid w:val="00F07D9B"/>
    <w:rsid w:val="00F07DCA"/>
    <w:rsid w:val="00F07F7C"/>
    <w:rsid w:val="00F10436"/>
    <w:rsid w:val="00F1045C"/>
    <w:rsid w:val="00F1057C"/>
    <w:rsid w:val="00F105AC"/>
    <w:rsid w:val="00F107E6"/>
    <w:rsid w:val="00F10ADF"/>
    <w:rsid w:val="00F10C9F"/>
    <w:rsid w:val="00F10D4D"/>
    <w:rsid w:val="00F10F7B"/>
    <w:rsid w:val="00F10FBC"/>
    <w:rsid w:val="00F1148F"/>
    <w:rsid w:val="00F1170C"/>
    <w:rsid w:val="00F11862"/>
    <w:rsid w:val="00F119A7"/>
    <w:rsid w:val="00F11B49"/>
    <w:rsid w:val="00F11B9D"/>
    <w:rsid w:val="00F11BC6"/>
    <w:rsid w:val="00F11D28"/>
    <w:rsid w:val="00F11DC9"/>
    <w:rsid w:val="00F1202E"/>
    <w:rsid w:val="00F120C4"/>
    <w:rsid w:val="00F12245"/>
    <w:rsid w:val="00F12251"/>
    <w:rsid w:val="00F124FE"/>
    <w:rsid w:val="00F12549"/>
    <w:rsid w:val="00F12586"/>
    <w:rsid w:val="00F127A0"/>
    <w:rsid w:val="00F129FC"/>
    <w:rsid w:val="00F12A51"/>
    <w:rsid w:val="00F12C56"/>
    <w:rsid w:val="00F12D56"/>
    <w:rsid w:val="00F12DCA"/>
    <w:rsid w:val="00F13036"/>
    <w:rsid w:val="00F132D1"/>
    <w:rsid w:val="00F13980"/>
    <w:rsid w:val="00F13C8A"/>
    <w:rsid w:val="00F141C1"/>
    <w:rsid w:val="00F1423A"/>
    <w:rsid w:val="00F1426E"/>
    <w:rsid w:val="00F1434D"/>
    <w:rsid w:val="00F1436C"/>
    <w:rsid w:val="00F14401"/>
    <w:rsid w:val="00F144BB"/>
    <w:rsid w:val="00F146F2"/>
    <w:rsid w:val="00F14778"/>
    <w:rsid w:val="00F14810"/>
    <w:rsid w:val="00F14931"/>
    <w:rsid w:val="00F14A6E"/>
    <w:rsid w:val="00F14B5D"/>
    <w:rsid w:val="00F14BC2"/>
    <w:rsid w:val="00F14D6F"/>
    <w:rsid w:val="00F14D9C"/>
    <w:rsid w:val="00F14F6F"/>
    <w:rsid w:val="00F14FBD"/>
    <w:rsid w:val="00F1514E"/>
    <w:rsid w:val="00F152EA"/>
    <w:rsid w:val="00F153FA"/>
    <w:rsid w:val="00F15442"/>
    <w:rsid w:val="00F15451"/>
    <w:rsid w:val="00F15671"/>
    <w:rsid w:val="00F15AA6"/>
    <w:rsid w:val="00F15D6C"/>
    <w:rsid w:val="00F16036"/>
    <w:rsid w:val="00F1615F"/>
    <w:rsid w:val="00F1619A"/>
    <w:rsid w:val="00F161BA"/>
    <w:rsid w:val="00F16299"/>
    <w:rsid w:val="00F16458"/>
    <w:rsid w:val="00F164E2"/>
    <w:rsid w:val="00F166EC"/>
    <w:rsid w:val="00F16870"/>
    <w:rsid w:val="00F1694E"/>
    <w:rsid w:val="00F16AB2"/>
    <w:rsid w:val="00F16D49"/>
    <w:rsid w:val="00F17145"/>
    <w:rsid w:val="00F171C4"/>
    <w:rsid w:val="00F1722B"/>
    <w:rsid w:val="00F17482"/>
    <w:rsid w:val="00F1752A"/>
    <w:rsid w:val="00F1763F"/>
    <w:rsid w:val="00F1775E"/>
    <w:rsid w:val="00F17A3F"/>
    <w:rsid w:val="00F17A80"/>
    <w:rsid w:val="00F17AD1"/>
    <w:rsid w:val="00F17C1B"/>
    <w:rsid w:val="00F17C1D"/>
    <w:rsid w:val="00F17E9D"/>
    <w:rsid w:val="00F17FA4"/>
    <w:rsid w:val="00F20007"/>
    <w:rsid w:val="00F200C4"/>
    <w:rsid w:val="00F20298"/>
    <w:rsid w:val="00F202A1"/>
    <w:rsid w:val="00F208CE"/>
    <w:rsid w:val="00F20BCB"/>
    <w:rsid w:val="00F20D05"/>
    <w:rsid w:val="00F2132D"/>
    <w:rsid w:val="00F217B7"/>
    <w:rsid w:val="00F218B6"/>
    <w:rsid w:val="00F21C6C"/>
    <w:rsid w:val="00F21D1A"/>
    <w:rsid w:val="00F21E72"/>
    <w:rsid w:val="00F21E8D"/>
    <w:rsid w:val="00F223DD"/>
    <w:rsid w:val="00F225FD"/>
    <w:rsid w:val="00F22730"/>
    <w:rsid w:val="00F228BE"/>
    <w:rsid w:val="00F228C2"/>
    <w:rsid w:val="00F228F9"/>
    <w:rsid w:val="00F22AF6"/>
    <w:rsid w:val="00F22C72"/>
    <w:rsid w:val="00F22E9D"/>
    <w:rsid w:val="00F23037"/>
    <w:rsid w:val="00F23159"/>
    <w:rsid w:val="00F2325F"/>
    <w:rsid w:val="00F2374A"/>
    <w:rsid w:val="00F23C1D"/>
    <w:rsid w:val="00F23E5E"/>
    <w:rsid w:val="00F24019"/>
    <w:rsid w:val="00F24109"/>
    <w:rsid w:val="00F241EF"/>
    <w:rsid w:val="00F24208"/>
    <w:rsid w:val="00F242AA"/>
    <w:rsid w:val="00F242B6"/>
    <w:rsid w:val="00F24321"/>
    <w:rsid w:val="00F2446D"/>
    <w:rsid w:val="00F244B3"/>
    <w:rsid w:val="00F244B7"/>
    <w:rsid w:val="00F24690"/>
    <w:rsid w:val="00F248A7"/>
    <w:rsid w:val="00F24914"/>
    <w:rsid w:val="00F24B57"/>
    <w:rsid w:val="00F24E93"/>
    <w:rsid w:val="00F25081"/>
    <w:rsid w:val="00F25412"/>
    <w:rsid w:val="00F2596B"/>
    <w:rsid w:val="00F25AD5"/>
    <w:rsid w:val="00F25AD9"/>
    <w:rsid w:val="00F25CA7"/>
    <w:rsid w:val="00F25CC7"/>
    <w:rsid w:val="00F260CC"/>
    <w:rsid w:val="00F26104"/>
    <w:rsid w:val="00F263B7"/>
    <w:rsid w:val="00F26501"/>
    <w:rsid w:val="00F26633"/>
    <w:rsid w:val="00F2675F"/>
    <w:rsid w:val="00F269EC"/>
    <w:rsid w:val="00F26B79"/>
    <w:rsid w:val="00F26C0F"/>
    <w:rsid w:val="00F26C6D"/>
    <w:rsid w:val="00F26C8A"/>
    <w:rsid w:val="00F26D19"/>
    <w:rsid w:val="00F27084"/>
    <w:rsid w:val="00F2710A"/>
    <w:rsid w:val="00F27305"/>
    <w:rsid w:val="00F273D5"/>
    <w:rsid w:val="00F274CF"/>
    <w:rsid w:val="00F27530"/>
    <w:rsid w:val="00F276A5"/>
    <w:rsid w:val="00F27732"/>
    <w:rsid w:val="00F27752"/>
    <w:rsid w:val="00F278EA"/>
    <w:rsid w:val="00F27985"/>
    <w:rsid w:val="00F279F7"/>
    <w:rsid w:val="00F27A33"/>
    <w:rsid w:val="00F27ADE"/>
    <w:rsid w:val="00F27B66"/>
    <w:rsid w:val="00F27D5B"/>
    <w:rsid w:val="00F3017B"/>
    <w:rsid w:val="00F301B6"/>
    <w:rsid w:val="00F30569"/>
    <w:rsid w:val="00F30636"/>
    <w:rsid w:val="00F30843"/>
    <w:rsid w:val="00F309D6"/>
    <w:rsid w:val="00F30EC0"/>
    <w:rsid w:val="00F30F6B"/>
    <w:rsid w:val="00F31014"/>
    <w:rsid w:val="00F3117A"/>
    <w:rsid w:val="00F311E8"/>
    <w:rsid w:val="00F311FE"/>
    <w:rsid w:val="00F31269"/>
    <w:rsid w:val="00F313D5"/>
    <w:rsid w:val="00F31750"/>
    <w:rsid w:val="00F3179C"/>
    <w:rsid w:val="00F3195B"/>
    <w:rsid w:val="00F319F1"/>
    <w:rsid w:val="00F31E9A"/>
    <w:rsid w:val="00F31F48"/>
    <w:rsid w:val="00F322FB"/>
    <w:rsid w:val="00F3230A"/>
    <w:rsid w:val="00F3237D"/>
    <w:rsid w:val="00F32385"/>
    <w:rsid w:val="00F32458"/>
    <w:rsid w:val="00F327E0"/>
    <w:rsid w:val="00F32855"/>
    <w:rsid w:val="00F328D0"/>
    <w:rsid w:val="00F33318"/>
    <w:rsid w:val="00F3334F"/>
    <w:rsid w:val="00F33BEE"/>
    <w:rsid w:val="00F33D54"/>
    <w:rsid w:val="00F33E17"/>
    <w:rsid w:val="00F33F09"/>
    <w:rsid w:val="00F33FF9"/>
    <w:rsid w:val="00F34026"/>
    <w:rsid w:val="00F345D3"/>
    <w:rsid w:val="00F34975"/>
    <w:rsid w:val="00F35141"/>
    <w:rsid w:val="00F35185"/>
    <w:rsid w:val="00F353FE"/>
    <w:rsid w:val="00F35404"/>
    <w:rsid w:val="00F3576E"/>
    <w:rsid w:val="00F3583A"/>
    <w:rsid w:val="00F35CD3"/>
    <w:rsid w:val="00F35F0B"/>
    <w:rsid w:val="00F35F4A"/>
    <w:rsid w:val="00F3628B"/>
    <w:rsid w:val="00F362F6"/>
    <w:rsid w:val="00F36354"/>
    <w:rsid w:val="00F36416"/>
    <w:rsid w:val="00F36480"/>
    <w:rsid w:val="00F366E2"/>
    <w:rsid w:val="00F36819"/>
    <w:rsid w:val="00F36880"/>
    <w:rsid w:val="00F36B39"/>
    <w:rsid w:val="00F36BEC"/>
    <w:rsid w:val="00F36C05"/>
    <w:rsid w:val="00F36C6A"/>
    <w:rsid w:val="00F36C7A"/>
    <w:rsid w:val="00F36DF5"/>
    <w:rsid w:val="00F36E1B"/>
    <w:rsid w:val="00F36E65"/>
    <w:rsid w:val="00F36ECF"/>
    <w:rsid w:val="00F37049"/>
    <w:rsid w:val="00F37121"/>
    <w:rsid w:val="00F3712F"/>
    <w:rsid w:val="00F3736A"/>
    <w:rsid w:val="00F376F8"/>
    <w:rsid w:val="00F37711"/>
    <w:rsid w:val="00F37826"/>
    <w:rsid w:val="00F3791E"/>
    <w:rsid w:val="00F37A41"/>
    <w:rsid w:val="00F37E04"/>
    <w:rsid w:val="00F37FF5"/>
    <w:rsid w:val="00F4042C"/>
    <w:rsid w:val="00F40897"/>
    <w:rsid w:val="00F40947"/>
    <w:rsid w:val="00F40B6A"/>
    <w:rsid w:val="00F40C9E"/>
    <w:rsid w:val="00F40CF5"/>
    <w:rsid w:val="00F40DA5"/>
    <w:rsid w:val="00F40DCB"/>
    <w:rsid w:val="00F40ECC"/>
    <w:rsid w:val="00F41029"/>
    <w:rsid w:val="00F4105E"/>
    <w:rsid w:val="00F41239"/>
    <w:rsid w:val="00F41721"/>
    <w:rsid w:val="00F41929"/>
    <w:rsid w:val="00F41A3D"/>
    <w:rsid w:val="00F41BA5"/>
    <w:rsid w:val="00F41BF5"/>
    <w:rsid w:val="00F41E28"/>
    <w:rsid w:val="00F42128"/>
    <w:rsid w:val="00F425F8"/>
    <w:rsid w:val="00F4265F"/>
    <w:rsid w:val="00F42859"/>
    <w:rsid w:val="00F42940"/>
    <w:rsid w:val="00F429C8"/>
    <w:rsid w:val="00F42AED"/>
    <w:rsid w:val="00F42C15"/>
    <w:rsid w:val="00F42CD5"/>
    <w:rsid w:val="00F42D5E"/>
    <w:rsid w:val="00F42E45"/>
    <w:rsid w:val="00F42EF1"/>
    <w:rsid w:val="00F42EF4"/>
    <w:rsid w:val="00F4311A"/>
    <w:rsid w:val="00F43408"/>
    <w:rsid w:val="00F434DA"/>
    <w:rsid w:val="00F43677"/>
    <w:rsid w:val="00F43685"/>
    <w:rsid w:val="00F43894"/>
    <w:rsid w:val="00F43900"/>
    <w:rsid w:val="00F43A30"/>
    <w:rsid w:val="00F43BF5"/>
    <w:rsid w:val="00F43C84"/>
    <w:rsid w:val="00F43D58"/>
    <w:rsid w:val="00F43F2E"/>
    <w:rsid w:val="00F43F95"/>
    <w:rsid w:val="00F44282"/>
    <w:rsid w:val="00F44318"/>
    <w:rsid w:val="00F44592"/>
    <w:rsid w:val="00F445D5"/>
    <w:rsid w:val="00F449FE"/>
    <w:rsid w:val="00F44D46"/>
    <w:rsid w:val="00F44D69"/>
    <w:rsid w:val="00F45204"/>
    <w:rsid w:val="00F45296"/>
    <w:rsid w:val="00F453D1"/>
    <w:rsid w:val="00F4542B"/>
    <w:rsid w:val="00F45457"/>
    <w:rsid w:val="00F45854"/>
    <w:rsid w:val="00F45923"/>
    <w:rsid w:val="00F46302"/>
    <w:rsid w:val="00F466D3"/>
    <w:rsid w:val="00F4685C"/>
    <w:rsid w:val="00F46914"/>
    <w:rsid w:val="00F46992"/>
    <w:rsid w:val="00F46D0E"/>
    <w:rsid w:val="00F46E97"/>
    <w:rsid w:val="00F46F82"/>
    <w:rsid w:val="00F47244"/>
    <w:rsid w:val="00F472D2"/>
    <w:rsid w:val="00F474B5"/>
    <w:rsid w:val="00F47641"/>
    <w:rsid w:val="00F47685"/>
    <w:rsid w:val="00F4771F"/>
    <w:rsid w:val="00F47834"/>
    <w:rsid w:val="00F479D3"/>
    <w:rsid w:val="00F47A26"/>
    <w:rsid w:val="00F47E29"/>
    <w:rsid w:val="00F47E6F"/>
    <w:rsid w:val="00F47FA2"/>
    <w:rsid w:val="00F500E2"/>
    <w:rsid w:val="00F50362"/>
    <w:rsid w:val="00F50392"/>
    <w:rsid w:val="00F50510"/>
    <w:rsid w:val="00F5065F"/>
    <w:rsid w:val="00F508AE"/>
    <w:rsid w:val="00F50D0B"/>
    <w:rsid w:val="00F50E0E"/>
    <w:rsid w:val="00F50EB1"/>
    <w:rsid w:val="00F50F5C"/>
    <w:rsid w:val="00F50F93"/>
    <w:rsid w:val="00F5110F"/>
    <w:rsid w:val="00F51261"/>
    <w:rsid w:val="00F512A1"/>
    <w:rsid w:val="00F51357"/>
    <w:rsid w:val="00F515D4"/>
    <w:rsid w:val="00F516C7"/>
    <w:rsid w:val="00F5178E"/>
    <w:rsid w:val="00F51804"/>
    <w:rsid w:val="00F5185D"/>
    <w:rsid w:val="00F51D18"/>
    <w:rsid w:val="00F51D84"/>
    <w:rsid w:val="00F51FCE"/>
    <w:rsid w:val="00F52137"/>
    <w:rsid w:val="00F52308"/>
    <w:rsid w:val="00F523D2"/>
    <w:rsid w:val="00F5247B"/>
    <w:rsid w:val="00F526A3"/>
    <w:rsid w:val="00F52AC7"/>
    <w:rsid w:val="00F52D00"/>
    <w:rsid w:val="00F52D29"/>
    <w:rsid w:val="00F52E04"/>
    <w:rsid w:val="00F52E70"/>
    <w:rsid w:val="00F52F49"/>
    <w:rsid w:val="00F53092"/>
    <w:rsid w:val="00F53232"/>
    <w:rsid w:val="00F533FB"/>
    <w:rsid w:val="00F53519"/>
    <w:rsid w:val="00F53676"/>
    <w:rsid w:val="00F540A5"/>
    <w:rsid w:val="00F54172"/>
    <w:rsid w:val="00F541D0"/>
    <w:rsid w:val="00F5429F"/>
    <w:rsid w:val="00F54400"/>
    <w:rsid w:val="00F54523"/>
    <w:rsid w:val="00F545CF"/>
    <w:rsid w:val="00F546C2"/>
    <w:rsid w:val="00F54990"/>
    <w:rsid w:val="00F54AEA"/>
    <w:rsid w:val="00F5500E"/>
    <w:rsid w:val="00F5506A"/>
    <w:rsid w:val="00F55431"/>
    <w:rsid w:val="00F5544A"/>
    <w:rsid w:val="00F5585D"/>
    <w:rsid w:val="00F55A30"/>
    <w:rsid w:val="00F55DCB"/>
    <w:rsid w:val="00F55EC2"/>
    <w:rsid w:val="00F55F62"/>
    <w:rsid w:val="00F55FBB"/>
    <w:rsid w:val="00F56024"/>
    <w:rsid w:val="00F56BE6"/>
    <w:rsid w:val="00F56BE7"/>
    <w:rsid w:val="00F56BF3"/>
    <w:rsid w:val="00F56EF6"/>
    <w:rsid w:val="00F57345"/>
    <w:rsid w:val="00F5742C"/>
    <w:rsid w:val="00F57443"/>
    <w:rsid w:val="00F57851"/>
    <w:rsid w:val="00F578F5"/>
    <w:rsid w:val="00F57957"/>
    <w:rsid w:val="00F57B41"/>
    <w:rsid w:val="00F57E94"/>
    <w:rsid w:val="00F57FB2"/>
    <w:rsid w:val="00F60217"/>
    <w:rsid w:val="00F602D2"/>
    <w:rsid w:val="00F6056D"/>
    <w:rsid w:val="00F6057D"/>
    <w:rsid w:val="00F605E8"/>
    <w:rsid w:val="00F60722"/>
    <w:rsid w:val="00F61721"/>
    <w:rsid w:val="00F617B1"/>
    <w:rsid w:val="00F61A2F"/>
    <w:rsid w:val="00F61A81"/>
    <w:rsid w:val="00F61BCA"/>
    <w:rsid w:val="00F61BE0"/>
    <w:rsid w:val="00F61DC5"/>
    <w:rsid w:val="00F61F8F"/>
    <w:rsid w:val="00F6220D"/>
    <w:rsid w:val="00F62482"/>
    <w:rsid w:val="00F626C5"/>
    <w:rsid w:val="00F627CC"/>
    <w:rsid w:val="00F62828"/>
    <w:rsid w:val="00F6289F"/>
    <w:rsid w:val="00F62B31"/>
    <w:rsid w:val="00F62C1F"/>
    <w:rsid w:val="00F62C95"/>
    <w:rsid w:val="00F62CAE"/>
    <w:rsid w:val="00F62D22"/>
    <w:rsid w:val="00F630A5"/>
    <w:rsid w:val="00F63567"/>
    <w:rsid w:val="00F635E5"/>
    <w:rsid w:val="00F637DC"/>
    <w:rsid w:val="00F63841"/>
    <w:rsid w:val="00F63954"/>
    <w:rsid w:val="00F639EA"/>
    <w:rsid w:val="00F63BA6"/>
    <w:rsid w:val="00F63D2E"/>
    <w:rsid w:val="00F63E39"/>
    <w:rsid w:val="00F63F60"/>
    <w:rsid w:val="00F64059"/>
    <w:rsid w:val="00F64122"/>
    <w:rsid w:val="00F642A0"/>
    <w:rsid w:val="00F642C3"/>
    <w:rsid w:val="00F642FA"/>
    <w:rsid w:val="00F64392"/>
    <w:rsid w:val="00F64705"/>
    <w:rsid w:val="00F647F7"/>
    <w:rsid w:val="00F64844"/>
    <w:rsid w:val="00F6484F"/>
    <w:rsid w:val="00F64A5D"/>
    <w:rsid w:val="00F64A6E"/>
    <w:rsid w:val="00F64A73"/>
    <w:rsid w:val="00F64DF2"/>
    <w:rsid w:val="00F64EC4"/>
    <w:rsid w:val="00F64EF1"/>
    <w:rsid w:val="00F65018"/>
    <w:rsid w:val="00F65099"/>
    <w:rsid w:val="00F650D5"/>
    <w:rsid w:val="00F6511F"/>
    <w:rsid w:val="00F65146"/>
    <w:rsid w:val="00F651D7"/>
    <w:rsid w:val="00F6526A"/>
    <w:rsid w:val="00F654FC"/>
    <w:rsid w:val="00F65647"/>
    <w:rsid w:val="00F65C33"/>
    <w:rsid w:val="00F65D67"/>
    <w:rsid w:val="00F65FB7"/>
    <w:rsid w:val="00F660FD"/>
    <w:rsid w:val="00F66200"/>
    <w:rsid w:val="00F666FA"/>
    <w:rsid w:val="00F6684A"/>
    <w:rsid w:val="00F6686D"/>
    <w:rsid w:val="00F66A06"/>
    <w:rsid w:val="00F66A52"/>
    <w:rsid w:val="00F66F19"/>
    <w:rsid w:val="00F6704D"/>
    <w:rsid w:val="00F67432"/>
    <w:rsid w:val="00F67552"/>
    <w:rsid w:val="00F67812"/>
    <w:rsid w:val="00F67863"/>
    <w:rsid w:val="00F67E2C"/>
    <w:rsid w:val="00F67FC4"/>
    <w:rsid w:val="00F7000C"/>
    <w:rsid w:val="00F700E9"/>
    <w:rsid w:val="00F701E5"/>
    <w:rsid w:val="00F70602"/>
    <w:rsid w:val="00F70739"/>
    <w:rsid w:val="00F708B6"/>
    <w:rsid w:val="00F708BC"/>
    <w:rsid w:val="00F70E1D"/>
    <w:rsid w:val="00F70F0A"/>
    <w:rsid w:val="00F70FB9"/>
    <w:rsid w:val="00F70FFE"/>
    <w:rsid w:val="00F710EF"/>
    <w:rsid w:val="00F719B9"/>
    <w:rsid w:val="00F71AFF"/>
    <w:rsid w:val="00F71E52"/>
    <w:rsid w:val="00F7224F"/>
    <w:rsid w:val="00F72490"/>
    <w:rsid w:val="00F72554"/>
    <w:rsid w:val="00F7289C"/>
    <w:rsid w:val="00F72AF6"/>
    <w:rsid w:val="00F72C03"/>
    <w:rsid w:val="00F72C6C"/>
    <w:rsid w:val="00F72D50"/>
    <w:rsid w:val="00F72DF8"/>
    <w:rsid w:val="00F730E5"/>
    <w:rsid w:val="00F73404"/>
    <w:rsid w:val="00F7373C"/>
    <w:rsid w:val="00F73C88"/>
    <w:rsid w:val="00F73F3A"/>
    <w:rsid w:val="00F740B6"/>
    <w:rsid w:val="00F74299"/>
    <w:rsid w:val="00F7451D"/>
    <w:rsid w:val="00F74842"/>
    <w:rsid w:val="00F74880"/>
    <w:rsid w:val="00F748A9"/>
    <w:rsid w:val="00F74A24"/>
    <w:rsid w:val="00F74BAD"/>
    <w:rsid w:val="00F74BB3"/>
    <w:rsid w:val="00F74D4A"/>
    <w:rsid w:val="00F7504D"/>
    <w:rsid w:val="00F75170"/>
    <w:rsid w:val="00F75191"/>
    <w:rsid w:val="00F752B0"/>
    <w:rsid w:val="00F75311"/>
    <w:rsid w:val="00F75463"/>
    <w:rsid w:val="00F7553A"/>
    <w:rsid w:val="00F75A41"/>
    <w:rsid w:val="00F75D8B"/>
    <w:rsid w:val="00F76049"/>
    <w:rsid w:val="00F7617B"/>
    <w:rsid w:val="00F76549"/>
    <w:rsid w:val="00F767D7"/>
    <w:rsid w:val="00F769FD"/>
    <w:rsid w:val="00F7722C"/>
    <w:rsid w:val="00F77237"/>
    <w:rsid w:val="00F7776B"/>
    <w:rsid w:val="00F77826"/>
    <w:rsid w:val="00F7789B"/>
    <w:rsid w:val="00F77ADB"/>
    <w:rsid w:val="00F803A0"/>
    <w:rsid w:val="00F8069D"/>
    <w:rsid w:val="00F80A0F"/>
    <w:rsid w:val="00F80FC1"/>
    <w:rsid w:val="00F816AB"/>
    <w:rsid w:val="00F818F1"/>
    <w:rsid w:val="00F81A42"/>
    <w:rsid w:val="00F81ACE"/>
    <w:rsid w:val="00F81B19"/>
    <w:rsid w:val="00F81D54"/>
    <w:rsid w:val="00F81F75"/>
    <w:rsid w:val="00F8229D"/>
    <w:rsid w:val="00F822F1"/>
    <w:rsid w:val="00F82370"/>
    <w:rsid w:val="00F82534"/>
    <w:rsid w:val="00F8273E"/>
    <w:rsid w:val="00F8289B"/>
    <w:rsid w:val="00F82960"/>
    <w:rsid w:val="00F829B4"/>
    <w:rsid w:val="00F82CCB"/>
    <w:rsid w:val="00F835A3"/>
    <w:rsid w:val="00F837DF"/>
    <w:rsid w:val="00F839E7"/>
    <w:rsid w:val="00F83AFC"/>
    <w:rsid w:val="00F8432F"/>
    <w:rsid w:val="00F8438B"/>
    <w:rsid w:val="00F844CD"/>
    <w:rsid w:val="00F8466A"/>
    <w:rsid w:val="00F847BE"/>
    <w:rsid w:val="00F847DA"/>
    <w:rsid w:val="00F84C86"/>
    <w:rsid w:val="00F84DD4"/>
    <w:rsid w:val="00F84E4A"/>
    <w:rsid w:val="00F84FB8"/>
    <w:rsid w:val="00F85177"/>
    <w:rsid w:val="00F85307"/>
    <w:rsid w:val="00F8538C"/>
    <w:rsid w:val="00F854BA"/>
    <w:rsid w:val="00F857A6"/>
    <w:rsid w:val="00F85951"/>
    <w:rsid w:val="00F8598C"/>
    <w:rsid w:val="00F85FC9"/>
    <w:rsid w:val="00F86186"/>
    <w:rsid w:val="00F8631C"/>
    <w:rsid w:val="00F86A25"/>
    <w:rsid w:val="00F86A33"/>
    <w:rsid w:val="00F86B3D"/>
    <w:rsid w:val="00F87197"/>
    <w:rsid w:val="00F871A5"/>
    <w:rsid w:val="00F8727E"/>
    <w:rsid w:val="00F87283"/>
    <w:rsid w:val="00F872D9"/>
    <w:rsid w:val="00F8734B"/>
    <w:rsid w:val="00F87599"/>
    <w:rsid w:val="00F876F2"/>
    <w:rsid w:val="00F8775E"/>
    <w:rsid w:val="00F8785C"/>
    <w:rsid w:val="00F87B8B"/>
    <w:rsid w:val="00F90292"/>
    <w:rsid w:val="00F90329"/>
    <w:rsid w:val="00F90635"/>
    <w:rsid w:val="00F9066F"/>
    <w:rsid w:val="00F906D6"/>
    <w:rsid w:val="00F907EF"/>
    <w:rsid w:val="00F907F3"/>
    <w:rsid w:val="00F911D5"/>
    <w:rsid w:val="00F9130B"/>
    <w:rsid w:val="00F91721"/>
    <w:rsid w:val="00F91754"/>
    <w:rsid w:val="00F91781"/>
    <w:rsid w:val="00F919F8"/>
    <w:rsid w:val="00F91AE3"/>
    <w:rsid w:val="00F91BE0"/>
    <w:rsid w:val="00F91CC9"/>
    <w:rsid w:val="00F91DD1"/>
    <w:rsid w:val="00F91E1E"/>
    <w:rsid w:val="00F91E37"/>
    <w:rsid w:val="00F92454"/>
    <w:rsid w:val="00F92662"/>
    <w:rsid w:val="00F92813"/>
    <w:rsid w:val="00F92C05"/>
    <w:rsid w:val="00F92C54"/>
    <w:rsid w:val="00F93219"/>
    <w:rsid w:val="00F93226"/>
    <w:rsid w:val="00F93360"/>
    <w:rsid w:val="00F93399"/>
    <w:rsid w:val="00F939E4"/>
    <w:rsid w:val="00F93AB0"/>
    <w:rsid w:val="00F93AE0"/>
    <w:rsid w:val="00F93FCD"/>
    <w:rsid w:val="00F942C3"/>
    <w:rsid w:val="00F944E3"/>
    <w:rsid w:val="00F9495C"/>
    <w:rsid w:val="00F94C63"/>
    <w:rsid w:val="00F94C7A"/>
    <w:rsid w:val="00F95111"/>
    <w:rsid w:val="00F95662"/>
    <w:rsid w:val="00F95A01"/>
    <w:rsid w:val="00F95A04"/>
    <w:rsid w:val="00F95BE5"/>
    <w:rsid w:val="00F95CA7"/>
    <w:rsid w:val="00F95CD6"/>
    <w:rsid w:val="00F95E61"/>
    <w:rsid w:val="00F95FE9"/>
    <w:rsid w:val="00F9655F"/>
    <w:rsid w:val="00F96764"/>
    <w:rsid w:val="00F96AA4"/>
    <w:rsid w:val="00F96B72"/>
    <w:rsid w:val="00F97010"/>
    <w:rsid w:val="00F9709A"/>
    <w:rsid w:val="00F9718F"/>
    <w:rsid w:val="00F975FB"/>
    <w:rsid w:val="00F97673"/>
    <w:rsid w:val="00F97694"/>
    <w:rsid w:val="00F976FA"/>
    <w:rsid w:val="00F9785C"/>
    <w:rsid w:val="00F9794D"/>
    <w:rsid w:val="00F97985"/>
    <w:rsid w:val="00F97D06"/>
    <w:rsid w:val="00FA012C"/>
    <w:rsid w:val="00FA0141"/>
    <w:rsid w:val="00FA01DD"/>
    <w:rsid w:val="00FA03D5"/>
    <w:rsid w:val="00FA0770"/>
    <w:rsid w:val="00FA0979"/>
    <w:rsid w:val="00FA09D7"/>
    <w:rsid w:val="00FA0CA4"/>
    <w:rsid w:val="00FA0DD4"/>
    <w:rsid w:val="00FA1011"/>
    <w:rsid w:val="00FA161B"/>
    <w:rsid w:val="00FA1674"/>
    <w:rsid w:val="00FA17E7"/>
    <w:rsid w:val="00FA1C1E"/>
    <w:rsid w:val="00FA21C7"/>
    <w:rsid w:val="00FA23BC"/>
    <w:rsid w:val="00FA23BE"/>
    <w:rsid w:val="00FA28EF"/>
    <w:rsid w:val="00FA3086"/>
    <w:rsid w:val="00FA310F"/>
    <w:rsid w:val="00FA33FB"/>
    <w:rsid w:val="00FA3496"/>
    <w:rsid w:val="00FA35D9"/>
    <w:rsid w:val="00FA3699"/>
    <w:rsid w:val="00FA37D5"/>
    <w:rsid w:val="00FA3811"/>
    <w:rsid w:val="00FA3986"/>
    <w:rsid w:val="00FA39E4"/>
    <w:rsid w:val="00FA3C03"/>
    <w:rsid w:val="00FA3CEC"/>
    <w:rsid w:val="00FA3EC5"/>
    <w:rsid w:val="00FA3F54"/>
    <w:rsid w:val="00FA4158"/>
    <w:rsid w:val="00FA4191"/>
    <w:rsid w:val="00FA4197"/>
    <w:rsid w:val="00FA4206"/>
    <w:rsid w:val="00FA420E"/>
    <w:rsid w:val="00FA4234"/>
    <w:rsid w:val="00FA42B8"/>
    <w:rsid w:val="00FA4A04"/>
    <w:rsid w:val="00FA5043"/>
    <w:rsid w:val="00FA58D4"/>
    <w:rsid w:val="00FA5BE3"/>
    <w:rsid w:val="00FA5C74"/>
    <w:rsid w:val="00FA5D64"/>
    <w:rsid w:val="00FA5DDA"/>
    <w:rsid w:val="00FA5E18"/>
    <w:rsid w:val="00FA5F71"/>
    <w:rsid w:val="00FA6192"/>
    <w:rsid w:val="00FA61B2"/>
    <w:rsid w:val="00FA6583"/>
    <w:rsid w:val="00FA663E"/>
    <w:rsid w:val="00FA67C1"/>
    <w:rsid w:val="00FA6974"/>
    <w:rsid w:val="00FA6BAC"/>
    <w:rsid w:val="00FA6D0F"/>
    <w:rsid w:val="00FA6DA2"/>
    <w:rsid w:val="00FA6E21"/>
    <w:rsid w:val="00FA6F74"/>
    <w:rsid w:val="00FA703A"/>
    <w:rsid w:val="00FA723A"/>
    <w:rsid w:val="00FA72C5"/>
    <w:rsid w:val="00FA77BF"/>
    <w:rsid w:val="00FA7E01"/>
    <w:rsid w:val="00FA7FFC"/>
    <w:rsid w:val="00FB007B"/>
    <w:rsid w:val="00FB052E"/>
    <w:rsid w:val="00FB0731"/>
    <w:rsid w:val="00FB0817"/>
    <w:rsid w:val="00FB092E"/>
    <w:rsid w:val="00FB0A50"/>
    <w:rsid w:val="00FB0D3C"/>
    <w:rsid w:val="00FB0D5C"/>
    <w:rsid w:val="00FB0EF5"/>
    <w:rsid w:val="00FB0F7E"/>
    <w:rsid w:val="00FB144E"/>
    <w:rsid w:val="00FB15CB"/>
    <w:rsid w:val="00FB1752"/>
    <w:rsid w:val="00FB19A2"/>
    <w:rsid w:val="00FB1B60"/>
    <w:rsid w:val="00FB1B93"/>
    <w:rsid w:val="00FB1D97"/>
    <w:rsid w:val="00FB1EA3"/>
    <w:rsid w:val="00FB206F"/>
    <w:rsid w:val="00FB24FA"/>
    <w:rsid w:val="00FB25C7"/>
    <w:rsid w:val="00FB2894"/>
    <w:rsid w:val="00FB29D7"/>
    <w:rsid w:val="00FB3432"/>
    <w:rsid w:val="00FB36CA"/>
    <w:rsid w:val="00FB38BC"/>
    <w:rsid w:val="00FB38D7"/>
    <w:rsid w:val="00FB38E6"/>
    <w:rsid w:val="00FB39F9"/>
    <w:rsid w:val="00FB3A28"/>
    <w:rsid w:val="00FB3CA6"/>
    <w:rsid w:val="00FB3D63"/>
    <w:rsid w:val="00FB3F56"/>
    <w:rsid w:val="00FB3F86"/>
    <w:rsid w:val="00FB4075"/>
    <w:rsid w:val="00FB46F5"/>
    <w:rsid w:val="00FB48AB"/>
    <w:rsid w:val="00FB4A6D"/>
    <w:rsid w:val="00FB4EFA"/>
    <w:rsid w:val="00FB5292"/>
    <w:rsid w:val="00FB5462"/>
    <w:rsid w:val="00FB55D1"/>
    <w:rsid w:val="00FB55E9"/>
    <w:rsid w:val="00FB5749"/>
    <w:rsid w:val="00FB578A"/>
    <w:rsid w:val="00FB5C0A"/>
    <w:rsid w:val="00FB5C69"/>
    <w:rsid w:val="00FB5E83"/>
    <w:rsid w:val="00FB6509"/>
    <w:rsid w:val="00FB6623"/>
    <w:rsid w:val="00FB6734"/>
    <w:rsid w:val="00FB68E0"/>
    <w:rsid w:val="00FB692C"/>
    <w:rsid w:val="00FB6B3D"/>
    <w:rsid w:val="00FB6C54"/>
    <w:rsid w:val="00FB6D44"/>
    <w:rsid w:val="00FB6DD1"/>
    <w:rsid w:val="00FB6E10"/>
    <w:rsid w:val="00FB7105"/>
    <w:rsid w:val="00FB7202"/>
    <w:rsid w:val="00FB73C2"/>
    <w:rsid w:val="00FB7861"/>
    <w:rsid w:val="00FB7C5B"/>
    <w:rsid w:val="00FB7C61"/>
    <w:rsid w:val="00FB7D12"/>
    <w:rsid w:val="00FC003A"/>
    <w:rsid w:val="00FC0535"/>
    <w:rsid w:val="00FC0796"/>
    <w:rsid w:val="00FC0965"/>
    <w:rsid w:val="00FC09A1"/>
    <w:rsid w:val="00FC09E5"/>
    <w:rsid w:val="00FC0EFD"/>
    <w:rsid w:val="00FC1348"/>
    <w:rsid w:val="00FC163C"/>
    <w:rsid w:val="00FC1CD5"/>
    <w:rsid w:val="00FC1D55"/>
    <w:rsid w:val="00FC2214"/>
    <w:rsid w:val="00FC2652"/>
    <w:rsid w:val="00FC268D"/>
    <w:rsid w:val="00FC26DC"/>
    <w:rsid w:val="00FC2812"/>
    <w:rsid w:val="00FC2A8B"/>
    <w:rsid w:val="00FC2AA6"/>
    <w:rsid w:val="00FC2B10"/>
    <w:rsid w:val="00FC2B17"/>
    <w:rsid w:val="00FC2CAD"/>
    <w:rsid w:val="00FC2E75"/>
    <w:rsid w:val="00FC2EAA"/>
    <w:rsid w:val="00FC2F14"/>
    <w:rsid w:val="00FC3033"/>
    <w:rsid w:val="00FC30C7"/>
    <w:rsid w:val="00FC31ED"/>
    <w:rsid w:val="00FC32D4"/>
    <w:rsid w:val="00FC339B"/>
    <w:rsid w:val="00FC34D5"/>
    <w:rsid w:val="00FC3537"/>
    <w:rsid w:val="00FC35DA"/>
    <w:rsid w:val="00FC3655"/>
    <w:rsid w:val="00FC398D"/>
    <w:rsid w:val="00FC3AE2"/>
    <w:rsid w:val="00FC3B99"/>
    <w:rsid w:val="00FC3F59"/>
    <w:rsid w:val="00FC4051"/>
    <w:rsid w:val="00FC429D"/>
    <w:rsid w:val="00FC43A9"/>
    <w:rsid w:val="00FC4502"/>
    <w:rsid w:val="00FC4C96"/>
    <w:rsid w:val="00FC4D3E"/>
    <w:rsid w:val="00FC4E78"/>
    <w:rsid w:val="00FC51A3"/>
    <w:rsid w:val="00FC56EC"/>
    <w:rsid w:val="00FC58B3"/>
    <w:rsid w:val="00FC58DE"/>
    <w:rsid w:val="00FC5A1B"/>
    <w:rsid w:val="00FC5AC1"/>
    <w:rsid w:val="00FC5B07"/>
    <w:rsid w:val="00FC5B45"/>
    <w:rsid w:val="00FC5C6C"/>
    <w:rsid w:val="00FC611A"/>
    <w:rsid w:val="00FC6170"/>
    <w:rsid w:val="00FC6214"/>
    <w:rsid w:val="00FC6561"/>
    <w:rsid w:val="00FC6570"/>
    <w:rsid w:val="00FC661B"/>
    <w:rsid w:val="00FC67D6"/>
    <w:rsid w:val="00FC6B4C"/>
    <w:rsid w:val="00FC6E0A"/>
    <w:rsid w:val="00FC701D"/>
    <w:rsid w:val="00FC725D"/>
    <w:rsid w:val="00FC748C"/>
    <w:rsid w:val="00FC7643"/>
    <w:rsid w:val="00FC76FA"/>
    <w:rsid w:val="00FC7A91"/>
    <w:rsid w:val="00FC7B36"/>
    <w:rsid w:val="00FC7BB7"/>
    <w:rsid w:val="00FC7DC8"/>
    <w:rsid w:val="00FC7F3D"/>
    <w:rsid w:val="00FC7F40"/>
    <w:rsid w:val="00FC7FF7"/>
    <w:rsid w:val="00FD047B"/>
    <w:rsid w:val="00FD04F1"/>
    <w:rsid w:val="00FD0DB0"/>
    <w:rsid w:val="00FD131C"/>
    <w:rsid w:val="00FD1700"/>
    <w:rsid w:val="00FD182C"/>
    <w:rsid w:val="00FD1C56"/>
    <w:rsid w:val="00FD1C7A"/>
    <w:rsid w:val="00FD1CFE"/>
    <w:rsid w:val="00FD1D2A"/>
    <w:rsid w:val="00FD1FEA"/>
    <w:rsid w:val="00FD2436"/>
    <w:rsid w:val="00FD257A"/>
    <w:rsid w:val="00FD27DD"/>
    <w:rsid w:val="00FD2816"/>
    <w:rsid w:val="00FD28E8"/>
    <w:rsid w:val="00FD2913"/>
    <w:rsid w:val="00FD2BC7"/>
    <w:rsid w:val="00FD2C51"/>
    <w:rsid w:val="00FD2D19"/>
    <w:rsid w:val="00FD2D69"/>
    <w:rsid w:val="00FD2E0F"/>
    <w:rsid w:val="00FD2E52"/>
    <w:rsid w:val="00FD2F02"/>
    <w:rsid w:val="00FD2F13"/>
    <w:rsid w:val="00FD2FCC"/>
    <w:rsid w:val="00FD3026"/>
    <w:rsid w:val="00FD33F2"/>
    <w:rsid w:val="00FD351B"/>
    <w:rsid w:val="00FD35B4"/>
    <w:rsid w:val="00FD365A"/>
    <w:rsid w:val="00FD371C"/>
    <w:rsid w:val="00FD3A0E"/>
    <w:rsid w:val="00FD3B38"/>
    <w:rsid w:val="00FD41E3"/>
    <w:rsid w:val="00FD4657"/>
    <w:rsid w:val="00FD476E"/>
    <w:rsid w:val="00FD48F0"/>
    <w:rsid w:val="00FD4966"/>
    <w:rsid w:val="00FD4B8A"/>
    <w:rsid w:val="00FD4F47"/>
    <w:rsid w:val="00FD4FA6"/>
    <w:rsid w:val="00FD4FFA"/>
    <w:rsid w:val="00FD5044"/>
    <w:rsid w:val="00FD52E1"/>
    <w:rsid w:val="00FD5850"/>
    <w:rsid w:val="00FD5B71"/>
    <w:rsid w:val="00FD5D26"/>
    <w:rsid w:val="00FD5D81"/>
    <w:rsid w:val="00FD5FF1"/>
    <w:rsid w:val="00FD639B"/>
    <w:rsid w:val="00FD639C"/>
    <w:rsid w:val="00FD64E3"/>
    <w:rsid w:val="00FD6684"/>
    <w:rsid w:val="00FD6824"/>
    <w:rsid w:val="00FD69D3"/>
    <w:rsid w:val="00FD6CC5"/>
    <w:rsid w:val="00FD70FC"/>
    <w:rsid w:val="00FD7170"/>
    <w:rsid w:val="00FD7277"/>
    <w:rsid w:val="00FD72E7"/>
    <w:rsid w:val="00FD73A2"/>
    <w:rsid w:val="00FD7AF5"/>
    <w:rsid w:val="00FD7B12"/>
    <w:rsid w:val="00FD7B72"/>
    <w:rsid w:val="00FD7DE1"/>
    <w:rsid w:val="00FE01F9"/>
    <w:rsid w:val="00FE0515"/>
    <w:rsid w:val="00FE07A9"/>
    <w:rsid w:val="00FE0864"/>
    <w:rsid w:val="00FE0B9C"/>
    <w:rsid w:val="00FE0EA7"/>
    <w:rsid w:val="00FE1294"/>
    <w:rsid w:val="00FE1436"/>
    <w:rsid w:val="00FE192A"/>
    <w:rsid w:val="00FE1A7B"/>
    <w:rsid w:val="00FE1C68"/>
    <w:rsid w:val="00FE1D13"/>
    <w:rsid w:val="00FE2070"/>
    <w:rsid w:val="00FE2138"/>
    <w:rsid w:val="00FE23B9"/>
    <w:rsid w:val="00FE2420"/>
    <w:rsid w:val="00FE243B"/>
    <w:rsid w:val="00FE266E"/>
    <w:rsid w:val="00FE2703"/>
    <w:rsid w:val="00FE2720"/>
    <w:rsid w:val="00FE27EE"/>
    <w:rsid w:val="00FE2A0E"/>
    <w:rsid w:val="00FE2A26"/>
    <w:rsid w:val="00FE2CB6"/>
    <w:rsid w:val="00FE2F74"/>
    <w:rsid w:val="00FE302E"/>
    <w:rsid w:val="00FE333A"/>
    <w:rsid w:val="00FE33CD"/>
    <w:rsid w:val="00FE36F5"/>
    <w:rsid w:val="00FE37FD"/>
    <w:rsid w:val="00FE3C4E"/>
    <w:rsid w:val="00FE3D58"/>
    <w:rsid w:val="00FE3EA6"/>
    <w:rsid w:val="00FE4447"/>
    <w:rsid w:val="00FE45D0"/>
    <w:rsid w:val="00FE45FB"/>
    <w:rsid w:val="00FE4654"/>
    <w:rsid w:val="00FE46AB"/>
    <w:rsid w:val="00FE4755"/>
    <w:rsid w:val="00FE4AAA"/>
    <w:rsid w:val="00FE4B6F"/>
    <w:rsid w:val="00FE4BBE"/>
    <w:rsid w:val="00FE4BDF"/>
    <w:rsid w:val="00FE4D0F"/>
    <w:rsid w:val="00FE4EBD"/>
    <w:rsid w:val="00FE510D"/>
    <w:rsid w:val="00FE513F"/>
    <w:rsid w:val="00FE5244"/>
    <w:rsid w:val="00FE5408"/>
    <w:rsid w:val="00FE57A1"/>
    <w:rsid w:val="00FE57EB"/>
    <w:rsid w:val="00FE5823"/>
    <w:rsid w:val="00FE5C24"/>
    <w:rsid w:val="00FE5EF4"/>
    <w:rsid w:val="00FE5F59"/>
    <w:rsid w:val="00FE62B5"/>
    <w:rsid w:val="00FE6488"/>
    <w:rsid w:val="00FE64A7"/>
    <w:rsid w:val="00FE65C1"/>
    <w:rsid w:val="00FE6601"/>
    <w:rsid w:val="00FE6BDF"/>
    <w:rsid w:val="00FE6E08"/>
    <w:rsid w:val="00FE6E47"/>
    <w:rsid w:val="00FE6ED4"/>
    <w:rsid w:val="00FE72AB"/>
    <w:rsid w:val="00FE730C"/>
    <w:rsid w:val="00FE74B3"/>
    <w:rsid w:val="00FE75E5"/>
    <w:rsid w:val="00FE7BC6"/>
    <w:rsid w:val="00FE7EA3"/>
    <w:rsid w:val="00FE7EC0"/>
    <w:rsid w:val="00FF00D1"/>
    <w:rsid w:val="00FF0168"/>
    <w:rsid w:val="00FF016C"/>
    <w:rsid w:val="00FF07D0"/>
    <w:rsid w:val="00FF08FB"/>
    <w:rsid w:val="00FF1221"/>
    <w:rsid w:val="00FF12AF"/>
    <w:rsid w:val="00FF13D5"/>
    <w:rsid w:val="00FF1558"/>
    <w:rsid w:val="00FF1653"/>
    <w:rsid w:val="00FF16BC"/>
    <w:rsid w:val="00FF1976"/>
    <w:rsid w:val="00FF1C9A"/>
    <w:rsid w:val="00FF1CEA"/>
    <w:rsid w:val="00FF1D67"/>
    <w:rsid w:val="00FF1E3F"/>
    <w:rsid w:val="00FF214C"/>
    <w:rsid w:val="00FF2400"/>
    <w:rsid w:val="00FF2616"/>
    <w:rsid w:val="00FF2667"/>
    <w:rsid w:val="00FF26AC"/>
    <w:rsid w:val="00FF26BF"/>
    <w:rsid w:val="00FF26CF"/>
    <w:rsid w:val="00FF2B5F"/>
    <w:rsid w:val="00FF3050"/>
    <w:rsid w:val="00FF3195"/>
    <w:rsid w:val="00FF31BA"/>
    <w:rsid w:val="00FF31C9"/>
    <w:rsid w:val="00FF33D2"/>
    <w:rsid w:val="00FF34E7"/>
    <w:rsid w:val="00FF35A7"/>
    <w:rsid w:val="00FF367F"/>
    <w:rsid w:val="00FF36ED"/>
    <w:rsid w:val="00FF38F7"/>
    <w:rsid w:val="00FF3BAE"/>
    <w:rsid w:val="00FF3CD7"/>
    <w:rsid w:val="00FF4044"/>
    <w:rsid w:val="00FF4642"/>
    <w:rsid w:val="00FF47D8"/>
    <w:rsid w:val="00FF4973"/>
    <w:rsid w:val="00FF49D1"/>
    <w:rsid w:val="00FF4AA7"/>
    <w:rsid w:val="00FF4B6D"/>
    <w:rsid w:val="00FF5237"/>
    <w:rsid w:val="00FF530D"/>
    <w:rsid w:val="00FF5596"/>
    <w:rsid w:val="00FF5973"/>
    <w:rsid w:val="00FF5981"/>
    <w:rsid w:val="00FF5A47"/>
    <w:rsid w:val="00FF5B50"/>
    <w:rsid w:val="00FF5B5D"/>
    <w:rsid w:val="00FF5D94"/>
    <w:rsid w:val="00FF5E53"/>
    <w:rsid w:val="00FF5F32"/>
    <w:rsid w:val="00FF63BB"/>
    <w:rsid w:val="00FF67A2"/>
    <w:rsid w:val="00FF6841"/>
    <w:rsid w:val="00FF6910"/>
    <w:rsid w:val="00FF6D8A"/>
    <w:rsid w:val="00FF6E50"/>
    <w:rsid w:val="00FF6FE5"/>
    <w:rsid w:val="00FF70C5"/>
    <w:rsid w:val="00FF725E"/>
    <w:rsid w:val="00FF754D"/>
    <w:rsid w:val="00FF783B"/>
    <w:rsid w:val="00FF7B57"/>
    <w:rsid w:val="00FF7F81"/>
    <w:rsid w:val="01816DF4"/>
    <w:rsid w:val="026B1E33"/>
    <w:rsid w:val="02994AA5"/>
    <w:rsid w:val="031FDE84"/>
    <w:rsid w:val="032DB6C5"/>
    <w:rsid w:val="03B165F0"/>
    <w:rsid w:val="03E89C33"/>
    <w:rsid w:val="04F3969D"/>
    <w:rsid w:val="0541479B"/>
    <w:rsid w:val="055541E5"/>
    <w:rsid w:val="074D86AE"/>
    <w:rsid w:val="07E77C19"/>
    <w:rsid w:val="0876AE80"/>
    <w:rsid w:val="08B4E6D9"/>
    <w:rsid w:val="091E598C"/>
    <w:rsid w:val="0A04E36B"/>
    <w:rsid w:val="0A78EF5F"/>
    <w:rsid w:val="0AB5E341"/>
    <w:rsid w:val="0AC6AAFA"/>
    <w:rsid w:val="0AEF9ACC"/>
    <w:rsid w:val="0AF887FB"/>
    <w:rsid w:val="0B8F48D9"/>
    <w:rsid w:val="0B95E0EF"/>
    <w:rsid w:val="0BAAC5B2"/>
    <w:rsid w:val="0C041C61"/>
    <w:rsid w:val="0C282518"/>
    <w:rsid w:val="0C28337E"/>
    <w:rsid w:val="0CC0CC7D"/>
    <w:rsid w:val="0D12B44F"/>
    <w:rsid w:val="0D7C981B"/>
    <w:rsid w:val="0DBEA78B"/>
    <w:rsid w:val="0DF55A07"/>
    <w:rsid w:val="0E2D3BC3"/>
    <w:rsid w:val="0E2FDCFA"/>
    <w:rsid w:val="0E5CF4CF"/>
    <w:rsid w:val="0E76208A"/>
    <w:rsid w:val="0E93C764"/>
    <w:rsid w:val="0EFCAFE8"/>
    <w:rsid w:val="0F6434F6"/>
    <w:rsid w:val="0F9AB29A"/>
    <w:rsid w:val="0FFC160F"/>
    <w:rsid w:val="102CE970"/>
    <w:rsid w:val="104325AA"/>
    <w:rsid w:val="10F66B57"/>
    <w:rsid w:val="1123DC6A"/>
    <w:rsid w:val="112DBA8B"/>
    <w:rsid w:val="1144D5EA"/>
    <w:rsid w:val="116EE284"/>
    <w:rsid w:val="1247CF01"/>
    <w:rsid w:val="12E68576"/>
    <w:rsid w:val="1303FE57"/>
    <w:rsid w:val="13C30245"/>
    <w:rsid w:val="13F74C3A"/>
    <w:rsid w:val="144FD82D"/>
    <w:rsid w:val="148E3A68"/>
    <w:rsid w:val="14B351ED"/>
    <w:rsid w:val="14BC5088"/>
    <w:rsid w:val="1583CC86"/>
    <w:rsid w:val="15966CE6"/>
    <w:rsid w:val="16ECA417"/>
    <w:rsid w:val="175B9A69"/>
    <w:rsid w:val="17D57A6F"/>
    <w:rsid w:val="18C10035"/>
    <w:rsid w:val="18F79230"/>
    <w:rsid w:val="19137E03"/>
    <w:rsid w:val="1AD94EC0"/>
    <w:rsid w:val="1B0CB504"/>
    <w:rsid w:val="1B7F7C36"/>
    <w:rsid w:val="1BAA6405"/>
    <w:rsid w:val="1C0B57A1"/>
    <w:rsid w:val="1CB2A107"/>
    <w:rsid w:val="1CB3BC73"/>
    <w:rsid w:val="1DA8A138"/>
    <w:rsid w:val="1E5D22FD"/>
    <w:rsid w:val="1E88A686"/>
    <w:rsid w:val="1E8C2573"/>
    <w:rsid w:val="1E9961F6"/>
    <w:rsid w:val="1F36F568"/>
    <w:rsid w:val="1FA13A7C"/>
    <w:rsid w:val="20C4E4F1"/>
    <w:rsid w:val="20C945A7"/>
    <w:rsid w:val="213DB630"/>
    <w:rsid w:val="222369AA"/>
    <w:rsid w:val="225174D8"/>
    <w:rsid w:val="22C58813"/>
    <w:rsid w:val="22C7C7E0"/>
    <w:rsid w:val="2343C9E2"/>
    <w:rsid w:val="2371FE18"/>
    <w:rsid w:val="23F80C18"/>
    <w:rsid w:val="24C7A617"/>
    <w:rsid w:val="252EDB2A"/>
    <w:rsid w:val="255294DC"/>
    <w:rsid w:val="25908003"/>
    <w:rsid w:val="2590B27E"/>
    <w:rsid w:val="25EDBD83"/>
    <w:rsid w:val="26BE559C"/>
    <w:rsid w:val="2733BE8E"/>
    <w:rsid w:val="27D33D88"/>
    <w:rsid w:val="2944EFCA"/>
    <w:rsid w:val="29993171"/>
    <w:rsid w:val="29CDB5F6"/>
    <w:rsid w:val="2AB6FEAA"/>
    <w:rsid w:val="2AC61187"/>
    <w:rsid w:val="2B588AEB"/>
    <w:rsid w:val="2B7C1623"/>
    <w:rsid w:val="2C1A85BA"/>
    <w:rsid w:val="2C58DBC8"/>
    <w:rsid w:val="2CF7981C"/>
    <w:rsid w:val="2D39BB9E"/>
    <w:rsid w:val="2D7060F2"/>
    <w:rsid w:val="2DF8951B"/>
    <w:rsid w:val="2EE967FB"/>
    <w:rsid w:val="2EFE3C77"/>
    <w:rsid w:val="30487E51"/>
    <w:rsid w:val="30CE0852"/>
    <w:rsid w:val="30E5C4C3"/>
    <w:rsid w:val="30FC8F40"/>
    <w:rsid w:val="31469167"/>
    <w:rsid w:val="3246E374"/>
    <w:rsid w:val="3303931E"/>
    <w:rsid w:val="34C2BADA"/>
    <w:rsid w:val="34D08462"/>
    <w:rsid w:val="35D16BF0"/>
    <w:rsid w:val="367C6618"/>
    <w:rsid w:val="36E06752"/>
    <w:rsid w:val="378B34E9"/>
    <w:rsid w:val="37F5FE69"/>
    <w:rsid w:val="38517DB0"/>
    <w:rsid w:val="3852B738"/>
    <w:rsid w:val="38904A41"/>
    <w:rsid w:val="3954506B"/>
    <w:rsid w:val="3B2B12C4"/>
    <w:rsid w:val="3BED6E5D"/>
    <w:rsid w:val="3C76A14A"/>
    <w:rsid w:val="3D8E0317"/>
    <w:rsid w:val="3DA71EBC"/>
    <w:rsid w:val="3DFDABE0"/>
    <w:rsid w:val="3E20AF0A"/>
    <w:rsid w:val="3E557461"/>
    <w:rsid w:val="3E7DF014"/>
    <w:rsid w:val="3F234757"/>
    <w:rsid w:val="3F2FCB19"/>
    <w:rsid w:val="3F56FE8A"/>
    <w:rsid w:val="3FAAA65C"/>
    <w:rsid w:val="3FAAF616"/>
    <w:rsid w:val="3FC9F819"/>
    <w:rsid w:val="401AA16E"/>
    <w:rsid w:val="40267EEA"/>
    <w:rsid w:val="404C56C4"/>
    <w:rsid w:val="407C10E6"/>
    <w:rsid w:val="40A98D57"/>
    <w:rsid w:val="40F75063"/>
    <w:rsid w:val="413BBB57"/>
    <w:rsid w:val="41629280"/>
    <w:rsid w:val="41910E0E"/>
    <w:rsid w:val="419B6F9A"/>
    <w:rsid w:val="41AEE4AB"/>
    <w:rsid w:val="41D1AD63"/>
    <w:rsid w:val="42460494"/>
    <w:rsid w:val="42D61C8E"/>
    <w:rsid w:val="43095FC0"/>
    <w:rsid w:val="4347CAEA"/>
    <w:rsid w:val="43519408"/>
    <w:rsid w:val="437DFD52"/>
    <w:rsid w:val="44B5D37E"/>
    <w:rsid w:val="452C73E8"/>
    <w:rsid w:val="45AA1485"/>
    <w:rsid w:val="45C564B1"/>
    <w:rsid w:val="45DB5E10"/>
    <w:rsid w:val="4602AEC3"/>
    <w:rsid w:val="46113C2F"/>
    <w:rsid w:val="4621CA72"/>
    <w:rsid w:val="46C505CD"/>
    <w:rsid w:val="47036BCA"/>
    <w:rsid w:val="483C360D"/>
    <w:rsid w:val="483FCDFC"/>
    <w:rsid w:val="48C5A2F1"/>
    <w:rsid w:val="4901EB4F"/>
    <w:rsid w:val="4952A2A5"/>
    <w:rsid w:val="496EB759"/>
    <w:rsid w:val="4A093089"/>
    <w:rsid w:val="4AA04BC0"/>
    <w:rsid w:val="4AA98774"/>
    <w:rsid w:val="4AF71D33"/>
    <w:rsid w:val="4B0D232D"/>
    <w:rsid w:val="4B11F670"/>
    <w:rsid w:val="4BB8049B"/>
    <w:rsid w:val="4BEF6097"/>
    <w:rsid w:val="4C3CD4F4"/>
    <w:rsid w:val="4C6D9E74"/>
    <w:rsid w:val="4CA08EB1"/>
    <w:rsid w:val="4CB0759D"/>
    <w:rsid w:val="4CD070FA"/>
    <w:rsid w:val="4CD47F21"/>
    <w:rsid w:val="4CE79C3B"/>
    <w:rsid w:val="4D7252A5"/>
    <w:rsid w:val="4DB23112"/>
    <w:rsid w:val="4E8055B7"/>
    <w:rsid w:val="4F6B7DD0"/>
    <w:rsid w:val="50984E1D"/>
    <w:rsid w:val="50E2181A"/>
    <w:rsid w:val="5147954F"/>
    <w:rsid w:val="517A0B8A"/>
    <w:rsid w:val="519E9416"/>
    <w:rsid w:val="51B2CAA7"/>
    <w:rsid w:val="51B88F10"/>
    <w:rsid w:val="521348ED"/>
    <w:rsid w:val="52BBB864"/>
    <w:rsid w:val="5302C935"/>
    <w:rsid w:val="53278980"/>
    <w:rsid w:val="534E5C8D"/>
    <w:rsid w:val="547D66D3"/>
    <w:rsid w:val="55111332"/>
    <w:rsid w:val="55982DF8"/>
    <w:rsid w:val="55F5A357"/>
    <w:rsid w:val="56405585"/>
    <w:rsid w:val="5661203B"/>
    <w:rsid w:val="56715F1A"/>
    <w:rsid w:val="567E114D"/>
    <w:rsid w:val="56961916"/>
    <w:rsid w:val="570A7562"/>
    <w:rsid w:val="580B1BA6"/>
    <w:rsid w:val="58418B07"/>
    <w:rsid w:val="5870924D"/>
    <w:rsid w:val="58BCDD96"/>
    <w:rsid w:val="58F1F6A2"/>
    <w:rsid w:val="593B0998"/>
    <w:rsid w:val="59521CC1"/>
    <w:rsid w:val="595F0822"/>
    <w:rsid w:val="5995CEE5"/>
    <w:rsid w:val="59D81EBA"/>
    <w:rsid w:val="59E2AF91"/>
    <w:rsid w:val="5A00477A"/>
    <w:rsid w:val="5A495552"/>
    <w:rsid w:val="5A6C5255"/>
    <w:rsid w:val="5A8E2464"/>
    <w:rsid w:val="5ABD1CE8"/>
    <w:rsid w:val="5AD509CB"/>
    <w:rsid w:val="5ADC04F8"/>
    <w:rsid w:val="5AE26E36"/>
    <w:rsid w:val="5B3C1942"/>
    <w:rsid w:val="5BC24F7B"/>
    <w:rsid w:val="5BE03879"/>
    <w:rsid w:val="5C43B8BC"/>
    <w:rsid w:val="5CC5DA12"/>
    <w:rsid w:val="5CC91860"/>
    <w:rsid w:val="5CF478DC"/>
    <w:rsid w:val="5CF9D80F"/>
    <w:rsid w:val="5D0C5774"/>
    <w:rsid w:val="5D0FD5E5"/>
    <w:rsid w:val="5D9BCA1F"/>
    <w:rsid w:val="5DB38398"/>
    <w:rsid w:val="5DCA3BE7"/>
    <w:rsid w:val="5EA96E5A"/>
    <w:rsid w:val="5EAFD1C8"/>
    <w:rsid w:val="5EB428CD"/>
    <w:rsid w:val="5F096B83"/>
    <w:rsid w:val="5F2D1021"/>
    <w:rsid w:val="5FE5F3BF"/>
    <w:rsid w:val="6079CE53"/>
    <w:rsid w:val="60DA049E"/>
    <w:rsid w:val="62606DC0"/>
    <w:rsid w:val="62722ED4"/>
    <w:rsid w:val="632B6464"/>
    <w:rsid w:val="6500BF09"/>
    <w:rsid w:val="659401D6"/>
    <w:rsid w:val="659C4F8D"/>
    <w:rsid w:val="668232C5"/>
    <w:rsid w:val="671BD267"/>
    <w:rsid w:val="6864B01D"/>
    <w:rsid w:val="690F00C4"/>
    <w:rsid w:val="69178FE8"/>
    <w:rsid w:val="692BE61A"/>
    <w:rsid w:val="697BCDFF"/>
    <w:rsid w:val="6A0AD92B"/>
    <w:rsid w:val="6A1AA224"/>
    <w:rsid w:val="6A44ED15"/>
    <w:rsid w:val="6A983747"/>
    <w:rsid w:val="6B098658"/>
    <w:rsid w:val="6BA0F6DA"/>
    <w:rsid w:val="6BC5C7F8"/>
    <w:rsid w:val="6BE10F29"/>
    <w:rsid w:val="6C3DADD2"/>
    <w:rsid w:val="6CEBAFC0"/>
    <w:rsid w:val="6CFF0CEF"/>
    <w:rsid w:val="6D2A64E9"/>
    <w:rsid w:val="6E236D6C"/>
    <w:rsid w:val="6E50EC1F"/>
    <w:rsid w:val="6ED36749"/>
    <w:rsid w:val="6F424BA2"/>
    <w:rsid w:val="6F47A37D"/>
    <w:rsid w:val="6F56AE32"/>
    <w:rsid w:val="6F5B91A3"/>
    <w:rsid w:val="703CBA4B"/>
    <w:rsid w:val="705E944B"/>
    <w:rsid w:val="7068473E"/>
    <w:rsid w:val="70B7C846"/>
    <w:rsid w:val="717DE13A"/>
    <w:rsid w:val="71F9D54F"/>
    <w:rsid w:val="71FF3D1C"/>
    <w:rsid w:val="720DA4A0"/>
    <w:rsid w:val="721E14B5"/>
    <w:rsid w:val="726CC7A9"/>
    <w:rsid w:val="7325BE53"/>
    <w:rsid w:val="73305453"/>
    <w:rsid w:val="7397FB75"/>
    <w:rsid w:val="73F330E8"/>
    <w:rsid w:val="74409C2C"/>
    <w:rsid w:val="744A2936"/>
    <w:rsid w:val="7490A6B9"/>
    <w:rsid w:val="74A8FE7F"/>
    <w:rsid w:val="74BBCB06"/>
    <w:rsid w:val="7505C9E2"/>
    <w:rsid w:val="7520CCDC"/>
    <w:rsid w:val="7554BBC5"/>
    <w:rsid w:val="760C4826"/>
    <w:rsid w:val="7611C092"/>
    <w:rsid w:val="761994C9"/>
    <w:rsid w:val="76305BFE"/>
    <w:rsid w:val="7764AF59"/>
    <w:rsid w:val="776561C3"/>
    <w:rsid w:val="7783655D"/>
    <w:rsid w:val="7790BB61"/>
    <w:rsid w:val="77A5D739"/>
    <w:rsid w:val="77ECD6F2"/>
    <w:rsid w:val="78256F19"/>
    <w:rsid w:val="7826DD34"/>
    <w:rsid w:val="78286B9E"/>
    <w:rsid w:val="78965BB1"/>
    <w:rsid w:val="795257AF"/>
    <w:rsid w:val="7A116BF4"/>
    <w:rsid w:val="7A32738A"/>
    <w:rsid w:val="7A78CEAC"/>
    <w:rsid w:val="7ABD8B82"/>
    <w:rsid w:val="7ADA5F15"/>
    <w:rsid w:val="7B366621"/>
    <w:rsid w:val="7B96684F"/>
    <w:rsid w:val="7BD6FE88"/>
    <w:rsid w:val="7C13E867"/>
    <w:rsid w:val="7C69C738"/>
    <w:rsid w:val="7CCE346B"/>
    <w:rsid w:val="7D2DE183"/>
    <w:rsid w:val="7D7977D7"/>
    <w:rsid w:val="7DD547B7"/>
    <w:rsid w:val="7DDFA2F3"/>
    <w:rsid w:val="7E915C7F"/>
    <w:rsid w:val="7ED25BEF"/>
    <w:rsid w:val="7EF987FA"/>
    <w:rsid w:val="7F7E65AC"/>
    <w:rsid w:val="7FD7F928"/>
    <w:rsid w:val="7FF2F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8F8D40"/>
  <w15:chartTrackingRefBased/>
  <w15:docId w15:val="{007D7D38-55CA-4C3E-AA89-6AA20ABC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E5"/>
  </w:style>
  <w:style w:type="paragraph" w:styleId="Heading1">
    <w:name w:val="heading 1"/>
    <w:aliases w:val="Titre Chapitre,Chapitre"/>
    <w:basedOn w:val="Normal"/>
    <w:next w:val="Text1"/>
    <w:link w:val="Heading1Char"/>
    <w:uiPriority w:val="9"/>
    <w:qFormat/>
    <w:rsid w:val="006A41D9"/>
    <w:pPr>
      <w:keepNext/>
      <w:tabs>
        <w:tab w:val="num" w:pos="850"/>
      </w:tabs>
      <w:spacing w:before="360" w:after="120" w:line="240" w:lineRule="auto"/>
      <w:ind w:left="850" w:hanging="850"/>
      <w:jc w:val="both"/>
      <w:outlineLvl w:val="0"/>
    </w:pPr>
    <w:rPr>
      <w:rFonts w:ascii="Times New Roman" w:eastAsiaTheme="majorEastAsia" w:hAnsi="Times New Roman" w:cs="Times New Roman"/>
      <w:b/>
      <w:smallCaps/>
      <w:sz w:val="24"/>
    </w:rPr>
  </w:style>
  <w:style w:type="paragraph" w:styleId="Heading2">
    <w:name w:val="heading 2"/>
    <w:aliases w:val="Justification"/>
    <w:basedOn w:val="Normal"/>
    <w:next w:val="Text1"/>
    <w:link w:val="Heading2Char"/>
    <w:uiPriority w:val="9"/>
    <w:unhideWhenUsed/>
    <w:qFormat/>
    <w:rsid w:val="006A41D9"/>
    <w:pPr>
      <w:keepNext/>
      <w:tabs>
        <w:tab w:val="num" w:pos="850"/>
      </w:tabs>
      <w:spacing w:before="120" w:after="120" w:line="240" w:lineRule="auto"/>
      <w:ind w:left="850" w:hanging="850"/>
      <w:jc w:val="both"/>
      <w:outlineLvl w:val="1"/>
    </w:pPr>
    <w:rPr>
      <w:rFonts w:ascii="Times New Roman" w:eastAsiaTheme="majorEastAsia" w:hAnsi="Times New Roman" w:cs="Times New Roman"/>
      <w:b/>
      <w:sz w:val="24"/>
    </w:rPr>
  </w:style>
  <w:style w:type="paragraph" w:styleId="Heading3">
    <w:name w:val="heading 3"/>
    <w:basedOn w:val="Normal"/>
    <w:next w:val="Text1"/>
    <w:link w:val="Heading3Char"/>
    <w:uiPriority w:val="9"/>
    <w:unhideWhenUsed/>
    <w:qFormat/>
    <w:rsid w:val="006A41D9"/>
    <w:pPr>
      <w:keepNext/>
      <w:tabs>
        <w:tab w:val="num" w:pos="850"/>
      </w:tabs>
      <w:spacing w:before="120" w:after="120" w:line="240" w:lineRule="auto"/>
      <w:ind w:left="850" w:hanging="850"/>
      <w:jc w:val="both"/>
      <w:outlineLvl w:val="2"/>
    </w:pPr>
    <w:rPr>
      <w:rFonts w:ascii="Times New Roman" w:eastAsiaTheme="majorEastAsia" w:hAnsi="Times New Roman" w:cs="Times New Roman"/>
      <w:i/>
      <w:sz w:val="24"/>
    </w:rPr>
  </w:style>
  <w:style w:type="paragraph" w:styleId="Heading4">
    <w:name w:val="heading 4"/>
    <w:basedOn w:val="Normal"/>
    <w:next w:val="Text1"/>
    <w:link w:val="Heading4Char"/>
    <w:uiPriority w:val="9"/>
    <w:unhideWhenUsed/>
    <w:qFormat/>
    <w:rsid w:val="006A41D9"/>
    <w:pPr>
      <w:keepNext/>
      <w:tabs>
        <w:tab w:val="num" w:pos="850"/>
      </w:tabs>
      <w:spacing w:before="120" w:after="120" w:line="240" w:lineRule="auto"/>
      <w:ind w:left="850" w:hanging="850"/>
      <w:jc w:val="both"/>
      <w:outlineLvl w:val="3"/>
    </w:pPr>
    <w:rPr>
      <w:rFonts w:ascii="Times New Roman" w:eastAsiaTheme="majorEastAsia" w:hAnsi="Times New Roman" w:cs="Times New Roman"/>
      <w:sz w:val="24"/>
    </w:rPr>
  </w:style>
  <w:style w:type="paragraph" w:styleId="Heading5">
    <w:name w:val="heading 5"/>
    <w:basedOn w:val="Normal"/>
    <w:next w:val="Normal"/>
    <w:link w:val="Heading5Char"/>
    <w:uiPriority w:val="9"/>
    <w:unhideWhenUsed/>
    <w:qFormat/>
    <w:rsid w:val="006A41D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6A41D9"/>
    <w:pPr>
      <w:keepNext/>
      <w:keepLines/>
      <w:spacing w:before="40" w:after="0"/>
      <w:outlineLvl w:val="7"/>
    </w:pPr>
    <w:rPr>
      <w:rFonts w:asciiTheme="majorHAnsi" w:eastAsiaTheme="majorEastAsia" w:hAnsiTheme="majorHAnsi" w:cstheme="majorBidi"/>
      <w:color w:val="272727" w:themeColor="text1" w:themeTint="D8"/>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Chapitre Char,Chapitre Char"/>
    <w:basedOn w:val="DefaultParagraphFont"/>
    <w:link w:val="Heading1"/>
    <w:uiPriority w:val="9"/>
    <w:rsid w:val="006A41D9"/>
    <w:rPr>
      <w:rFonts w:ascii="Times New Roman" w:eastAsiaTheme="majorEastAsia" w:hAnsi="Times New Roman" w:cs="Times New Roman"/>
      <w:b/>
      <w:smallCaps/>
      <w:sz w:val="24"/>
    </w:rPr>
  </w:style>
  <w:style w:type="character" w:customStyle="1" w:styleId="Heading2Char">
    <w:name w:val="Heading 2 Char"/>
    <w:aliases w:val="Justification Char"/>
    <w:basedOn w:val="DefaultParagraphFont"/>
    <w:link w:val="Heading2"/>
    <w:uiPriority w:val="9"/>
    <w:rsid w:val="006A41D9"/>
    <w:rPr>
      <w:rFonts w:ascii="Times New Roman" w:eastAsiaTheme="majorEastAsia" w:hAnsi="Times New Roman" w:cs="Times New Roman"/>
      <w:b/>
      <w:sz w:val="24"/>
    </w:rPr>
  </w:style>
  <w:style w:type="character" w:customStyle="1" w:styleId="Heading3Char">
    <w:name w:val="Heading 3 Char"/>
    <w:basedOn w:val="DefaultParagraphFont"/>
    <w:link w:val="Heading3"/>
    <w:uiPriority w:val="9"/>
    <w:rsid w:val="006A41D9"/>
    <w:rPr>
      <w:rFonts w:ascii="Times New Roman" w:eastAsiaTheme="majorEastAsia" w:hAnsi="Times New Roman" w:cs="Times New Roman"/>
      <w:i/>
      <w:sz w:val="24"/>
    </w:rPr>
  </w:style>
  <w:style w:type="character" w:customStyle="1" w:styleId="Heading4Char">
    <w:name w:val="Heading 4 Char"/>
    <w:basedOn w:val="DefaultParagraphFont"/>
    <w:link w:val="Heading4"/>
    <w:uiPriority w:val="9"/>
    <w:rsid w:val="006A41D9"/>
    <w:rPr>
      <w:rFonts w:ascii="Times New Roman" w:eastAsiaTheme="majorEastAsia" w:hAnsi="Times New Roman" w:cs="Times New Roman"/>
      <w:sz w:val="24"/>
    </w:rPr>
  </w:style>
  <w:style w:type="numbering" w:customStyle="1" w:styleId="NoList1">
    <w:name w:val="No List1"/>
    <w:next w:val="NoList"/>
    <w:uiPriority w:val="99"/>
    <w:semiHidden/>
    <w:unhideWhenUsed/>
    <w:rsid w:val="006A41D9"/>
  </w:style>
  <w:style w:type="character" w:styleId="CommentReference">
    <w:name w:val="annotation reference"/>
    <w:basedOn w:val="DefaultParagraphFont"/>
    <w:uiPriority w:val="99"/>
    <w:unhideWhenUsed/>
    <w:rsid w:val="006A41D9"/>
    <w:rPr>
      <w:sz w:val="16"/>
    </w:rPr>
  </w:style>
  <w:style w:type="paragraph" w:styleId="CommentText">
    <w:name w:val="annotation text"/>
    <w:basedOn w:val="Normal"/>
    <w:link w:val="CommentTextChar"/>
    <w:uiPriority w:val="99"/>
    <w:unhideWhenUsed/>
    <w:rsid w:val="006A41D9"/>
    <w:pPr>
      <w:spacing w:before="120" w:after="120" w:line="240" w:lineRule="auto"/>
      <w:jc w:val="both"/>
    </w:pPr>
    <w:rPr>
      <w:rFonts w:ascii="Times New Roman" w:hAnsi="Times New Roman" w:cs="Times New Roman"/>
      <w:sz w:val="20"/>
    </w:rPr>
  </w:style>
  <w:style w:type="character" w:customStyle="1" w:styleId="CommentTextChar">
    <w:name w:val="Comment Text Char"/>
    <w:basedOn w:val="DefaultParagraphFont"/>
    <w:link w:val="CommentText"/>
    <w:uiPriority w:val="99"/>
    <w:rsid w:val="006A41D9"/>
    <w:rPr>
      <w:rFonts w:ascii="Times New Roman" w:hAnsi="Times New Roman" w:cs="Times New Roman"/>
      <w:sz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6A41D9"/>
    <w:pPr>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6A41D9"/>
  </w:style>
  <w:style w:type="character" w:styleId="IntenseEmphasis">
    <w:name w:val="Intense Emphasis"/>
    <w:basedOn w:val="DefaultParagraphFont"/>
    <w:uiPriority w:val="21"/>
    <w:qFormat/>
    <w:rsid w:val="006A41D9"/>
    <w:rPr>
      <w:i/>
      <w:color w:val="4472C4" w:themeColor="accent1"/>
    </w:rPr>
  </w:style>
  <w:style w:type="paragraph" w:styleId="BalloonText">
    <w:name w:val="Balloon Text"/>
    <w:basedOn w:val="Normal"/>
    <w:link w:val="BalloonTextChar"/>
    <w:uiPriority w:val="99"/>
    <w:semiHidden/>
    <w:unhideWhenUsed/>
    <w:rsid w:val="006A41D9"/>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6A41D9"/>
    <w:rPr>
      <w:rFonts w:ascii="Segoe UI" w:hAnsi="Segoe UI" w:cs="Segoe UI"/>
      <w:sz w:val="18"/>
    </w:rPr>
  </w:style>
  <w:style w:type="paragraph" w:styleId="ListBullet">
    <w:name w:val="List Bullet"/>
    <w:basedOn w:val="Normal"/>
    <w:uiPriority w:val="99"/>
    <w:unhideWhenUsed/>
    <w:rsid w:val="006A41D9"/>
    <w:pPr>
      <w:numPr>
        <w:numId w:val="15"/>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6A41D9"/>
    <w:pPr>
      <w:numPr>
        <w:numId w:val="16"/>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6A41D9"/>
    <w:pPr>
      <w:numPr>
        <w:numId w:val="17"/>
      </w:numPr>
      <w:tabs>
        <w:tab w:val="clear" w:pos="926"/>
        <w:tab w:val="num" w:pos="360"/>
      </w:tabs>
      <w:spacing w:before="120" w:after="120" w:line="240" w:lineRule="auto"/>
      <w:ind w:left="0" w:firstLine="0"/>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6A41D9"/>
    <w:pPr>
      <w:numPr>
        <w:numId w:val="18"/>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6A41D9"/>
    <w:rPr>
      <w:b/>
    </w:rPr>
  </w:style>
  <w:style w:type="character" w:customStyle="1" w:styleId="CommentSubjectChar">
    <w:name w:val="Comment Subject Char"/>
    <w:basedOn w:val="CommentTextChar"/>
    <w:link w:val="CommentSubject"/>
    <w:uiPriority w:val="99"/>
    <w:semiHidden/>
    <w:rsid w:val="006A41D9"/>
    <w:rPr>
      <w:rFonts w:ascii="Times New Roman" w:hAnsi="Times New Roman" w:cs="Times New Roman"/>
      <w:b/>
      <w:sz w:val="20"/>
    </w:rPr>
  </w:style>
  <w:style w:type="paragraph" w:styleId="Revision">
    <w:name w:val="Revision"/>
    <w:hidden/>
    <w:uiPriority w:val="99"/>
    <w:semiHidden/>
    <w:rsid w:val="006A41D9"/>
    <w:pPr>
      <w:spacing w:after="0" w:line="240" w:lineRule="auto"/>
    </w:pPr>
    <w:rPr>
      <w:rFonts w:ascii="Times New Roman" w:hAnsi="Times New Roman" w:cs="Times New Roman"/>
      <w:sz w:val="24"/>
    </w:rPr>
  </w:style>
  <w:style w:type="table" w:styleId="TableGrid">
    <w:name w:val="Table Grid"/>
    <w:basedOn w:val="TableNormal"/>
    <w:uiPriority w:val="39"/>
    <w:rsid w:val="006A41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A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6A41D9"/>
    <w:rPr>
      <w:rFonts w:ascii="Courier New" w:eastAsia="Times New Roman" w:hAnsi="Courier New" w:cs="Courier New"/>
      <w:sz w:val="20"/>
    </w:rPr>
  </w:style>
  <w:style w:type="character" w:styleId="Hyperlink">
    <w:name w:val="Hyperlink"/>
    <w:basedOn w:val="DefaultParagraphFont"/>
    <w:uiPriority w:val="99"/>
    <w:unhideWhenUsed/>
    <w:rsid w:val="006A41D9"/>
    <w:rPr>
      <w:color w:val="0000FF"/>
      <w:u w:val="single"/>
    </w:rPr>
  </w:style>
  <w:style w:type="character" w:styleId="HTMLCite">
    <w:name w:val="HTML Cite"/>
    <w:basedOn w:val="DefaultParagraphFont"/>
    <w:uiPriority w:val="99"/>
    <w:semiHidden/>
    <w:unhideWhenUsed/>
    <w:rsid w:val="006A41D9"/>
    <w:rPr>
      <w:i/>
    </w:rPr>
  </w:style>
  <w:style w:type="character" w:customStyle="1" w:styleId="acopre">
    <w:name w:val="acopre"/>
    <w:basedOn w:val="DefaultParagraphFont"/>
    <w:rsid w:val="006A41D9"/>
  </w:style>
  <w:style w:type="character" w:styleId="Emphasis">
    <w:name w:val="Emphasis"/>
    <w:basedOn w:val="DefaultParagraphFont"/>
    <w:uiPriority w:val="20"/>
    <w:qFormat/>
    <w:rsid w:val="006A41D9"/>
    <w:rPr>
      <w:i/>
    </w:rPr>
  </w:style>
  <w:style w:type="character" w:customStyle="1" w:styleId="lo8sbd">
    <w:name w:val="lo8sbd"/>
    <w:basedOn w:val="DefaultParagraphFont"/>
    <w:rsid w:val="006A41D9"/>
  </w:style>
  <w:style w:type="paragraph" w:customStyle="1" w:styleId="s1fapd">
    <w:name w:val="s1fapd"/>
    <w:basedOn w:val="Normal"/>
    <w:rsid w:val="006A41D9"/>
    <w:pPr>
      <w:spacing w:before="100" w:beforeAutospacing="1" w:after="100" w:afterAutospacing="1" w:line="240" w:lineRule="auto"/>
    </w:pPr>
    <w:rPr>
      <w:rFonts w:ascii="Times New Roman" w:eastAsia="Times New Roman" w:hAnsi="Times New Roman" w:cs="Times New Roman"/>
      <w:sz w:val="24"/>
    </w:rPr>
  </w:style>
  <w:style w:type="character" w:customStyle="1" w:styleId="wurvib">
    <w:name w:val="wurvib"/>
    <w:basedOn w:val="DefaultParagraphFont"/>
    <w:rsid w:val="006A41D9"/>
  </w:style>
  <w:style w:type="character" w:customStyle="1" w:styleId="dyjrff">
    <w:name w:val="dyjrff"/>
    <w:basedOn w:val="DefaultParagraphFont"/>
    <w:rsid w:val="006A41D9"/>
  </w:style>
  <w:style w:type="character" w:customStyle="1" w:styleId="glpvmc">
    <w:name w:val="glpvmc"/>
    <w:basedOn w:val="DefaultParagraphFont"/>
    <w:rsid w:val="006A41D9"/>
  </w:style>
  <w:style w:type="character" w:customStyle="1" w:styleId="f">
    <w:name w:val="f"/>
    <w:basedOn w:val="DefaultParagraphFont"/>
    <w:rsid w:val="006A41D9"/>
  </w:style>
  <w:style w:type="character" w:customStyle="1" w:styleId="mfmhoc">
    <w:name w:val="mfmhoc"/>
    <w:basedOn w:val="DefaultParagraphFont"/>
    <w:rsid w:val="006A41D9"/>
  </w:style>
  <w:style w:type="character" w:customStyle="1" w:styleId="q8lrlc">
    <w:name w:val="q8lrlc"/>
    <w:basedOn w:val="DefaultParagraphFont"/>
    <w:rsid w:val="006A41D9"/>
  </w:style>
  <w:style w:type="character" w:customStyle="1" w:styleId="b4gxfc">
    <w:name w:val="b4gxfc"/>
    <w:basedOn w:val="DefaultParagraphFont"/>
    <w:rsid w:val="006A41D9"/>
  </w:style>
  <w:style w:type="character" w:customStyle="1" w:styleId="jlqj4b">
    <w:name w:val="jlqj4b"/>
    <w:basedOn w:val="DefaultParagraphFont"/>
    <w:rsid w:val="006A41D9"/>
  </w:style>
  <w:style w:type="paragraph" w:customStyle="1" w:styleId="paragraph">
    <w:name w:val="paragraph"/>
    <w:basedOn w:val="Normal"/>
    <w:rsid w:val="006A41D9"/>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6A41D9"/>
  </w:style>
  <w:style w:type="character" w:customStyle="1" w:styleId="eop">
    <w:name w:val="eop"/>
    <w:basedOn w:val="DefaultParagraphFont"/>
    <w:rsid w:val="006A41D9"/>
  </w:style>
  <w:style w:type="character" w:customStyle="1" w:styleId="hgkelc">
    <w:name w:val="hgkelc"/>
    <w:basedOn w:val="DefaultParagraphFont"/>
    <w:rsid w:val="006A41D9"/>
  </w:style>
  <w:style w:type="character" w:customStyle="1" w:styleId="y2iqfc">
    <w:name w:val="y2iqfc"/>
    <w:basedOn w:val="DefaultParagraphFont"/>
    <w:rsid w:val="006A41D9"/>
  </w:style>
  <w:style w:type="paragraph" w:customStyle="1" w:styleId="Bodytext211">
    <w:name w:val="Body text|211"/>
    <w:basedOn w:val="Normal"/>
    <w:link w:val="Bodytext2"/>
    <w:qFormat/>
    <w:rsid w:val="006A41D9"/>
    <w:pPr>
      <w:widowControl w:val="0"/>
      <w:shd w:val="clear" w:color="auto" w:fill="FFFFFF"/>
      <w:spacing w:before="400" w:after="100" w:line="244" w:lineRule="exact"/>
      <w:ind w:hanging="380"/>
    </w:pPr>
    <w:rPr>
      <w:rFonts w:ascii="Calibri" w:eastAsia="Calibri" w:hAnsi="Calibri" w:cs="Calibri"/>
      <w:color w:val="000000"/>
      <w:sz w:val="20"/>
    </w:rPr>
  </w:style>
  <w:style w:type="character" w:customStyle="1" w:styleId="Bodytext2">
    <w:name w:val="Body text|2_"/>
    <w:basedOn w:val="DefaultParagraphFont"/>
    <w:link w:val="Bodytext211"/>
    <w:rsid w:val="006A41D9"/>
    <w:rPr>
      <w:rFonts w:ascii="Calibri" w:eastAsia="Calibri" w:hAnsi="Calibri" w:cs="Calibri"/>
      <w:color w:val="000000"/>
      <w:sz w:val="20"/>
      <w:shd w:val="clear" w:color="auto" w:fill="FFFFFF"/>
    </w:rPr>
  </w:style>
  <w:style w:type="character" w:customStyle="1" w:styleId="Bodytext2Italic">
    <w:name w:val="Body text|2 + Italic"/>
    <w:basedOn w:val="Bodytext2"/>
    <w:semiHidden/>
    <w:unhideWhenUsed/>
    <w:rsid w:val="006A41D9"/>
    <w:rPr>
      <w:rFonts w:ascii="Calibri" w:eastAsia="Calibri" w:hAnsi="Calibri" w:cs="Calibri"/>
      <w:i/>
      <w:color w:val="000000"/>
      <w:position w:val="0"/>
      <w:sz w:val="20"/>
      <w:shd w:val="clear" w:color="auto" w:fill="FFFFFF"/>
    </w:rPr>
  </w:style>
  <w:style w:type="character" w:customStyle="1" w:styleId="Bodytext20">
    <w:name w:val="Body text|20"/>
    <w:basedOn w:val="Bodytext2"/>
    <w:semiHidden/>
    <w:unhideWhenUsed/>
    <w:rsid w:val="006A41D9"/>
    <w:rPr>
      <w:rFonts w:ascii="Calibri" w:eastAsia="Calibri" w:hAnsi="Calibri" w:cs="Calibri"/>
      <w:color w:val="000000"/>
      <w:position w:val="0"/>
      <w:sz w:val="20"/>
      <w:u w:val="single"/>
      <w:shd w:val="clear" w:color="auto" w:fill="FFFFFF"/>
    </w:rPr>
  </w:style>
  <w:style w:type="character" w:customStyle="1" w:styleId="Footnote1">
    <w:name w:val="Footnote|1_"/>
    <w:basedOn w:val="DefaultParagraphFont"/>
    <w:link w:val="Footnote11"/>
    <w:rsid w:val="006A41D9"/>
    <w:rPr>
      <w:rFonts w:ascii="Calibri" w:eastAsia="Calibri" w:hAnsi="Calibri" w:cs="Calibri"/>
      <w:sz w:val="15"/>
      <w:shd w:val="clear" w:color="auto" w:fill="FFFFFF"/>
    </w:rPr>
  </w:style>
  <w:style w:type="character" w:customStyle="1" w:styleId="Footnote10">
    <w:name w:val="Footnote|1"/>
    <w:basedOn w:val="Footnote1"/>
    <w:semiHidden/>
    <w:unhideWhenUsed/>
    <w:rsid w:val="006A41D9"/>
    <w:rPr>
      <w:rFonts w:ascii="Calibri" w:eastAsia="Calibri" w:hAnsi="Calibri" w:cs="Calibri"/>
      <w:color w:val="0563C1"/>
      <w:position w:val="0"/>
      <w:sz w:val="15"/>
      <w:u w:val="single"/>
      <w:shd w:val="clear" w:color="auto" w:fill="FFFFFF"/>
    </w:rPr>
  </w:style>
  <w:style w:type="paragraph" w:customStyle="1" w:styleId="Footnote11">
    <w:name w:val="Footnote|11"/>
    <w:basedOn w:val="Normal"/>
    <w:link w:val="Footnote1"/>
    <w:qFormat/>
    <w:rsid w:val="006A41D9"/>
    <w:pPr>
      <w:widowControl w:val="0"/>
      <w:shd w:val="clear" w:color="auto" w:fill="FFFFFF"/>
      <w:spacing w:after="0" w:line="197" w:lineRule="exact"/>
      <w:jc w:val="both"/>
    </w:pPr>
    <w:rPr>
      <w:rFonts w:ascii="Calibri" w:eastAsia="Calibri" w:hAnsi="Calibri" w:cs="Calibri"/>
      <w:sz w:val="15"/>
    </w:rPr>
  </w:style>
  <w:style w:type="character" w:customStyle="1" w:styleId="Footnote3">
    <w:name w:val="Footnote|3_"/>
    <w:basedOn w:val="DefaultParagraphFont"/>
    <w:link w:val="Footnote30"/>
    <w:rsid w:val="006A41D9"/>
    <w:rPr>
      <w:rFonts w:ascii="Calibri" w:eastAsia="Calibri" w:hAnsi="Calibri" w:cs="Calibri"/>
      <w:i/>
      <w:sz w:val="15"/>
      <w:shd w:val="clear" w:color="auto" w:fill="FFFFFF"/>
    </w:rPr>
  </w:style>
  <w:style w:type="character" w:customStyle="1" w:styleId="Footnote3NotItalic">
    <w:name w:val="Footnote|3 + Not Italic"/>
    <w:basedOn w:val="Footnote3"/>
    <w:semiHidden/>
    <w:unhideWhenUsed/>
    <w:rsid w:val="006A41D9"/>
    <w:rPr>
      <w:rFonts w:ascii="Calibri" w:eastAsia="Calibri" w:hAnsi="Calibri" w:cs="Calibri"/>
      <w:i/>
      <w:color w:val="000000"/>
      <w:position w:val="0"/>
      <w:sz w:val="15"/>
      <w:shd w:val="clear" w:color="auto" w:fill="FFFFFF"/>
    </w:rPr>
  </w:style>
  <w:style w:type="paragraph" w:customStyle="1" w:styleId="Footnote30">
    <w:name w:val="Footnote|3"/>
    <w:basedOn w:val="Normal"/>
    <w:link w:val="Footnote3"/>
    <w:rsid w:val="006A41D9"/>
    <w:pPr>
      <w:widowControl w:val="0"/>
      <w:shd w:val="clear" w:color="auto" w:fill="FFFFFF"/>
      <w:spacing w:after="0" w:line="192" w:lineRule="exact"/>
      <w:jc w:val="both"/>
    </w:pPr>
    <w:rPr>
      <w:rFonts w:ascii="Calibri" w:eastAsia="Calibri" w:hAnsi="Calibri" w:cs="Calibri"/>
      <w:i/>
      <w:sz w:val="15"/>
    </w:rPr>
  </w:style>
  <w:style w:type="paragraph" w:styleId="NormalWeb">
    <w:name w:val="Normal (Web)"/>
    <w:basedOn w:val="Normal"/>
    <w:uiPriority w:val="99"/>
    <w:unhideWhenUsed/>
    <w:rsid w:val="006A41D9"/>
    <w:pPr>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nhideWhenUsed/>
    <w:rsid w:val="006A41D9"/>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rsid w:val="006A41D9"/>
    <w:rPr>
      <w:rFonts w:ascii="Times New Roman" w:hAnsi="Times New Roman" w:cs="Times New Roman"/>
      <w:sz w:val="24"/>
    </w:rPr>
  </w:style>
  <w:style w:type="paragraph" w:styleId="Footer">
    <w:name w:val="footer"/>
    <w:basedOn w:val="Normal"/>
    <w:link w:val="FooterChar"/>
    <w:uiPriority w:val="99"/>
    <w:unhideWhenUsed/>
    <w:rsid w:val="006A41D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6A41D9"/>
    <w:rPr>
      <w:rFonts w:ascii="Times New Roman" w:hAnsi="Times New Roman" w:cs="Times New Roman"/>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Char,Voetnoottekst Char"/>
    <w:basedOn w:val="Normal"/>
    <w:link w:val="FootnoteTextChar"/>
    <w:uiPriority w:val="99"/>
    <w:unhideWhenUsed/>
    <w:rsid w:val="006A41D9"/>
    <w:pPr>
      <w:spacing w:after="0" w:line="240" w:lineRule="auto"/>
      <w:ind w:left="720" w:hanging="720"/>
      <w:jc w:val="both"/>
    </w:pPr>
    <w:rPr>
      <w:rFonts w:ascii="Times New Roman" w:hAnsi="Times New Roman" w:cs="Times New Roman"/>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6A41D9"/>
    <w:rPr>
      <w:rFonts w:ascii="Times New Roman" w:hAnsi="Times New Roman" w:cs="Times New Roman"/>
      <w:sz w:val="20"/>
    </w:rPr>
  </w:style>
  <w:style w:type="paragraph" w:styleId="TOCHeading">
    <w:name w:val="TOC Heading"/>
    <w:basedOn w:val="Normal"/>
    <w:next w:val="Normal"/>
    <w:uiPriority w:val="39"/>
    <w:unhideWhenUsed/>
    <w:qFormat/>
    <w:rsid w:val="006A41D9"/>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unhideWhenUsed/>
    <w:rsid w:val="006A41D9"/>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unhideWhenUsed/>
    <w:rsid w:val="006A41D9"/>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unhideWhenUsed/>
    <w:rsid w:val="006A41D9"/>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unhideWhenUsed/>
    <w:rsid w:val="006A41D9"/>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unhideWhenUsed/>
    <w:rsid w:val="006A41D9"/>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unhideWhenUsed/>
    <w:rsid w:val="006A41D9"/>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unhideWhenUsed/>
    <w:rsid w:val="006A41D9"/>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unhideWhenUsed/>
    <w:rsid w:val="006A41D9"/>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unhideWhenUsed/>
    <w:rsid w:val="006A41D9"/>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6A41D9"/>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6A41D9"/>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link w:val="SUPERSChar"/>
    <w:uiPriority w:val="99"/>
    <w:unhideWhenUsed/>
    <w:qFormat/>
    <w:rsid w:val="006A41D9"/>
    <w:rPr>
      <w:vertAlign w:val="superscript"/>
    </w:rPr>
  </w:style>
  <w:style w:type="paragraph" w:customStyle="1" w:styleId="HeaderSensitivity">
    <w:name w:val="Header Sensitivity"/>
    <w:basedOn w:val="Normal"/>
    <w:rsid w:val="006A41D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6A41D9"/>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6A41D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link w:val="Text1Char"/>
    <w:rsid w:val="006A41D9"/>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6A41D9"/>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6A41D9"/>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6A41D9"/>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6A41D9"/>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6A41D9"/>
    <w:pPr>
      <w:spacing w:before="120" w:after="120" w:line="240" w:lineRule="auto"/>
    </w:pPr>
    <w:rPr>
      <w:rFonts w:ascii="Times New Roman" w:hAnsi="Times New Roman" w:cs="Times New Roman"/>
      <w:sz w:val="24"/>
    </w:rPr>
  </w:style>
  <w:style w:type="paragraph" w:customStyle="1" w:styleId="NormalRight">
    <w:name w:val="Normal Right"/>
    <w:basedOn w:val="Normal"/>
    <w:rsid w:val="006A41D9"/>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6A41D9"/>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6A41D9"/>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6A41D9"/>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6A41D9"/>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6A41D9"/>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6A41D9"/>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6A41D9"/>
    <w:pPr>
      <w:numPr>
        <w:numId w:val="2"/>
      </w:numPr>
    </w:pPr>
  </w:style>
  <w:style w:type="paragraph" w:customStyle="1" w:styleId="Tiret1">
    <w:name w:val="Tiret 1"/>
    <w:basedOn w:val="Point1"/>
    <w:rsid w:val="006A41D9"/>
    <w:pPr>
      <w:numPr>
        <w:numId w:val="3"/>
      </w:numPr>
    </w:pPr>
  </w:style>
  <w:style w:type="paragraph" w:customStyle="1" w:styleId="Tiret2">
    <w:name w:val="Tiret 2"/>
    <w:basedOn w:val="Point2"/>
    <w:rsid w:val="006A41D9"/>
    <w:pPr>
      <w:numPr>
        <w:numId w:val="4"/>
      </w:numPr>
    </w:pPr>
  </w:style>
  <w:style w:type="paragraph" w:customStyle="1" w:styleId="Tiret3">
    <w:name w:val="Tiret 3"/>
    <w:basedOn w:val="Point3"/>
    <w:rsid w:val="006A41D9"/>
    <w:pPr>
      <w:numPr>
        <w:numId w:val="5"/>
      </w:numPr>
    </w:pPr>
  </w:style>
  <w:style w:type="paragraph" w:customStyle="1" w:styleId="Tiret4">
    <w:name w:val="Tiret 4"/>
    <w:basedOn w:val="Point4"/>
    <w:rsid w:val="006A41D9"/>
    <w:pPr>
      <w:numPr>
        <w:numId w:val="6"/>
      </w:numPr>
    </w:pPr>
  </w:style>
  <w:style w:type="paragraph" w:customStyle="1" w:styleId="PointDouble0">
    <w:name w:val="PointDouble 0"/>
    <w:basedOn w:val="Normal"/>
    <w:rsid w:val="006A41D9"/>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6A41D9"/>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6A41D9"/>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6A41D9"/>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6A41D9"/>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6A41D9"/>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6A41D9"/>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6A41D9"/>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6A41D9"/>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6A41D9"/>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6A41D9"/>
    <w:pPr>
      <w:numPr>
        <w:numId w:val="7"/>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6A41D9"/>
    <w:pPr>
      <w:numPr>
        <w:ilvl w:val="1"/>
        <w:numId w:val="7"/>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6A41D9"/>
    <w:pPr>
      <w:numPr>
        <w:ilvl w:val="2"/>
        <w:numId w:val="7"/>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6A41D9"/>
    <w:pPr>
      <w:numPr>
        <w:ilvl w:val="3"/>
        <w:numId w:val="7"/>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rsid w:val="006A41D9"/>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6A41D9"/>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6A41D9"/>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6A41D9"/>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6A41D9"/>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6A41D9"/>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6A41D9"/>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6A41D9"/>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6A41D9"/>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6A41D9"/>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6A41D9"/>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6A41D9"/>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6A41D9"/>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6A41D9"/>
    <w:rPr>
      <w:color w:val="0000FF"/>
      <w:shd w:val="clear" w:color="auto" w:fill="auto"/>
    </w:rPr>
  </w:style>
  <w:style w:type="character" w:customStyle="1" w:styleId="Marker1">
    <w:name w:val="Marker1"/>
    <w:basedOn w:val="DefaultParagraphFont"/>
    <w:rsid w:val="006A41D9"/>
    <w:rPr>
      <w:color w:val="008000"/>
      <w:shd w:val="clear" w:color="auto" w:fill="auto"/>
    </w:rPr>
  </w:style>
  <w:style w:type="character" w:customStyle="1" w:styleId="Marker2">
    <w:name w:val="Marker2"/>
    <w:basedOn w:val="DefaultParagraphFont"/>
    <w:rsid w:val="006A41D9"/>
    <w:rPr>
      <w:color w:val="FF0000"/>
      <w:shd w:val="clear" w:color="auto" w:fill="auto"/>
    </w:rPr>
  </w:style>
  <w:style w:type="paragraph" w:customStyle="1" w:styleId="Point0number">
    <w:name w:val="Point 0 (number)"/>
    <w:basedOn w:val="Normal"/>
    <w:rsid w:val="006A41D9"/>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6A41D9"/>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6A41D9"/>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6A41D9"/>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6A41D9"/>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6A41D9"/>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6A41D9"/>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6A41D9"/>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6A41D9"/>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rsid w:val="006A41D9"/>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rsid w:val="006A41D9"/>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6A41D9"/>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rsid w:val="006A41D9"/>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rsid w:val="006A41D9"/>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rsid w:val="006A41D9"/>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6A41D9"/>
    <w:pPr>
      <w:spacing w:after="0" w:line="240" w:lineRule="auto"/>
    </w:pPr>
    <w:rPr>
      <w:rFonts w:ascii="Arial" w:hAnsi="Arial" w:cs="Arial"/>
      <w:sz w:val="24"/>
    </w:rPr>
  </w:style>
  <w:style w:type="paragraph" w:customStyle="1" w:styleId="Emission">
    <w:name w:val="Emission"/>
    <w:basedOn w:val="Normal"/>
    <w:next w:val="Rfrenceinstitutionnelle"/>
    <w:rsid w:val="006A41D9"/>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6A41D9"/>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rsid w:val="006A41D9"/>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rsid w:val="006A41D9"/>
    <w:pPr>
      <w:spacing w:after="0" w:line="240" w:lineRule="auto"/>
      <w:jc w:val="both"/>
    </w:pPr>
    <w:rPr>
      <w:rFonts w:ascii="Times New Roman" w:hAnsi="Times New Roman" w:cs="Times New Roman"/>
      <w:sz w:val="24"/>
    </w:rPr>
  </w:style>
  <w:style w:type="paragraph" w:customStyle="1" w:styleId="Disclaimer">
    <w:name w:val="Disclaimer"/>
    <w:basedOn w:val="Normal"/>
    <w:rsid w:val="006A41D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6A41D9"/>
    <w:pPr>
      <w:spacing w:after="0" w:line="276" w:lineRule="auto"/>
      <w:ind w:left="5103"/>
    </w:pPr>
    <w:rPr>
      <w:rFonts w:ascii="Times New Roman" w:hAnsi="Times New Roman" w:cs="Times New Roman"/>
      <w:sz w:val="28"/>
    </w:rPr>
  </w:style>
  <w:style w:type="paragraph" w:customStyle="1" w:styleId="DateMarking">
    <w:name w:val="DateMarking"/>
    <w:basedOn w:val="Normal"/>
    <w:rsid w:val="006A41D9"/>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6A41D9"/>
    <w:pPr>
      <w:spacing w:after="0" w:line="276" w:lineRule="auto"/>
      <w:ind w:left="5103"/>
    </w:pPr>
    <w:rPr>
      <w:rFonts w:ascii="Times New Roman" w:hAnsi="Times New Roman" w:cs="Times New Roman"/>
      <w:i/>
      <w:sz w:val="28"/>
    </w:rPr>
  </w:style>
  <w:style w:type="paragraph" w:customStyle="1" w:styleId="Annexetitreexpos">
    <w:name w:val="Annexe titre (exposé)"/>
    <w:basedOn w:val="Normal"/>
    <w:next w:val="Normal"/>
    <w:rsid w:val="006A41D9"/>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6A41D9"/>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6A41D9"/>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6A41D9"/>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6A41D9"/>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6A41D9"/>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6A41D9"/>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6A41D9"/>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rsid w:val="006A41D9"/>
    <w:pPr>
      <w:spacing w:after="240" w:line="240" w:lineRule="auto"/>
    </w:pPr>
    <w:rPr>
      <w:rFonts w:ascii="Times New Roman" w:hAnsi="Times New Roman" w:cs="Times New Roman"/>
      <w:sz w:val="24"/>
    </w:rPr>
  </w:style>
  <w:style w:type="paragraph" w:customStyle="1" w:styleId="Datedadoption">
    <w:name w:val="Date d'adoption"/>
    <w:basedOn w:val="Normal"/>
    <w:next w:val="IntrtEEE"/>
    <w:rsid w:val="006A41D9"/>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6A41D9"/>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6A41D9"/>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6A41D9"/>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6A41D9"/>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6A41D9"/>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6A41D9"/>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6A41D9"/>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6A41D9"/>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6A41D9"/>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6A41D9"/>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rsid w:val="006A41D9"/>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rsid w:val="006A41D9"/>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sid w:val="006A41D9"/>
    <w:rPr>
      <w:b/>
      <w:u w:val="single"/>
      <w:shd w:val="clear" w:color="auto" w:fill="auto"/>
    </w:rPr>
  </w:style>
  <w:style w:type="character" w:customStyle="1" w:styleId="Deleted">
    <w:name w:val="Deleted"/>
    <w:basedOn w:val="DefaultParagraphFont"/>
    <w:rsid w:val="006A41D9"/>
    <w:rPr>
      <w:strike/>
      <w:dstrike w:val="0"/>
      <w:shd w:val="clear" w:color="auto" w:fill="auto"/>
    </w:rPr>
  </w:style>
  <w:style w:type="paragraph" w:customStyle="1" w:styleId="Address">
    <w:name w:val="Address"/>
    <w:basedOn w:val="Normal"/>
    <w:next w:val="Normal"/>
    <w:rsid w:val="006A41D9"/>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6A41D9"/>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6A41D9"/>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6A41D9"/>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6A41D9"/>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6A41D9"/>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rsid w:val="006A41D9"/>
  </w:style>
  <w:style w:type="paragraph" w:customStyle="1" w:styleId="RfrenceinterinstitutionnellePagedecouverture">
    <w:name w:val="Référence interinstitutionnelle (Page de couverture)"/>
    <w:basedOn w:val="Rfrenceinterinstitutionnelle"/>
    <w:next w:val="Confidentialit"/>
    <w:rsid w:val="006A41D9"/>
  </w:style>
  <w:style w:type="paragraph" w:customStyle="1" w:styleId="StatutPagedecouverture">
    <w:name w:val="Statut (Page de couverture)"/>
    <w:basedOn w:val="Statut"/>
    <w:next w:val="TypedudocumentPagedecouverture"/>
    <w:rsid w:val="006A41D9"/>
  </w:style>
  <w:style w:type="paragraph" w:customStyle="1" w:styleId="TypedudocumentPagedecouverture">
    <w:name w:val="Type du document (Page de couverture)"/>
    <w:basedOn w:val="Typedudocument"/>
    <w:next w:val="AccompagnantPagedecouverture"/>
    <w:rsid w:val="006A41D9"/>
  </w:style>
  <w:style w:type="paragraph" w:customStyle="1" w:styleId="Volume">
    <w:name w:val="Volume"/>
    <w:basedOn w:val="Normal"/>
    <w:next w:val="Confidentialit"/>
    <w:rsid w:val="006A41D9"/>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6A41D9"/>
    <w:pPr>
      <w:spacing w:after="240"/>
    </w:pPr>
  </w:style>
  <w:style w:type="paragraph" w:customStyle="1" w:styleId="Accompagnant">
    <w:name w:val="Accompagnant"/>
    <w:basedOn w:val="Normal"/>
    <w:next w:val="Typeacteprincipal"/>
    <w:rsid w:val="006A41D9"/>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rsid w:val="006A41D9"/>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6A41D9"/>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6A41D9"/>
  </w:style>
  <w:style w:type="paragraph" w:customStyle="1" w:styleId="AccompagnantPagedecouverture">
    <w:name w:val="Accompagnant (Page de couverture)"/>
    <w:basedOn w:val="Accompagnant"/>
    <w:next w:val="TypeacteprincipalPagedecouverture"/>
    <w:rsid w:val="006A41D9"/>
  </w:style>
  <w:style w:type="paragraph" w:customStyle="1" w:styleId="TypeacteprincipalPagedecouverture">
    <w:name w:val="Type acte principal (Page de couverture)"/>
    <w:basedOn w:val="Typeacteprincipal"/>
    <w:next w:val="ObjetacteprincipalPagedecouverture"/>
    <w:rsid w:val="006A41D9"/>
  </w:style>
  <w:style w:type="paragraph" w:customStyle="1" w:styleId="ObjetacteprincipalPagedecouverture">
    <w:name w:val="Objet acte principal (Page de couverture)"/>
    <w:basedOn w:val="Objetacteprincipal"/>
    <w:next w:val="Rfrencecroise"/>
    <w:rsid w:val="006A41D9"/>
  </w:style>
  <w:style w:type="paragraph" w:customStyle="1" w:styleId="LanguesfaisantfoiPagedecouverture">
    <w:name w:val="Langues faisant foi (Page de couverture)"/>
    <w:basedOn w:val="Normal"/>
    <w:next w:val="Normal"/>
    <w:rsid w:val="006A41D9"/>
    <w:pPr>
      <w:spacing w:before="360" w:after="0" w:line="240" w:lineRule="auto"/>
      <w:jc w:val="center"/>
    </w:pPr>
    <w:rPr>
      <w:rFonts w:ascii="Times New Roman" w:hAnsi="Times New Roman" w:cs="Times New Roman"/>
      <w:sz w:val="24"/>
    </w:rPr>
  </w:style>
  <w:style w:type="paragraph" w:styleId="Caption">
    <w:name w:val="caption"/>
    <w:basedOn w:val="Normal"/>
    <w:next w:val="Normal"/>
    <w:uiPriority w:val="35"/>
    <w:unhideWhenUsed/>
    <w:qFormat/>
    <w:rsid w:val="006A41D9"/>
    <w:pPr>
      <w:spacing w:after="200" w:line="240" w:lineRule="auto"/>
      <w:jc w:val="both"/>
    </w:pPr>
    <w:rPr>
      <w:rFonts w:ascii="Times New Roman" w:hAnsi="Times New Roman" w:cs="Times New Roman"/>
      <w:i/>
      <w:color w:val="44546A" w:themeColor="text2"/>
      <w:sz w:val="18"/>
    </w:rPr>
  </w:style>
  <w:style w:type="paragraph" w:styleId="TableofFigures">
    <w:name w:val="table of figures"/>
    <w:basedOn w:val="Normal"/>
    <w:next w:val="Normal"/>
    <w:uiPriority w:val="99"/>
    <w:semiHidden/>
    <w:unhideWhenUsed/>
    <w:rsid w:val="006A41D9"/>
    <w:pPr>
      <w:spacing w:before="120" w:after="0" w:line="240" w:lineRule="auto"/>
      <w:jc w:val="both"/>
    </w:pPr>
    <w:rPr>
      <w:rFonts w:ascii="Times New Roman" w:hAnsi="Times New Roman" w:cs="Times New Roman"/>
      <w:sz w:val="24"/>
    </w:rPr>
  </w:style>
  <w:style w:type="paragraph" w:styleId="ListNumber">
    <w:name w:val="List Number"/>
    <w:basedOn w:val="Normal"/>
    <w:uiPriority w:val="99"/>
    <w:semiHidden/>
    <w:unhideWhenUsed/>
    <w:rsid w:val="006A41D9"/>
    <w:pPr>
      <w:numPr>
        <w:numId w:val="19"/>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rsid w:val="006A41D9"/>
    <w:pPr>
      <w:numPr>
        <w:numId w:val="20"/>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rsid w:val="006A41D9"/>
    <w:pPr>
      <w:numPr>
        <w:numId w:val="21"/>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rsid w:val="006A41D9"/>
    <w:pPr>
      <w:numPr>
        <w:numId w:val="22"/>
      </w:numPr>
      <w:spacing w:before="120" w:after="120" w:line="240" w:lineRule="auto"/>
      <w:contextualSpacing/>
      <w:jc w:val="both"/>
    </w:pPr>
    <w:rPr>
      <w:rFonts w:ascii="Times New Roman" w:hAnsi="Times New Roman" w:cs="Times New Roman"/>
      <w:sz w:val="24"/>
    </w:rPr>
  </w:style>
  <w:style w:type="paragraph" w:customStyle="1" w:styleId="FooterCoverPage">
    <w:name w:val="Footer Cover Page"/>
    <w:basedOn w:val="Normal"/>
    <w:link w:val="FooterCoverPageChar"/>
    <w:rsid w:val="006A41D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A41D9"/>
    <w:rPr>
      <w:rFonts w:ascii="Times New Roman" w:hAnsi="Times New Roman" w:cs="Times New Roman"/>
      <w:sz w:val="24"/>
    </w:rPr>
  </w:style>
  <w:style w:type="paragraph" w:customStyle="1" w:styleId="HeaderCoverPage">
    <w:name w:val="Header Cover Page"/>
    <w:basedOn w:val="Normal"/>
    <w:link w:val="HeaderCoverPageChar"/>
    <w:rsid w:val="006A41D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A41D9"/>
    <w:rPr>
      <w:rFonts w:ascii="Times New Roman" w:hAnsi="Times New Roman" w:cs="Times New Roman"/>
      <w:sz w:val="24"/>
    </w:rPr>
  </w:style>
  <w:style w:type="character" w:customStyle="1" w:styleId="Bodytext5">
    <w:name w:val="Body text|5_"/>
    <w:basedOn w:val="DefaultParagraphFont"/>
    <w:link w:val="Bodytext50"/>
    <w:rsid w:val="006A41D9"/>
    <w:rPr>
      <w:rFonts w:ascii="Arial" w:eastAsia="Arial" w:hAnsi="Arial" w:cs="Arial"/>
      <w:sz w:val="17"/>
      <w:shd w:val="clear" w:color="auto" w:fill="FFFFFF"/>
    </w:rPr>
  </w:style>
  <w:style w:type="paragraph" w:customStyle="1" w:styleId="Bodytext21">
    <w:name w:val="Body text|2"/>
    <w:basedOn w:val="Normal"/>
    <w:qFormat/>
    <w:rsid w:val="006A41D9"/>
    <w:pPr>
      <w:widowControl w:val="0"/>
      <w:shd w:val="clear" w:color="auto" w:fill="FFFFFF"/>
      <w:spacing w:after="0" w:line="446" w:lineRule="exact"/>
      <w:ind w:hanging="660"/>
      <w:jc w:val="both"/>
    </w:pPr>
    <w:rPr>
      <w:rFonts w:ascii="Arial" w:eastAsia="Arial" w:hAnsi="Arial" w:cs="Arial"/>
      <w:sz w:val="21"/>
    </w:rPr>
  </w:style>
  <w:style w:type="paragraph" w:customStyle="1" w:styleId="Bodytext50">
    <w:name w:val="Body text|5"/>
    <w:basedOn w:val="Normal"/>
    <w:link w:val="Bodytext5"/>
    <w:rsid w:val="006A41D9"/>
    <w:pPr>
      <w:widowControl w:val="0"/>
      <w:shd w:val="clear" w:color="auto" w:fill="FFFFFF"/>
      <w:spacing w:before="1000" w:after="1000" w:line="190" w:lineRule="exact"/>
    </w:pPr>
    <w:rPr>
      <w:rFonts w:ascii="Arial" w:eastAsia="Arial" w:hAnsi="Arial" w:cs="Arial"/>
      <w:sz w:val="17"/>
    </w:rPr>
  </w:style>
  <w:style w:type="table" w:customStyle="1" w:styleId="GridTable1Light-Accent11">
    <w:name w:val="Grid Table 1 Light - Accent 11"/>
    <w:basedOn w:val="TableNormal"/>
    <w:uiPriority w:val="46"/>
    <w:rsid w:val="006A41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PERSChar">
    <w:name w:val="SUPERS Char"/>
    <w:aliases w:val="EN Footnote Reference Char"/>
    <w:basedOn w:val="Normal"/>
    <w:link w:val="FootnoteReference"/>
    <w:uiPriority w:val="99"/>
    <w:rsid w:val="006A41D9"/>
    <w:pPr>
      <w:widowControl w:val="0"/>
      <w:adjustRightInd w:val="0"/>
      <w:spacing w:line="240" w:lineRule="exact"/>
      <w:jc w:val="both"/>
    </w:pPr>
    <w:rPr>
      <w:vertAlign w:val="superscript"/>
    </w:rPr>
  </w:style>
  <w:style w:type="paragraph" w:customStyle="1" w:styleId="TechnicalBlock">
    <w:name w:val="Technical Block"/>
    <w:basedOn w:val="Text1"/>
    <w:link w:val="TechnicalBlockChar"/>
    <w:rsid w:val="006A41D9"/>
    <w:pPr>
      <w:spacing w:before="0" w:after="240"/>
      <w:ind w:left="0"/>
      <w:jc w:val="center"/>
    </w:pPr>
  </w:style>
  <w:style w:type="character" w:customStyle="1" w:styleId="Text1Char">
    <w:name w:val="Text 1 Char"/>
    <w:basedOn w:val="DefaultParagraphFont"/>
    <w:link w:val="Text1"/>
    <w:rsid w:val="006A41D9"/>
    <w:rPr>
      <w:rFonts w:ascii="Times New Roman" w:hAnsi="Times New Roman" w:cs="Times New Roman"/>
      <w:sz w:val="24"/>
    </w:rPr>
  </w:style>
  <w:style w:type="character" w:customStyle="1" w:styleId="TechnicalBlockChar">
    <w:name w:val="Technical Block Char"/>
    <w:basedOn w:val="Text1Char"/>
    <w:link w:val="TechnicalBlock"/>
    <w:rsid w:val="006A41D9"/>
    <w:rPr>
      <w:rFonts w:ascii="Times New Roman" w:hAnsi="Times New Roman" w:cs="Times New Roman"/>
      <w:sz w:val="24"/>
    </w:rPr>
  </w:style>
  <w:style w:type="paragraph" w:customStyle="1" w:styleId="EntText">
    <w:name w:val="EntText"/>
    <w:basedOn w:val="Normal"/>
    <w:rsid w:val="006A41D9"/>
    <w:pPr>
      <w:spacing w:before="120" w:after="120" w:line="360" w:lineRule="auto"/>
    </w:pPr>
    <w:rPr>
      <w:rFonts w:ascii="Times New Roman" w:hAnsi="Times New Roman" w:cs="Times New Roman"/>
      <w:sz w:val="24"/>
    </w:rPr>
  </w:style>
  <w:style w:type="paragraph" w:customStyle="1" w:styleId="Lignefinal">
    <w:name w:val="Ligne final"/>
    <w:basedOn w:val="Normal"/>
    <w:next w:val="Normal"/>
    <w:rsid w:val="006A41D9"/>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ormal"/>
    <w:link w:val="pjChar"/>
    <w:rsid w:val="006A41D9"/>
    <w:pPr>
      <w:spacing w:before="1200" w:after="120" w:line="240" w:lineRule="auto"/>
      <w:ind w:left="1440" w:hanging="1440"/>
    </w:pPr>
    <w:rPr>
      <w:rFonts w:ascii="Times New Roman" w:hAnsi="Times New Roman" w:cs="Times New Roman"/>
      <w:sz w:val="24"/>
    </w:rPr>
  </w:style>
  <w:style w:type="character" w:customStyle="1" w:styleId="pjChar">
    <w:name w:val="p.j. Char"/>
    <w:basedOn w:val="Text1Char"/>
    <w:link w:val="pj"/>
    <w:rsid w:val="006A41D9"/>
    <w:rPr>
      <w:rFonts w:ascii="Times New Roman" w:hAnsi="Times New Roman" w:cs="Times New Roman"/>
      <w:sz w:val="24"/>
    </w:rPr>
  </w:style>
  <w:style w:type="paragraph" w:customStyle="1" w:styleId="nbbordered">
    <w:name w:val="nb bordered"/>
    <w:basedOn w:val="Normal"/>
    <w:link w:val="nbborderedChar"/>
    <w:rsid w:val="006A41D9"/>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Text1Char"/>
    <w:link w:val="nbbordered"/>
    <w:rsid w:val="006A41D9"/>
    <w:rPr>
      <w:rFonts w:ascii="Times New Roman" w:hAnsi="Times New Roman" w:cs="Times New Roman"/>
      <w:b/>
      <w:sz w:val="24"/>
    </w:rPr>
  </w:style>
  <w:style w:type="paragraph" w:customStyle="1" w:styleId="HeaderCouncil">
    <w:name w:val="Header Council"/>
    <w:basedOn w:val="Normal"/>
    <w:link w:val="HeaderCouncilChar"/>
    <w:rsid w:val="006A41D9"/>
    <w:pPr>
      <w:spacing w:after="0" w:line="276" w:lineRule="auto"/>
    </w:pPr>
    <w:rPr>
      <w:sz w:val="2"/>
    </w:rPr>
  </w:style>
  <w:style w:type="character" w:customStyle="1" w:styleId="HeaderCouncilChar">
    <w:name w:val="Header Council Char"/>
    <w:basedOn w:val="DefaultParagraphFont"/>
    <w:link w:val="HeaderCouncil"/>
    <w:rsid w:val="006A41D9"/>
    <w:rPr>
      <w:sz w:val="2"/>
    </w:rPr>
  </w:style>
  <w:style w:type="paragraph" w:customStyle="1" w:styleId="HeaderCouncilLarge">
    <w:name w:val="Header Council Large"/>
    <w:basedOn w:val="Normal"/>
    <w:link w:val="HeaderCouncilLargeChar"/>
    <w:rsid w:val="006A41D9"/>
    <w:pPr>
      <w:spacing w:after="440" w:line="276" w:lineRule="auto"/>
    </w:pPr>
    <w:rPr>
      <w:sz w:val="2"/>
    </w:rPr>
  </w:style>
  <w:style w:type="character" w:customStyle="1" w:styleId="HeaderCouncilLargeChar">
    <w:name w:val="Header Council Large Char"/>
    <w:basedOn w:val="DefaultParagraphFont"/>
    <w:link w:val="HeaderCouncilLarge"/>
    <w:rsid w:val="006A41D9"/>
    <w:rPr>
      <w:sz w:val="2"/>
    </w:rPr>
  </w:style>
  <w:style w:type="paragraph" w:customStyle="1" w:styleId="FooterCouncil">
    <w:name w:val="Footer Council"/>
    <w:basedOn w:val="Normal"/>
    <w:link w:val="FooterCouncilChar"/>
    <w:rsid w:val="006A41D9"/>
    <w:pPr>
      <w:spacing w:after="0" w:line="276" w:lineRule="auto"/>
    </w:pPr>
    <w:rPr>
      <w:sz w:val="2"/>
    </w:rPr>
  </w:style>
  <w:style w:type="character" w:customStyle="1" w:styleId="FooterCouncilChar">
    <w:name w:val="Footer Council Char"/>
    <w:basedOn w:val="DefaultParagraphFont"/>
    <w:link w:val="FooterCouncil"/>
    <w:rsid w:val="006A41D9"/>
    <w:rPr>
      <w:sz w:val="2"/>
    </w:rPr>
  </w:style>
  <w:style w:type="paragraph" w:customStyle="1" w:styleId="FooterText">
    <w:name w:val="Footer Text"/>
    <w:basedOn w:val="Normal"/>
    <w:rsid w:val="006A41D9"/>
    <w:pPr>
      <w:spacing w:after="0" w:line="240" w:lineRule="auto"/>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6A41D9"/>
    <w:rPr>
      <w:color w:val="808080"/>
    </w:rPr>
  </w:style>
  <w:style w:type="character" w:styleId="FollowedHyperlink">
    <w:name w:val="FollowedHyperlink"/>
    <w:basedOn w:val="DefaultParagraphFont"/>
    <w:uiPriority w:val="99"/>
    <w:semiHidden/>
    <w:unhideWhenUsed/>
    <w:rsid w:val="006A41D9"/>
    <w:rPr>
      <w:color w:val="954F72" w:themeColor="followedHyperlink"/>
      <w:u w:val="single"/>
    </w:rPr>
  </w:style>
  <w:style w:type="character" w:customStyle="1" w:styleId="Mention1">
    <w:name w:val="Mention1"/>
    <w:basedOn w:val="DefaultParagraphFont"/>
    <w:uiPriority w:val="99"/>
    <w:unhideWhenUsed/>
    <w:rsid w:val="006A41D9"/>
    <w:rPr>
      <w:color w:val="2B579A"/>
      <w:shd w:val="clear" w:color="auto" w:fill="E6E6E6"/>
    </w:rPr>
  </w:style>
  <w:style w:type="character" w:customStyle="1" w:styleId="Mention2">
    <w:name w:val="Mention2"/>
    <w:basedOn w:val="DefaultParagraphFont"/>
    <w:uiPriority w:val="99"/>
    <w:unhideWhenUsed/>
    <w:rsid w:val="006A41D9"/>
    <w:rPr>
      <w:color w:val="2B579A"/>
      <w:shd w:val="clear" w:color="auto" w:fill="E1DFDD"/>
    </w:rPr>
  </w:style>
  <w:style w:type="character" w:customStyle="1" w:styleId="cf01">
    <w:name w:val="cf01"/>
    <w:basedOn w:val="DefaultParagraphFont"/>
    <w:rsid w:val="006A41D9"/>
    <w:rPr>
      <w:rFonts w:ascii="Segoe UI" w:hAnsi="Segoe UI" w:cs="Segoe UI" w:hint="default"/>
      <w:sz w:val="18"/>
    </w:rPr>
  </w:style>
  <w:style w:type="character" w:customStyle="1" w:styleId="Mention3">
    <w:name w:val="Mention3"/>
    <w:basedOn w:val="DefaultParagraphFont"/>
    <w:uiPriority w:val="99"/>
    <w:unhideWhenUsed/>
    <w:rsid w:val="006A41D9"/>
    <w:rPr>
      <w:color w:val="2B579A"/>
      <w:shd w:val="clear" w:color="auto" w:fill="E6E6E6"/>
    </w:rPr>
  </w:style>
  <w:style w:type="character" w:customStyle="1" w:styleId="Mention20">
    <w:name w:val="Mention20"/>
    <w:basedOn w:val="DefaultParagraphFont"/>
    <w:uiPriority w:val="99"/>
    <w:unhideWhenUsed/>
    <w:rsid w:val="006A41D9"/>
    <w:rPr>
      <w:color w:val="2B579A"/>
      <w:shd w:val="clear" w:color="auto" w:fill="E1DFDD"/>
    </w:rPr>
  </w:style>
  <w:style w:type="character" w:customStyle="1" w:styleId="UnresolvedMention1">
    <w:name w:val="Unresolved Mention1"/>
    <w:basedOn w:val="DefaultParagraphFont"/>
    <w:uiPriority w:val="99"/>
    <w:unhideWhenUsed/>
    <w:rsid w:val="006A41D9"/>
    <w:rPr>
      <w:color w:val="605E5C"/>
      <w:shd w:val="clear" w:color="auto" w:fill="E1DFDD"/>
    </w:rPr>
  </w:style>
  <w:style w:type="character" w:customStyle="1" w:styleId="Mention4">
    <w:name w:val="Mention4"/>
    <w:basedOn w:val="DefaultParagraphFont"/>
    <w:uiPriority w:val="99"/>
    <w:unhideWhenUsed/>
    <w:rsid w:val="006A41D9"/>
    <w:rPr>
      <w:color w:val="2B579A"/>
      <w:shd w:val="clear" w:color="auto" w:fill="E6E6E6"/>
    </w:rPr>
  </w:style>
  <w:style w:type="character" w:customStyle="1" w:styleId="Other1">
    <w:name w:val="Other|1_"/>
    <w:basedOn w:val="DefaultParagraphFont"/>
    <w:link w:val="Other10"/>
    <w:rsid w:val="006A41D9"/>
  </w:style>
  <w:style w:type="paragraph" w:customStyle="1" w:styleId="Other10">
    <w:name w:val="Other|1"/>
    <w:basedOn w:val="Normal"/>
    <w:link w:val="Other1"/>
    <w:rsid w:val="006A41D9"/>
    <w:pPr>
      <w:widowControl w:val="0"/>
      <w:spacing w:after="140"/>
    </w:pPr>
  </w:style>
  <w:style w:type="character" w:customStyle="1" w:styleId="Heading5Char">
    <w:name w:val="Heading 5 Char"/>
    <w:basedOn w:val="DefaultParagraphFont"/>
    <w:link w:val="Heading5"/>
    <w:uiPriority w:val="9"/>
    <w:rsid w:val="006A41D9"/>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rsid w:val="006A41D9"/>
    <w:rPr>
      <w:rFonts w:asciiTheme="majorHAnsi" w:eastAsiaTheme="majorEastAsia" w:hAnsiTheme="majorHAnsi" w:cstheme="majorBidi"/>
      <w:color w:val="272727" w:themeColor="text1" w:themeTint="D8"/>
      <w:sz w:val="21"/>
    </w:rPr>
  </w:style>
  <w:style w:type="paragraph" w:customStyle="1" w:styleId="Default">
    <w:name w:val="Default"/>
    <w:rsid w:val="006A41D9"/>
    <w:pPr>
      <w:autoSpaceDE w:val="0"/>
      <w:autoSpaceDN w:val="0"/>
      <w:adjustRightInd w:val="0"/>
      <w:spacing w:after="0" w:line="240" w:lineRule="auto"/>
    </w:pPr>
    <w:rPr>
      <w:rFonts w:ascii="Times New Roman" w:hAnsi="Times New Roman" w:cs="Times New Roman"/>
      <w:color w:val="000000"/>
      <w:sz w:val="24"/>
    </w:rPr>
  </w:style>
  <w:style w:type="paragraph" w:styleId="NoSpacing">
    <w:name w:val="No Spacing"/>
    <w:uiPriority w:val="1"/>
    <w:qFormat/>
    <w:rsid w:val="006A41D9"/>
    <w:pPr>
      <w:spacing w:after="0" w:line="240" w:lineRule="auto"/>
    </w:pPr>
  </w:style>
  <w:style w:type="paragraph" w:customStyle="1" w:styleId="xmsolistparagraph">
    <w:name w:val="x_msolistparagraph"/>
    <w:basedOn w:val="Normal"/>
    <w:rsid w:val="006A41D9"/>
    <w:pPr>
      <w:spacing w:after="0" w:line="240" w:lineRule="auto"/>
      <w:ind w:left="720"/>
    </w:pPr>
    <w:rPr>
      <w:rFonts w:ascii="Calibri" w:hAnsi="Calibri" w:cs="Times New Roman"/>
      <w:sz w:val="20"/>
    </w:rPr>
  </w:style>
  <w:style w:type="paragraph" w:customStyle="1" w:styleId="Titreaxe">
    <w:name w:val="Titre axe"/>
    <w:basedOn w:val="Heading3"/>
    <w:link w:val="TitreaxeCar"/>
    <w:qFormat/>
    <w:rsid w:val="006A41D9"/>
    <w:pPr>
      <w:keepLines/>
      <w:tabs>
        <w:tab w:val="clear" w:pos="850"/>
      </w:tabs>
      <w:spacing w:before="40" w:after="0" w:line="259" w:lineRule="auto"/>
      <w:ind w:left="0" w:firstLine="0"/>
      <w:jc w:val="left"/>
    </w:pPr>
    <w:rPr>
      <w:rFonts w:asciiTheme="majorHAnsi" w:hAnsiTheme="majorHAnsi" w:cstheme="majorBidi"/>
      <w:i w:val="0"/>
      <w:color w:val="1F3763" w:themeColor="accent1" w:themeShade="7F"/>
    </w:rPr>
  </w:style>
  <w:style w:type="paragraph" w:customStyle="1" w:styleId="Gdtitrechapitre">
    <w:name w:val="Gd titre chapitre"/>
    <w:basedOn w:val="ListParagraph"/>
    <w:link w:val="GdtitrechapitreCar"/>
    <w:qFormat/>
    <w:rsid w:val="006A41D9"/>
    <w:pPr>
      <w:numPr>
        <w:numId w:val="40"/>
      </w:numPr>
      <w:spacing w:after="80" w:line="240" w:lineRule="auto"/>
      <w:outlineLvl w:val="0"/>
    </w:pPr>
    <w:rPr>
      <w:rFonts w:ascii="Times New Roman" w:eastAsia="Times New Roman" w:hAnsi="Times New Roman" w:cs="Times New Roman"/>
      <w:b/>
      <w:color w:val="44546A" w:themeColor="text2"/>
      <w:sz w:val="50"/>
    </w:rPr>
  </w:style>
  <w:style w:type="character" w:customStyle="1" w:styleId="TitreaxeCar">
    <w:name w:val="Titre axe Car"/>
    <w:basedOn w:val="Heading3Char"/>
    <w:link w:val="Titreaxe"/>
    <w:rsid w:val="006A41D9"/>
    <w:rPr>
      <w:rFonts w:asciiTheme="majorHAnsi" w:eastAsiaTheme="majorEastAsia" w:hAnsiTheme="majorHAnsi" w:cstheme="majorBidi"/>
      <w:i w:val="0"/>
      <w:color w:val="1F3763" w:themeColor="accent1" w:themeShade="7F"/>
      <w:sz w:val="24"/>
    </w:rPr>
  </w:style>
  <w:style w:type="paragraph" w:customStyle="1" w:styleId="Titresection">
    <w:name w:val="Titre section"/>
    <w:link w:val="TitresectionCar"/>
    <w:qFormat/>
    <w:rsid w:val="006A41D9"/>
    <w:pPr>
      <w:numPr>
        <w:numId w:val="41"/>
      </w:numPr>
      <w:spacing w:after="80" w:line="240" w:lineRule="auto"/>
    </w:pPr>
    <w:rPr>
      <w:rFonts w:ascii="Times New Roman" w:eastAsia="Times New Roman" w:hAnsi="Times New Roman" w:cs="Times New Roman"/>
      <w:b/>
      <w:color w:val="44546A" w:themeColor="text2"/>
      <w:sz w:val="32"/>
      <w:u w:val="single"/>
    </w:rPr>
  </w:style>
  <w:style w:type="character" w:customStyle="1" w:styleId="GdtitrechapitreCar">
    <w:name w:val="Gd titre chapitre Car"/>
    <w:basedOn w:val="ListParagraphChar"/>
    <w:link w:val="Gdtitrechapitre"/>
    <w:rsid w:val="006A41D9"/>
    <w:rPr>
      <w:rFonts w:ascii="Times New Roman" w:eastAsia="Times New Roman" w:hAnsi="Times New Roman" w:cs="Times New Roman"/>
      <w:b/>
      <w:color w:val="44546A" w:themeColor="text2"/>
      <w:sz w:val="50"/>
    </w:rPr>
  </w:style>
  <w:style w:type="character" w:customStyle="1" w:styleId="TitresectionCar">
    <w:name w:val="Titre section Car"/>
    <w:basedOn w:val="DefaultParagraphFont"/>
    <w:link w:val="Titresection"/>
    <w:rsid w:val="006A41D9"/>
    <w:rPr>
      <w:rFonts w:ascii="Times New Roman" w:eastAsia="Times New Roman" w:hAnsi="Times New Roman" w:cs="Times New Roman"/>
      <w:b/>
      <w:color w:val="44546A" w:themeColor="text2"/>
      <w:sz w:val="32"/>
      <w:u w:val="single"/>
    </w:rPr>
  </w:style>
  <w:style w:type="paragraph" w:customStyle="1" w:styleId="Sous-sous-section">
    <w:name w:val="Sous- sous-section"/>
    <w:basedOn w:val="Default"/>
    <w:qFormat/>
    <w:rsid w:val="006A41D9"/>
    <w:pPr>
      <w:ind w:left="1440" w:hanging="360"/>
      <w:jc w:val="both"/>
    </w:pPr>
    <w:rPr>
      <w:rFonts w:ascii="Avenir Next LT Pro" w:hAnsi="Avenir Next LT Pro" w:cs="Arial"/>
      <w:b/>
      <w:color w:val="auto"/>
      <w:sz w:val="28"/>
    </w:rPr>
  </w:style>
  <w:style w:type="paragraph" w:customStyle="1" w:styleId="Titresous-section">
    <w:name w:val="Titre sous-section"/>
    <w:basedOn w:val="Titresection"/>
    <w:qFormat/>
    <w:rsid w:val="006A41D9"/>
    <w:pPr>
      <w:numPr>
        <w:numId w:val="42"/>
      </w:numPr>
    </w:pPr>
    <w:rPr>
      <w:sz w:val="24"/>
      <w:u w:val="none"/>
    </w:rPr>
  </w:style>
  <w:style w:type="paragraph" w:customStyle="1" w:styleId="TitreAxe0">
    <w:name w:val="Titre Axe"/>
    <w:basedOn w:val="Normal"/>
    <w:link w:val="TitreAxeCar0"/>
    <w:qFormat/>
    <w:rsid w:val="006A41D9"/>
    <w:pPr>
      <w:spacing w:after="0" w:line="240" w:lineRule="auto"/>
    </w:pPr>
    <w:rPr>
      <w:rFonts w:ascii="Times New Roman" w:hAnsi="Times New Roman" w:cs="Times New Roman"/>
      <w:b/>
      <w:color w:val="44546A" w:themeColor="text2"/>
      <w:sz w:val="72"/>
    </w:rPr>
  </w:style>
  <w:style w:type="character" w:customStyle="1" w:styleId="TitreAxeCar0">
    <w:name w:val="Titre Axe Car"/>
    <w:basedOn w:val="DefaultParagraphFont"/>
    <w:link w:val="TitreAxe0"/>
    <w:rsid w:val="006A41D9"/>
    <w:rPr>
      <w:rFonts w:ascii="Times New Roman" w:hAnsi="Times New Roman" w:cs="Times New Roman"/>
      <w:b/>
      <w:color w:val="44546A" w:themeColor="text2"/>
      <w:sz w:val="72"/>
    </w:rPr>
  </w:style>
  <w:style w:type="paragraph" w:customStyle="1" w:styleId="TitreComposante">
    <w:name w:val="Titre Composante"/>
    <w:basedOn w:val="Normal"/>
    <w:link w:val="TitreComposanteCar"/>
    <w:qFormat/>
    <w:rsid w:val="006A41D9"/>
    <w:pPr>
      <w:spacing w:line="276" w:lineRule="auto"/>
    </w:pPr>
    <w:rPr>
      <w:rFonts w:ascii="Times New Roman" w:eastAsia="Times New Roman" w:hAnsi="Times New Roman" w:cs="Times New Roman"/>
      <w:b/>
      <w:color w:val="44546A" w:themeColor="text2"/>
      <w:sz w:val="32"/>
    </w:rPr>
  </w:style>
  <w:style w:type="character" w:customStyle="1" w:styleId="TitreComposanteCar">
    <w:name w:val="Titre Composante Car"/>
    <w:basedOn w:val="DefaultParagraphFont"/>
    <w:link w:val="TitreComposante"/>
    <w:rsid w:val="006A41D9"/>
    <w:rPr>
      <w:rFonts w:ascii="Times New Roman" w:eastAsia="Times New Roman" w:hAnsi="Times New Roman" w:cs="Times New Roman"/>
      <w:b/>
      <w:color w:val="44546A" w:themeColor="text2"/>
      <w:sz w:val="32"/>
    </w:rPr>
  </w:style>
  <w:style w:type="paragraph" w:customStyle="1" w:styleId="Projet">
    <w:name w:val="Projet"/>
    <w:basedOn w:val="Normal"/>
    <w:link w:val="ProjetCar"/>
    <w:qFormat/>
    <w:rsid w:val="006A41D9"/>
    <w:rPr>
      <w:rFonts w:ascii="Avenir Next LT Pro" w:hAnsi="Avenir Next LT Pro"/>
      <w:b/>
      <w:color w:val="0070C0"/>
      <w:sz w:val="26"/>
    </w:rPr>
  </w:style>
  <w:style w:type="paragraph" w:customStyle="1" w:styleId="Sous-sectionprojet">
    <w:name w:val="Sous-section projet"/>
    <w:basedOn w:val="Normal"/>
    <w:link w:val="Sous-sectionprojetCar"/>
    <w:qFormat/>
    <w:rsid w:val="006A41D9"/>
    <w:pPr>
      <w:jc w:val="both"/>
    </w:pPr>
    <w:rPr>
      <w:rFonts w:ascii="Avenir Next LT Pro" w:hAnsi="Avenir Next LT Pro"/>
      <w:b/>
      <w:color w:val="00B0F0"/>
      <w:sz w:val="24"/>
    </w:rPr>
  </w:style>
  <w:style w:type="character" w:customStyle="1" w:styleId="ProjetCar">
    <w:name w:val="Projet Car"/>
    <w:basedOn w:val="DefaultParagraphFont"/>
    <w:link w:val="Projet"/>
    <w:rsid w:val="006A41D9"/>
    <w:rPr>
      <w:rFonts w:ascii="Avenir Next LT Pro" w:hAnsi="Avenir Next LT Pro"/>
      <w:b/>
      <w:color w:val="0070C0"/>
      <w:sz w:val="26"/>
    </w:rPr>
  </w:style>
  <w:style w:type="character" w:customStyle="1" w:styleId="Sous-sectionprojetCar">
    <w:name w:val="Sous-section projet Car"/>
    <w:basedOn w:val="DefaultParagraphFont"/>
    <w:link w:val="Sous-sectionprojet"/>
    <w:rsid w:val="006A41D9"/>
    <w:rPr>
      <w:rFonts w:ascii="Avenir Next LT Pro" w:hAnsi="Avenir Next LT Pro"/>
      <w:b/>
      <w:color w:val="00B0F0"/>
      <w:sz w:val="24"/>
    </w:rPr>
  </w:style>
  <w:style w:type="paragraph" w:customStyle="1" w:styleId="Jalonsetcibles">
    <w:name w:val="Jalons et cibles"/>
    <w:basedOn w:val="TitreComposante"/>
    <w:link w:val="JalonsetciblesCar"/>
    <w:qFormat/>
    <w:rsid w:val="006A41D9"/>
    <w:rPr>
      <w:rFonts w:eastAsia="Yu Gothic"/>
    </w:rPr>
  </w:style>
  <w:style w:type="character" w:customStyle="1" w:styleId="JalonsetciblesCar">
    <w:name w:val="Jalons et cibles Car"/>
    <w:basedOn w:val="TitreComposanteCar"/>
    <w:link w:val="Jalonsetcibles"/>
    <w:rsid w:val="006A41D9"/>
    <w:rPr>
      <w:rFonts w:ascii="Times New Roman" w:eastAsia="Yu Gothic" w:hAnsi="Times New Roman" w:cs="Times New Roman"/>
      <w:b/>
      <w:color w:val="44546A" w:themeColor="text2"/>
      <w:sz w:val="32"/>
    </w:rPr>
  </w:style>
  <w:style w:type="table" w:styleId="TableGridLight">
    <w:name w:val="Grid Table Light"/>
    <w:basedOn w:val="TableNormal"/>
    <w:uiPriority w:val="40"/>
    <w:rsid w:val="006A41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Titresous-section"/>
    <w:link w:val="BodyTextChar"/>
    <w:uiPriority w:val="1"/>
    <w:qFormat/>
    <w:rsid w:val="006A41D9"/>
    <w:pPr>
      <w:widowControl w:val="0"/>
      <w:numPr>
        <w:numId w:val="0"/>
      </w:numPr>
      <w:autoSpaceDE w:val="0"/>
      <w:autoSpaceDN w:val="0"/>
      <w:spacing w:after="0"/>
      <w:ind w:left="720" w:hanging="360"/>
    </w:pPr>
    <w:rPr>
      <w:rFonts w:ascii="Tahoma" w:eastAsia="Tahoma" w:hAnsi="Tahoma" w:cs="Tahoma"/>
    </w:rPr>
  </w:style>
  <w:style w:type="character" w:customStyle="1" w:styleId="BodyTextChar">
    <w:name w:val="Body Text Char"/>
    <w:basedOn w:val="DefaultParagraphFont"/>
    <w:link w:val="BodyText"/>
    <w:uiPriority w:val="1"/>
    <w:rsid w:val="006A41D9"/>
    <w:rPr>
      <w:rFonts w:ascii="Tahoma" w:eastAsia="Tahoma" w:hAnsi="Tahoma" w:cs="Tahoma"/>
      <w:b/>
      <w:color w:val="44546A" w:themeColor="text2"/>
      <w:sz w:val="24"/>
    </w:rPr>
  </w:style>
  <w:style w:type="character" w:customStyle="1" w:styleId="findhit">
    <w:name w:val="findhit"/>
    <w:basedOn w:val="DefaultParagraphFont"/>
    <w:rsid w:val="006A41D9"/>
  </w:style>
  <w:style w:type="character" w:customStyle="1" w:styleId="Sous-projetCar">
    <w:name w:val="Sous-projet Car"/>
    <w:basedOn w:val="DefaultParagraphFont"/>
    <w:link w:val="Sous-projet"/>
    <w:locked/>
    <w:rsid w:val="006A41D9"/>
    <w:rPr>
      <w:rFonts w:ascii="Avenir Next LT Pro" w:hAnsi="Avenir Next LT Pro" w:cs="Arial"/>
      <w:b/>
      <w:color w:val="4472C4" w:themeColor="accent1"/>
    </w:rPr>
  </w:style>
  <w:style w:type="paragraph" w:customStyle="1" w:styleId="Sous-projet">
    <w:name w:val="Sous-projet"/>
    <w:basedOn w:val="Normal"/>
    <w:link w:val="Sous-projetCar"/>
    <w:qFormat/>
    <w:rsid w:val="006A41D9"/>
    <w:pPr>
      <w:spacing w:after="80" w:line="240" w:lineRule="auto"/>
    </w:pPr>
    <w:rPr>
      <w:rFonts w:ascii="Avenir Next LT Pro" w:hAnsi="Avenir Next LT Pro" w:cs="Arial"/>
      <w:b/>
      <w:color w:val="4472C4" w:themeColor="accent1"/>
    </w:rPr>
  </w:style>
  <w:style w:type="character" w:customStyle="1" w:styleId="Mention10">
    <w:name w:val="Mention10"/>
    <w:basedOn w:val="DefaultParagraphFont"/>
    <w:uiPriority w:val="99"/>
    <w:unhideWhenUsed/>
    <w:rsid w:val="006A41D9"/>
    <w:rPr>
      <w:color w:val="2B579A"/>
      <w:shd w:val="clear" w:color="auto" w:fill="E1DFDD"/>
    </w:rPr>
  </w:style>
  <w:style w:type="character" w:customStyle="1" w:styleId="scxw241096750">
    <w:name w:val="scxw241096750"/>
    <w:basedOn w:val="DefaultParagraphFont"/>
    <w:rsid w:val="00122B06"/>
  </w:style>
  <w:style w:type="character" w:customStyle="1" w:styleId="scxw251687969">
    <w:name w:val="scxw251687969"/>
    <w:basedOn w:val="DefaultParagraphFont"/>
    <w:rsid w:val="004F4607"/>
  </w:style>
  <w:style w:type="character" w:customStyle="1" w:styleId="UnresolvedMention2">
    <w:name w:val="Unresolved Mention2"/>
    <w:basedOn w:val="DefaultParagraphFont"/>
    <w:uiPriority w:val="99"/>
    <w:semiHidden/>
    <w:unhideWhenUsed/>
    <w:rsid w:val="00AA48E3"/>
    <w:rPr>
      <w:color w:val="605E5C"/>
      <w:shd w:val="clear" w:color="auto" w:fill="E1DFDD"/>
    </w:rPr>
  </w:style>
  <w:style w:type="paragraph" w:customStyle="1" w:styleId="pf1">
    <w:name w:val="pf1"/>
    <w:basedOn w:val="Normal"/>
    <w:rsid w:val="00ED1312"/>
    <w:pPr>
      <w:spacing w:before="100" w:beforeAutospacing="1" w:after="100" w:afterAutospacing="1" w:line="240" w:lineRule="auto"/>
    </w:pPr>
    <w:rPr>
      <w:rFonts w:ascii="Times New Roman" w:eastAsia="Times New Roman" w:hAnsi="Times New Roman" w:cs="Times New Roman"/>
      <w:sz w:val="24"/>
    </w:rPr>
  </w:style>
  <w:style w:type="character" w:customStyle="1" w:styleId="Mention200">
    <w:name w:val="Mention200"/>
    <w:basedOn w:val="DefaultParagraphFont"/>
    <w:uiPriority w:val="99"/>
    <w:unhideWhenUsed/>
    <w:rsid w:val="00A4101C"/>
    <w:rPr>
      <w:color w:val="2B579A"/>
      <w:shd w:val="clear" w:color="auto" w:fill="E1DFDD"/>
    </w:rPr>
  </w:style>
  <w:style w:type="character" w:customStyle="1" w:styleId="Mention2000">
    <w:name w:val="Mention2000"/>
    <w:basedOn w:val="DefaultParagraphFont"/>
    <w:uiPriority w:val="99"/>
    <w:unhideWhenUsed/>
    <w:rsid w:val="00A343C3"/>
    <w:rPr>
      <w:color w:val="2B579A"/>
      <w:shd w:val="clear" w:color="auto" w:fill="E1DFDD"/>
    </w:rPr>
  </w:style>
  <w:style w:type="character" w:customStyle="1" w:styleId="Mention">
    <w:name w:val="Mention"/>
    <w:basedOn w:val="DefaultParagraphFont"/>
    <w:uiPriority w:val="99"/>
    <w:unhideWhenUsed/>
    <w:rsid w:val="007A366C"/>
    <w:rPr>
      <w:color w:val="2B579A"/>
      <w:shd w:val="clear" w:color="auto" w:fill="E1DFDD"/>
    </w:rPr>
  </w:style>
  <w:style w:type="paragraph" w:customStyle="1" w:styleId="P68B1DB1-Normal1">
    <w:name w:val="P68B1DB1-Normal1"/>
    <w:basedOn w:val="Normal"/>
    <w:rPr>
      <w:rFonts w:ascii="Times New Roman" w:hAnsi="Times New Roman"/>
      <w:sz w:val="24"/>
    </w:rPr>
  </w:style>
  <w:style w:type="paragraph" w:customStyle="1" w:styleId="P68B1DB1-Text12">
    <w:name w:val="P68B1DB1-Text12"/>
    <w:basedOn w:val="Text1"/>
    <w:rPr>
      <w:color w:val="000000" w:themeColor="text1"/>
      <w:u w:val="single"/>
    </w:rPr>
  </w:style>
  <w:style w:type="paragraph" w:customStyle="1" w:styleId="P68B1DB1-Text13">
    <w:name w:val="P68B1DB1-Text13"/>
    <w:basedOn w:val="Text1"/>
    <w:rPr>
      <w:color w:val="000000" w:themeColor="text1"/>
    </w:rPr>
  </w:style>
  <w:style w:type="paragraph" w:customStyle="1" w:styleId="P68B1DB1-Bodytext214">
    <w:name w:val="P68B1DB1-Bodytext214"/>
    <w:basedOn w:val="Bodytext21"/>
    <w:rPr>
      <w:rFonts w:ascii="Times New Roman" w:hAnsi="Times New Roman"/>
      <w:color w:val="000000" w:themeColor="text1"/>
      <w:sz w:val="24"/>
    </w:rPr>
  </w:style>
  <w:style w:type="paragraph" w:customStyle="1" w:styleId="P68B1DB1-Normal5">
    <w:name w:val="P68B1DB1-Normal5"/>
    <w:basedOn w:val="Normal"/>
    <w:rPr>
      <w:rFonts w:ascii="Times New Roman" w:hAnsi="Times New Roman"/>
      <w:color w:val="000000" w:themeColor="text1"/>
      <w:sz w:val="24"/>
    </w:rPr>
  </w:style>
  <w:style w:type="paragraph" w:customStyle="1" w:styleId="P68B1DB1-Normal6">
    <w:name w:val="P68B1DB1-Normal6"/>
    <w:basedOn w:val="Normal"/>
    <w:rPr>
      <w:color w:val="000000" w:themeColor="text1"/>
      <w:u w:val="single"/>
    </w:rPr>
  </w:style>
  <w:style w:type="paragraph" w:customStyle="1" w:styleId="P68B1DB1-Normal7">
    <w:name w:val="P68B1DB1-Normal7"/>
    <w:basedOn w:val="Normal"/>
    <w:rPr>
      <w:rFonts w:ascii="Times New Roman" w:hAnsi="Times New Roman"/>
      <w:b/>
      <w:sz w:val="20"/>
    </w:rPr>
  </w:style>
  <w:style w:type="paragraph" w:customStyle="1" w:styleId="P68B1DB1-Normal8">
    <w:name w:val="P68B1DB1-Normal8"/>
    <w:basedOn w:val="Normal"/>
    <w:rPr>
      <w:rFonts w:ascii="Times New Roman" w:hAnsi="Times New Roman"/>
      <w:color w:val="006100"/>
    </w:rPr>
  </w:style>
  <w:style w:type="paragraph" w:customStyle="1" w:styleId="P68B1DB1-Text19">
    <w:name w:val="P68B1DB1-Text19"/>
    <w:basedOn w:val="Text1"/>
    <w:rPr>
      <w:u w:val="single"/>
    </w:rPr>
  </w:style>
  <w:style w:type="paragraph" w:customStyle="1" w:styleId="P68B1DB1-ListParagraph10">
    <w:name w:val="P68B1DB1-ListParagraph10"/>
    <w:basedOn w:val="ListParagraph"/>
    <w:rPr>
      <w:rFonts w:ascii="Times New Roman" w:hAnsi="Times New Roman"/>
      <w:color w:val="006100"/>
    </w:rPr>
  </w:style>
  <w:style w:type="paragraph" w:customStyle="1" w:styleId="P68B1DB1-Normal11">
    <w:name w:val="P68B1DB1-Normal11"/>
    <w:basedOn w:val="Normal"/>
    <w:rPr>
      <w:rFonts w:ascii="Times New Roman" w:hAnsi="Times New Roman"/>
      <w:sz w:val="24"/>
      <w:u w:val="single"/>
    </w:rPr>
  </w:style>
  <w:style w:type="paragraph" w:customStyle="1" w:styleId="P68B1DB1-Normal12">
    <w:name w:val="P68B1DB1-Normal12"/>
    <w:basedOn w:val="Normal"/>
    <w:rPr>
      <w:rFonts w:ascii="Times New Roman" w:hAnsi="Times New Roman"/>
      <w:b/>
      <w:sz w:val="16"/>
    </w:rPr>
  </w:style>
  <w:style w:type="paragraph" w:customStyle="1" w:styleId="P68B1DB1-Normal13">
    <w:name w:val="P68B1DB1-Normal13"/>
    <w:basedOn w:val="Normal"/>
    <w:rPr>
      <w:rFonts w:ascii="Times New Roman" w:hAnsi="Times New Roman"/>
    </w:rPr>
  </w:style>
  <w:style w:type="paragraph" w:customStyle="1" w:styleId="P68B1DB1-Normal14">
    <w:name w:val="P68B1DB1-Normal14"/>
    <w:basedOn w:val="Normal"/>
    <w:rPr>
      <w:rFonts w:ascii="Times New Roman" w:hAnsi="Times New Roman"/>
      <w:color w:val="006100"/>
      <w:sz w:val="20"/>
    </w:rPr>
  </w:style>
  <w:style w:type="paragraph" w:customStyle="1" w:styleId="P68B1DB1-Normal15">
    <w:name w:val="P68B1DB1-Normal15"/>
    <w:basedOn w:val="Normal"/>
    <w:rPr>
      <w:rFonts w:ascii="Times New Roman" w:hAnsi="Times New Roman"/>
      <w:b/>
    </w:rPr>
  </w:style>
  <w:style w:type="paragraph" w:customStyle="1" w:styleId="P68B1DB1-ListParagraph16">
    <w:name w:val="P68B1DB1-ListParagraph16"/>
    <w:basedOn w:val="ListParagraph"/>
    <w:rPr>
      <w:rFonts w:ascii="Times New Roman" w:hAnsi="Times New Roman"/>
      <w:sz w:val="24"/>
    </w:rPr>
  </w:style>
  <w:style w:type="paragraph" w:customStyle="1" w:styleId="P68B1DB1-Normal17">
    <w:name w:val="P68B1DB1-Normal17"/>
    <w:basedOn w:val="Normal"/>
    <w:rPr>
      <w:rFonts w:ascii="Times New Roman" w:hAnsi="Times New Roman"/>
      <w:color w:val="006100"/>
      <w:u w:val="single"/>
    </w:rPr>
  </w:style>
  <w:style w:type="paragraph" w:customStyle="1" w:styleId="P68B1DB1-Normal18">
    <w:name w:val="P68B1DB1-Normal18"/>
    <w:basedOn w:val="Normal"/>
    <w:rPr>
      <w:rFonts w:ascii="Times New Roman" w:hAnsi="Times New Roman"/>
      <w:color w:val="375623"/>
    </w:rPr>
  </w:style>
  <w:style w:type="paragraph" w:customStyle="1" w:styleId="P68B1DB1-Normal19">
    <w:name w:val="P68B1DB1-Normal19"/>
    <w:basedOn w:val="Normal"/>
    <w:rPr>
      <w:u w:val="single"/>
    </w:rPr>
  </w:style>
  <w:style w:type="paragraph" w:customStyle="1" w:styleId="P68B1DB1-Normal20">
    <w:name w:val="P68B1DB1-Normal20"/>
    <w:basedOn w:val="Normal"/>
    <w:rPr>
      <w:color w:val="000000"/>
    </w:rPr>
  </w:style>
  <w:style w:type="paragraph" w:customStyle="1" w:styleId="P68B1DB1-Jalonsetcibles21">
    <w:name w:val="P68B1DB1-Jalonsetcibles21"/>
    <w:basedOn w:val="Jalonsetcibles"/>
    <w:rPr>
      <w:caps/>
      <w:color w:val="auto"/>
      <w:sz w:val="24"/>
    </w:rPr>
  </w:style>
  <w:style w:type="paragraph" w:customStyle="1" w:styleId="P68B1DB1-Jalonsetcibles22">
    <w:name w:val="P68B1DB1-Jalonsetcibles22"/>
    <w:basedOn w:val="Jalonsetcibles"/>
    <w:rPr>
      <w:b w:val="0"/>
      <w:color w:val="auto"/>
      <w:sz w:val="24"/>
      <w:u w:val="single"/>
    </w:rPr>
  </w:style>
  <w:style w:type="paragraph" w:customStyle="1" w:styleId="P68B1DB1-Jalonsetcibles23">
    <w:name w:val="P68B1DB1-Jalonsetcibles23"/>
    <w:basedOn w:val="Jalonsetcibles"/>
    <w:rPr>
      <w:b w:val="0"/>
      <w:color w:val="auto"/>
      <w:sz w:val="24"/>
    </w:rPr>
  </w:style>
  <w:style w:type="paragraph" w:customStyle="1" w:styleId="P68B1DB1-Normal24">
    <w:name w:val="P68B1DB1-Normal24"/>
    <w:basedOn w:val="Normal"/>
    <w:rPr>
      <w:b/>
      <w:sz w:val="24"/>
      <w:u w:val="single"/>
    </w:rPr>
  </w:style>
  <w:style w:type="paragraph" w:customStyle="1" w:styleId="P68B1DB1-Jalonsetcibles25">
    <w:name w:val="P68B1DB1-Jalonsetcibles25"/>
    <w:basedOn w:val="Jalonsetcibles"/>
    <w:rPr>
      <w:color w:val="auto"/>
      <w:sz w:val="24"/>
      <w:u w:val="single"/>
    </w:rPr>
  </w:style>
  <w:style w:type="paragraph" w:customStyle="1" w:styleId="P68B1DB1-Normal26">
    <w:name w:val="P68B1DB1-Normal26"/>
    <w:basedOn w:val="Normal"/>
    <w:rPr>
      <w:b/>
      <w:sz w:val="24"/>
    </w:rPr>
  </w:style>
  <w:style w:type="paragraph" w:customStyle="1" w:styleId="P68B1DB1-Jalonsetcibles27">
    <w:name w:val="P68B1DB1-Jalonsetcibles27"/>
    <w:basedOn w:val="Jalonsetcibles"/>
    <w:rPr>
      <w:b w:val="0"/>
      <w:sz w:val="24"/>
    </w:rPr>
  </w:style>
  <w:style w:type="paragraph" w:customStyle="1" w:styleId="P68B1DB1-Jalonsetcibles28">
    <w:name w:val="P68B1DB1-Jalonsetcibles28"/>
    <w:basedOn w:val="Jalonsetcibles"/>
    <w:rPr>
      <w:color w:val="000000" w:themeColor="text1"/>
      <w:sz w:val="24"/>
      <w:u w:val="single"/>
    </w:rPr>
  </w:style>
  <w:style w:type="paragraph" w:customStyle="1" w:styleId="P68B1DB1-Jalonsetcibles29">
    <w:name w:val="P68B1DB1-Jalonsetcibles29"/>
    <w:basedOn w:val="Jalonsetcibles"/>
    <w:rPr>
      <w:b w:val="0"/>
      <w:color w:val="000000" w:themeColor="text1"/>
      <w:sz w:val="24"/>
      <w:u w:val="single"/>
    </w:rPr>
  </w:style>
  <w:style w:type="paragraph" w:customStyle="1" w:styleId="P68B1DB1-Jalonsetcibles30">
    <w:name w:val="P68B1DB1-Jalonsetcibles30"/>
    <w:basedOn w:val="Jalonsetcibles"/>
    <w:rPr>
      <w:b w:val="0"/>
      <w:color w:val="000000" w:themeColor="text1"/>
      <w:sz w:val="24"/>
    </w:rPr>
  </w:style>
  <w:style w:type="paragraph" w:customStyle="1" w:styleId="P68B1DB1-Default31">
    <w:name w:val="P68B1DB1-Default31"/>
    <w:basedOn w:val="Default"/>
    <w:rPr>
      <w:color w:val="006100"/>
      <w:sz w:val="22"/>
    </w:rPr>
  </w:style>
  <w:style w:type="paragraph" w:customStyle="1" w:styleId="P68B1DB1-Text132">
    <w:name w:val="P68B1DB1-Text132"/>
    <w:basedOn w:val="Text1"/>
    <w:rPr>
      <w:b/>
      <w:u w:val="single"/>
    </w:rPr>
  </w:style>
  <w:style w:type="paragraph" w:customStyle="1" w:styleId="P68B1DB1-paragraph33">
    <w:name w:val="P68B1DB1-paragraph33"/>
    <w:basedOn w:val="paragraph"/>
    <w:rPr>
      <w:color w:val="006100"/>
    </w:rPr>
  </w:style>
  <w:style w:type="paragraph" w:customStyle="1" w:styleId="P68B1DB1-Text134">
    <w:name w:val="P68B1DB1-Text134"/>
    <w:basedOn w:val="Text1"/>
    <w:rPr>
      <w:color w:val="006100"/>
    </w:rPr>
  </w:style>
  <w:style w:type="paragraph" w:customStyle="1" w:styleId="P68B1DB1-Normal35">
    <w:name w:val="P68B1DB1-Normal35"/>
    <w:basedOn w:val="Normal"/>
    <w:rPr>
      <w:color w:val="006100"/>
    </w:rPr>
  </w:style>
  <w:style w:type="paragraph" w:customStyle="1" w:styleId="P68B1DB1-Normal36">
    <w:name w:val="P68B1DB1-Normal36"/>
    <w:basedOn w:val="Normal"/>
    <w:rPr>
      <w:rFonts w:ascii="Times New Roman" w:hAnsi="Times New Roman"/>
      <w:b/>
      <w:color w:val="000000" w:themeColor="text1"/>
    </w:rPr>
  </w:style>
  <w:style w:type="paragraph" w:customStyle="1" w:styleId="P68B1DB1-Jalonsetcibles37">
    <w:name w:val="P68B1DB1-Jalonsetcibles37"/>
    <w:basedOn w:val="Jalonsetcibles"/>
    <w:rPr>
      <w:sz w:val="24"/>
    </w:rPr>
  </w:style>
  <w:style w:type="paragraph" w:customStyle="1" w:styleId="P68B1DB1-TitreComposante38">
    <w:name w:val="P68B1DB1-TitreComposante38"/>
    <w:basedOn w:val="TitreComposante"/>
    <w:rPr>
      <w:b w:val="0"/>
      <w:color w:val="auto"/>
      <w:sz w:val="24"/>
    </w:rPr>
  </w:style>
  <w:style w:type="paragraph" w:customStyle="1" w:styleId="P68B1DB1-Normal39">
    <w:name w:val="P68B1DB1-Normal39"/>
    <w:basedOn w:val="Normal"/>
    <w:rPr>
      <w:rFonts w:ascii="Times New Roman" w:hAnsi="Times New Roman"/>
      <w:b/>
      <w:color w:val="000000"/>
      <w:sz w:val="20"/>
    </w:rPr>
  </w:style>
  <w:style w:type="paragraph" w:customStyle="1" w:styleId="P68B1DB1-Normal40">
    <w:name w:val="P68B1DB1-Normal40"/>
    <w:basedOn w:val="Normal"/>
    <w:rPr>
      <w:rFonts w:ascii="Times New Roman" w:hAnsi="Times New Roman"/>
      <w:color w:val="000000"/>
      <w:sz w:val="20"/>
    </w:rPr>
  </w:style>
  <w:style w:type="paragraph" w:customStyle="1" w:styleId="P68B1DB1-Normal41">
    <w:name w:val="P68B1DB1-Normal41"/>
    <w:basedOn w:val="Normal"/>
    <w:rPr>
      <w:rFonts w:ascii="Times New Roman" w:hAnsi="Times New Roman" w:cs="Times New Roman"/>
    </w:rPr>
  </w:style>
  <w:style w:type="paragraph" w:customStyle="1" w:styleId="P68B1DB1-FootnoteText42">
    <w:name w:val="P68B1DB1-FootnoteText42"/>
    <w:basedOn w:val="FootnoteTex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72727">
      <w:bodyDiv w:val="1"/>
      <w:marLeft w:val="0"/>
      <w:marRight w:val="0"/>
      <w:marTop w:val="0"/>
      <w:marBottom w:val="0"/>
      <w:divBdr>
        <w:top w:val="none" w:sz="0" w:space="0" w:color="auto"/>
        <w:left w:val="none" w:sz="0" w:space="0" w:color="auto"/>
        <w:bottom w:val="none" w:sz="0" w:space="0" w:color="auto"/>
        <w:right w:val="none" w:sz="0" w:space="0" w:color="auto"/>
      </w:divBdr>
    </w:div>
    <w:div w:id="1259370866">
      <w:bodyDiv w:val="1"/>
      <w:marLeft w:val="0"/>
      <w:marRight w:val="0"/>
      <w:marTop w:val="0"/>
      <w:marBottom w:val="0"/>
      <w:divBdr>
        <w:top w:val="none" w:sz="0" w:space="0" w:color="auto"/>
        <w:left w:val="none" w:sz="0" w:space="0" w:color="auto"/>
        <w:bottom w:val="none" w:sz="0" w:space="0" w:color="auto"/>
        <w:right w:val="none" w:sz="0" w:space="0" w:color="auto"/>
      </w:divBdr>
    </w:div>
    <w:div w:id="1743408309">
      <w:bodyDiv w:val="1"/>
      <w:marLeft w:val="0"/>
      <w:marRight w:val="0"/>
      <w:marTop w:val="0"/>
      <w:marBottom w:val="0"/>
      <w:divBdr>
        <w:top w:val="none" w:sz="0" w:space="0" w:color="auto"/>
        <w:left w:val="none" w:sz="0" w:space="0" w:color="auto"/>
        <w:bottom w:val="none" w:sz="0" w:space="0" w:color="auto"/>
        <w:right w:val="none" w:sz="0" w:space="0" w:color="auto"/>
      </w:divBdr>
    </w:div>
    <w:div w:id="2106149635">
      <w:bodyDiv w:val="1"/>
      <w:marLeft w:val="0"/>
      <w:marRight w:val="0"/>
      <w:marTop w:val="0"/>
      <w:marBottom w:val="0"/>
      <w:divBdr>
        <w:top w:val="none" w:sz="0" w:space="0" w:color="auto"/>
        <w:left w:val="none" w:sz="0" w:space="0" w:color="auto"/>
        <w:bottom w:val="none" w:sz="0" w:space="0" w:color="auto"/>
        <w:right w:val="none" w:sz="0" w:space="0" w:color="auto"/>
      </w:divBdr>
    </w:div>
    <w:div w:id="21067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header" Target="header75.xml"/><Relationship Id="rId170" Type="http://schemas.openxmlformats.org/officeDocument/2006/relationships/header" Target="header80.xml"/><Relationship Id="rId191" Type="http://schemas.openxmlformats.org/officeDocument/2006/relationships/header" Target="header91.xml"/><Relationship Id="rId205" Type="http://schemas.openxmlformats.org/officeDocument/2006/relationships/footer" Target="footer97.xml"/><Relationship Id="rId226" Type="http://schemas.openxmlformats.org/officeDocument/2006/relationships/header" Target="header108.xml"/><Relationship Id="rId107" Type="http://schemas.openxmlformats.org/officeDocument/2006/relationships/footer" Target="footer48.xml"/><Relationship Id="rId11" Type="http://schemas.openxmlformats.org/officeDocument/2006/relationships/image" Target="media/image1.emf"/><Relationship Id="rId32" Type="http://schemas.openxmlformats.org/officeDocument/2006/relationships/header" Target="header11.xml"/><Relationship Id="rId53" Type="http://schemas.openxmlformats.org/officeDocument/2006/relationships/footer" Target="footer21.xml"/><Relationship Id="rId74" Type="http://schemas.openxmlformats.org/officeDocument/2006/relationships/header" Target="header32.xml"/><Relationship Id="rId128" Type="http://schemas.openxmlformats.org/officeDocument/2006/relationships/footer" Target="footer58.xml"/><Relationship Id="rId149" Type="http://schemas.openxmlformats.org/officeDocument/2006/relationships/footer" Target="footer69.xml"/><Relationship Id="rId5" Type="http://schemas.openxmlformats.org/officeDocument/2006/relationships/numbering" Target="numbering.xml"/><Relationship Id="rId95" Type="http://schemas.openxmlformats.org/officeDocument/2006/relationships/header" Target="header43.xml"/><Relationship Id="rId160" Type="http://schemas.openxmlformats.org/officeDocument/2006/relationships/footer" Target="footer74.xml"/><Relationship Id="rId181" Type="http://schemas.openxmlformats.org/officeDocument/2006/relationships/footer" Target="footer85.xml"/><Relationship Id="rId216" Type="http://schemas.openxmlformats.org/officeDocument/2006/relationships/footer" Target="footer102.xml"/><Relationship Id="rId237" Type="http://schemas.openxmlformats.org/officeDocument/2006/relationships/footer" Target="footer113.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footer" Target="footer108.xml"/><Relationship Id="rId201" Type="http://schemas.openxmlformats.org/officeDocument/2006/relationships/footer" Target="footer95.xml"/><Relationship Id="rId222" Type="http://schemas.openxmlformats.org/officeDocument/2006/relationships/header" Target="header106.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header" Target="header14.xml"/><Relationship Id="rId59" Type="http://schemas.openxmlformats.org/officeDocument/2006/relationships/header" Target="header25.xml"/><Relationship Id="rId103" Type="http://schemas.openxmlformats.org/officeDocument/2006/relationships/header" Target="header47.xml"/><Relationship Id="rId108" Type="http://schemas.openxmlformats.org/officeDocument/2006/relationships/header" Target="header49.xml"/><Relationship Id="rId124" Type="http://schemas.openxmlformats.org/officeDocument/2006/relationships/header" Target="header57.xml"/><Relationship Id="rId129" Type="http://schemas.openxmlformats.org/officeDocument/2006/relationships/footer" Target="footer59.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footer" Target="footer40.xml"/><Relationship Id="rId96" Type="http://schemas.openxmlformats.org/officeDocument/2006/relationships/footer" Target="footer42.xml"/><Relationship Id="rId140" Type="http://schemas.openxmlformats.org/officeDocument/2006/relationships/header" Target="header65.xml"/><Relationship Id="rId145" Type="http://schemas.openxmlformats.org/officeDocument/2006/relationships/footer" Target="footer67.xml"/><Relationship Id="rId161" Type="http://schemas.openxmlformats.org/officeDocument/2006/relationships/footer" Target="footer75.xml"/><Relationship Id="rId166" Type="http://schemas.openxmlformats.org/officeDocument/2006/relationships/header" Target="header78.xml"/><Relationship Id="rId182" Type="http://schemas.openxmlformats.org/officeDocument/2006/relationships/header" Target="header86.xml"/><Relationship Id="rId187" Type="http://schemas.openxmlformats.org/officeDocument/2006/relationships/footer" Target="footer88.xml"/><Relationship Id="rId217" Type="http://schemas.openxmlformats.org/officeDocument/2006/relationships/footer" Target="footer103.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01.xml"/><Relationship Id="rId233" Type="http://schemas.openxmlformats.org/officeDocument/2006/relationships/footer" Target="footer111.xml"/><Relationship Id="rId238" Type="http://schemas.openxmlformats.org/officeDocument/2006/relationships/header" Target="header114.xml"/><Relationship Id="rId23" Type="http://schemas.openxmlformats.org/officeDocument/2006/relationships/footer" Target="footer6.xml"/><Relationship Id="rId28" Type="http://schemas.openxmlformats.org/officeDocument/2006/relationships/footer" Target="footer8.xml"/><Relationship Id="rId49" Type="http://schemas.openxmlformats.org/officeDocument/2006/relationships/footer" Target="footer19.xml"/><Relationship Id="rId114" Type="http://schemas.openxmlformats.org/officeDocument/2006/relationships/header" Target="header52.xml"/><Relationship Id="rId119" Type="http://schemas.openxmlformats.org/officeDocument/2006/relationships/header" Target="header55.xml"/><Relationship Id="rId44" Type="http://schemas.openxmlformats.org/officeDocument/2006/relationships/footer" Target="footer16.xml"/><Relationship Id="rId60" Type="http://schemas.openxmlformats.org/officeDocument/2006/relationships/footer" Target="footer24.xml"/><Relationship Id="rId65" Type="http://schemas.openxmlformats.org/officeDocument/2006/relationships/header" Target="header28.xml"/><Relationship Id="rId81" Type="http://schemas.openxmlformats.org/officeDocument/2006/relationships/footer" Target="footer35.xml"/><Relationship Id="rId86" Type="http://schemas.openxmlformats.org/officeDocument/2006/relationships/header" Target="header38.xml"/><Relationship Id="rId130" Type="http://schemas.openxmlformats.org/officeDocument/2006/relationships/header" Target="header60.xml"/><Relationship Id="rId135" Type="http://schemas.openxmlformats.org/officeDocument/2006/relationships/header" Target="header63.xml"/><Relationship Id="rId151" Type="http://schemas.openxmlformats.org/officeDocument/2006/relationships/header" Target="header71.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172" Type="http://schemas.openxmlformats.org/officeDocument/2006/relationships/header" Target="header81.xml"/><Relationship Id="rId193" Type="http://schemas.openxmlformats.org/officeDocument/2006/relationships/footer" Target="footer91.xml"/><Relationship Id="rId202" Type="http://schemas.openxmlformats.org/officeDocument/2006/relationships/header" Target="header96.xml"/><Relationship Id="rId207" Type="http://schemas.openxmlformats.org/officeDocument/2006/relationships/header" Target="header99.xml"/><Relationship Id="rId223" Type="http://schemas.openxmlformats.org/officeDocument/2006/relationships/header" Target="header107.xml"/><Relationship Id="rId228" Type="http://schemas.openxmlformats.org/officeDocument/2006/relationships/header" Target="header109.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footer" Target="footer49.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footer" Target="footer43.xml"/><Relationship Id="rId104" Type="http://schemas.openxmlformats.org/officeDocument/2006/relationships/footer" Target="footer46.xml"/><Relationship Id="rId120" Type="http://schemas.openxmlformats.org/officeDocument/2006/relationships/footer" Target="footer54.xml"/><Relationship Id="rId125" Type="http://schemas.openxmlformats.org/officeDocument/2006/relationships/footer" Target="footer57.xml"/><Relationship Id="rId141" Type="http://schemas.openxmlformats.org/officeDocument/2006/relationships/footer" Target="footer65.xml"/><Relationship Id="rId146" Type="http://schemas.openxmlformats.org/officeDocument/2006/relationships/header" Target="header68.xml"/><Relationship Id="rId167" Type="http://schemas.openxmlformats.org/officeDocument/2006/relationships/header" Target="header79.xml"/><Relationship Id="rId188" Type="http://schemas.openxmlformats.org/officeDocument/2006/relationships/header" Target="header89.xml"/><Relationship Id="rId7" Type="http://schemas.openxmlformats.org/officeDocument/2006/relationships/settings" Target="settings.xml"/><Relationship Id="rId71" Type="http://schemas.openxmlformats.org/officeDocument/2006/relationships/header" Target="header31.xml"/><Relationship Id="rId92" Type="http://schemas.openxmlformats.org/officeDocument/2006/relationships/header" Target="header41.xml"/><Relationship Id="rId162" Type="http://schemas.openxmlformats.org/officeDocument/2006/relationships/header" Target="header76.xml"/><Relationship Id="rId183" Type="http://schemas.openxmlformats.org/officeDocument/2006/relationships/header" Target="header87.xml"/><Relationship Id="rId213" Type="http://schemas.openxmlformats.org/officeDocument/2006/relationships/footer" Target="footer101.xml"/><Relationship Id="rId218" Type="http://schemas.openxmlformats.org/officeDocument/2006/relationships/header" Target="header104.xml"/><Relationship Id="rId234" Type="http://schemas.openxmlformats.org/officeDocument/2006/relationships/header" Target="header112.xml"/><Relationship Id="rId239" Type="http://schemas.openxmlformats.org/officeDocument/2006/relationships/footer" Target="footer114.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header" Target="header39.xml"/><Relationship Id="rId110" Type="http://schemas.openxmlformats.org/officeDocument/2006/relationships/header" Target="header50.xml"/><Relationship Id="rId115" Type="http://schemas.openxmlformats.org/officeDocument/2006/relationships/footer" Target="footer52.xml"/><Relationship Id="rId131" Type="http://schemas.openxmlformats.org/officeDocument/2006/relationships/footer" Target="footer60.xml"/><Relationship Id="rId136" Type="http://schemas.openxmlformats.org/officeDocument/2006/relationships/footer" Target="footer62.xml"/><Relationship Id="rId157" Type="http://schemas.openxmlformats.org/officeDocument/2006/relationships/footer" Target="footer73.xml"/><Relationship Id="rId178" Type="http://schemas.openxmlformats.org/officeDocument/2006/relationships/header" Target="header84.xml"/><Relationship Id="rId61" Type="http://schemas.openxmlformats.org/officeDocument/2006/relationships/footer" Target="footer25.xml"/><Relationship Id="rId82" Type="http://schemas.openxmlformats.org/officeDocument/2006/relationships/header" Target="header36.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header" Target="header92.xml"/><Relationship Id="rId199" Type="http://schemas.openxmlformats.org/officeDocument/2006/relationships/header" Target="header95.xml"/><Relationship Id="rId203" Type="http://schemas.openxmlformats.org/officeDocument/2006/relationships/footer" Target="footer96.xml"/><Relationship Id="rId208" Type="http://schemas.openxmlformats.org/officeDocument/2006/relationships/footer" Target="footer98.xml"/><Relationship Id="rId229" Type="http://schemas.openxmlformats.org/officeDocument/2006/relationships/header" Target="header110.xml"/><Relationship Id="rId19" Type="http://schemas.openxmlformats.org/officeDocument/2006/relationships/header" Target="header5.xml"/><Relationship Id="rId224" Type="http://schemas.openxmlformats.org/officeDocument/2006/relationships/footer" Target="footer106.xml"/><Relationship Id="rId240" Type="http://schemas.openxmlformats.org/officeDocument/2006/relationships/fontTable" Target="fontTable.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header" Target="header13.xml"/><Relationship Id="rId56" Type="http://schemas.openxmlformats.org/officeDocument/2006/relationships/header" Target="header23.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footer" Target="footer78.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footer" Target="footer30.xml"/><Relationship Id="rId93" Type="http://schemas.openxmlformats.org/officeDocument/2006/relationships/footer" Target="footer41.xml"/><Relationship Id="rId98" Type="http://schemas.openxmlformats.org/officeDocument/2006/relationships/header" Target="header44.xml"/><Relationship Id="rId121" Type="http://schemas.openxmlformats.org/officeDocument/2006/relationships/footer" Target="footer55.xml"/><Relationship Id="rId142" Type="http://schemas.openxmlformats.org/officeDocument/2006/relationships/header" Target="header66.xml"/><Relationship Id="rId163" Type="http://schemas.openxmlformats.org/officeDocument/2006/relationships/footer" Target="footer76.xml"/><Relationship Id="rId184" Type="http://schemas.openxmlformats.org/officeDocument/2006/relationships/footer" Target="footer86.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customXml" Target="../customXml/item3.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 Type="http://schemas.openxmlformats.org/officeDocument/2006/relationships/footer" Target="footer7.xml"/><Relationship Id="rId46" Type="http://schemas.openxmlformats.org/officeDocument/2006/relationships/header" Target="header18.xml"/><Relationship Id="rId67" Type="http://schemas.openxmlformats.org/officeDocument/2006/relationships/footer" Target="footer28.xml"/><Relationship Id="rId116" Type="http://schemas.openxmlformats.org/officeDocument/2006/relationships/header" Target="header53.xml"/><Relationship Id="rId137" Type="http://schemas.openxmlformats.org/officeDocument/2006/relationships/footer" Target="footer63.xml"/><Relationship Id="rId158" Type="http://schemas.openxmlformats.org/officeDocument/2006/relationships/header" Target="header74.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header" Target="header26.xml"/><Relationship Id="rId83" Type="http://schemas.openxmlformats.org/officeDocument/2006/relationships/footer" Target="footer36.xml"/><Relationship Id="rId88" Type="http://schemas.openxmlformats.org/officeDocument/2006/relationships/footer" Target="footer38.xml"/><Relationship Id="rId111" Type="http://schemas.openxmlformats.org/officeDocument/2006/relationships/header" Target="header51.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10" Type="http://schemas.openxmlformats.org/officeDocument/2006/relationships/endnotes" Target="endnotes.xml"/><Relationship Id="rId31" Type="http://schemas.openxmlformats.org/officeDocument/2006/relationships/footer" Target="footer10.xml"/><Relationship Id="rId52" Type="http://schemas.openxmlformats.org/officeDocument/2006/relationships/footer" Target="footer20.xml"/><Relationship Id="rId73" Type="http://schemas.openxmlformats.org/officeDocument/2006/relationships/footer" Target="footer31.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6.xml"/><Relationship Id="rId143" Type="http://schemas.openxmlformats.org/officeDocument/2006/relationships/header" Target="header67.xml"/><Relationship Id="rId148" Type="http://schemas.openxmlformats.org/officeDocument/2006/relationships/header" Target="header69.xml"/><Relationship Id="rId164" Type="http://schemas.openxmlformats.org/officeDocument/2006/relationships/header" Target="header77.xml"/><Relationship Id="rId169" Type="http://schemas.openxmlformats.org/officeDocument/2006/relationships/footer" Target="footer79.xml"/><Relationship Id="rId185" Type="http://schemas.openxmlformats.org/officeDocument/2006/relationships/footer" Target="footer8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header" Target="header103.xml"/><Relationship Id="rId236" Type="http://schemas.openxmlformats.org/officeDocument/2006/relationships/footer" Target="footer112.xml"/><Relationship Id="rId26" Type="http://schemas.openxmlformats.org/officeDocument/2006/relationships/header" Target="header8.xml"/><Relationship Id="rId231" Type="http://schemas.openxmlformats.org/officeDocument/2006/relationships/footer" Target="footer110.xml"/><Relationship Id="rId47" Type="http://schemas.openxmlformats.org/officeDocument/2006/relationships/footer" Target="footer18.xml"/><Relationship Id="rId68" Type="http://schemas.openxmlformats.org/officeDocument/2006/relationships/header" Target="header29.xml"/><Relationship Id="rId89" Type="http://schemas.openxmlformats.org/officeDocument/2006/relationships/footer" Target="footer39.xml"/><Relationship Id="rId112" Type="http://schemas.openxmlformats.org/officeDocument/2006/relationships/footer" Target="footer50.xml"/><Relationship Id="rId133" Type="http://schemas.openxmlformats.org/officeDocument/2006/relationships/footer" Target="footer61.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eader" Target="header3.xml"/><Relationship Id="rId221" Type="http://schemas.openxmlformats.org/officeDocument/2006/relationships/footer" Target="footer105.xml"/><Relationship Id="rId37" Type="http://schemas.openxmlformats.org/officeDocument/2006/relationships/footer" Target="footer13.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footer" Target="footer66.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footer" Target="footer100.xml"/><Relationship Id="rId232" Type="http://schemas.openxmlformats.org/officeDocument/2006/relationships/header" Target="header111.xml"/><Relationship Id="rId27" Type="http://schemas.openxmlformats.org/officeDocument/2006/relationships/header" Target="header9.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header" Target="header62.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6" ma:contentTypeDescription="Crée un document." ma:contentTypeScope="" ma:versionID="e5fd99473fbbe8ae20c8cc9408488cf1">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31c17702654da8f4e338a8fbb8211638"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7b46321-4863-49fd-9335-6bd80854a530}"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448B-3E38-4A61-8875-8BA6072211C4}">
  <ds:schemaRefs>
    <ds:schemaRef ds:uri="http://schemas.microsoft.com/sharepoint/v3/contenttype/forms"/>
  </ds:schemaRefs>
</ds:datastoreItem>
</file>

<file path=customXml/itemProps2.xml><?xml version="1.0" encoding="utf-8"?>
<ds:datastoreItem xmlns:ds="http://schemas.openxmlformats.org/officeDocument/2006/customXml" ds:itemID="{1CC11671-9FCA-40E0-822B-9D0D23F20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C9106-11AA-4795-889E-C08959391C79}">
  <ds:schemaRefs>
    <ds:schemaRef ds:uri="http://schemas.microsoft.com/office/2006/metadata/properties"/>
    <ds:schemaRef ds:uri="http://schemas.microsoft.com/office/infopath/2007/PartnerControls"/>
    <ds:schemaRef ds:uri="e6c3bc29-9e11-4027-900b-c73633d7928a"/>
    <ds:schemaRef ds:uri="1700ab43-7395-48ff-866c-657c86ba7f4e"/>
  </ds:schemaRefs>
</ds:datastoreItem>
</file>

<file path=customXml/itemProps4.xml><?xml version="1.0" encoding="utf-8"?>
<ds:datastoreItem xmlns:ds="http://schemas.openxmlformats.org/officeDocument/2006/customXml" ds:itemID="{82539282-08C6-4737-ABDA-FB958424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54956</Words>
  <Characters>313253</Characters>
  <Application>Microsoft Office Word</Application>
  <DocSecurity>0</DocSecurity>
  <Lines>2610</Lines>
  <Paragraphs>734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PRINCEN Savina (ECFIN)</dc:creator>
  <cp:keywords/>
  <dc:description/>
  <cp:lastModifiedBy>EC CoDe</cp:lastModifiedBy>
  <cp:revision>9</cp:revision>
  <cp:lastPrinted>2023-11-19T21:14:00Z</cp:lastPrinted>
  <dcterms:created xsi:type="dcterms:W3CDTF">2025-02-24T14:25:00Z</dcterms:created>
  <dcterms:modified xsi:type="dcterms:W3CDTF">2025-02-25T16:10:00Z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2023-09-29T16:32:01Z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bb15c96a-0d9c-4fea-9ab8-7d0c30dffb9f</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y fmtid="{D5CDD505-2E9C-101B-9397-08002B2CF9AE}" pid="18" name="Last edited using">
    <vt:lpwstr>LW 9.1, Build 20240808</vt:lpwstr>
  </property>
  <property fmtid="{D5CDD505-2E9C-101B-9397-08002B2CF9AE}" pid="19" name="Created using">
    <vt:lpwstr>LW 9.0, Build 20230317</vt:lpwstr>
  </property>
  <property fmtid="{D5CDD505-2E9C-101B-9397-08002B2CF9AE}" pid="20" name="DocStatus">
    <vt:lpwstr>Green</vt:lpwstr>
  </property>
</Properties>
</file>