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F5573" w14:textId="055B698B" w:rsidR="00053B16" w:rsidRDefault="002C72BD" w:rsidP="002C72BD">
      <w:pPr>
        <w:pStyle w:val="Pagedecouverture"/>
        <w:rPr>
          <w:noProof/>
        </w:rPr>
      </w:pPr>
      <w:bookmarkStart w:id="0" w:name="LW_BM_COVERPAGE"/>
      <w:r>
        <w:rPr>
          <w:noProof/>
        </w:rPr>
        <w:pict w14:anchorId="0DAC5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E034075-A1CB-4701-B6B2-727B9902DD43" style="width:455.25pt;height:452.25pt">
            <v:imagedata r:id="rId11" o:title=""/>
          </v:shape>
        </w:pict>
      </w:r>
    </w:p>
    <w:bookmarkEnd w:id="0"/>
    <w:p w14:paraId="5522BA3F" w14:textId="77777777" w:rsidR="00053B16" w:rsidRDefault="00053B16" w:rsidP="00053B16">
      <w:pPr>
        <w:rPr>
          <w:noProof/>
          <w:lang w:eastAsia="de-DE"/>
        </w:rPr>
        <w:sectPr w:rsidR="00053B16" w:rsidSect="002C72B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7CDFB9" w14:textId="69DDC51A" w:rsidR="00701930" w:rsidRDefault="00305F66" w:rsidP="00A80851">
      <w:pPr>
        <w:jc w:val="center"/>
        <w:rPr>
          <w:rFonts w:ascii="Times New Roman" w:eastAsia="Times New Roman" w:hAnsi="Times New Roman" w:cs="Times New Roman"/>
          <w:b/>
          <w:bCs/>
          <w:noProof/>
          <w:sz w:val="28"/>
          <w:szCs w:val="28"/>
          <w:u w:val="single"/>
        </w:rPr>
      </w:pPr>
      <w:bookmarkStart w:id="1" w:name="_GoBack"/>
      <w:bookmarkEnd w:id="1"/>
      <w:r>
        <w:rPr>
          <w:rFonts w:ascii="Times New Roman" w:hAnsi="Times New Roman"/>
          <w:b/>
          <w:noProof/>
          <w:sz w:val="28"/>
          <w:u w:val="single"/>
        </w:rPr>
        <w:lastRenderedPageBreak/>
        <w:t>Liite I: Uudet aloitteet</w:t>
      </w:r>
      <w:r w:rsidRPr="0020291F">
        <w:rPr>
          <w:rFonts w:ascii="Times New Roman" w:eastAsia="Times New Roman" w:hAnsi="Times New Roman" w:cs="Times New Roman"/>
          <w:noProof/>
          <w:sz w:val="20"/>
          <w:szCs w:val="20"/>
          <w:vertAlign w:val="superscript"/>
          <w:lang w:eastAsia="en-GB"/>
        </w:rPr>
        <w:footnoteReference w:id="2"/>
      </w:r>
    </w:p>
    <w:p w14:paraId="4140B028" w14:textId="77777777" w:rsidR="00CC462E" w:rsidRDefault="00CC462E" w:rsidP="00305F66">
      <w:pPr>
        <w:jc w:val="center"/>
        <w:rPr>
          <w:noProof/>
        </w:rPr>
      </w:pPr>
    </w:p>
    <w:tbl>
      <w:tblPr>
        <w:tblStyle w:val="TableGrid"/>
        <w:tblpPr w:leftFromText="180" w:rightFromText="180" w:vertAnchor="text" w:tblpX="-431" w:tblpY="1"/>
        <w:tblOverlap w:val="never"/>
        <w:tblW w:w="13887" w:type="dxa"/>
        <w:tblLayout w:type="fixed"/>
        <w:tblCellMar>
          <w:top w:w="57" w:type="dxa"/>
          <w:left w:w="85" w:type="dxa"/>
          <w:bottom w:w="57" w:type="dxa"/>
          <w:right w:w="85" w:type="dxa"/>
        </w:tblCellMar>
        <w:tblLook w:val="04A0" w:firstRow="1" w:lastRow="0" w:firstColumn="1" w:lastColumn="0" w:noHBand="0" w:noVBand="1"/>
      </w:tblPr>
      <w:tblGrid>
        <w:gridCol w:w="704"/>
        <w:gridCol w:w="3260"/>
        <w:gridCol w:w="9923"/>
      </w:tblGrid>
      <w:tr w:rsidR="00A85F9F" w:rsidRPr="008E1F61" w14:paraId="76F225FC" w14:textId="77777777" w:rsidTr="007614B3">
        <w:trPr>
          <w:cantSplit/>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46916443" w14:textId="033D63A3" w:rsidR="00A85F9F" w:rsidRPr="00D41791" w:rsidRDefault="00A85F9F" w:rsidP="006E17E7">
            <w:pPr>
              <w:ind w:left="194"/>
              <w:jc w:val="both"/>
              <w:rPr>
                <w:b/>
                <w:noProof/>
              </w:rPr>
            </w:pPr>
            <w:r>
              <w:rPr>
                <w:b/>
                <w:noProof/>
              </w:rPr>
              <w:t>Nro</w:t>
            </w:r>
          </w:p>
        </w:tc>
        <w:tc>
          <w:tcPr>
            <w:tcW w:w="3260" w:type="dxa"/>
            <w:tcBorders>
              <w:top w:val="single" w:sz="4" w:space="0" w:color="auto"/>
              <w:left w:val="single" w:sz="4" w:space="0" w:color="auto"/>
              <w:bottom w:val="single" w:sz="4" w:space="0" w:color="auto"/>
              <w:right w:val="single" w:sz="4" w:space="0" w:color="auto"/>
            </w:tcBorders>
            <w:shd w:val="clear" w:color="auto" w:fill="99CCFF"/>
            <w:vAlign w:val="center"/>
          </w:tcPr>
          <w:p w14:paraId="52C03362" w14:textId="77777777" w:rsidR="00A85F9F" w:rsidRPr="006C07B7" w:rsidRDefault="00A85F9F" w:rsidP="006E17E7">
            <w:pPr>
              <w:spacing w:before="60" w:after="60"/>
              <w:jc w:val="center"/>
              <w:rPr>
                <w:b/>
                <w:bCs/>
                <w:noProof/>
              </w:rPr>
            </w:pPr>
            <w:r>
              <w:rPr>
                <w:b/>
                <w:noProof/>
              </w:rPr>
              <w:t>Politiikkatavoite</w:t>
            </w:r>
          </w:p>
        </w:tc>
        <w:tc>
          <w:tcPr>
            <w:tcW w:w="9923" w:type="dxa"/>
            <w:tcBorders>
              <w:top w:val="single" w:sz="4" w:space="0" w:color="auto"/>
              <w:left w:val="single" w:sz="4" w:space="0" w:color="auto"/>
              <w:bottom w:val="single" w:sz="4" w:space="0" w:color="auto"/>
              <w:right w:val="single" w:sz="4" w:space="0" w:color="auto"/>
            </w:tcBorders>
            <w:shd w:val="clear" w:color="auto" w:fill="99CCFF"/>
            <w:vAlign w:val="center"/>
          </w:tcPr>
          <w:p w14:paraId="328016A9" w14:textId="77777777" w:rsidR="00A85F9F" w:rsidRPr="0020291F" w:rsidRDefault="00A85F9F" w:rsidP="006E17E7">
            <w:pPr>
              <w:jc w:val="center"/>
              <w:rPr>
                <w:b/>
                <w:bCs/>
                <w:noProof/>
              </w:rPr>
            </w:pPr>
            <w:r>
              <w:rPr>
                <w:b/>
                <w:noProof/>
              </w:rPr>
              <w:t>Aloitteet</w:t>
            </w:r>
          </w:p>
        </w:tc>
      </w:tr>
      <w:tr w:rsidR="00A85F9F" w:rsidRPr="008E1F61" w14:paraId="4A66D6A3" w14:textId="77777777" w:rsidTr="006E17E7">
        <w:trPr>
          <w:cantSplit/>
          <w:trHeight w:val="300"/>
        </w:trPr>
        <w:tc>
          <w:tcPr>
            <w:tcW w:w="13887" w:type="dxa"/>
            <w:gridSpan w:val="3"/>
            <w:tcBorders>
              <w:top w:val="single" w:sz="4" w:space="0" w:color="auto"/>
              <w:left w:val="single" w:sz="4" w:space="0" w:color="auto"/>
              <w:bottom w:val="single" w:sz="4" w:space="0" w:color="auto"/>
            </w:tcBorders>
            <w:shd w:val="clear" w:color="auto" w:fill="0046FF"/>
          </w:tcPr>
          <w:p w14:paraId="42A83786" w14:textId="77777777" w:rsidR="00A85F9F" w:rsidRPr="006C07B7" w:rsidRDefault="00A85F9F" w:rsidP="006E17E7">
            <w:pPr>
              <w:keepNext/>
              <w:spacing w:before="60" w:after="60"/>
              <w:rPr>
                <w:b/>
                <w:bCs/>
                <w:noProof/>
                <w:color w:val="FFFFFF"/>
              </w:rPr>
            </w:pPr>
            <w:r>
              <w:rPr>
                <w:b/>
                <w:noProof/>
                <w:color w:val="FFFFFF"/>
              </w:rPr>
              <w:t>Uusi suunnitelma Euroopan kestävän vaurauden ja kilpailukyvyn varmistamiseksi</w:t>
            </w:r>
          </w:p>
        </w:tc>
      </w:tr>
      <w:tr w:rsidR="00A85F9F" w:rsidRPr="008E1F61" w14:paraId="2B19764C" w14:textId="77777777" w:rsidTr="007614B3">
        <w:trPr>
          <w:cantSplit/>
          <w:trHeight w:val="300"/>
        </w:trPr>
        <w:tc>
          <w:tcPr>
            <w:tcW w:w="704" w:type="dxa"/>
            <w:tcBorders>
              <w:right w:val="single" w:sz="4" w:space="0" w:color="auto"/>
            </w:tcBorders>
          </w:tcPr>
          <w:p w14:paraId="66450594"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tcMar>
              <w:top w:w="85" w:type="dxa"/>
              <w:bottom w:w="85" w:type="dxa"/>
            </w:tcMar>
          </w:tcPr>
          <w:p w14:paraId="00F3DADB" w14:textId="39D5F675" w:rsidR="00A85F9F" w:rsidRPr="006C07B7" w:rsidRDefault="00B30E70" w:rsidP="006E17E7">
            <w:pPr>
              <w:rPr>
                <w:rFonts w:cs="Arial"/>
                <w:b/>
                <w:bCs/>
                <w:noProof/>
                <w:color w:val="000000"/>
              </w:rPr>
            </w:pPr>
            <w:r>
              <w:rPr>
                <w:b/>
                <w:noProof/>
                <w:color w:val="000000"/>
              </w:rPr>
              <w:t>Kilpailukyky</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261FC01A" w14:textId="77777777" w:rsidR="00A85F9F" w:rsidRPr="007C64AF" w:rsidRDefault="00A85F9F" w:rsidP="006E17E7">
            <w:pPr>
              <w:jc w:val="both"/>
              <w:rPr>
                <w:b/>
                <w:bCs/>
                <w:noProof/>
                <w:color w:val="000000"/>
              </w:rPr>
            </w:pPr>
            <w:r>
              <w:rPr>
                <w:b/>
                <w:noProof/>
                <w:color w:val="000000"/>
              </w:rPr>
              <w:t>Kilpailukykykompassi</w:t>
            </w:r>
            <w:r>
              <w:rPr>
                <w:noProof/>
                <w:color w:val="000000"/>
              </w:rPr>
              <w:t xml:space="preserve"> (muu kuin säädös, Q1 2025) </w:t>
            </w:r>
          </w:p>
        </w:tc>
      </w:tr>
      <w:tr w:rsidR="00A85F9F" w:rsidRPr="008E1F61" w14:paraId="16D8BB25" w14:textId="77777777" w:rsidTr="00883AFD">
        <w:trPr>
          <w:cantSplit/>
          <w:trHeight w:val="300"/>
        </w:trPr>
        <w:tc>
          <w:tcPr>
            <w:tcW w:w="704" w:type="dxa"/>
            <w:tcBorders>
              <w:right w:val="single" w:sz="4" w:space="0" w:color="auto"/>
            </w:tcBorders>
          </w:tcPr>
          <w:p w14:paraId="0ADC0037"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shd w:val="clear" w:color="auto" w:fill="auto"/>
            <w:tcMar>
              <w:top w:w="85" w:type="dxa"/>
              <w:bottom w:w="85" w:type="dxa"/>
            </w:tcMar>
          </w:tcPr>
          <w:p w14:paraId="3500FB76" w14:textId="34B0B3C5" w:rsidR="00A85F9F" w:rsidRPr="006C07B7" w:rsidRDefault="00520AEF" w:rsidP="006E17E7">
            <w:pPr>
              <w:rPr>
                <w:rFonts w:cs="Arial"/>
                <w:b/>
                <w:bCs/>
                <w:noProof/>
                <w:color w:val="000000"/>
              </w:rPr>
            </w:pPr>
            <w:r>
              <w:rPr>
                <w:b/>
                <w:noProof/>
                <w:color w:val="000000"/>
              </w:rPr>
              <w:t>Kilpailukyky</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1BBA5EA" w14:textId="77777777" w:rsidR="00A85F9F" w:rsidRPr="00894E1F" w:rsidRDefault="00A85F9F" w:rsidP="006E17E7">
            <w:pPr>
              <w:jc w:val="both"/>
              <w:rPr>
                <w:rFonts w:cs="Calibri"/>
                <w:b/>
                <w:noProof/>
                <w:color w:val="000000"/>
              </w:rPr>
            </w:pPr>
            <w:r>
              <w:rPr>
                <w:b/>
                <w:noProof/>
                <w:color w:val="000000"/>
              </w:rPr>
              <w:t>Sisämarkkinastrategia</w:t>
            </w:r>
            <w:r>
              <w:rPr>
                <w:noProof/>
                <w:color w:val="000000"/>
              </w:rPr>
              <w:t xml:space="preserve"> (muu kuin säädös, Q2 2025)</w:t>
            </w:r>
          </w:p>
        </w:tc>
      </w:tr>
      <w:tr w:rsidR="00A85F9F" w:rsidRPr="008E1F61" w14:paraId="49339476" w14:textId="77777777" w:rsidTr="007614B3">
        <w:trPr>
          <w:cantSplit/>
          <w:trHeight w:val="300"/>
        </w:trPr>
        <w:tc>
          <w:tcPr>
            <w:tcW w:w="704" w:type="dxa"/>
            <w:tcBorders>
              <w:bottom w:val="single" w:sz="4" w:space="0" w:color="auto"/>
              <w:right w:val="single" w:sz="4" w:space="0" w:color="auto"/>
            </w:tcBorders>
          </w:tcPr>
          <w:p w14:paraId="4E37F273"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bottom w:val="single" w:sz="4" w:space="0" w:color="auto"/>
              <w:right w:val="single" w:sz="4" w:space="0" w:color="auto"/>
            </w:tcBorders>
            <w:tcMar>
              <w:top w:w="85" w:type="dxa"/>
              <w:bottom w:w="85" w:type="dxa"/>
            </w:tcMar>
          </w:tcPr>
          <w:p w14:paraId="535D035D" w14:textId="308C22FC" w:rsidR="00A85F9F" w:rsidRPr="006C07B7" w:rsidRDefault="00AB3EF2" w:rsidP="006E17E7">
            <w:pPr>
              <w:rPr>
                <w:rFonts w:cs="Calibri"/>
                <w:b/>
                <w:bCs/>
                <w:noProof/>
                <w:color w:val="000000" w:themeColor="text1"/>
              </w:rPr>
            </w:pPr>
            <w:r>
              <w:rPr>
                <w:b/>
                <w:noProof/>
                <w:color w:val="000000" w:themeColor="text1"/>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3256DB9B" w14:textId="2069C663" w:rsidR="00A85F9F" w:rsidRPr="007C64AF" w:rsidRDefault="2F79A1DD" w:rsidP="006E17E7">
            <w:pPr>
              <w:rPr>
                <w:rFonts w:cs="Calibri"/>
                <w:b/>
                <w:noProof/>
                <w:color w:val="000000"/>
              </w:rPr>
            </w:pPr>
            <w:r>
              <w:rPr>
                <w:b/>
                <w:noProof/>
                <w:color w:val="000000" w:themeColor="text1"/>
              </w:rPr>
              <w:t>Ensimmäinen omnibus-paketti, aiheena kestävyys</w:t>
            </w:r>
            <w:r>
              <w:rPr>
                <w:noProof/>
                <w:color w:val="000000" w:themeColor="text1"/>
              </w:rPr>
              <w:t xml:space="preserve"> (säädös, Q1 2025)</w:t>
            </w:r>
          </w:p>
        </w:tc>
      </w:tr>
      <w:tr w:rsidR="00EE5A96" w:rsidRPr="008E1F61" w14:paraId="5BB525AD" w14:textId="77777777" w:rsidTr="007614B3">
        <w:trPr>
          <w:cantSplit/>
          <w:trHeight w:val="300"/>
        </w:trPr>
        <w:tc>
          <w:tcPr>
            <w:tcW w:w="704" w:type="dxa"/>
            <w:tcBorders>
              <w:bottom w:val="single" w:sz="4" w:space="0" w:color="auto"/>
              <w:right w:val="single" w:sz="4" w:space="0" w:color="auto"/>
            </w:tcBorders>
          </w:tcPr>
          <w:p w14:paraId="3C29F041" w14:textId="77777777" w:rsidR="00EE5A96" w:rsidRPr="0017125B" w:rsidRDefault="00EE5A96" w:rsidP="00EE5A96">
            <w:pPr>
              <w:pStyle w:val="ListParagraph"/>
              <w:numPr>
                <w:ilvl w:val="0"/>
                <w:numId w:val="3"/>
              </w:numPr>
              <w:spacing w:after="0"/>
              <w:ind w:left="473"/>
              <w:rPr>
                <w:rFonts w:eastAsia="Calibri" w:cs="Arial"/>
                <w:noProof/>
              </w:rPr>
            </w:pPr>
          </w:p>
        </w:tc>
        <w:tc>
          <w:tcPr>
            <w:tcW w:w="3260" w:type="dxa"/>
            <w:tcBorders>
              <w:left w:val="single" w:sz="4" w:space="0" w:color="auto"/>
              <w:bottom w:val="single" w:sz="4" w:space="0" w:color="auto"/>
              <w:right w:val="single" w:sz="4" w:space="0" w:color="auto"/>
            </w:tcBorders>
            <w:tcMar>
              <w:top w:w="85" w:type="dxa"/>
              <w:bottom w:w="85" w:type="dxa"/>
            </w:tcMar>
          </w:tcPr>
          <w:p w14:paraId="2FF2D34B" w14:textId="1794C043" w:rsidR="00EE5A96" w:rsidRDefault="00EE5A96" w:rsidP="00EE5A96">
            <w:pPr>
              <w:rPr>
                <w:rFonts w:cs="Calibri"/>
                <w:b/>
                <w:bCs/>
                <w:noProof/>
                <w:color w:val="000000" w:themeColor="text1"/>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1A0AA62" w14:textId="72ECAEE1" w:rsidR="00EE5A96" w:rsidRPr="2FEC9C1D" w:rsidRDefault="00EE5A96" w:rsidP="00EE5A96">
            <w:pPr>
              <w:rPr>
                <w:rFonts w:cs="Calibri"/>
                <w:b/>
                <w:bCs/>
                <w:noProof/>
                <w:color w:val="000000" w:themeColor="text1"/>
              </w:rPr>
            </w:pPr>
            <w:r>
              <w:rPr>
                <w:b/>
                <w:noProof/>
                <w:color w:val="000000" w:themeColor="text1"/>
              </w:rPr>
              <w:t>Toinen omnibus-paketti, aiheena investoimisen yksinkertaistaminen</w:t>
            </w:r>
            <w:r>
              <w:rPr>
                <w:noProof/>
                <w:color w:val="000000" w:themeColor="text1"/>
              </w:rPr>
              <w:t xml:space="preserve"> (säädös, Q1 2025)</w:t>
            </w:r>
            <w:r w:rsidR="00DD40BB">
              <w:rPr>
                <w:noProof/>
                <w:color w:val="000000" w:themeColor="text1"/>
              </w:rPr>
              <w:t xml:space="preserve"> </w:t>
            </w:r>
          </w:p>
        </w:tc>
      </w:tr>
      <w:tr w:rsidR="00A85F9F" w:rsidRPr="008E1F61" w14:paraId="1EBBE667" w14:textId="77777777" w:rsidTr="007614B3">
        <w:trPr>
          <w:cantSplit/>
          <w:trHeight w:val="300"/>
        </w:trPr>
        <w:tc>
          <w:tcPr>
            <w:tcW w:w="704" w:type="dxa"/>
            <w:tcBorders>
              <w:bottom w:val="single" w:sz="4" w:space="0" w:color="auto"/>
              <w:right w:val="single" w:sz="4" w:space="0" w:color="auto"/>
            </w:tcBorders>
          </w:tcPr>
          <w:p w14:paraId="5AD353D3" w14:textId="77777777" w:rsidR="00A85F9F" w:rsidRPr="00A67265"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bottom w:val="single" w:sz="4" w:space="0" w:color="auto"/>
              <w:right w:val="single" w:sz="4" w:space="0" w:color="auto"/>
            </w:tcBorders>
            <w:tcMar>
              <w:top w:w="85" w:type="dxa"/>
              <w:bottom w:w="85" w:type="dxa"/>
            </w:tcMar>
          </w:tcPr>
          <w:p w14:paraId="7843A123" w14:textId="3F3635B4" w:rsidR="00A85F9F" w:rsidRPr="006C07B7" w:rsidRDefault="00D730D2" w:rsidP="006E17E7">
            <w:pPr>
              <w:rPr>
                <w:rFonts w:cs="Calibri"/>
                <w:b/>
                <w:bCs/>
                <w:noProof/>
                <w:color w:val="000000" w:themeColor="text1"/>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5589B399" w14:textId="4B8DB065" w:rsidR="00A85F9F" w:rsidRPr="00A36BD1" w:rsidRDefault="00EE5A96" w:rsidP="006E17E7">
            <w:pPr>
              <w:rPr>
                <w:rFonts w:cs="Calibri"/>
                <w:b/>
                <w:noProof/>
                <w:color w:val="000000" w:themeColor="text1"/>
              </w:rPr>
            </w:pPr>
            <w:r>
              <w:rPr>
                <w:b/>
                <w:noProof/>
                <w:color w:val="000000" w:themeColor="text1"/>
              </w:rPr>
              <w:t>Kolmas omnibus-paketti, aiheena pienet midcap-yritykset ja paperiraportointia koskevien vaatimusten poistaminen</w:t>
            </w:r>
            <w:r>
              <w:rPr>
                <w:noProof/>
                <w:color w:val="000000" w:themeColor="text1"/>
              </w:rPr>
              <w:t xml:space="preserve"> (säädös, Q2 2025)</w:t>
            </w:r>
          </w:p>
        </w:tc>
      </w:tr>
      <w:tr w:rsidR="00A85F9F" w:rsidRPr="008E1F61" w14:paraId="075005AD" w14:textId="77777777" w:rsidTr="007614B3">
        <w:trPr>
          <w:cantSplit/>
          <w:trHeight w:val="300"/>
        </w:trPr>
        <w:tc>
          <w:tcPr>
            <w:tcW w:w="704" w:type="dxa"/>
            <w:tcBorders>
              <w:right w:val="single" w:sz="4" w:space="0" w:color="auto"/>
            </w:tcBorders>
          </w:tcPr>
          <w:p w14:paraId="760D011F" w14:textId="77777777" w:rsidR="00A85F9F" w:rsidRPr="0017125B" w:rsidRDefault="00A85F9F" w:rsidP="006E17E7">
            <w:pPr>
              <w:pStyle w:val="ListParagraph"/>
              <w:numPr>
                <w:ilvl w:val="0"/>
                <w:numId w:val="3"/>
              </w:numPr>
              <w:spacing w:after="0"/>
              <w:ind w:left="473"/>
              <w:jc w:val="left"/>
              <w:rPr>
                <w:rFonts w:eastAsia="Calibri" w:cs="Arial"/>
                <w:noProof/>
              </w:rPr>
            </w:pPr>
          </w:p>
        </w:tc>
        <w:tc>
          <w:tcPr>
            <w:tcW w:w="3260" w:type="dxa"/>
            <w:tcBorders>
              <w:left w:val="single" w:sz="4" w:space="0" w:color="auto"/>
              <w:right w:val="single" w:sz="4" w:space="0" w:color="auto"/>
            </w:tcBorders>
            <w:tcMar>
              <w:top w:w="85" w:type="dxa"/>
              <w:bottom w:w="85" w:type="dxa"/>
            </w:tcMar>
          </w:tcPr>
          <w:p w14:paraId="6BF10216" w14:textId="19467DCA" w:rsidR="00A85F9F" w:rsidRPr="00160006" w:rsidRDefault="00D730D2" w:rsidP="006E17E7">
            <w:pPr>
              <w:rPr>
                <w:rFonts w:cs="Calibri"/>
                <w:b/>
                <w:noProof/>
                <w:color w:val="000000"/>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7EA01B4" w14:textId="68E2759C" w:rsidR="00A85F9F" w:rsidRPr="00894E1F" w:rsidRDefault="00A85F9F" w:rsidP="006E17E7">
            <w:pPr>
              <w:jc w:val="both"/>
              <w:rPr>
                <w:rFonts w:cs="Calibri"/>
                <w:b/>
                <w:i/>
                <w:noProof/>
                <w:color w:val="000000"/>
                <w:u w:val="single"/>
              </w:rPr>
            </w:pPr>
            <w:r>
              <w:rPr>
                <w:b/>
                <w:noProof/>
                <w:color w:val="000000"/>
              </w:rPr>
              <w:t>Kestävään rahoitukseen liittyvien tietojen antamista koskevan asetuksen tarkistaminen</w:t>
            </w:r>
            <w:r>
              <w:rPr>
                <w:noProof/>
                <w:color w:val="000000"/>
              </w:rPr>
              <w:t xml:space="preserve"> (säädös, ml. vaikutustenarviointi, SEUT-sopimuksen 114 artikla, Q4 2025)</w:t>
            </w:r>
          </w:p>
        </w:tc>
      </w:tr>
      <w:tr w:rsidR="00A85F9F" w:rsidRPr="008E1F61" w14:paraId="54359246" w14:textId="77777777" w:rsidTr="007614B3">
        <w:trPr>
          <w:cantSplit/>
          <w:trHeight w:val="300"/>
        </w:trPr>
        <w:tc>
          <w:tcPr>
            <w:tcW w:w="704" w:type="dxa"/>
            <w:tcBorders>
              <w:right w:val="single" w:sz="4" w:space="0" w:color="auto"/>
            </w:tcBorders>
          </w:tcPr>
          <w:p w14:paraId="23F66291"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tcMar>
              <w:top w:w="85" w:type="dxa"/>
              <w:bottom w:w="85" w:type="dxa"/>
            </w:tcMar>
          </w:tcPr>
          <w:p w14:paraId="3E30084D" w14:textId="308BF83A" w:rsidR="00A85F9F" w:rsidRPr="0020291F" w:rsidRDefault="00D730D2" w:rsidP="006E17E7">
            <w:pPr>
              <w:rPr>
                <w:rFonts w:cs="Calibri"/>
                <w:bCs/>
                <w:i/>
                <w:iCs/>
                <w:noProof/>
                <w:color w:val="000000"/>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53BB5195" w14:textId="3E86D23F" w:rsidR="00A85F9F" w:rsidRPr="00894E1F" w:rsidRDefault="00961A36" w:rsidP="006E17E7">
            <w:pPr>
              <w:jc w:val="both"/>
              <w:rPr>
                <w:rFonts w:cs="Calibri"/>
                <w:b/>
                <w:noProof/>
                <w:color w:val="000000"/>
              </w:rPr>
            </w:pPr>
            <w:r>
              <w:rPr>
                <w:b/>
                <w:noProof/>
                <w:color w:val="000000"/>
              </w:rPr>
              <w:t>Digipaketti</w:t>
            </w:r>
            <w:r>
              <w:rPr>
                <w:noProof/>
                <w:color w:val="000000"/>
              </w:rPr>
              <w:t xml:space="preserve"> (säädös, ml. vaikutustenarviointi, Q4 2025)</w:t>
            </w:r>
          </w:p>
        </w:tc>
      </w:tr>
      <w:tr w:rsidR="00A85F9F" w:rsidRPr="008E1F61" w14:paraId="0B90045E" w14:textId="77777777" w:rsidTr="007614B3">
        <w:trPr>
          <w:cantSplit/>
          <w:trHeight w:val="300"/>
        </w:trPr>
        <w:tc>
          <w:tcPr>
            <w:tcW w:w="704" w:type="dxa"/>
            <w:tcBorders>
              <w:right w:val="single" w:sz="4" w:space="0" w:color="auto"/>
            </w:tcBorders>
          </w:tcPr>
          <w:p w14:paraId="26397CC5"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tcMar>
              <w:top w:w="85" w:type="dxa"/>
              <w:bottom w:w="85" w:type="dxa"/>
            </w:tcMar>
          </w:tcPr>
          <w:p w14:paraId="06745648" w14:textId="6D4D6664" w:rsidR="00A85F9F" w:rsidRPr="00160006" w:rsidRDefault="00D730D2" w:rsidP="006E17E7">
            <w:pPr>
              <w:rPr>
                <w:rFonts w:cs="Calibri"/>
                <w:b/>
                <w:noProof/>
                <w:color w:val="000000"/>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381EAAEC" w14:textId="77777777" w:rsidR="00A85F9F" w:rsidRPr="007C64AF" w:rsidRDefault="00A85F9F" w:rsidP="006E17E7">
            <w:pPr>
              <w:jc w:val="both"/>
              <w:rPr>
                <w:rFonts w:cs="Calibri"/>
                <w:b/>
                <w:noProof/>
                <w:color w:val="000000"/>
              </w:rPr>
            </w:pPr>
            <w:r>
              <w:rPr>
                <w:b/>
                <w:noProof/>
              </w:rPr>
              <w:t>Eurooppalainen yrityslompakko</w:t>
            </w:r>
            <w:r>
              <w:rPr>
                <w:noProof/>
              </w:rPr>
              <w:t xml:space="preserve"> (säädös, ml. vaikutustenarviointi, SEUT-sopimuksen 114 artikla, Q4 2025)</w:t>
            </w:r>
          </w:p>
        </w:tc>
      </w:tr>
      <w:tr w:rsidR="00A85F9F" w:rsidRPr="008E1F61" w14:paraId="7CA259D7" w14:textId="77777777" w:rsidTr="00883AFD">
        <w:trPr>
          <w:cantSplit/>
          <w:trHeight w:val="300"/>
        </w:trPr>
        <w:tc>
          <w:tcPr>
            <w:tcW w:w="704" w:type="dxa"/>
            <w:vMerge w:val="restart"/>
            <w:tcBorders>
              <w:right w:val="single" w:sz="4" w:space="0" w:color="auto"/>
            </w:tcBorders>
          </w:tcPr>
          <w:p w14:paraId="2F043B74" w14:textId="77777777" w:rsidR="00A85F9F" w:rsidRPr="0017125B" w:rsidRDefault="00A85F9F" w:rsidP="006E17E7">
            <w:pPr>
              <w:pStyle w:val="ListParagraph"/>
              <w:numPr>
                <w:ilvl w:val="0"/>
                <w:numId w:val="3"/>
              </w:numPr>
              <w:spacing w:after="0"/>
              <w:ind w:left="473"/>
              <w:jc w:val="left"/>
              <w:rPr>
                <w:rFonts w:eastAsia="Calibri"/>
                <w:noProof/>
              </w:rPr>
            </w:pPr>
          </w:p>
        </w:tc>
        <w:tc>
          <w:tcPr>
            <w:tcW w:w="3260" w:type="dxa"/>
            <w:vMerge w:val="restart"/>
            <w:tcBorders>
              <w:left w:val="single" w:sz="4" w:space="0" w:color="auto"/>
              <w:right w:val="single" w:sz="4" w:space="0" w:color="auto"/>
            </w:tcBorders>
            <w:shd w:val="clear" w:color="auto" w:fill="auto"/>
            <w:tcMar>
              <w:top w:w="85" w:type="dxa"/>
              <w:bottom w:w="85" w:type="dxa"/>
            </w:tcMar>
          </w:tcPr>
          <w:p w14:paraId="5069988C" w14:textId="39340B16" w:rsidR="00A85F9F" w:rsidRPr="00160006" w:rsidRDefault="000B5D5E" w:rsidP="006E17E7">
            <w:pPr>
              <w:rPr>
                <w:rFonts w:cs="Calibri"/>
                <w:b/>
                <w:noProof/>
                <w:color w:val="000000"/>
              </w:rPr>
            </w:pPr>
            <w:r>
              <w:rPr>
                <w:b/>
                <w:noProof/>
                <w:color w:val="000000"/>
              </w:rPr>
              <w:t>Kilpailukyky ja vähähiilistäminen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7E0E10AB" w14:textId="77777777" w:rsidR="00A85F9F" w:rsidRPr="00894E1F" w:rsidRDefault="00A85F9F" w:rsidP="006E17E7">
            <w:pPr>
              <w:jc w:val="both"/>
              <w:rPr>
                <w:rFonts w:cs="Calibri"/>
                <w:b/>
                <w:i/>
                <w:noProof/>
                <w:color w:val="000000"/>
                <w:u w:val="single"/>
              </w:rPr>
            </w:pPr>
            <w:r>
              <w:rPr>
                <w:b/>
                <w:noProof/>
                <w:color w:val="000000"/>
              </w:rPr>
              <w:t>Puhtaan teollisen kehityksen ohjelma</w:t>
            </w:r>
            <w:r>
              <w:rPr>
                <w:noProof/>
                <w:color w:val="000000"/>
              </w:rPr>
              <w:t xml:space="preserve"> (muu kuin säädös, Q1 2025)</w:t>
            </w:r>
          </w:p>
        </w:tc>
      </w:tr>
      <w:tr w:rsidR="00A85F9F" w:rsidRPr="008E1F61" w14:paraId="651C9EB9" w14:textId="77777777" w:rsidTr="15C1A19F">
        <w:trPr>
          <w:cantSplit/>
          <w:trHeight w:val="300"/>
        </w:trPr>
        <w:tc>
          <w:tcPr>
            <w:tcW w:w="704" w:type="dxa"/>
            <w:vMerge/>
          </w:tcPr>
          <w:p w14:paraId="7B5D98B2" w14:textId="77777777" w:rsidR="00A85F9F" w:rsidRPr="0017125B" w:rsidRDefault="00A85F9F" w:rsidP="006E17E7">
            <w:pPr>
              <w:numPr>
                <w:ilvl w:val="0"/>
                <w:numId w:val="3"/>
              </w:numPr>
              <w:ind w:left="473"/>
              <w:jc w:val="both"/>
              <w:rPr>
                <w:rFonts w:eastAsia="Calibri"/>
                <w:noProof/>
              </w:rPr>
            </w:pPr>
          </w:p>
        </w:tc>
        <w:tc>
          <w:tcPr>
            <w:tcW w:w="3260" w:type="dxa"/>
            <w:vMerge/>
            <w:tcMar>
              <w:top w:w="85" w:type="dxa"/>
              <w:bottom w:w="85" w:type="dxa"/>
            </w:tcMar>
          </w:tcPr>
          <w:p w14:paraId="50B7CDCA" w14:textId="77777777" w:rsidR="00A85F9F" w:rsidRPr="0017125B" w:rsidRDefault="00A85F9F" w:rsidP="006E17E7">
            <w:pPr>
              <w:rPr>
                <w:rFonts w:cs="Calibri"/>
                <w:b/>
                <w:noProof/>
                <w:color w:val="000000"/>
              </w:rPr>
            </w:pP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65E923A" w14:textId="77777777" w:rsidR="00A85F9F" w:rsidRPr="00894E1F" w:rsidRDefault="00A85F9F" w:rsidP="006E17E7">
            <w:pPr>
              <w:jc w:val="both"/>
              <w:rPr>
                <w:rFonts w:cs="Calibri"/>
                <w:b/>
                <w:i/>
                <w:noProof/>
                <w:color w:val="000000"/>
                <w:u w:val="single"/>
              </w:rPr>
            </w:pPr>
            <w:r>
              <w:rPr>
                <w:b/>
                <w:noProof/>
                <w:color w:val="000000" w:themeColor="text1"/>
              </w:rPr>
              <w:t>Kohtuuhintaista energiaa koskeva toimintasuunnitelma</w:t>
            </w:r>
            <w:r>
              <w:rPr>
                <w:noProof/>
                <w:color w:val="000000" w:themeColor="text1"/>
              </w:rPr>
              <w:t xml:space="preserve"> (muu kuin säädös, Q1 2025)</w:t>
            </w:r>
          </w:p>
        </w:tc>
      </w:tr>
      <w:tr w:rsidR="00A85F9F" w:rsidRPr="008E1F61" w14:paraId="7A81D541" w14:textId="77777777" w:rsidTr="007614B3">
        <w:trPr>
          <w:cantSplit/>
          <w:trHeight w:val="300"/>
        </w:trPr>
        <w:tc>
          <w:tcPr>
            <w:tcW w:w="704" w:type="dxa"/>
            <w:tcBorders>
              <w:right w:val="single" w:sz="4" w:space="0" w:color="auto"/>
            </w:tcBorders>
          </w:tcPr>
          <w:p w14:paraId="16020F61" w14:textId="77777777" w:rsidR="00A85F9F" w:rsidRPr="0017125B" w:rsidRDefault="00A85F9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tcMar>
              <w:top w:w="85" w:type="dxa"/>
              <w:bottom w:w="85" w:type="dxa"/>
            </w:tcMar>
          </w:tcPr>
          <w:p w14:paraId="6814AC7D" w14:textId="628C0F07" w:rsidR="00A85F9F" w:rsidRPr="00160006" w:rsidRDefault="00610F9D" w:rsidP="006E17E7">
            <w:pPr>
              <w:rPr>
                <w:rFonts w:cs="Calibri"/>
                <w:b/>
                <w:noProof/>
                <w:color w:val="000000"/>
              </w:rPr>
            </w:pPr>
            <w:r>
              <w:rPr>
                <w:b/>
                <w:noProof/>
                <w:color w:val="000000"/>
              </w:rPr>
              <w:t>Kilpailukyky ja vähähiilistäminen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7C2A36B6" w14:textId="77777777" w:rsidR="00A85F9F" w:rsidRPr="00894E1F" w:rsidRDefault="00A85F9F" w:rsidP="006E17E7">
            <w:pPr>
              <w:jc w:val="both"/>
              <w:rPr>
                <w:rFonts w:cs="Calibri"/>
                <w:b/>
                <w:noProof/>
                <w:color w:val="000000"/>
              </w:rPr>
            </w:pPr>
            <w:r>
              <w:rPr>
                <w:b/>
                <w:noProof/>
                <w:color w:val="000000"/>
              </w:rPr>
              <w:t>Teollisuuden vähähiilistämistä vauhdittava säädös</w:t>
            </w:r>
            <w:r>
              <w:rPr>
                <w:noProof/>
                <w:color w:val="000000"/>
              </w:rPr>
              <w:t xml:space="preserve"> (säädös, ml. vaikutustenarviointi, SEUT-sopimuksen 114 artikla, Q4 2025)</w:t>
            </w:r>
          </w:p>
        </w:tc>
      </w:tr>
      <w:tr w:rsidR="00A85F9F" w:rsidRPr="00DD40BB" w14:paraId="0B12A4C6" w14:textId="77777777" w:rsidTr="00071F72">
        <w:trPr>
          <w:cantSplit/>
          <w:trHeight w:val="300"/>
        </w:trPr>
        <w:tc>
          <w:tcPr>
            <w:tcW w:w="704" w:type="dxa"/>
            <w:tcBorders>
              <w:right w:val="single" w:sz="4" w:space="0" w:color="auto"/>
            </w:tcBorders>
          </w:tcPr>
          <w:p w14:paraId="61DF299B" w14:textId="77777777" w:rsidR="00A85F9F" w:rsidRPr="0017125B" w:rsidRDefault="00A85F9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tcMar>
              <w:top w:w="85" w:type="dxa"/>
              <w:bottom w:w="85" w:type="dxa"/>
            </w:tcMar>
          </w:tcPr>
          <w:p w14:paraId="494BF70D" w14:textId="3F088AE8" w:rsidR="00A85F9F" w:rsidRPr="00160006" w:rsidRDefault="00F24784" w:rsidP="006E17E7">
            <w:pPr>
              <w:rPr>
                <w:rFonts w:cs="Calibri"/>
                <w:b/>
                <w:noProof/>
                <w:color w:val="000000"/>
              </w:rPr>
            </w:pPr>
            <w:r>
              <w:rPr>
                <w:b/>
                <w:noProof/>
                <w:color w:val="000000"/>
              </w:rPr>
              <w:t>Kilpailukyky ja vähähiilistäminen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2517C1A" w14:textId="77777777" w:rsidR="00A85F9F" w:rsidRPr="0017125B" w:rsidRDefault="00A85F9F" w:rsidP="006E17E7">
            <w:pPr>
              <w:jc w:val="both"/>
              <w:rPr>
                <w:rFonts w:cs="Calibri"/>
                <w:b/>
                <w:i/>
                <w:noProof/>
                <w:color w:val="000000"/>
                <w:u w:val="single"/>
                <w:lang w:val="en-US"/>
              </w:rPr>
            </w:pPr>
            <w:r w:rsidRPr="0017125B">
              <w:rPr>
                <w:b/>
                <w:noProof/>
                <w:color w:val="000000"/>
                <w:lang w:val="en-US"/>
              </w:rPr>
              <w:t>EU:n start-up- ja scale-up-strategia</w:t>
            </w:r>
            <w:r w:rsidRPr="0017125B">
              <w:rPr>
                <w:noProof/>
                <w:color w:val="000000"/>
                <w:lang w:val="en-US"/>
              </w:rPr>
              <w:t xml:space="preserve"> (muu kuin säädös, Q2 2025)</w:t>
            </w:r>
          </w:p>
        </w:tc>
      </w:tr>
      <w:tr w:rsidR="00A85F9F" w:rsidRPr="008E1F61" w14:paraId="2C09C7DC" w14:textId="77777777" w:rsidTr="00071F72">
        <w:trPr>
          <w:cantSplit/>
          <w:trHeight w:val="300"/>
        </w:trPr>
        <w:tc>
          <w:tcPr>
            <w:tcW w:w="704" w:type="dxa"/>
            <w:vMerge w:val="restart"/>
            <w:tcBorders>
              <w:right w:val="single" w:sz="4" w:space="0" w:color="auto"/>
            </w:tcBorders>
          </w:tcPr>
          <w:p w14:paraId="3D17AA31" w14:textId="77777777" w:rsidR="00A85F9F" w:rsidRPr="008E1F61" w:rsidRDefault="00A85F9F" w:rsidP="006E17E7">
            <w:pPr>
              <w:pStyle w:val="ListParagraph"/>
              <w:numPr>
                <w:ilvl w:val="0"/>
                <w:numId w:val="3"/>
              </w:numPr>
              <w:spacing w:after="0"/>
              <w:ind w:left="473"/>
              <w:rPr>
                <w:rFonts w:eastAsia="Calibri"/>
                <w:noProof/>
                <w:lang w:val="en-IE"/>
              </w:rPr>
            </w:pPr>
          </w:p>
        </w:tc>
        <w:tc>
          <w:tcPr>
            <w:tcW w:w="3260" w:type="dxa"/>
            <w:vMerge w:val="restart"/>
            <w:tcBorders>
              <w:left w:val="single" w:sz="4" w:space="0" w:color="auto"/>
              <w:right w:val="single" w:sz="4" w:space="0" w:color="auto"/>
            </w:tcBorders>
            <w:tcMar>
              <w:top w:w="85" w:type="dxa"/>
              <w:bottom w:w="85" w:type="dxa"/>
            </w:tcMar>
          </w:tcPr>
          <w:p w14:paraId="4FE8F045" w14:textId="6FD3E4AC" w:rsidR="00A85F9F" w:rsidRPr="00160006" w:rsidRDefault="00C85B4C" w:rsidP="006E17E7">
            <w:pPr>
              <w:rPr>
                <w:rFonts w:cs="Calibri"/>
                <w:b/>
                <w:noProof/>
                <w:color w:val="000000"/>
              </w:rPr>
            </w:pPr>
            <w:r>
              <w:rPr>
                <w:b/>
                <w:noProof/>
                <w:color w:val="000000"/>
              </w:rPr>
              <w:t>Kilpailukyky</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6566913" w14:textId="553C9806" w:rsidR="00A85F9F" w:rsidRPr="00894E1F" w:rsidRDefault="00A85F9F" w:rsidP="006E17E7">
            <w:pPr>
              <w:jc w:val="both"/>
              <w:rPr>
                <w:rFonts w:cs="Calibri"/>
                <w:b/>
                <w:noProof/>
                <w:color w:val="000000"/>
              </w:rPr>
            </w:pPr>
            <w:r>
              <w:rPr>
                <w:b/>
                <w:noProof/>
                <w:color w:val="000000" w:themeColor="text1"/>
              </w:rPr>
              <w:t>Tiedonanto säästö- ja investointiunionista</w:t>
            </w:r>
            <w:r>
              <w:rPr>
                <w:noProof/>
              </w:rPr>
              <w:t xml:space="preserve"> (muu kuin säädös, Q1 2025)</w:t>
            </w:r>
          </w:p>
        </w:tc>
      </w:tr>
      <w:tr w:rsidR="00A85F9F" w:rsidRPr="008E1F61" w14:paraId="33B88897" w14:textId="77777777" w:rsidTr="00771591">
        <w:trPr>
          <w:cantSplit/>
          <w:trHeight w:val="300"/>
        </w:trPr>
        <w:tc>
          <w:tcPr>
            <w:tcW w:w="704" w:type="dxa"/>
            <w:vMerge/>
          </w:tcPr>
          <w:p w14:paraId="0E45011E" w14:textId="77777777" w:rsidR="00A85F9F" w:rsidRPr="0017125B" w:rsidRDefault="00A85F9F" w:rsidP="006E17E7">
            <w:pPr>
              <w:numPr>
                <w:ilvl w:val="0"/>
                <w:numId w:val="3"/>
              </w:numPr>
              <w:ind w:left="473"/>
              <w:jc w:val="both"/>
              <w:rPr>
                <w:rFonts w:eastAsia="Calibri"/>
                <w:noProof/>
              </w:rPr>
            </w:pPr>
          </w:p>
        </w:tc>
        <w:tc>
          <w:tcPr>
            <w:tcW w:w="3260" w:type="dxa"/>
            <w:vMerge/>
            <w:tcMar>
              <w:top w:w="85" w:type="dxa"/>
              <w:bottom w:w="85" w:type="dxa"/>
            </w:tcMar>
          </w:tcPr>
          <w:p w14:paraId="0848863D" w14:textId="77777777" w:rsidR="00A85F9F" w:rsidRPr="0017125B" w:rsidRDefault="00A85F9F" w:rsidP="006E17E7">
            <w:pPr>
              <w:rPr>
                <w:rFonts w:cs="Calibri"/>
                <w:b/>
                <w:noProof/>
                <w:color w:val="000000"/>
              </w:rPr>
            </w:pP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61527753" w14:textId="77777777" w:rsidR="00A85F9F" w:rsidRPr="00894E1F" w:rsidRDefault="00A85F9F" w:rsidP="006E17E7">
            <w:pPr>
              <w:jc w:val="both"/>
              <w:rPr>
                <w:rFonts w:cs="Calibri"/>
                <w:b/>
                <w:noProof/>
                <w:color w:val="000000"/>
              </w:rPr>
            </w:pPr>
            <w:r>
              <w:rPr>
                <w:b/>
                <w:noProof/>
              </w:rPr>
              <w:t>Arvopaperistamiskehyksen uudelleentarkastelu</w:t>
            </w:r>
            <w:r>
              <w:rPr>
                <w:noProof/>
              </w:rPr>
              <w:t xml:space="preserve"> (säädös, ml. vaikutustenarviointi, SEUT-sopimuksen 114 artikla, Q2 2025)</w:t>
            </w:r>
          </w:p>
        </w:tc>
      </w:tr>
      <w:tr w:rsidR="00A85F9F" w:rsidRPr="008E1F61" w14:paraId="3505CE77" w14:textId="77777777" w:rsidTr="000D0181">
        <w:trPr>
          <w:cantSplit/>
          <w:trHeight w:val="300"/>
        </w:trPr>
        <w:tc>
          <w:tcPr>
            <w:tcW w:w="704" w:type="dxa"/>
            <w:tcBorders>
              <w:right w:val="single" w:sz="4" w:space="0" w:color="auto"/>
            </w:tcBorders>
          </w:tcPr>
          <w:p w14:paraId="36AA27AA" w14:textId="77777777" w:rsidR="00A85F9F" w:rsidRPr="0017125B" w:rsidRDefault="00A85F9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shd w:val="clear" w:color="auto" w:fill="auto"/>
            <w:tcMar>
              <w:top w:w="85" w:type="dxa"/>
              <w:bottom w:w="85" w:type="dxa"/>
            </w:tcMar>
          </w:tcPr>
          <w:p w14:paraId="38C06C77" w14:textId="4CBB1537" w:rsidR="00A85F9F" w:rsidRPr="00160006" w:rsidRDefault="005579C5" w:rsidP="006E17E7">
            <w:pPr>
              <w:rPr>
                <w:rFonts w:cs="Calibri"/>
                <w:b/>
                <w:noProof/>
                <w:color w:val="000000"/>
              </w:rPr>
            </w:pPr>
            <w:r>
              <w:rPr>
                <w:b/>
                <w:noProof/>
                <w:color w:val="000000"/>
              </w:rPr>
              <w:t>Innovointi</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490DE48D" w14:textId="77777777" w:rsidR="00A85F9F" w:rsidRPr="00894E1F" w:rsidRDefault="00A85F9F" w:rsidP="006E17E7">
            <w:pPr>
              <w:jc w:val="both"/>
              <w:rPr>
                <w:rFonts w:cs="Calibri"/>
                <w:b/>
                <w:i/>
                <w:noProof/>
                <w:color w:val="000000"/>
                <w:u w:val="single"/>
              </w:rPr>
            </w:pPr>
            <w:r>
              <w:rPr>
                <w:b/>
                <w:noProof/>
                <w:color w:val="000000"/>
              </w:rPr>
              <w:t>Digiverkkosäädös</w:t>
            </w:r>
            <w:r>
              <w:rPr>
                <w:noProof/>
                <w:color w:val="000000"/>
              </w:rPr>
              <w:t xml:space="preserve"> (säädös, ml. vaikutustenarviointi, SEUT-sopimuksen 114 artikla, Q4 2025)</w:t>
            </w:r>
          </w:p>
        </w:tc>
      </w:tr>
      <w:tr w:rsidR="00A85F9F" w:rsidRPr="00DE4016" w14:paraId="755B0FCE" w14:textId="77777777" w:rsidTr="000D0181">
        <w:trPr>
          <w:cantSplit/>
          <w:trHeight w:val="300"/>
        </w:trPr>
        <w:tc>
          <w:tcPr>
            <w:tcW w:w="704" w:type="dxa"/>
            <w:tcBorders>
              <w:right w:val="single" w:sz="4" w:space="0" w:color="auto"/>
            </w:tcBorders>
          </w:tcPr>
          <w:p w14:paraId="3ACE6B85" w14:textId="77777777" w:rsidR="00A85F9F" w:rsidRPr="0017125B" w:rsidRDefault="00A85F9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shd w:val="clear" w:color="auto" w:fill="auto"/>
            <w:tcMar>
              <w:top w:w="85" w:type="dxa"/>
              <w:bottom w:w="85" w:type="dxa"/>
            </w:tcMar>
          </w:tcPr>
          <w:p w14:paraId="1BFFA150" w14:textId="4029BDB1" w:rsidR="00A85F9F" w:rsidRPr="00160006" w:rsidRDefault="0022648A" w:rsidP="006E17E7">
            <w:pPr>
              <w:rPr>
                <w:rFonts w:cs="Calibri"/>
                <w:b/>
                <w:noProof/>
                <w:color w:val="000000"/>
              </w:rPr>
            </w:pPr>
            <w:r>
              <w:rPr>
                <w:b/>
                <w:noProof/>
                <w:color w:val="000000"/>
              </w:rPr>
              <w:t>Innovointi</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38DC454B" w14:textId="0912D81B" w:rsidR="00A85F9F" w:rsidRPr="00E05633" w:rsidRDefault="00A85F9F" w:rsidP="006E17E7">
            <w:pPr>
              <w:jc w:val="both"/>
              <w:rPr>
                <w:rFonts w:cs="Calibri"/>
                <w:b/>
                <w:noProof/>
                <w:color w:val="000000"/>
              </w:rPr>
            </w:pPr>
            <w:r>
              <w:rPr>
                <w:b/>
                <w:noProof/>
                <w:color w:val="000000" w:themeColor="text1"/>
              </w:rPr>
              <w:t>Tekoälyn maanosa -toimintasuunnitelma</w:t>
            </w:r>
            <w:r>
              <w:rPr>
                <w:noProof/>
                <w:color w:val="000000" w:themeColor="text1"/>
              </w:rPr>
              <w:t xml:space="preserve"> (muu kuin säädös, Q1 2025)</w:t>
            </w:r>
          </w:p>
        </w:tc>
      </w:tr>
      <w:tr w:rsidR="00A85F9F" w:rsidRPr="008E1F61" w14:paraId="2E3E1653" w14:textId="77777777" w:rsidTr="000D0181">
        <w:trPr>
          <w:cantSplit/>
          <w:trHeight w:val="300"/>
        </w:trPr>
        <w:tc>
          <w:tcPr>
            <w:tcW w:w="704" w:type="dxa"/>
            <w:tcBorders>
              <w:right w:val="single" w:sz="4" w:space="0" w:color="auto"/>
            </w:tcBorders>
          </w:tcPr>
          <w:p w14:paraId="20E0C378" w14:textId="77777777" w:rsidR="00A85F9F" w:rsidRPr="008E1F61" w:rsidRDefault="00A85F9F" w:rsidP="006E17E7">
            <w:pPr>
              <w:pStyle w:val="ListParagraph"/>
              <w:numPr>
                <w:ilvl w:val="0"/>
                <w:numId w:val="3"/>
              </w:numPr>
              <w:spacing w:after="0"/>
              <w:ind w:left="473"/>
              <w:rPr>
                <w:rFonts w:eastAsia="Calibri"/>
                <w:noProof/>
                <w:lang w:val="it-IT"/>
              </w:rPr>
            </w:pPr>
          </w:p>
        </w:tc>
        <w:tc>
          <w:tcPr>
            <w:tcW w:w="3260" w:type="dxa"/>
            <w:tcBorders>
              <w:left w:val="single" w:sz="4" w:space="0" w:color="auto"/>
              <w:right w:val="single" w:sz="4" w:space="0" w:color="auto"/>
            </w:tcBorders>
            <w:shd w:val="clear" w:color="auto" w:fill="auto"/>
            <w:tcMar>
              <w:top w:w="85" w:type="dxa"/>
              <w:bottom w:w="85" w:type="dxa"/>
            </w:tcMar>
          </w:tcPr>
          <w:p w14:paraId="69B78EC2" w14:textId="1ED554BF" w:rsidR="00A85F9F" w:rsidRPr="0020291F" w:rsidRDefault="0022648A" w:rsidP="006E17E7">
            <w:pPr>
              <w:rPr>
                <w:rFonts w:cs="Calibri"/>
                <w:b/>
                <w:noProof/>
                <w:color w:val="000000"/>
              </w:rPr>
            </w:pPr>
            <w:r>
              <w:rPr>
                <w:b/>
                <w:noProof/>
                <w:color w:val="000000"/>
              </w:rPr>
              <w:t>Innovointi</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41ECA336" w14:textId="77777777" w:rsidR="00A85F9F" w:rsidRPr="00894E1F" w:rsidRDefault="00A85F9F" w:rsidP="006E17E7">
            <w:pPr>
              <w:jc w:val="both"/>
              <w:rPr>
                <w:rFonts w:cs="Calibri"/>
                <w:b/>
                <w:noProof/>
                <w:color w:val="000000"/>
              </w:rPr>
            </w:pPr>
            <w:r>
              <w:rPr>
                <w:b/>
                <w:noProof/>
                <w:color w:val="000000"/>
              </w:rPr>
              <w:t>EU:n kvanttistrategia</w:t>
            </w:r>
            <w:r>
              <w:rPr>
                <w:noProof/>
                <w:color w:val="000000"/>
              </w:rPr>
              <w:t xml:space="preserve"> (muu kuin säädös, Q2 2025)</w:t>
            </w:r>
          </w:p>
        </w:tc>
      </w:tr>
      <w:tr w:rsidR="00A85F9F" w:rsidRPr="008E1F61" w14:paraId="606ED1EB" w14:textId="77777777" w:rsidTr="000D0181">
        <w:trPr>
          <w:cantSplit/>
          <w:trHeight w:val="300"/>
        </w:trPr>
        <w:tc>
          <w:tcPr>
            <w:tcW w:w="704" w:type="dxa"/>
          </w:tcPr>
          <w:p w14:paraId="1EEB417A" w14:textId="77777777" w:rsidR="00A85F9F" w:rsidRPr="0017125B" w:rsidRDefault="00A85F9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tcMar>
              <w:top w:w="85" w:type="dxa"/>
              <w:bottom w:w="85" w:type="dxa"/>
            </w:tcMar>
          </w:tcPr>
          <w:p w14:paraId="423B9832" w14:textId="017A516A" w:rsidR="00A85F9F" w:rsidRPr="0020291F" w:rsidRDefault="009506D1" w:rsidP="006E17E7">
            <w:pPr>
              <w:rPr>
                <w:rFonts w:cs="Calibri"/>
                <w:b/>
                <w:noProof/>
                <w:color w:val="000000"/>
              </w:rPr>
            </w:pPr>
            <w:r>
              <w:rPr>
                <w:b/>
                <w:noProof/>
                <w:color w:val="000000"/>
              </w:rPr>
              <w:t>Kilpailukyky</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34A9CD2" w14:textId="77777777" w:rsidR="00A85F9F" w:rsidRPr="00894E1F" w:rsidRDefault="00A85F9F" w:rsidP="006E17E7">
            <w:pPr>
              <w:ind w:hanging="36"/>
              <w:jc w:val="both"/>
              <w:rPr>
                <w:rFonts w:cs="Calibri"/>
                <w:b/>
                <w:i/>
                <w:iCs/>
                <w:noProof/>
                <w:color w:val="000000"/>
                <w:u w:val="single"/>
              </w:rPr>
            </w:pPr>
            <w:r>
              <w:rPr>
                <w:b/>
                <w:noProof/>
                <w:color w:val="000000"/>
              </w:rPr>
              <w:t>EU:n avaruussäädös</w:t>
            </w:r>
            <w:r>
              <w:rPr>
                <w:noProof/>
                <w:color w:val="000000"/>
              </w:rPr>
              <w:t xml:space="preserve"> (säädös, ml. vaikutustenarviointi, SEUT-sopimuksen 114 artikla, Q2 2025)</w:t>
            </w:r>
          </w:p>
        </w:tc>
      </w:tr>
      <w:tr w:rsidR="00632D0F" w:rsidRPr="008E1F61" w14:paraId="068641E2" w14:textId="77777777" w:rsidTr="00632D0F">
        <w:trPr>
          <w:cantSplit/>
          <w:trHeight w:val="443"/>
        </w:trPr>
        <w:tc>
          <w:tcPr>
            <w:tcW w:w="704" w:type="dxa"/>
          </w:tcPr>
          <w:p w14:paraId="5B017101" w14:textId="77777777" w:rsidR="00632D0F" w:rsidRPr="0017125B" w:rsidRDefault="00632D0F" w:rsidP="006E17E7">
            <w:pPr>
              <w:pStyle w:val="ListParagraph"/>
              <w:numPr>
                <w:ilvl w:val="0"/>
                <w:numId w:val="3"/>
              </w:numPr>
              <w:spacing w:after="0"/>
              <w:ind w:left="473"/>
              <w:rPr>
                <w:rFonts w:eastAsia="Calibri"/>
                <w:noProof/>
              </w:rPr>
            </w:pPr>
          </w:p>
        </w:tc>
        <w:tc>
          <w:tcPr>
            <w:tcW w:w="3260" w:type="dxa"/>
            <w:tcBorders>
              <w:left w:val="single" w:sz="4" w:space="0" w:color="auto"/>
              <w:right w:val="single" w:sz="4" w:space="0" w:color="auto"/>
            </w:tcBorders>
            <w:tcMar>
              <w:top w:w="85" w:type="dxa"/>
              <w:bottom w:w="85" w:type="dxa"/>
            </w:tcMar>
          </w:tcPr>
          <w:p w14:paraId="6159149E" w14:textId="41FBE1E4" w:rsidR="00632D0F" w:rsidRPr="0020291F" w:rsidRDefault="00632D0F" w:rsidP="006E17E7">
            <w:pPr>
              <w:rPr>
                <w:rFonts w:cs="Calibri"/>
                <w:b/>
                <w:noProof/>
                <w:color w:val="000000"/>
              </w:rPr>
            </w:pPr>
            <w:r>
              <w:rPr>
                <w:b/>
                <w:noProof/>
                <w:color w:val="000000"/>
              </w:rPr>
              <w:t>Kilpailukyky ja vähähiilistäminen</w:t>
            </w:r>
          </w:p>
        </w:tc>
        <w:tc>
          <w:tcPr>
            <w:tcW w:w="9923" w:type="dxa"/>
            <w:tcBorders>
              <w:left w:val="single" w:sz="4" w:space="0" w:color="auto"/>
              <w:right w:val="single" w:sz="4" w:space="0" w:color="auto"/>
            </w:tcBorders>
            <w:shd w:val="clear" w:color="auto" w:fill="auto"/>
            <w:tcMar>
              <w:top w:w="85" w:type="dxa"/>
              <w:bottom w:w="85" w:type="dxa"/>
            </w:tcMar>
          </w:tcPr>
          <w:p w14:paraId="3178E8C3" w14:textId="77777777" w:rsidR="00632D0F" w:rsidRPr="00894E1F" w:rsidRDefault="00632D0F" w:rsidP="006E17E7">
            <w:pPr>
              <w:ind w:hanging="36"/>
              <w:jc w:val="both"/>
              <w:rPr>
                <w:rFonts w:cs="Calibri"/>
                <w:b/>
                <w:i/>
                <w:iCs/>
                <w:noProof/>
                <w:color w:val="000000"/>
                <w:u w:val="single"/>
              </w:rPr>
            </w:pPr>
            <w:r>
              <w:rPr>
                <w:b/>
                <w:noProof/>
                <w:color w:val="000000"/>
              </w:rPr>
              <w:t>Biotalousstrategia</w:t>
            </w:r>
            <w:r>
              <w:rPr>
                <w:noProof/>
                <w:color w:val="000000"/>
              </w:rPr>
              <w:t xml:space="preserve"> (muu kuin säädös tai säädös, Q4 2025)</w:t>
            </w:r>
          </w:p>
        </w:tc>
      </w:tr>
      <w:tr w:rsidR="00A85F9F" w:rsidRPr="008E1F61" w14:paraId="6BB3E6A9" w14:textId="77777777" w:rsidTr="007614B3">
        <w:trPr>
          <w:cantSplit/>
          <w:trHeight w:val="300"/>
        </w:trPr>
        <w:tc>
          <w:tcPr>
            <w:tcW w:w="704" w:type="dxa"/>
          </w:tcPr>
          <w:p w14:paraId="46612E0F"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Borders>
              <w:left w:val="single" w:sz="4" w:space="0" w:color="auto"/>
              <w:right w:val="single" w:sz="4" w:space="0" w:color="auto"/>
            </w:tcBorders>
            <w:shd w:val="clear" w:color="auto" w:fill="auto"/>
            <w:tcMar>
              <w:top w:w="85" w:type="dxa"/>
              <w:bottom w:w="85" w:type="dxa"/>
            </w:tcMar>
          </w:tcPr>
          <w:p w14:paraId="1930D031" w14:textId="7611A120" w:rsidR="00A85F9F" w:rsidRPr="0020291F" w:rsidRDefault="005F4F21" w:rsidP="006E17E7">
            <w:pPr>
              <w:rPr>
                <w:rFonts w:cs="Calibri"/>
                <w:b/>
                <w:noProof/>
                <w:color w:val="000000"/>
              </w:rPr>
            </w:pPr>
            <w:r>
              <w:rPr>
                <w:b/>
                <w:noProof/>
              </w:rPr>
              <w:t>Yksinkertaistaminen</w:t>
            </w:r>
          </w:p>
        </w:tc>
        <w:tc>
          <w:tcPr>
            <w:tcW w:w="99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00AF9A02" w14:textId="77777777" w:rsidR="00A85F9F" w:rsidRPr="007C64AF" w:rsidRDefault="00A85F9F" w:rsidP="006E17E7">
            <w:pPr>
              <w:ind w:hanging="36"/>
              <w:jc w:val="both"/>
              <w:rPr>
                <w:rFonts w:cs="Calibri"/>
                <w:b/>
                <w:noProof/>
                <w:color w:val="000000"/>
              </w:rPr>
            </w:pPr>
            <w:r>
              <w:rPr>
                <w:b/>
                <w:noProof/>
                <w:color w:val="000000"/>
              </w:rPr>
              <w:t>REACH-asetuksen kohdennettu tarkistaminen</w:t>
            </w:r>
            <w:r>
              <w:rPr>
                <w:noProof/>
                <w:color w:val="000000"/>
              </w:rPr>
              <w:t xml:space="preserve"> (säädös, SEUT-sopimuksen 114 artikla, Q4 2025)</w:t>
            </w:r>
          </w:p>
        </w:tc>
      </w:tr>
      <w:tr w:rsidR="00A85F9F" w:rsidRPr="008E1F61" w14:paraId="25DCA3BF" w14:textId="77777777" w:rsidTr="00F14026">
        <w:trPr>
          <w:cantSplit/>
          <w:trHeight w:val="300"/>
        </w:trPr>
        <w:tc>
          <w:tcPr>
            <w:tcW w:w="704" w:type="dxa"/>
            <w:tcBorders>
              <w:right w:val="single" w:sz="4" w:space="0" w:color="auto"/>
            </w:tcBorders>
          </w:tcPr>
          <w:p w14:paraId="50503D2A" w14:textId="77777777" w:rsidR="00A85F9F" w:rsidRPr="0017125B" w:rsidRDefault="00A85F9F" w:rsidP="006E17E7">
            <w:pPr>
              <w:pStyle w:val="ListParagraph"/>
              <w:numPr>
                <w:ilvl w:val="0"/>
                <w:numId w:val="3"/>
              </w:numPr>
              <w:spacing w:after="0"/>
              <w:ind w:left="473"/>
              <w:rPr>
                <w:rFonts w:eastAsia="Calibri" w:cs="Arial"/>
                <w:noProof/>
              </w:rPr>
            </w:pPr>
          </w:p>
        </w:tc>
        <w:tc>
          <w:tcPr>
            <w:tcW w:w="3260" w:type="dxa"/>
            <w:tcMar>
              <w:top w:w="85" w:type="dxa"/>
              <w:bottom w:w="85" w:type="dxa"/>
            </w:tcMar>
          </w:tcPr>
          <w:p w14:paraId="31475D02" w14:textId="523048B0" w:rsidR="00A85F9F" w:rsidRPr="00160006" w:rsidRDefault="009446BF" w:rsidP="006E17E7">
            <w:pPr>
              <w:rPr>
                <w:rFonts w:cs="Calibri"/>
                <w:b/>
                <w:noProof/>
                <w:color w:val="000000"/>
              </w:rPr>
            </w:pPr>
            <w:r>
              <w:rPr>
                <w:b/>
                <w:noProof/>
                <w:color w:val="000000"/>
              </w:rPr>
              <w:t>Turvallisuus</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19C7ED05" w14:textId="77777777" w:rsidR="00A85F9F" w:rsidRPr="00894E1F" w:rsidRDefault="00A85F9F" w:rsidP="006E17E7">
            <w:pPr>
              <w:ind w:hanging="36"/>
              <w:jc w:val="both"/>
              <w:rPr>
                <w:rFonts w:cs="Calibri"/>
                <w:b/>
                <w:noProof/>
                <w:color w:val="000000"/>
              </w:rPr>
            </w:pPr>
            <w:r>
              <w:rPr>
                <w:b/>
                <w:noProof/>
                <w:color w:val="000000"/>
              </w:rPr>
              <w:t>Etenemissuunnitelma Venäjän tuontienergiasta irtautumiseksi</w:t>
            </w:r>
            <w:r>
              <w:rPr>
                <w:noProof/>
                <w:color w:val="000000"/>
              </w:rPr>
              <w:t xml:space="preserve"> (muu kuin säädös, Q1 2025)</w:t>
            </w:r>
          </w:p>
        </w:tc>
      </w:tr>
      <w:tr w:rsidR="00A85F9F" w:rsidRPr="008E1F61" w14:paraId="175C576D" w14:textId="77777777" w:rsidTr="00F14026">
        <w:trPr>
          <w:cantSplit/>
          <w:trHeight w:val="170"/>
        </w:trPr>
        <w:tc>
          <w:tcPr>
            <w:tcW w:w="704" w:type="dxa"/>
          </w:tcPr>
          <w:p w14:paraId="1C82A271" w14:textId="77777777" w:rsidR="00A85F9F" w:rsidRPr="0017125B" w:rsidRDefault="00A85F9F" w:rsidP="006E17E7">
            <w:pPr>
              <w:numPr>
                <w:ilvl w:val="0"/>
                <w:numId w:val="3"/>
              </w:numPr>
              <w:ind w:left="473"/>
              <w:jc w:val="both"/>
              <w:rPr>
                <w:rFonts w:eastAsia="Calibri"/>
                <w:noProof/>
              </w:rPr>
            </w:pPr>
          </w:p>
        </w:tc>
        <w:tc>
          <w:tcPr>
            <w:tcW w:w="3260" w:type="dxa"/>
            <w:tcMar>
              <w:top w:w="85" w:type="dxa"/>
              <w:bottom w:w="85" w:type="dxa"/>
            </w:tcMar>
          </w:tcPr>
          <w:p w14:paraId="5A9E8A89" w14:textId="079C133E" w:rsidR="00A85F9F" w:rsidRPr="0020291F" w:rsidRDefault="00F74541" w:rsidP="006E17E7">
            <w:pPr>
              <w:rPr>
                <w:rFonts w:cs="Calibri"/>
                <w:b/>
                <w:noProof/>
                <w:color w:val="000000"/>
              </w:rPr>
            </w:pPr>
            <w:r>
              <w:rPr>
                <w:b/>
                <w:noProof/>
                <w:color w:val="000000"/>
              </w:rPr>
              <w:t>Kilpailukyky ja vähähiilistäminen</w:t>
            </w:r>
          </w:p>
        </w:tc>
        <w:tc>
          <w:tcPr>
            <w:tcW w:w="9923" w:type="dxa"/>
            <w:tcBorders>
              <w:left w:val="single" w:sz="4" w:space="0" w:color="auto"/>
              <w:bottom w:val="single" w:sz="4" w:space="0" w:color="auto"/>
              <w:right w:val="single" w:sz="4" w:space="0" w:color="auto"/>
            </w:tcBorders>
            <w:shd w:val="clear" w:color="auto" w:fill="auto"/>
            <w:tcMar>
              <w:top w:w="85" w:type="dxa"/>
              <w:bottom w:w="85" w:type="dxa"/>
            </w:tcMar>
          </w:tcPr>
          <w:p w14:paraId="0F35A089" w14:textId="77777777" w:rsidR="00A85F9F" w:rsidRPr="0020291F" w:rsidRDefault="00A85F9F" w:rsidP="006E17E7">
            <w:pPr>
              <w:ind w:hanging="36"/>
              <w:jc w:val="both"/>
              <w:rPr>
                <w:rFonts w:cs="Calibri"/>
                <w:b/>
                <w:noProof/>
                <w:color w:val="000000"/>
                <w:highlight w:val="yellow"/>
              </w:rPr>
            </w:pPr>
            <w:r>
              <w:rPr>
                <w:b/>
                <w:noProof/>
                <w:color w:val="000000" w:themeColor="text1"/>
              </w:rPr>
              <w:t>Kestävän liikenteen investointiohjelma</w:t>
            </w:r>
            <w:r>
              <w:rPr>
                <w:noProof/>
                <w:color w:val="000000" w:themeColor="text1"/>
              </w:rPr>
              <w:t xml:space="preserve"> (muu kuin säädös, Q3 2025)</w:t>
            </w:r>
          </w:p>
        </w:tc>
      </w:tr>
      <w:tr w:rsidR="00A85F9F" w:rsidRPr="008E1F61" w14:paraId="33AF9BEA" w14:textId="77777777" w:rsidTr="006E17E7">
        <w:trPr>
          <w:cantSplit/>
          <w:trHeight w:val="300"/>
        </w:trPr>
        <w:tc>
          <w:tcPr>
            <w:tcW w:w="13887" w:type="dxa"/>
            <w:gridSpan w:val="3"/>
            <w:tcBorders>
              <w:bottom w:val="single" w:sz="4" w:space="0" w:color="auto"/>
            </w:tcBorders>
            <w:shd w:val="clear" w:color="auto" w:fill="006666"/>
          </w:tcPr>
          <w:p w14:paraId="4C92B827" w14:textId="77777777" w:rsidR="00A85F9F" w:rsidRPr="00CC462E" w:rsidRDefault="00A85F9F" w:rsidP="006E17E7">
            <w:pPr>
              <w:keepNext/>
              <w:spacing w:before="60" w:after="60"/>
              <w:jc w:val="both"/>
              <w:rPr>
                <w:b/>
                <w:bCs/>
                <w:noProof/>
                <w:color w:val="FFFFFF"/>
              </w:rPr>
            </w:pPr>
            <w:r>
              <w:rPr>
                <w:b/>
                <w:noProof/>
                <w:color w:val="FFFFFF"/>
              </w:rPr>
              <w:t>Euroopan puolustuksen ja turvallisuuden uusi aikakausi</w:t>
            </w:r>
          </w:p>
        </w:tc>
      </w:tr>
      <w:tr w:rsidR="00A85F9F" w:rsidRPr="008E1F61" w14:paraId="1493D999" w14:textId="77777777" w:rsidTr="00F14026">
        <w:trPr>
          <w:cantSplit/>
          <w:trHeight w:val="300"/>
        </w:trPr>
        <w:tc>
          <w:tcPr>
            <w:tcW w:w="704" w:type="dxa"/>
            <w:tcBorders>
              <w:right w:val="single" w:sz="4" w:space="0" w:color="auto"/>
            </w:tcBorders>
          </w:tcPr>
          <w:p w14:paraId="72FD417D"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tcMar>
              <w:top w:w="85" w:type="dxa"/>
              <w:bottom w:w="85" w:type="dxa"/>
            </w:tcMar>
          </w:tcPr>
          <w:p w14:paraId="78C63E4F" w14:textId="369A16A8" w:rsidR="00A85F9F" w:rsidRPr="0020291F" w:rsidRDefault="009B6D69" w:rsidP="006E17E7">
            <w:pPr>
              <w:jc w:val="both"/>
              <w:rPr>
                <w:b/>
                <w:noProof/>
                <w:color w:val="000000"/>
              </w:rPr>
            </w:pPr>
            <w:r>
              <w:rPr>
                <w:b/>
                <w:noProof/>
                <w:color w:val="000000"/>
              </w:rPr>
              <w:t>Turvallisuus</w:t>
            </w:r>
          </w:p>
        </w:tc>
        <w:tc>
          <w:tcPr>
            <w:tcW w:w="9923" w:type="dxa"/>
            <w:tcBorders>
              <w:bottom w:val="single" w:sz="4" w:space="0" w:color="auto"/>
            </w:tcBorders>
            <w:shd w:val="clear" w:color="auto" w:fill="auto"/>
            <w:tcMar>
              <w:top w:w="85" w:type="dxa"/>
              <w:bottom w:w="85" w:type="dxa"/>
            </w:tcMar>
          </w:tcPr>
          <w:p w14:paraId="68515E19" w14:textId="77777777" w:rsidR="00A85F9F" w:rsidRPr="0020291F" w:rsidRDefault="00A85F9F" w:rsidP="006E17E7">
            <w:pPr>
              <w:rPr>
                <w:rFonts w:cstheme="minorHAnsi"/>
                <w:noProof/>
              </w:rPr>
            </w:pPr>
            <w:r>
              <w:rPr>
                <w:b/>
                <w:noProof/>
                <w:color w:val="000000"/>
              </w:rPr>
              <w:t>Valkoinen kirja Euroopan puolustuksen tulevaisuudesta</w:t>
            </w:r>
            <w:r>
              <w:rPr>
                <w:noProof/>
              </w:rPr>
              <w:t xml:space="preserve"> (muu kuin säädös, Q1 2025)</w:t>
            </w:r>
          </w:p>
        </w:tc>
      </w:tr>
      <w:tr w:rsidR="00A85F9F" w:rsidRPr="008E1F61" w14:paraId="09EFA0BC" w14:textId="77777777" w:rsidTr="00F14026">
        <w:trPr>
          <w:cantSplit/>
          <w:trHeight w:val="300"/>
        </w:trPr>
        <w:tc>
          <w:tcPr>
            <w:tcW w:w="704" w:type="dxa"/>
            <w:tcBorders>
              <w:right w:val="single" w:sz="4" w:space="0" w:color="auto"/>
            </w:tcBorders>
          </w:tcPr>
          <w:p w14:paraId="070F875F"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tcMar>
              <w:top w:w="85" w:type="dxa"/>
              <w:bottom w:w="85" w:type="dxa"/>
            </w:tcMar>
          </w:tcPr>
          <w:p w14:paraId="79C8F13E" w14:textId="012C358E" w:rsidR="00A85F9F" w:rsidRPr="0020291F" w:rsidRDefault="00263F39" w:rsidP="006E17E7">
            <w:pPr>
              <w:jc w:val="both"/>
              <w:rPr>
                <w:b/>
                <w:noProof/>
                <w:color w:val="000000"/>
              </w:rPr>
            </w:pPr>
            <w:r>
              <w:rPr>
                <w:b/>
                <w:noProof/>
                <w:color w:val="000000"/>
              </w:rPr>
              <w:t>Varautuminen ja häiriönsietokyky</w:t>
            </w:r>
          </w:p>
        </w:tc>
        <w:tc>
          <w:tcPr>
            <w:tcW w:w="9923" w:type="dxa"/>
            <w:tcBorders>
              <w:bottom w:val="single" w:sz="4" w:space="0" w:color="auto"/>
            </w:tcBorders>
            <w:shd w:val="clear" w:color="auto" w:fill="auto"/>
            <w:tcMar>
              <w:top w:w="85" w:type="dxa"/>
              <w:bottom w:w="85" w:type="dxa"/>
            </w:tcMar>
          </w:tcPr>
          <w:p w14:paraId="2CDBDE65" w14:textId="605EC28F" w:rsidR="00A85F9F" w:rsidRPr="0020291F" w:rsidRDefault="00A85F9F" w:rsidP="006E17E7">
            <w:pPr>
              <w:contextualSpacing/>
              <w:jc w:val="both"/>
              <w:rPr>
                <w:b/>
                <w:bCs/>
                <w:noProof/>
                <w:color w:val="000000"/>
                <w:highlight w:val="green"/>
              </w:rPr>
            </w:pPr>
            <w:r>
              <w:rPr>
                <w:b/>
                <w:noProof/>
                <w:color w:val="000000" w:themeColor="text1"/>
              </w:rPr>
              <w:t>EU:n varautumisunionistrategia</w:t>
            </w:r>
            <w:r>
              <w:rPr>
                <w:noProof/>
                <w:color w:val="000000" w:themeColor="text1"/>
              </w:rPr>
              <w:t xml:space="preserve"> (muu kuin säädös, Q1 2025)</w:t>
            </w:r>
          </w:p>
        </w:tc>
      </w:tr>
      <w:tr w:rsidR="00A85F9F" w:rsidRPr="008E1F61" w14:paraId="5D4886DF" w14:textId="77777777" w:rsidTr="00F14026">
        <w:trPr>
          <w:cantSplit/>
          <w:trHeight w:val="258"/>
        </w:trPr>
        <w:tc>
          <w:tcPr>
            <w:tcW w:w="704" w:type="dxa"/>
            <w:vMerge w:val="restart"/>
            <w:tcBorders>
              <w:right w:val="single" w:sz="4" w:space="0" w:color="auto"/>
            </w:tcBorders>
          </w:tcPr>
          <w:p w14:paraId="48F6102F" w14:textId="77777777" w:rsidR="00A85F9F" w:rsidRPr="0017125B" w:rsidRDefault="00A85F9F" w:rsidP="006E17E7">
            <w:pPr>
              <w:pStyle w:val="ListParagraph"/>
              <w:numPr>
                <w:ilvl w:val="0"/>
                <w:numId w:val="3"/>
              </w:numPr>
              <w:spacing w:after="0"/>
              <w:ind w:left="473"/>
              <w:rPr>
                <w:noProof/>
              </w:rPr>
            </w:pPr>
          </w:p>
        </w:tc>
        <w:tc>
          <w:tcPr>
            <w:tcW w:w="3260" w:type="dxa"/>
            <w:vMerge w:val="restart"/>
            <w:tcBorders>
              <w:left w:val="single" w:sz="4" w:space="0" w:color="auto"/>
            </w:tcBorders>
            <w:tcMar>
              <w:top w:w="85" w:type="dxa"/>
              <w:bottom w:w="85" w:type="dxa"/>
            </w:tcMar>
          </w:tcPr>
          <w:p w14:paraId="22D7A448" w14:textId="53ED8BF9" w:rsidR="00A85F9F" w:rsidRPr="0020291F" w:rsidRDefault="00263F39" w:rsidP="006E17E7">
            <w:pPr>
              <w:rPr>
                <w:b/>
                <w:noProof/>
                <w:color w:val="000000"/>
              </w:rPr>
            </w:pPr>
            <w:r>
              <w:rPr>
                <w:b/>
                <w:noProof/>
                <w:color w:val="000000"/>
              </w:rPr>
              <w:t>Varautuminen ja häiriönsietokyky</w:t>
            </w:r>
          </w:p>
        </w:tc>
        <w:tc>
          <w:tcPr>
            <w:tcW w:w="9923" w:type="dxa"/>
            <w:tcBorders>
              <w:bottom w:val="single" w:sz="4" w:space="0" w:color="auto"/>
            </w:tcBorders>
            <w:shd w:val="clear" w:color="auto" w:fill="auto"/>
            <w:tcMar>
              <w:top w:w="85" w:type="dxa"/>
              <w:bottom w:w="85" w:type="dxa"/>
            </w:tcMar>
          </w:tcPr>
          <w:p w14:paraId="45C62364" w14:textId="77777777" w:rsidR="00A85F9F" w:rsidRPr="0020291F" w:rsidRDefault="00A85F9F" w:rsidP="006E17E7">
            <w:pPr>
              <w:contextualSpacing/>
              <w:jc w:val="both"/>
              <w:rPr>
                <w:b/>
                <w:bCs/>
                <w:noProof/>
                <w:color w:val="000000"/>
                <w:highlight w:val="green"/>
              </w:rPr>
            </w:pPr>
            <w:r>
              <w:rPr>
                <w:b/>
                <w:noProof/>
                <w:color w:val="000000"/>
              </w:rPr>
              <w:t>Kriittisiä lääkkeitä koskeva säädös</w:t>
            </w:r>
            <w:r>
              <w:rPr>
                <w:noProof/>
                <w:color w:val="000000"/>
              </w:rPr>
              <w:t xml:space="preserve"> (säädös, Q1 2025)</w:t>
            </w:r>
          </w:p>
        </w:tc>
      </w:tr>
      <w:tr w:rsidR="00A85F9F" w:rsidRPr="008E1F61" w14:paraId="0F7530D0" w14:textId="77777777" w:rsidTr="15C1A19F">
        <w:trPr>
          <w:cantSplit/>
          <w:trHeight w:val="250"/>
        </w:trPr>
        <w:tc>
          <w:tcPr>
            <w:tcW w:w="704" w:type="dxa"/>
            <w:vMerge/>
          </w:tcPr>
          <w:p w14:paraId="426B0728" w14:textId="77777777" w:rsidR="00A85F9F" w:rsidRPr="008F07C6" w:rsidRDefault="00A85F9F" w:rsidP="006E17E7">
            <w:pPr>
              <w:pStyle w:val="ListParagraph"/>
              <w:numPr>
                <w:ilvl w:val="0"/>
                <w:numId w:val="3"/>
              </w:numPr>
              <w:spacing w:after="0"/>
              <w:ind w:left="473"/>
              <w:rPr>
                <w:noProof/>
              </w:rPr>
            </w:pPr>
          </w:p>
        </w:tc>
        <w:tc>
          <w:tcPr>
            <w:tcW w:w="3260" w:type="dxa"/>
            <w:vMerge/>
            <w:tcMar>
              <w:top w:w="85" w:type="dxa"/>
              <w:bottom w:w="85" w:type="dxa"/>
            </w:tcMar>
          </w:tcPr>
          <w:p w14:paraId="1EFE63D2" w14:textId="77777777" w:rsidR="00A85F9F" w:rsidRPr="0020291F" w:rsidRDefault="00A85F9F" w:rsidP="006E17E7">
            <w:pPr>
              <w:rPr>
                <w:b/>
                <w:noProof/>
                <w:color w:val="000000"/>
              </w:rPr>
            </w:pPr>
          </w:p>
        </w:tc>
        <w:tc>
          <w:tcPr>
            <w:tcW w:w="9923" w:type="dxa"/>
            <w:tcBorders>
              <w:bottom w:val="single" w:sz="4" w:space="0" w:color="auto"/>
            </w:tcBorders>
            <w:shd w:val="clear" w:color="auto" w:fill="auto"/>
            <w:tcMar>
              <w:top w:w="85" w:type="dxa"/>
              <w:bottom w:w="85" w:type="dxa"/>
            </w:tcMar>
          </w:tcPr>
          <w:p w14:paraId="20484469" w14:textId="77777777" w:rsidR="00A85F9F" w:rsidRPr="0020291F" w:rsidRDefault="00A85F9F" w:rsidP="006E17E7">
            <w:pPr>
              <w:contextualSpacing/>
              <w:jc w:val="both"/>
              <w:rPr>
                <w:b/>
                <w:bCs/>
                <w:noProof/>
                <w:color w:val="000000"/>
                <w:highlight w:val="green"/>
              </w:rPr>
            </w:pPr>
            <w:r>
              <w:rPr>
                <w:b/>
                <w:noProof/>
                <w:color w:val="000000"/>
              </w:rPr>
              <w:t>Strategia kansanterveysuhkien lääketieteellisten vastatoimien tukemiseksi</w:t>
            </w:r>
            <w:r>
              <w:rPr>
                <w:noProof/>
                <w:color w:val="000000"/>
              </w:rPr>
              <w:t xml:space="preserve"> (muu kuin säädös, Q2 2025)</w:t>
            </w:r>
          </w:p>
        </w:tc>
      </w:tr>
      <w:tr w:rsidR="00A85F9F" w:rsidRPr="008E1F61" w14:paraId="1A3F6D74" w14:textId="77777777" w:rsidTr="15C1A19F">
        <w:trPr>
          <w:cantSplit/>
          <w:trHeight w:val="300"/>
        </w:trPr>
        <w:tc>
          <w:tcPr>
            <w:tcW w:w="704" w:type="dxa"/>
            <w:vMerge/>
          </w:tcPr>
          <w:p w14:paraId="1DDE45AD" w14:textId="77777777" w:rsidR="00A85F9F" w:rsidRPr="0017125B" w:rsidRDefault="00A85F9F" w:rsidP="006E17E7">
            <w:pPr>
              <w:numPr>
                <w:ilvl w:val="0"/>
                <w:numId w:val="3"/>
              </w:numPr>
              <w:ind w:left="473"/>
              <w:contextualSpacing/>
              <w:jc w:val="both"/>
              <w:rPr>
                <w:noProof/>
              </w:rPr>
            </w:pPr>
          </w:p>
        </w:tc>
        <w:tc>
          <w:tcPr>
            <w:tcW w:w="3260" w:type="dxa"/>
            <w:vMerge/>
            <w:tcMar>
              <w:top w:w="85" w:type="dxa"/>
              <w:bottom w:w="85" w:type="dxa"/>
            </w:tcMar>
          </w:tcPr>
          <w:p w14:paraId="7323B478" w14:textId="77777777" w:rsidR="00A85F9F" w:rsidRPr="0017125B" w:rsidRDefault="00A85F9F" w:rsidP="006E17E7">
            <w:pPr>
              <w:rPr>
                <w:b/>
                <w:noProof/>
                <w:color w:val="000000"/>
              </w:rPr>
            </w:pPr>
          </w:p>
        </w:tc>
        <w:tc>
          <w:tcPr>
            <w:tcW w:w="9923" w:type="dxa"/>
            <w:tcBorders>
              <w:bottom w:val="single" w:sz="4" w:space="0" w:color="auto"/>
            </w:tcBorders>
            <w:shd w:val="clear" w:color="auto" w:fill="auto"/>
            <w:tcMar>
              <w:top w:w="85" w:type="dxa"/>
              <w:bottom w:w="85" w:type="dxa"/>
            </w:tcMar>
          </w:tcPr>
          <w:p w14:paraId="3BCF4965" w14:textId="77777777" w:rsidR="00A85F9F" w:rsidRPr="00160006" w:rsidRDefault="00A85F9F" w:rsidP="006E17E7">
            <w:pPr>
              <w:contextualSpacing/>
              <w:jc w:val="both"/>
              <w:rPr>
                <w:b/>
                <w:noProof/>
                <w:color w:val="000000"/>
                <w:highlight w:val="green"/>
              </w:rPr>
            </w:pPr>
            <w:r>
              <w:rPr>
                <w:b/>
                <w:noProof/>
                <w:color w:val="000000"/>
              </w:rPr>
              <w:t>EU:n varastointistrategia</w:t>
            </w:r>
            <w:r>
              <w:rPr>
                <w:noProof/>
                <w:color w:val="000000"/>
              </w:rPr>
              <w:t xml:space="preserve"> (muu kuin säädös, Q2 2025)</w:t>
            </w:r>
          </w:p>
        </w:tc>
      </w:tr>
      <w:tr w:rsidR="00A85F9F" w:rsidRPr="008E1F61" w14:paraId="5FE94FD6" w14:textId="77777777" w:rsidTr="00F14026">
        <w:trPr>
          <w:cantSplit/>
          <w:trHeight w:val="300"/>
        </w:trPr>
        <w:tc>
          <w:tcPr>
            <w:tcW w:w="704" w:type="dxa"/>
            <w:tcBorders>
              <w:right w:val="single" w:sz="4" w:space="0" w:color="auto"/>
            </w:tcBorders>
          </w:tcPr>
          <w:p w14:paraId="0E56B2BE" w14:textId="77777777" w:rsidR="00A85F9F" w:rsidRPr="0017125B" w:rsidRDefault="00A85F9F" w:rsidP="006E17E7">
            <w:pPr>
              <w:pStyle w:val="ListParagraph"/>
              <w:numPr>
                <w:ilvl w:val="0"/>
                <w:numId w:val="3"/>
              </w:numPr>
              <w:spacing w:after="0"/>
              <w:ind w:left="473"/>
              <w:jc w:val="left"/>
              <w:rPr>
                <w:noProof/>
              </w:rPr>
            </w:pPr>
          </w:p>
        </w:tc>
        <w:tc>
          <w:tcPr>
            <w:tcW w:w="3260" w:type="dxa"/>
            <w:tcBorders>
              <w:left w:val="single" w:sz="4" w:space="0" w:color="auto"/>
            </w:tcBorders>
            <w:tcMar>
              <w:top w:w="85" w:type="dxa"/>
              <w:bottom w:w="85" w:type="dxa"/>
            </w:tcMar>
          </w:tcPr>
          <w:p w14:paraId="2F13CDF5" w14:textId="1AC9E6D7" w:rsidR="00A85F9F" w:rsidRPr="0020291F" w:rsidRDefault="00200A7B" w:rsidP="006E17E7">
            <w:pPr>
              <w:jc w:val="both"/>
              <w:rPr>
                <w:b/>
                <w:noProof/>
                <w:color w:val="000000"/>
              </w:rPr>
            </w:pPr>
            <w:r>
              <w:rPr>
                <w:b/>
                <w:noProof/>
                <w:color w:val="000000"/>
              </w:rPr>
              <w:t>Turvallisuus</w:t>
            </w:r>
          </w:p>
        </w:tc>
        <w:tc>
          <w:tcPr>
            <w:tcW w:w="9923" w:type="dxa"/>
            <w:tcBorders>
              <w:bottom w:val="single" w:sz="4" w:space="0" w:color="auto"/>
            </w:tcBorders>
            <w:shd w:val="clear" w:color="auto" w:fill="auto"/>
            <w:tcMar>
              <w:top w:w="85" w:type="dxa"/>
              <w:bottom w:w="85" w:type="dxa"/>
            </w:tcMar>
          </w:tcPr>
          <w:p w14:paraId="25D10CEB" w14:textId="77777777" w:rsidR="00A85F9F" w:rsidRPr="0020291F" w:rsidRDefault="00A85F9F" w:rsidP="006E17E7">
            <w:pPr>
              <w:contextualSpacing/>
              <w:jc w:val="both"/>
              <w:rPr>
                <w:b/>
                <w:bCs/>
                <w:noProof/>
                <w:color w:val="000000"/>
                <w:highlight w:val="green"/>
              </w:rPr>
            </w:pPr>
            <w:r>
              <w:rPr>
                <w:b/>
                <w:noProof/>
                <w:color w:val="000000"/>
              </w:rPr>
              <w:t>Uusi EU:n sisäisen turvallisuuden strategia</w:t>
            </w:r>
            <w:r>
              <w:rPr>
                <w:noProof/>
                <w:color w:val="000000"/>
              </w:rPr>
              <w:t xml:space="preserve"> (muu kuin säädös, Q1 2025)</w:t>
            </w:r>
          </w:p>
        </w:tc>
      </w:tr>
      <w:tr w:rsidR="00A85F9F" w:rsidRPr="008E1F61" w14:paraId="0E1837C1" w14:textId="77777777" w:rsidTr="007614B3">
        <w:trPr>
          <w:cantSplit/>
          <w:trHeight w:val="300"/>
        </w:trPr>
        <w:tc>
          <w:tcPr>
            <w:tcW w:w="704" w:type="dxa"/>
            <w:vMerge w:val="restart"/>
          </w:tcPr>
          <w:p w14:paraId="53319DAE" w14:textId="77777777" w:rsidR="00A85F9F" w:rsidRPr="0017125B" w:rsidRDefault="00A85F9F" w:rsidP="006E17E7">
            <w:pPr>
              <w:numPr>
                <w:ilvl w:val="0"/>
                <w:numId w:val="3"/>
              </w:numPr>
              <w:ind w:left="473"/>
              <w:contextualSpacing/>
              <w:jc w:val="both"/>
              <w:rPr>
                <w:noProof/>
              </w:rPr>
            </w:pPr>
          </w:p>
        </w:tc>
        <w:tc>
          <w:tcPr>
            <w:tcW w:w="3260" w:type="dxa"/>
            <w:vMerge w:val="restart"/>
            <w:tcMar>
              <w:top w:w="85" w:type="dxa"/>
              <w:bottom w:w="85" w:type="dxa"/>
            </w:tcMar>
          </w:tcPr>
          <w:p w14:paraId="317B0D94" w14:textId="36B1B682" w:rsidR="00A85F9F" w:rsidRPr="0020291F" w:rsidRDefault="00D25E1C" w:rsidP="006E17E7">
            <w:pPr>
              <w:jc w:val="both"/>
              <w:rPr>
                <w:b/>
                <w:noProof/>
                <w:color w:val="000000"/>
              </w:rPr>
            </w:pPr>
            <w:r>
              <w:rPr>
                <w:b/>
                <w:noProof/>
                <w:color w:val="000000"/>
              </w:rPr>
              <w:t>Turvallisuus</w:t>
            </w:r>
          </w:p>
        </w:tc>
        <w:tc>
          <w:tcPr>
            <w:tcW w:w="9923" w:type="dxa"/>
            <w:tcBorders>
              <w:bottom w:val="single" w:sz="4" w:space="0" w:color="auto"/>
            </w:tcBorders>
            <w:shd w:val="clear" w:color="auto" w:fill="C1E4F5" w:themeFill="accent1" w:themeFillTint="33"/>
            <w:tcMar>
              <w:top w:w="85" w:type="dxa"/>
              <w:bottom w:w="85" w:type="dxa"/>
            </w:tcMar>
          </w:tcPr>
          <w:p w14:paraId="58C4B9C9" w14:textId="6F2BCD29" w:rsidR="00A85F9F" w:rsidRPr="0020291F" w:rsidRDefault="00305F66" w:rsidP="006E17E7">
            <w:pPr>
              <w:contextualSpacing/>
              <w:jc w:val="both"/>
              <w:rPr>
                <w:b/>
                <w:bCs/>
                <w:noProof/>
                <w:color w:val="000000"/>
                <w:highlight w:val="green"/>
              </w:rPr>
            </w:pPr>
            <w:r>
              <w:rPr>
                <w:b/>
                <w:noProof/>
                <w:color w:val="000000"/>
              </w:rPr>
              <w:t>Uudet huumausaineiden lähtöaineita koskevat säännöt</w:t>
            </w:r>
            <w:r>
              <w:rPr>
                <w:noProof/>
                <w:color w:val="000000"/>
              </w:rPr>
              <w:t xml:space="preserve"> (säädös, ml. vaikutustenarviointi, SEUT-sopimuksen 114 ja 207 artikla, Q4 2025)</w:t>
            </w:r>
          </w:p>
        </w:tc>
      </w:tr>
      <w:tr w:rsidR="00A85F9F" w:rsidRPr="008E1F61" w14:paraId="10F45005" w14:textId="77777777" w:rsidTr="00F14026">
        <w:trPr>
          <w:cantSplit/>
          <w:trHeight w:val="300"/>
        </w:trPr>
        <w:tc>
          <w:tcPr>
            <w:tcW w:w="704" w:type="dxa"/>
            <w:vMerge/>
          </w:tcPr>
          <w:p w14:paraId="521F9186" w14:textId="77777777" w:rsidR="00A85F9F" w:rsidRPr="0017125B" w:rsidRDefault="00A85F9F" w:rsidP="006E17E7">
            <w:pPr>
              <w:numPr>
                <w:ilvl w:val="0"/>
                <w:numId w:val="3"/>
              </w:numPr>
              <w:ind w:left="473"/>
              <w:contextualSpacing/>
              <w:jc w:val="both"/>
              <w:rPr>
                <w:noProof/>
              </w:rPr>
            </w:pPr>
          </w:p>
        </w:tc>
        <w:tc>
          <w:tcPr>
            <w:tcW w:w="3260" w:type="dxa"/>
            <w:vMerge/>
            <w:tcMar>
              <w:top w:w="85" w:type="dxa"/>
              <w:bottom w:w="85" w:type="dxa"/>
            </w:tcMar>
          </w:tcPr>
          <w:p w14:paraId="201E942E" w14:textId="77777777" w:rsidR="00A85F9F" w:rsidRPr="0017125B" w:rsidRDefault="00A85F9F" w:rsidP="006E17E7">
            <w:pPr>
              <w:jc w:val="both"/>
              <w:rPr>
                <w:b/>
                <w:noProof/>
                <w:color w:val="000000"/>
              </w:rPr>
            </w:pPr>
          </w:p>
        </w:tc>
        <w:tc>
          <w:tcPr>
            <w:tcW w:w="9923" w:type="dxa"/>
            <w:tcBorders>
              <w:bottom w:val="single" w:sz="4" w:space="0" w:color="auto"/>
            </w:tcBorders>
            <w:shd w:val="clear" w:color="auto" w:fill="auto"/>
            <w:tcMar>
              <w:top w:w="85" w:type="dxa"/>
              <w:bottom w:w="85" w:type="dxa"/>
            </w:tcMar>
          </w:tcPr>
          <w:p w14:paraId="50275BA9" w14:textId="77777777" w:rsidR="00A85F9F" w:rsidRPr="00160006" w:rsidRDefault="00A85F9F" w:rsidP="006E17E7">
            <w:pPr>
              <w:contextualSpacing/>
              <w:jc w:val="both"/>
              <w:rPr>
                <w:b/>
                <w:noProof/>
                <w:color w:val="000000"/>
                <w:highlight w:val="green"/>
              </w:rPr>
            </w:pPr>
            <w:r>
              <w:rPr>
                <w:b/>
                <w:noProof/>
                <w:color w:val="000000"/>
              </w:rPr>
              <w:t>Ampuma-aseiden laitonta kauppaa koskeva direktiivi</w:t>
            </w:r>
            <w:r>
              <w:rPr>
                <w:noProof/>
                <w:color w:val="000000"/>
              </w:rPr>
              <w:t xml:space="preserve"> (säädös, ml. vaikutustenarviointi, SEUT-sopimuksen 83 artikla, Q4 2025)</w:t>
            </w:r>
          </w:p>
        </w:tc>
      </w:tr>
      <w:tr w:rsidR="00A85F9F" w:rsidRPr="008E1F61" w14:paraId="5753B919" w14:textId="77777777" w:rsidTr="00F14026">
        <w:trPr>
          <w:cantSplit/>
          <w:trHeight w:val="300"/>
        </w:trPr>
        <w:tc>
          <w:tcPr>
            <w:tcW w:w="704" w:type="dxa"/>
            <w:tcBorders>
              <w:bottom w:val="single" w:sz="4" w:space="0" w:color="auto"/>
              <w:right w:val="single" w:sz="4" w:space="0" w:color="auto"/>
            </w:tcBorders>
          </w:tcPr>
          <w:p w14:paraId="07AE7955"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bottom w:val="single" w:sz="4" w:space="0" w:color="auto"/>
            </w:tcBorders>
            <w:tcMar>
              <w:top w:w="85" w:type="dxa"/>
              <w:bottom w:w="85" w:type="dxa"/>
            </w:tcMar>
          </w:tcPr>
          <w:p w14:paraId="4B71571E" w14:textId="05F7EAB3" w:rsidR="00A85F9F" w:rsidRPr="0020291F" w:rsidRDefault="006310A7" w:rsidP="006E17E7">
            <w:pPr>
              <w:jc w:val="both"/>
              <w:rPr>
                <w:b/>
                <w:noProof/>
                <w:color w:val="000000"/>
              </w:rPr>
            </w:pPr>
            <w:r>
              <w:rPr>
                <w:b/>
                <w:noProof/>
                <w:color w:val="000000"/>
              </w:rPr>
              <w:t>Turvallisuus</w:t>
            </w:r>
          </w:p>
        </w:tc>
        <w:tc>
          <w:tcPr>
            <w:tcW w:w="9923" w:type="dxa"/>
            <w:tcBorders>
              <w:bottom w:val="single" w:sz="4" w:space="0" w:color="auto"/>
            </w:tcBorders>
            <w:shd w:val="clear" w:color="auto" w:fill="auto"/>
            <w:tcMar>
              <w:top w:w="85" w:type="dxa"/>
              <w:bottom w:w="85" w:type="dxa"/>
            </w:tcMar>
          </w:tcPr>
          <w:p w14:paraId="5627FE4D" w14:textId="158FF446" w:rsidR="00A85F9F" w:rsidRPr="0020291F" w:rsidRDefault="00A85F9F" w:rsidP="006E17E7">
            <w:pPr>
              <w:rPr>
                <w:b/>
                <w:bCs/>
                <w:noProof/>
                <w:color w:val="000000"/>
              </w:rPr>
            </w:pPr>
            <w:r>
              <w:rPr>
                <w:b/>
                <w:noProof/>
              </w:rPr>
              <w:t>Sairaaloiden ja terveydenhuoltopalvelujen tarjoajien kyberturvallisuutta koskeva toimintasuunnitelma</w:t>
            </w:r>
            <w:r>
              <w:rPr>
                <w:noProof/>
              </w:rPr>
              <w:t xml:space="preserve"> (muu kuin säädös, Q1 2025)</w:t>
            </w:r>
          </w:p>
        </w:tc>
      </w:tr>
      <w:tr w:rsidR="00A85F9F" w:rsidRPr="008E1F61" w14:paraId="7F2040C8" w14:textId="77777777" w:rsidTr="00F14026">
        <w:trPr>
          <w:cantSplit/>
          <w:trHeight w:val="227"/>
        </w:trPr>
        <w:tc>
          <w:tcPr>
            <w:tcW w:w="704" w:type="dxa"/>
            <w:tcBorders>
              <w:right w:val="single" w:sz="4" w:space="0" w:color="auto"/>
            </w:tcBorders>
          </w:tcPr>
          <w:p w14:paraId="41F0C7DA"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FFFFFF" w:themeFill="background1"/>
            <w:tcMar>
              <w:top w:w="57" w:type="dxa"/>
              <w:bottom w:w="85" w:type="dxa"/>
            </w:tcMar>
          </w:tcPr>
          <w:p w14:paraId="4D2FD2E2" w14:textId="275A5341" w:rsidR="00A85F9F" w:rsidRPr="0020291F" w:rsidRDefault="00F73F2A" w:rsidP="006E17E7">
            <w:pPr>
              <w:jc w:val="both"/>
              <w:rPr>
                <w:b/>
                <w:noProof/>
                <w:color w:val="000000"/>
              </w:rPr>
            </w:pPr>
            <w:r>
              <w:rPr>
                <w:b/>
                <w:noProof/>
                <w:color w:val="000000"/>
              </w:rPr>
              <w:t>Muuttoliike</w:t>
            </w:r>
          </w:p>
        </w:tc>
        <w:tc>
          <w:tcPr>
            <w:tcW w:w="9923" w:type="dxa"/>
            <w:tcBorders>
              <w:bottom w:val="single" w:sz="4" w:space="0" w:color="auto"/>
            </w:tcBorders>
            <w:shd w:val="clear" w:color="auto" w:fill="auto"/>
            <w:tcMar>
              <w:top w:w="85" w:type="dxa"/>
              <w:bottom w:w="85" w:type="dxa"/>
            </w:tcMar>
          </w:tcPr>
          <w:p w14:paraId="3EB9F607" w14:textId="66925684" w:rsidR="00A85F9F" w:rsidRPr="0020291F" w:rsidRDefault="00A85F9F" w:rsidP="006E17E7">
            <w:pPr>
              <w:rPr>
                <w:b/>
                <w:bCs/>
                <w:noProof/>
                <w:color w:val="000000"/>
                <w:highlight w:val="green"/>
              </w:rPr>
            </w:pPr>
            <w:r>
              <w:rPr>
                <w:b/>
                <w:noProof/>
                <w:color w:val="000000" w:themeColor="text1"/>
              </w:rPr>
              <w:t>Uusi yhteinen toimintamalli palautuksiin</w:t>
            </w:r>
            <w:r>
              <w:rPr>
                <w:noProof/>
                <w:color w:val="000000" w:themeColor="text1"/>
              </w:rPr>
              <w:t xml:space="preserve"> (säädös, SEUT-sopimuksen 79 artiklan 2 kohta, Q1 2025)</w:t>
            </w:r>
          </w:p>
        </w:tc>
      </w:tr>
      <w:tr w:rsidR="00A85F9F" w:rsidRPr="008E1F61" w14:paraId="23D8E013" w14:textId="77777777" w:rsidTr="00AC5E7E">
        <w:trPr>
          <w:cantSplit/>
          <w:trHeight w:val="300"/>
        </w:trPr>
        <w:tc>
          <w:tcPr>
            <w:tcW w:w="704" w:type="dxa"/>
          </w:tcPr>
          <w:p w14:paraId="107B50A1" w14:textId="77777777" w:rsidR="00A85F9F" w:rsidRPr="0017125B" w:rsidRDefault="00A85F9F" w:rsidP="006E17E7">
            <w:pPr>
              <w:pStyle w:val="ListParagraph"/>
              <w:numPr>
                <w:ilvl w:val="0"/>
                <w:numId w:val="3"/>
              </w:numPr>
              <w:spacing w:after="0"/>
              <w:ind w:left="473"/>
              <w:rPr>
                <w:noProof/>
              </w:rPr>
            </w:pPr>
          </w:p>
        </w:tc>
        <w:tc>
          <w:tcPr>
            <w:tcW w:w="3260" w:type="dxa"/>
            <w:shd w:val="clear" w:color="auto" w:fill="auto"/>
            <w:tcMar>
              <w:top w:w="85" w:type="dxa"/>
              <w:bottom w:w="85" w:type="dxa"/>
            </w:tcMar>
          </w:tcPr>
          <w:p w14:paraId="65D0FD23" w14:textId="4BF364BD" w:rsidR="00A85F9F" w:rsidRPr="0020291F" w:rsidRDefault="00F73F2A" w:rsidP="006E17E7">
            <w:pPr>
              <w:jc w:val="both"/>
              <w:rPr>
                <w:b/>
                <w:noProof/>
                <w:color w:val="000000"/>
              </w:rPr>
            </w:pPr>
            <w:r>
              <w:rPr>
                <w:b/>
                <w:noProof/>
                <w:color w:val="000000"/>
              </w:rPr>
              <w:t>Muuttoliike</w:t>
            </w:r>
          </w:p>
        </w:tc>
        <w:tc>
          <w:tcPr>
            <w:tcW w:w="9923" w:type="dxa"/>
            <w:tcBorders>
              <w:bottom w:val="single" w:sz="4" w:space="0" w:color="auto"/>
            </w:tcBorders>
            <w:shd w:val="clear" w:color="auto" w:fill="auto"/>
            <w:tcMar>
              <w:top w:w="85" w:type="dxa"/>
              <w:bottom w:w="85" w:type="dxa"/>
            </w:tcMar>
          </w:tcPr>
          <w:p w14:paraId="1D8C20F4" w14:textId="77777777" w:rsidR="00A85F9F" w:rsidRPr="0020291F" w:rsidRDefault="00A85F9F" w:rsidP="006E17E7">
            <w:pPr>
              <w:rPr>
                <w:b/>
                <w:bCs/>
                <w:noProof/>
                <w:color w:val="000000"/>
                <w:highlight w:val="green"/>
              </w:rPr>
            </w:pPr>
            <w:r>
              <w:rPr>
                <w:b/>
                <w:noProof/>
                <w:color w:val="000000"/>
              </w:rPr>
              <w:t>EU:n muuttoliike- ja turvapaikkastrategia</w:t>
            </w:r>
            <w:r>
              <w:rPr>
                <w:noProof/>
                <w:color w:val="000000"/>
              </w:rPr>
              <w:t xml:space="preserve"> (muu kuin säädös, Q4 2025)</w:t>
            </w:r>
          </w:p>
        </w:tc>
      </w:tr>
      <w:tr w:rsidR="00A85F9F" w:rsidRPr="008E1F61" w14:paraId="5A8F26D5" w14:textId="77777777" w:rsidTr="006E17E7">
        <w:trPr>
          <w:cantSplit/>
          <w:trHeight w:val="300"/>
        </w:trPr>
        <w:tc>
          <w:tcPr>
            <w:tcW w:w="13887" w:type="dxa"/>
            <w:gridSpan w:val="3"/>
            <w:tcBorders>
              <w:bottom w:val="single" w:sz="4" w:space="0" w:color="auto"/>
            </w:tcBorders>
            <w:shd w:val="clear" w:color="auto" w:fill="FF7900"/>
          </w:tcPr>
          <w:p w14:paraId="397F0FD5" w14:textId="77777777" w:rsidR="00A85F9F" w:rsidRPr="00701930" w:rsidRDefault="00A85F9F" w:rsidP="006E17E7">
            <w:pPr>
              <w:keepNext/>
              <w:spacing w:before="60" w:after="60"/>
              <w:jc w:val="both"/>
              <w:rPr>
                <w:b/>
                <w:bCs/>
                <w:noProof/>
                <w:color w:val="FFFFFF"/>
              </w:rPr>
            </w:pPr>
            <w:r>
              <w:rPr>
                <w:b/>
                <w:noProof/>
                <w:color w:val="FFFFFF"/>
              </w:rPr>
              <w:t>Ihmisten tukeminen ja yhteiskuntiemme ja sosiaalisen mallimme vahvistaminen</w:t>
            </w:r>
          </w:p>
        </w:tc>
      </w:tr>
      <w:tr w:rsidR="00A85F9F" w:rsidRPr="008E1F61" w14:paraId="101C8ED0" w14:textId="77777777" w:rsidTr="00AC5E7E">
        <w:trPr>
          <w:cantSplit/>
          <w:trHeight w:val="300"/>
        </w:trPr>
        <w:tc>
          <w:tcPr>
            <w:tcW w:w="704" w:type="dxa"/>
            <w:tcBorders>
              <w:bottom w:val="single" w:sz="4" w:space="0" w:color="auto"/>
              <w:right w:val="single" w:sz="4" w:space="0" w:color="auto"/>
            </w:tcBorders>
            <w:shd w:val="clear" w:color="auto" w:fill="FFFFFF" w:themeFill="background1"/>
          </w:tcPr>
          <w:p w14:paraId="40D1AC05"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46C11235" w14:textId="4B959950" w:rsidR="00A85F9F" w:rsidRPr="0020291F" w:rsidRDefault="008B4F23" w:rsidP="006E17E7">
            <w:pPr>
              <w:rPr>
                <w:b/>
                <w:bCs/>
                <w:noProof/>
                <w:color w:val="000000"/>
                <w:highlight w:val="cyan"/>
              </w:rPr>
            </w:pPr>
            <w:r>
              <w:rPr>
                <w:b/>
                <w:noProof/>
                <w:color w:val="000000"/>
              </w:rPr>
              <w:t>Sosiaalinen oikeudenmukaisuus</w:t>
            </w:r>
          </w:p>
        </w:tc>
        <w:tc>
          <w:tcPr>
            <w:tcW w:w="9923" w:type="dxa"/>
            <w:tcBorders>
              <w:bottom w:val="single" w:sz="4" w:space="0" w:color="auto"/>
            </w:tcBorders>
            <w:shd w:val="clear" w:color="auto" w:fill="auto"/>
            <w:tcMar>
              <w:top w:w="85" w:type="dxa"/>
              <w:bottom w:w="85" w:type="dxa"/>
            </w:tcMar>
          </w:tcPr>
          <w:p w14:paraId="77E465A6" w14:textId="77777777" w:rsidR="00A85F9F" w:rsidRPr="0020291F" w:rsidRDefault="00A85F9F" w:rsidP="006E17E7">
            <w:pPr>
              <w:jc w:val="both"/>
              <w:rPr>
                <w:b/>
                <w:bCs/>
                <w:noProof/>
                <w:highlight w:val="cyan"/>
              </w:rPr>
            </w:pPr>
            <w:r>
              <w:rPr>
                <w:b/>
                <w:noProof/>
              </w:rPr>
              <w:t>Uusi toimintasuunnitelma Euroopan sosiaalisten oikeuksien pilarin täytäntöönpanemiseksi</w:t>
            </w:r>
            <w:r>
              <w:rPr>
                <w:noProof/>
              </w:rPr>
              <w:t xml:space="preserve"> (muu kuin säädös, Q4 2025)</w:t>
            </w:r>
          </w:p>
        </w:tc>
      </w:tr>
      <w:tr w:rsidR="005F4860" w:rsidRPr="008E1F61" w14:paraId="646D32D4" w14:textId="77777777" w:rsidTr="00AC5E7E">
        <w:trPr>
          <w:cantSplit/>
          <w:trHeight w:val="300"/>
        </w:trPr>
        <w:tc>
          <w:tcPr>
            <w:tcW w:w="704" w:type="dxa"/>
            <w:tcBorders>
              <w:right w:val="single" w:sz="4" w:space="0" w:color="auto"/>
            </w:tcBorders>
            <w:shd w:val="clear" w:color="auto" w:fill="FFFFFF" w:themeFill="background1"/>
          </w:tcPr>
          <w:p w14:paraId="2B2444A4" w14:textId="77777777" w:rsidR="005F4860" w:rsidRPr="0017125B" w:rsidRDefault="005F4860"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296A1102" w14:textId="4C0012D2" w:rsidR="005F4860" w:rsidRDefault="00435D32" w:rsidP="006E17E7">
            <w:pPr>
              <w:rPr>
                <w:b/>
                <w:bCs/>
                <w:noProof/>
                <w:color w:val="000000"/>
              </w:rPr>
            </w:pPr>
            <w:r>
              <w:rPr>
                <w:b/>
                <w:noProof/>
                <w:color w:val="000000"/>
              </w:rPr>
              <w:t>Sosiaalinen oikeudenmukaisuus</w:t>
            </w:r>
          </w:p>
        </w:tc>
        <w:tc>
          <w:tcPr>
            <w:tcW w:w="9923" w:type="dxa"/>
            <w:tcBorders>
              <w:bottom w:val="single" w:sz="4" w:space="0" w:color="auto"/>
            </w:tcBorders>
            <w:shd w:val="clear" w:color="auto" w:fill="auto"/>
            <w:tcMar>
              <w:top w:w="85" w:type="dxa"/>
              <w:bottom w:w="85" w:type="dxa"/>
            </w:tcMar>
          </w:tcPr>
          <w:p w14:paraId="651B53DD" w14:textId="484E5849" w:rsidR="005F4860" w:rsidRPr="00894E1F" w:rsidRDefault="00435D32" w:rsidP="006E17E7">
            <w:pPr>
              <w:jc w:val="both"/>
              <w:rPr>
                <w:b/>
                <w:noProof/>
              </w:rPr>
            </w:pPr>
            <w:r>
              <w:rPr>
                <w:b/>
                <w:noProof/>
              </w:rPr>
              <w:t>Laadukkaisiin työpaikkoihin johtava etenemissuunnitelma</w:t>
            </w:r>
            <w:r>
              <w:rPr>
                <w:noProof/>
              </w:rPr>
              <w:t xml:space="preserve"> (muu kuin säädös, Q4 2025)</w:t>
            </w:r>
          </w:p>
        </w:tc>
      </w:tr>
      <w:tr w:rsidR="00A85F9F" w:rsidRPr="008E1F61" w14:paraId="4B3FD447" w14:textId="77777777" w:rsidTr="00AC5E7E">
        <w:trPr>
          <w:cantSplit/>
          <w:trHeight w:val="300"/>
        </w:trPr>
        <w:tc>
          <w:tcPr>
            <w:tcW w:w="704" w:type="dxa"/>
            <w:tcBorders>
              <w:right w:val="single" w:sz="4" w:space="0" w:color="auto"/>
            </w:tcBorders>
            <w:shd w:val="clear" w:color="auto" w:fill="FFFFFF" w:themeFill="background1"/>
          </w:tcPr>
          <w:p w14:paraId="03459119"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1EDC1B5D" w14:textId="30E39264" w:rsidR="00A85F9F" w:rsidRPr="0020291F" w:rsidRDefault="00EB580B" w:rsidP="006E17E7">
            <w:pPr>
              <w:rPr>
                <w:b/>
                <w:bCs/>
                <w:noProof/>
                <w:color w:val="000000"/>
              </w:rPr>
            </w:pPr>
            <w:r>
              <w:rPr>
                <w:b/>
                <w:noProof/>
                <w:color w:val="000000"/>
              </w:rPr>
              <w:t>Kilpailukyky</w:t>
            </w:r>
          </w:p>
        </w:tc>
        <w:tc>
          <w:tcPr>
            <w:tcW w:w="9923" w:type="dxa"/>
            <w:tcBorders>
              <w:bottom w:val="single" w:sz="4" w:space="0" w:color="auto"/>
            </w:tcBorders>
            <w:shd w:val="clear" w:color="auto" w:fill="auto"/>
            <w:tcMar>
              <w:top w:w="85" w:type="dxa"/>
              <w:bottom w:w="85" w:type="dxa"/>
            </w:tcMar>
          </w:tcPr>
          <w:p w14:paraId="7D1289DD" w14:textId="77777777" w:rsidR="00A85F9F" w:rsidRPr="0020291F" w:rsidRDefault="00A85F9F" w:rsidP="006E17E7">
            <w:pPr>
              <w:jc w:val="both"/>
              <w:rPr>
                <w:b/>
                <w:bCs/>
                <w:noProof/>
              </w:rPr>
            </w:pPr>
            <w:r>
              <w:rPr>
                <w:b/>
                <w:noProof/>
              </w:rPr>
              <w:t>Osaamisunioni</w:t>
            </w:r>
            <w:r>
              <w:rPr>
                <w:noProof/>
              </w:rPr>
              <w:t xml:space="preserve"> (muu kuin säädös, Q1 2025)</w:t>
            </w:r>
          </w:p>
        </w:tc>
      </w:tr>
      <w:tr w:rsidR="00A85F9F" w:rsidRPr="008E1F61" w14:paraId="68998AD7" w14:textId="77777777" w:rsidTr="00AC5E7E">
        <w:trPr>
          <w:cantSplit/>
          <w:trHeight w:val="300"/>
        </w:trPr>
        <w:tc>
          <w:tcPr>
            <w:tcW w:w="704" w:type="dxa"/>
            <w:tcBorders>
              <w:right w:val="single" w:sz="4" w:space="0" w:color="auto"/>
            </w:tcBorders>
            <w:shd w:val="clear" w:color="auto" w:fill="FFFFFF" w:themeFill="background1"/>
          </w:tcPr>
          <w:p w14:paraId="6ABF7E55"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4F5E7B37" w14:textId="66DF77FD" w:rsidR="00A85F9F" w:rsidRPr="0020291F" w:rsidRDefault="008B4F23" w:rsidP="006E17E7">
            <w:pPr>
              <w:rPr>
                <w:b/>
                <w:bCs/>
                <w:noProof/>
              </w:rPr>
            </w:pPr>
            <w:r>
              <w:rPr>
                <w:b/>
                <w:noProof/>
              </w:rPr>
              <w:t>Sosiaalinen oikeudenmukaisuus</w:t>
            </w:r>
          </w:p>
        </w:tc>
        <w:tc>
          <w:tcPr>
            <w:tcW w:w="9923" w:type="dxa"/>
            <w:tcBorders>
              <w:bottom w:val="single" w:sz="4" w:space="0" w:color="auto"/>
            </w:tcBorders>
            <w:shd w:val="clear" w:color="auto" w:fill="auto"/>
            <w:tcMar>
              <w:top w:w="85" w:type="dxa"/>
              <w:bottom w:w="85" w:type="dxa"/>
            </w:tcMar>
          </w:tcPr>
          <w:p w14:paraId="76A9BBE0" w14:textId="77777777" w:rsidR="00A85F9F" w:rsidRPr="0020291F" w:rsidRDefault="00A85F9F" w:rsidP="006E17E7">
            <w:pPr>
              <w:jc w:val="both"/>
              <w:rPr>
                <w:b/>
                <w:bCs/>
                <w:noProof/>
                <w:color w:val="000000"/>
              </w:rPr>
            </w:pPr>
            <w:r>
              <w:rPr>
                <w:b/>
                <w:noProof/>
                <w:color w:val="000000"/>
              </w:rPr>
              <w:t>Kuluttaja-asioiden agenda 2030, johon sisältyy kuluttajia sisämarkkinoilla koskeva toimintasuunnitelma</w:t>
            </w:r>
            <w:r>
              <w:rPr>
                <w:noProof/>
                <w:color w:val="000000"/>
              </w:rPr>
              <w:t xml:space="preserve"> (muu kuin säädös, Q4 2025)</w:t>
            </w:r>
          </w:p>
        </w:tc>
      </w:tr>
      <w:tr w:rsidR="00A85F9F" w:rsidRPr="008E1F61" w14:paraId="2062701A" w14:textId="77777777" w:rsidTr="004514E1">
        <w:trPr>
          <w:cantSplit/>
          <w:trHeight w:val="300"/>
        </w:trPr>
        <w:tc>
          <w:tcPr>
            <w:tcW w:w="13887" w:type="dxa"/>
            <w:gridSpan w:val="3"/>
            <w:tcBorders>
              <w:top w:val="nil"/>
              <w:bottom w:val="single" w:sz="4" w:space="0" w:color="auto"/>
            </w:tcBorders>
            <w:shd w:val="clear" w:color="auto" w:fill="B07442"/>
          </w:tcPr>
          <w:p w14:paraId="65704DB8" w14:textId="77777777" w:rsidR="00A85F9F" w:rsidRPr="00701930" w:rsidRDefault="00A85F9F" w:rsidP="006E17E7">
            <w:pPr>
              <w:keepNext/>
              <w:keepLines/>
              <w:spacing w:before="60" w:after="60"/>
              <w:jc w:val="both"/>
              <w:rPr>
                <w:b/>
                <w:bCs/>
                <w:noProof/>
                <w:color w:val="FFFFFF"/>
              </w:rPr>
            </w:pPr>
            <w:r>
              <w:rPr>
                <w:b/>
                <w:noProof/>
                <w:color w:val="FFFFFF"/>
              </w:rPr>
              <w:t>Elämänlaadun turvaaminen: elintarviketurva, vesi ja luonto</w:t>
            </w:r>
          </w:p>
        </w:tc>
      </w:tr>
      <w:tr w:rsidR="007C03DE" w:rsidRPr="008E1F61" w14:paraId="45FC5247" w14:textId="77777777" w:rsidTr="15C1A19F">
        <w:trPr>
          <w:cantSplit/>
          <w:trHeight w:val="300"/>
        </w:trPr>
        <w:tc>
          <w:tcPr>
            <w:tcW w:w="704" w:type="dxa"/>
          </w:tcPr>
          <w:p w14:paraId="0EB5B5A1" w14:textId="77777777" w:rsidR="007C03DE" w:rsidRPr="0017125B" w:rsidRDefault="007C03DE" w:rsidP="006E17E7">
            <w:pPr>
              <w:pStyle w:val="ListParagraph"/>
              <w:keepLines/>
              <w:numPr>
                <w:ilvl w:val="0"/>
                <w:numId w:val="3"/>
              </w:numPr>
              <w:spacing w:after="0"/>
              <w:ind w:left="473"/>
              <w:rPr>
                <w:noProof/>
              </w:rPr>
            </w:pPr>
          </w:p>
        </w:tc>
        <w:tc>
          <w:tcPr>
            <w:tcW w:w="3260" w:type="dxa"/>
            <w:tcMar>
              <w:top w:w="85" w:type="dxa"/>
              <w:bottom w:w="85" w:type="dxa"/>
            </w:tcMar>
          </w:tcPr>
          <w:p w14:paraId="6C05A273" w14:textId="3639361A" w:rsidR="007C03DE" w:rsidRDefault="00D77EE0" w:rsidP="006E17E7">
            <w:pPr>
              <w:keepLines/>
              <w:jc w:val="both"/>
              <w:rPr>
                <w:b/>
                <w:bCs/>
                <w:noProof/>
              </w:rPr>
            </w:pPr>
            <w:r>
              <w:rPr>
                <w:b/>
                <w:noProof/>
              </w:rPr>
              <w:t>Vähähiilistäminen</w:t>
            </w:r>
          </w:p>
        </w:tc>
        <w:tc>
          <w:tcPr>
            <w:tcW w:w="9923" w:type="dxa"/>
            <w:tcBorders>
              <w:bottom w:val="single" w:sz="4" w:space="0" w:color="auto"/>
            </w:tcBorders>
            <w:shd w:val="clear" w:color="auto" w:fill="auto"/>
            <w:tcMar>
              <w:top w:w="85" w:type="dxa"/>
              <w:bottom w:w="85" w:type="dxa"/>
            </w:tcMar>
          </w:tcPr>
          <w:p w14:paraId="2F360220" w14:textId="4BDD46CE" w:rsidR="007C03DE" w:rsidRPr="00894E1F" w:rsidRDefault="007C03DE" w:rsidP="006E17E7">
            <w:pPr>
              <w:keepLines/>
              <w:rPr>
                <w:b/>
                <w:noProof/>
              </w:rPr>
            </w:pPr>
            <w:r>
              <w:rPr>
                <w:b/>
                <w:noProof/>
                <w:color w:val="000000" w:themeColor="text1"/>
              </w:rPr>
              <w:t>Eurooppalaisen ilmastolain muuttaminen</w:t>
            </w:r>
            <w:r>
              <w:rPr>
                <w:noProof/>
                <w:color w:val="000000" w:themeColor="text1"/>
              </w:rPr>
              <w:t xml:space="preserve"> (säädös, SEUT-sopimuksen 192 artiklan 1 kohta, Q1 2025)</w:t>
            </w:r>
          </w:p>
        </w:tc>
      </w:tr>
      <w:tr w:rsidR="00A85F9F" w:rsidRPr="008E1F61" w14:paraId="3647ABDC" w14:textId="77777777" w:rsidTr="00503A69">
        <w:trPr>
          <w:cantSplit/>
          <w:trHeight w:val="300"/>
        </w:trPr>
        <w:tc>
          <w:tcPr>
            <w:tcW w:w="704" w:type="dxa"/>
            <w:tcBorders>
              <w:bottom w:val="single" w:sz="4" w:space="0" w:color="auto"/>
              <w:right w:val="single" w:sz="4" w:space="0" w:color="auto"/>
            </w:tcBorders>
          </w:tcPr>
          <w:p w14:paraId="7B734A44" w14:textId="77777777" w:rsidR="00A85F9F" w:rsidRPr="0017125B" w:rsidRDefault="00A85F9F" w:rsidP="006E17E7">
            <w:pPr>
              <w:pStyle w:val="ListParagraph"/>
              <w:keepLines/>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10F51515" w14:textId="0166E6ED" w:rsidR="00A85F9F" w:rsidRPr="0020291F" w:rsidRDefault="00203B43" w:rsidP="004514E1">
            <w:pPr>
              <w:keepLines/>
              <w:rPr>
                <w:b/>
                <w:bCs/>
                <w:noProof/>
              </w:rPr>
            </w:pPr>
            <w:r>
              <w:rPr>
                <w:b/>
                <w:noProof/>
              </w:rPr>
              <w:t>Kilpailukyky ja vähähiilistäminen</w:t>
            </w:r>
          </w:p>
        </w:tc>
        <w:tc>
          <w:tcPr>
            <w:tcW w:w="9923" w:type="dxa"/>
            <w:tcBorders>
              <w:bottom w:val="single" w:sz="4" w:space="0" w:color="auto"/>
            </w:tcBorders>
            <w:shd w:val="clear" w:color="auto" w:fill="auto"/>
            <w:tcMar>
              <w:top w:w="85" w:type="dxa"/>
              <w:bottom w:w="85" w:type="dxa"/>
            </w:tcMar>
          </w:tcPr>
          <w:p w14:paraId="25367C34" w14:textId="77777777" w:rsidR="00A85F9F" w:rsidRPr="0020291F" w:rsidRDefault="00A85F9F" w:rsidP="006E17E7">
            <w:pPr>
              <w:keepLines/>
              <w:rPr>
                <w:b/>
                <w:bCs/>
                <w:noProof/>
                <w:highlight w:val="green"/>
              </w:rPr>
            </w:pPr>
            <w:r>
              <w:rPr>
                <w:b/>
                <w:noProof/>
              </w:rPr>
              <w:t>Maatalous- ja elintarvikevisio</w:t>
            </w:r>
            <w:r>
              <w:rPr>
                <w:noProof/>
              </w:rPr>
              <w:t xml:space="preserve"> (muu kuin säädös, Q1 2025)</w:t>
            </w:r>
          </w:p>
        </w:tc>
      </w:tr>
      <w:tr w:rsidR="00A85F9F" w:rsidRPr="008E1F61" w14:paraId="17002562" w14:textId="77777777" w:rsidTr="007614B3">
        <w:trPr>
          <w:cantSplit/>
          <w:trHeight w:val="300"/>
        </w:trPr>
        <w:tc>
          <w:tcPr>
            <w:tcW w:w="704" w:type="dxa"/>
            <w:tcBorders>
              <w:bottom w:val="single" w:sz="4" w:space="0" w:color="auto"/>
              <w:right w:val="single" w:sz="4" w:space="0" w:color="auto"/>
            </w:tcBorders>
          </w:tcPr>
          <w:p w14:paraId="7698F002" w14:textId="77777777" w:rsidR="00A85F9F" w:rsidRPr="0017125B" w:rsidRDefault="00A85F9F" w:rsidP="006E17E7">
            <w:pPr>
              <w:pStyle w:val="ListParagraph"/>
              <w:keepLines/>
              <w:numPr>
                <w:ilvl w:val="0"/>
                <w:numId w:val="3"/>
              </w:numPr>
              <w:spacing w:after="0"/>
              <w:ind w:left="473"/>
              <w:rPr>
                <w:noProof/>
              </w:rPr>
            </w:pPr>
          </w:p>
        </w:tc>
        <w:tc>
          <w:tcPr>
            <w:tcW w:w="3260" w:type="dxa"/>
            <w:tcBorders>
              <w:left w:val="single" w:sz="4" w:space="0" w:color="auto"/>
              <w:bottom w:val="single" w:sz="4" w:space="0" w:color="auto"/>
            </w:tcBorders>
            <w:tcMar>
              <w:top w:w="85" w:type="dxa"/>
              <w:bottom w:w="85" w:type="dxa"/>
            </w:tcMar>
          </w:tcPr>
          <w:p w14:paraId="643C7BCE" w14:textId="50A7027D" w:rsidR="00A85F9F" w:rsidRPr="0020291F" w:rsidRDefault="00CF143A" w:rsidP="006E17E7">
            <w:pPr>
              <w:keepLines/>
              <w:jc w:val="both"/>
              <w:rPr>
                <w:b/>
                <w:noProof/>
                <w:highlight w:val="cyan"/>
              </w:rPr>
            </w:pPr>
            <w:r>
              <w:rPr>
                <w:b/>
                <w:noProof/>
              </w:rPr>
              <w:t>Yksinkertaistaminen</w:t>
            </w:r>
          </w:p>
        </w:tc>
        <w:tc>
          <w:tcPr>
            <w:tcW w:w="9923" w:type="dxa"/>
            <w:tcBorders>
              <w:bottom w:val="single" w:sz="4" w:space="0" w:color="auto"/>
            </w:tcBorders>
            <w:shd w:val="clear" w:color="auto" w:fill="C1E4F5" w:themeFill="accent1" w:themeFillTint="33"/>
            <w:tcMar>
              <w:top w:w="85" w:type="dxa"/>
              <w:bottom w:w="85" w:type="dxa"/>
            </w:tcMar>
          </w:tcPr>
          <w:p w14:paraId="7F666A12" w14:textId="77777777" w:rsidR="00A85F9F" w:rsidRPr="0020291F" w:rsidRDefault="00A85F9F" w:rsidP="006E17E7">
            <w:pPr>
              <w:keepLines/>
              <w:rPr>
                <w:b/>
                <w:bCs/>
                <w:noProof/>
                <w:highlight w:val="cyan"/>
              </w:rPr>
            </w:pPr>
            <w:r>
              <w:rPr>
                <w:b/>
                <w:noProof/>
              </w:rPr>
              <w:t>Yhteisen maatalouspolitiikan yksinkertaistamispaketti</w:t>
            </w:r>
            <w:r>
              <w:rPr>
                <w:noProof/>
              </w:rPr>
              <w:t xml:space="preserve"> (säädös, Q2 2025)</w:t>
            </w:r>
            <w:r>
              <w:rPr>
                <w:b/>
                <w:noProof/>
              </w:rPr>
              <w:t xml:space="preserve"> </w:t>
            </w:r>
          </w:p>
        </w:tc>
      </w:tr>
      <w:tr w:rsidR="00A85F9F" w:rsidRPr="00DE4016" w14:paraId="7B49B951" w14:textId="77777777" w:rsidTr="00113B86">
        <w:trPr>
          <w:cantSplit/>
          <w:trHeight w:val="300"/>
        </w:trPr>
        <w:tc>
          <w:tcPr>
            <w:tcW w:w="704" w:type="dxa"/>
            <w:tcBorders>
              <w:bottom w:val="single" w:sz="4" w:space="0" w:color="auto"/>
              <w:right w:val="single" w:sz="4" w:space="0" w:color="auto"/>
            </w:tcBorders>
          </w:tcPr>
          <w:p w14:paraId="7BA6E95B" w14:textId="77777777" w:rsidR="00A85F9F" w:rsidRPr="0017125B" w:rsidRDefault="00A85F9F" w:rsidP="006E17E7">
            <w:pPr>
              <w:pStyle w:val="ListParagraph"/>
              <w:keepLines/>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4D533035" w14:textId="76A79759" w:rsidR="00A85F9F" w:rsidRPr="0020291F" w:rsidRDefault="00C55329" w:rsidP="006E17E7">
            <w:pPr>
              <w:keepLines/>
              <w:rPr>
                <w:b/>
                <w:noProof/>
                <w:color w:val="000000"/>
                <w:highlight w:val="cyan"/>
              </w:rPr>
            </w:pPr>
            <w:r>
              <w:rPr>
                <w:b/>
                <w:noProof/>
                <w:color w:val="000000"/>
              </w:rPr>
              <w:t>Kilpailukyky</w:t>
            </w:r>
          </w:p>
        </w:tc>
        <w:tc>
          <w:tcPr>
            <w:tcW w:w="9923" w:type="dxa"/>
            <w:tcBorders>
              <w:bottom w:val="single" w:sz="4" w:space="0" w:color="auto"/>
            </w:tcBorders>
            <w:shd w:val="clear" w:color="auto" w:fill="auto"/>
            <w:tcMar>
              <w:top w:w="85" w:type="dxa"/>
              <w:bottom w:w="85" w:type="dxa"/>
            </w:tcMar>
          </w:tcPr>
          <w:p w14:paraId="0B6D4DAE" w14:textId="02F231FE" w:rsidR="00A85F9F" w:rsidRPr="00894E1F" w:rsidRDefault="00A85F9F" w:rsidP="006E17E7">
            <w:pPr>
              <w:keepLines/>
              <w:rPr>
                <w:b/>
                <w:noProof/>
                <w:highlight w:val="green"/>
              </w:rPr>
            </w:pPr>
            <w:r>
              <w:rPr>
                <w:b/>
                <w:noProof/>
              </w:rPr>
              <w:t>Valtamerisopimus</w:t>
            </w:r>
            <w:r>
              <w:rPr>
                <w:noProof/>
              </w:rPr>
              <w:t xml:space="preserve"> (muu kuin säädös, Q2 2025)</w:t>
            </w:r>
          </w:p>
        </w:tc>
      </w:tr>
      <w:tr w:rsidR="00A85F9F" w:rsidRPr="008E1F61" w14:paraId="7C8884E8" w14:textId="77777777" w:rsidTr="00113B86">
        <w:trPr>
          <w:cantSplit/>
          <w:trHeight w:val="300"/>
        </w:trPr>
        <w:tc>
          <w:tcPr>
            <w:tcW w:w="704" w:type="dxa"/>
            <w:tcBorders>
              <w:bottom w:val="single" w:sz="4" w:space="0" w:color="auto"/>
              <w:right w:val="single" w:sz="4" w:space="0" w:color="auto"/>
            </w:tcBorders>
          </w:tcPr>
          <w:p w14:paraId="56573F9A" w14:textId="77777777" w:rsidR="00A85F9F" w:rsidRPr="0017125B" w:rsidRDefault="00A85F9F" w:rsidP="006E17E7">
            <w:pPr>
              <w:pStyle w:val="ListParagraph"/>
              <w:keepLines/>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6C2FD56D" w14:textId="0E56360B" w:rsidR="00A85F9F" w:rsidRPr="00160006" w:rsidRDefault="00263F39" w:rsidP="006E17E7">
            <w:pPr>
              <w:keepLines/>
              <w:rPr>
                <w:b/>
                <w:noProof/>
                <w:color w:val="000000"/>
              </w:rPr>
            </w:pPr>
            <w:r>
              <w:rPr>
                <w:b/>
                <w:noProof/>
                <w:color w:val="000000"/>
              </w:rPr>
              <w:t>Varautuminen ja häiriönsietokyky</w:t>
            </w:r>
          </w:p>
        </w:tc>
        <w:tc>
          <w:tcPr>
            <w:tcW w:w="9923" w:type="dxa"/>
            <w:tcBorders>
              <w:bottom w:val="single" w:sz="4" w:space="0" w:color="auto"/>
            </w:tcBorders>
            <w:shd w:val="clear" w:color="auto" w:fill="auto"/>
            <w:tcMar>
              <w:top w:w="85" w:type="dxa"/>
              <w:bottom w:w="85" w:type="dxa"/>
            </w:tcMar>
          </w:tcPr>
          <w:p w14:paraId="021BB8AD" w14:textId="77777777" w:rsidR="00A85F9F" w:rsidRPr="00160006" w:rsidRDefault="00A85F9F" w:rsidP="006E17E7">
            <w:pPr>
              <w:keepLines/>
              <w:rPr>
                <w:b/>
                <w:noProof/>
                <w:highlight w:val="green"/>
              </w:rPr>
            </w:pPr>
            <w:r>
              <w:rPr>
                <w:b/>
                <w:noProof/>
                <w:color w:val="000000"/>
              </w:rPr>
              <w:t>Eurooppalainen vesiresilienssistrategia</w:t>
            </w:r>
            <w:r>
              <w:rPr>
                <w:noProof/>
                <w:color w:val="000000"/>
              </w:rPr>
              <w:t xml:space="preserve"> (muu kuin säädös, Q2 2025)</w:t>
            </w:r>
          </w:p>
        </w:tc>
      </w:tr>
      <w:tr w:rsidR="00A85F9F" w:rsidRPr="008E1F61" w14:paraId="20F2E1C1" w14:textId="77777777" w:rsidTr="006E17E7">
        <w:trPr>
          <w:cantSplit/>
          <w:trHeight w:val="300"/>
        </w:trPr>
        <w:tc>
          <w:tcPr>
            <w:tcW w:w="13887" w:type="dxa"/>
            <w:gridSpan w:val="3"/>
            <w:tcBorders>
              <w:bottom w:val="single" w:sz="4" w:space="0" w:color="auto"/>
            </w:tcBorders>
            <w:shd w:val="clear" w:color="auto" w:fill="6400D8"/>
          </w:tcPr>
          <w:p w14:paraId="1C5FC41A" w14:textId="77777777" w:rsidR="00A85F9F" w:rsidRPr="00701930" w:rsidRDefault="00A85F9F" w:rsidP="006E17E7">
            <w:pPr>
              <w:keepNext/>
              <w:spacing w:before="60" w:after="60"/>
              <w:jc w:val="both"/>
              <w:rPr>
                <w:b/>
                <w:bCs/>
                <w:noProof/>
                <w:color w:val="FFFFFF"/>
              </w:rPr>
            </w:pPr>
            <w:r>
              <w:rPr>
                <w:b/>
                <w:noProof/>
                <w:color w:val="FFFFFF"/>
              </w:rPr>
              <w:t>Demokratian suojeleminen ja arvojemme vaaliminen</w:t>
            </w:r>
          </w:p>
        </w:tc>
      </w:tr>
      <w:tr w:rsidR="00A85F9F" w:rsidRPr="008E1F61" w14:paraId="1D2A6FF4" w14:textId="77777777" w:rsidTr="005B18ED">
        <w:trPr>
          <w:cantSplit/>
          <w:trHeight w:val="300"/>
        </w:trPr>
        <w:tc>
          <w:tcPr>
            <w:tcW w:w="704" w:type="dxa"/>
            <w:vMerge w:val="restart"/>
            <w:tcBorders>
              <w:right w:val="single" w:sz="4" w:space="0" w:color="auto"/>
            </w:tcBorders>
          </w:tcPr>
          <w:p w14:paraId="20CB6775" w14:textId="77777777" w:rsidR="00A85F9F" w:rsidRPr="0017125B" w:rsidRDefault="00A85F9F" w:rsidP="006E17E7">
            <w:pPr>
              <w:pStyle w:val="ListParagraph"/>
              <w:numPr>
                <w:ilvl w:val="0"/>
                <w:numId w:val="3"/>
              </w:numPr>
              <w:spacing w:after="0"/>
              <w:ind w:left="473"/>
              <w:rPr>
                <w:noProof/>
              </w:rPr>
            </w:pPr>
          </w:p>
        </w:tc>
        <w:tc>
          <w:tcPr>
            <w:tcW w:w="3260" w:type="dxa"/>
            <w:vMerge w:val="restart"/>
            <w:tcBorders>
              <w:left w:val="single" w:sz="4" w:space="0" w:color="auto"/>
            </w:tcBorders>
            <w:shd w:val="clear" w:color="auto" w:fill="auto"/>
            <w:tcMar>
              <w:top w:w="85" w:type="dxa"/>
              <w:bottom w:w="85" w:type="dxa"/>
            </w:tcMar>
          </w:tcPr>
          <w:p w14:paraId="364CABC7" w14:textId="58AEEB94" w:rsidR="00A85F9F" w:rsidRPr="0020291F" w:rsidRDefault="00A85F9F" w:rsidP="006E17E7">
            <w:pPr>
              <w:jc w:val="both"/>
              <w:rPr>
                <w:b/>
                <w:bCs/>
                <w:noProof/>
                <w:color w:val="000000"/>
              </w:rPr>
            </w:pPr>
            <w:r>
              <w:rPr>
                <w:b/>
                <w:noProof/>
                <w:color w:val="000000"/>
              </w:rPr>
              <w:t xml:space="preserve">Demokratia </w:t>
            </w:r>
          </w:p>
        </w:tc>
        <w:tc>
          <w:tcPr>
            <w:tcW w:w="9923" w:type="dxa"/>
            <w:shd w:val="clear" w:color="auto" w:fill="auto"/>
            <w:tcMar>
              <w:top w:w="85" w:type="dxa"/>
              <w:bottom w:w="85" w:type="dxa"/>
            </w:tcMar>
          </w:tcPr>
          <w:p w14:paraId="3666B494" w14:textId="207498FE" w:rsidR="00A85F9F" w:rsidRPr="0020291F" w:rsidRDefault="00A85F9F" w:rsidP="006E17E7">
            <w:pPr>
              <w:spacing w:line="240" w:lineRule="atLeast"/>
              <w:rPr>
                <w:b/>
                <w:bCs/>
                <w:noProof/>
              </w:rPr>
            </w:pPr>
            <w:r>
              <w:rPr>
                <w:b/>
                <w:noProof/>
                <w:color w:val="000000"/>
              </w:rPr>
              <w:t>Eurooppalainen demokratian kilpi</w:t>
            </w:r>
            <w:r>
              <w:rPr>
                <w:noProof/>
                <w:color w:val="000000"/>
              </w:rPr>
              <w:t xml:space="preserve"> (muu kuin säädös, Q3 2025)</w:t>
            </w:r>
          </w:p>
        </w:tc>
      </w:tr>
      <w:tr w:rsidR="00A85F9F" w:rsidRPr="008E1F61" w14:paraId="4A925E47" w14:textId="77777777" w:rsidTr="15C1A19F">
        <w:trPr>
          <w:cantSplit/>
          <w:trHeight w:val="300"/>
        </w:trPr>
        <w:tc>
          <w:tcPr>
            <w:tcW w:w="704" w:type="dxa"/>
            <w:vMerge/>
          </w:tcPr>
          <w:p w14:paraId="0015A37C" w14:textId="77777777" w:rsidR="00A85F9F" w:rsidRPr="0017125B" w:rsidRDefault="00A85F9F" w:rsidP="006E17E7">
            <w:pPr>
              <w:numPr>
                <w:ilvl w:val="0"/>
                <w:numId w:val="3"/>
              </w:numPr>
              <w:ind w:left="0"/>
              <w:contextualSpacing/>
              <w:jc w:val="both"/>
              <w:rPr>
                <w:noProof/>
              </w:rPr>
            </w:pPr>
          </w:p>
        </w:tc>
        <w:tc>
          <w:tcPr>
            <w:tcW w:w="3260" w:type="dxa"/>
            <w:vMerge/>
            <w:tcMar>
              <w:top w:w="85" w:type="dxa"/>
              <w:bottom w:w="85" w:type="dxa"/>
            </w:tcMar>
          </w:tcPr>
          <w:p w14:paraId="592D763B" w14:textId="77777777" w:rsidR="00A85F9F" w:rsidRPr="0017125B" w:rsidRDefault="00A85F9F" w:rsidP="006E17E7">
            <w:pPr>
              <w:rPr>
                <w:b/>
                <w:bCs/>
                <w:noProof/>
              </w:rPr>
            </w:pPr>
          </w:p>
        </w:tc>
        <w:tc>
          <w:tcPr>
            <w:tcW w:w="9923" w:type="dxa"/>
            <w:tcBorders>
              <w:bottom w:val="single" w:sz="4" w:space="0" w:color="auto"/>
            </w:tcBorders>
            <w:shd w:val="clear" w:color="auto" w:fill="auto"/>
            <w:tcMar>
              <w:top w:w="85" w:type="dxa"/>
              <w:bottom w:w="85" w:type="dxa"/>
            </w:tcMar>
          </w:tcPr>
          <w:p w14:paraId="401D9964" w14:textId="341E1933" w:rsidR="00A85F9F" w:rsidRPr="00051869" w:rsidRDefault="00A85F9F" w:rsidP="006E17E7">
            <w:pPr>
              <w:contextualSpacing/>
              <w:jc w:val="both"/>
              <w:rPr>
                <w:b/>
                <w:bCs/>
                <w:noProof/>
                <w:color w:val="000000"/>
              </w:rPr>
            </w:pPr>
            <w:r>
              <w:rPr>
                <w:b/>
                <w:noProof/>
              </w:rPr>
              <w:t>EU:n strategia kansalaisyhteiskunnan tukemiseksi, suojelemiseksi ja voimaannuttamiseksi</w:t>
            </w:r>
            <w:r>
              <w:rPr>
                <w:noProof/>
              </w:rPr>
              <w:t xml:space="preserve"> (muu kuin säädös, Q3 2025)</w:t>
            </w:r>
          </w:p>
        </w:tc>
      </w:tr>
      <w:tr w:rsidR="00A85F9F" w:rsidRPr="008E1F61" w14:paraId="79CE4634" w14:textId="77777777" w:rsidTr="005B18ED">
        <w:trPr>
          <w:cantSplit/>
          <w:trHeight w:val="300"/>
        </w:trPr>
        <w:tc>
          <w:tcPr>
            <w:tcW w:w="704" w:type="dxa"/>
          </w:tcPr>
          <w:p w14:paraId="6C37B889" w14:textId="77777777" w:rsidR="00A85F9F" w:rsidRPr="0017125B" w:rsidRDefault="00A85F9F" w:rsidP="006E17E7">
            <w:pPr>
              <w:pStyle w:val="ListParagraph"/>
              <w:numPr>
                <w:ilvl w:val="0"/>
                <w:numId w:val="3"/>
              </w:numPr>
              <w:spacing w:after="0"/>
              <w:ind w:left="473"/>
              <w:rPr>
                <w:noProof/>
              </w:rPr>
            </w:pPr>
          </w:p>
        </w:tc>
        <w:tc>
          <w:tcPr>
            <w:tcW w:w="3260" w:type="dxa"/>
            <w:shd w:val="clear" w:color="auto" w:fill="auto"/>
            <w:tcMar>
              <w:top w:w="85" w:type="dxa"/>
              <w:bottom w:w="85" w:type="dxa"/>
            </w:tcMar>
          </w:tcPr>
          <w:p w14:paraId="30AF4B71" w14:textId="370DEF4A" w:rsidR="00A85F9F" w:rsidRPr="0020291F" w:rsidRDefault="00217305" w:rsidP="006E17E7">
            <w:pPr>
              <w:rPr>
                <w:b/>
                <w:bCs/>
                <w:noProof/>
              </w:rPr>
            </w:pPr>
            <w:r>
              <w:rPr>
                <w:b/>
                <w:noProof/>
              </w:rPr>
              <w:t>Yhdenvertaisuus</w:t>
            </w:r>
          </w:p>
        </w:tc>
        <w:tc>
          <w:tcPr>
            <w:tcW w:w="9923" w:type="dxa"/>
            <w:tcBorders>
              <w:bottom w:val="single" w:sz="4" w:space="0" w:color="auto"/>
            </w:tcBorders>
            <w:shd w:val="clear" w:color="auto" w:fill="auto"/>
            <w:tcMar>
              <w:top w:w="85" w:type="dxa"/>
              <w:bottom w:w="85" w:type="dxa"/>
            </w:tcMar>
          </w:tcPr>
          <w:p w14:paraId="4FEE08A3" w14:textId="63687BE5" w:rsidR="00A85F9F" w:rsidRPr="0020291F" w:rsidRDefault="00A85F9F" w:rsidP="006E17E7">
            <w:pPr>
              <w:contextualSpacing/>
              <w:jc w:val="both"/>
              <w:rPr>
                <w:b/>
                <w:bCs/>
                <w:noProof/>
                <w:color w:val="000000"/>
                <w:highlight w:val="yellow"/>
              </w:rPr>
            </w:pPr>
            <w:r>
              <w:rPr>
                <w:b/>
                <w:noProof/>
                <w:color w:val="000000"/>
              </w:rPr>
              <w:t>Naisten oikeuksien edistämissuunnitelma</w:t>
            </w:r>
            <w:r>
              <w:rPr>
                <w:noProof/>
                <w:color w:val="000000"/>
              </w:rPr>
              <w:t xml:space="preserve"> (muu kuin säädös, Q1 2025)</w:t>
            </w:r>
          </w:p>
        </w:tc>
      </w:tr>
      <w:tr w:rsidR="00A85F9F" w:rsidRPr="008E1F61" w14:paraId="2DC499E9" w14:textId="77777777" w:rsidTr="005B18ED">
        <w:trPr>
          <w:cantSplit/>
          <w:trHeight w:val="300"/>
        </w:trPr>
        <w:tc>
          <w:tcPr>
            <w:tcW w:w="704" w:type="dxa"/>
          </w:tcPr>
          <w:p w14:paraId="796835CB" w14:textId="77777777" w:rsidR="00A85F9F" w:rsidRPr="0017125B" w:rsidRDefault="00A85F9F" w:rsidP="006E17E7">
            <w:pPr>
              <w:pStyle w:val="ListParagraph"/>
              <w:numPr>
                <w:ilvl w:val="0"/>
                <w:numId w:val="3"/>
              </w:numPr>
              <w:spacing w:after="0"/>
              <w:ind w:left="473"/>
              <w:rPr>
                <w:noProof/>
              </w:rPr>
            </w:pPr>
          </w:p>
        </w:tc>
        <w:tc>
          <w:tcPr>
            <w:tcW w:w="3260" w:type="dxa"/>
            <w:shd w:val="clear" w:color="auto" w:fill="auto"/>
            <w:tcMar>
              <w:top w:w="85" w:type="dxa"/>
              <w:bottom w:w="85" w:type="dxa"/>
            </w:tcMar>
          </w:tcPr>
          <w:p w14:paraId="2DE4A528" w14:textId="513D35D7" w:rsidR="00A85F9F" w:rsidRPr="0020291F" w:rsidRDefault="005144AF" w:rsidP="006E17E7">
            <w:pPr>
              <w:rPr>
                <w:b/>
                <w:bCs/>
                <w:noProof/>
              </w:rPr>
            </w:pPr>
            <w:r>
              <w:rPr>
                <w:b/>
                <w:noProof/>
              </w:rPr>
              <w:t>Yhdenvertaisuus</w:t>
            </w:r>
          </w:p>
        </w:tc>
        <w:tc>
          <w:tcPr>
            <w:tcW w:w="9923" w:type="dxa"/>
            <w:tcBorders>
              <w:bottom w:val="single" w:sz="4" w:space="0" w:color="auto"/>
            </w:tcBorders>
            <w:shd w:val="clear" w:color="auto" w:fill="auto"/>
            <w:tcMar>
              <w:top w:w="85" w:type="dxa"/>
              <w:bottom w:w="85" w:type="dxa"/>
            </w:tcMar>
          </w:tcPr>
          <w:p w14:paraId="37A0C57A" w14:textId="5D08F660" w:rsidR="00A85F9F" w:rsidRPr="007B6B2D" w:rsidRDefault="00A85F9F" w:rsidP="006E17E7">
            <w:pPr>
              <w:contextualSpacing/>
              <w:jc w:val="both"/>
              <w:rPr>
                <w:bCs/>
                <w:noProof/>
                <w:color w:val="000000"/>
                <w:highlight w:val="yellow"/>
              </w:rPr>
            </w:pPr>
            <w:r>
              <w:rPr>
                <w:b/>
                <w:noProof/>
                <w:color w:val="000000"/>
              </w:rPr>
              <w:t>Uusi hlbtiq-henkilöiden yhdenvertaisuusstrategia</w:t>
            </w:r>
            <w:r>
              <w:rPr>
                <w:noProof/>
                <w:color w:val="000000"/>
              </w:rPr>
              <w:t xml:space="preserve"> (muu kuin säädös, Q4 2025) ja </w:t>
            </w:r>
            <w:r>
              <w:rPr>
                <w:b/>
                <w:noProof/>
                <w:color w:val="000000"/>
              </w:rPr>
              <w:t>uusi rasismintorjuntastrategia</w:t>
            </w:r>
            <w:r>
              <w:rPr>
                <w:noProof/>
                <w:color w:val="000000"/>
              </w:rPr>
              <w:t xml:space="preserve"> (muu kuin säädös, Q4 2025) </w:t>
            </w:r>
          </w:p>
        </w:tc>
      </w:tr>
      <w:tr w:rsidR="00A85F9F" w:rsidRPr="008E1F61" w14:paraId="2F95E333" w14:textId="77777777" w:rsidTr="006E17E7">
        <w:trPr>
          <w:cantSplit/>
          <w:trHeight w:val="300"/>
        </w:trPr>
        <w:tc>
          <w:tcPr>
            <w:tcW w:w="13887" w:type="dxa"/>
            <w:gridSpan w:val="3"/>
            <w:tcBorders>
              <w:bottom w:val="single" w:sz="4" w:space="0" w:color="auto"/>
            </w:tcBorders>
            <w:shd w:val="clear" w:color="auto" w:fill="000083"/>
          </w:tcPr>
          <w:p w14:paraId="1047DA7F" w14:textId="77777777" w:rsidR="00A85F9F" w:rsidRPr="00701930" w:rsidRDefault="00A85F9F" w:rsidP="006E17E7">
            <w:pPr>
              <w:keepNext/>
              <w:spacing w:before="60" w:after="60"/>
              <w:jc w:val="both"/>
              <w:rPr>
                <w:b/>
                <w:bCs/>
                <w:noProof/>
                <w:color w:val="FFFFFF"/>
              </w:rPr>
            </w:pPr>
            <w:r>
              <w:rPr>
                <w:b/>
                <w:noProof/>
                <w:color w:val="FFFFFF"/>
              </w:rPr>
              <w:t>Globaali Eurooppa: vaikutusvaltaa ja kumppanuuksia</w:t>
            </w:r>
          </w:p>
        </w:tc>
      </w:tr>
      <w:tr w:rsidR="00A85F9F" w:rsidRPr="008E1F61" w14:paraId="6D208695" w14:textId="77777777" w:rsidTr="005B18ED">
        <w:trPr>
          <w:cantSplit/>
          <w:trHeight w:val="300"/>
        </w:trPr>
        <w:tc>
          <w:tcPr>
            <w:tcW w:w="704" w:type="dxa"/>
            <w:tcBorders>
              <w:bottom w:val="single" w:sz="4" w:space="0" w:color="auto"/>
              <w:right w:val="single" w:sz="4" w:space="0" w:color="auto"/>
            </w:tcBorders>
          </w:tcPr>
          <w:p w14:paraId="2439E3AF"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bottom w:val="single" w:sz="4" w:space="0" w:color="auto"/>
            </w:tcBorders>
            <w:shd w:val="clear" w:color="auto" w:fill="auto"/>
            <w:tcMar>
              <w:top w:w="85" w:type="dxa"/>
              <w:bottom w:w="85" w:type="dxa"/>
            </w:tcMar>
          </w:tcPr>
          <w:p w14:paraId="5BE08757" w14:textId="56CD4F3E" w:rsidR="00A85F9F" w:rsidRPr="0020291F" w:rsidRDefault="00EB3A71" w:rsidP="006E17E7">
            <w:pPr>
              <w:jc w:val="both"/>
              <w:rPr>
                <w:b/>
                <w:noProof/>
              </w:rPr>
            </w:pPr>
            <w:r>
              <w:rPr>
                <w:b/>
                <w:noProof/>
              </w:rPr>
              <w:t>Geopolitiikka</w:t>
            </w:r>
          </w:p>
        </w:tc>
        <w:tc>
          <w:tcPr>
            <w:tcW w:w="9923" w:type="dxa"/>
            <w:tcBorders>
              <w:bottom w:val="single" w:sz="4" w:space="0" w:color="auto"/>
            </w:tcBorders>
            <w:shd w:val="clear" w:color="auto" w:fill="auto"/>
            <w:tcMar>
              <w:top w:w="85" w:type="dxa"/>
              <w:bottom w:w="85" w:type="dxa"/>
            </w:tcMar>
          </w:tcPr>
          <w:p w14:paraId="4FB4FB7B" w14:textId="77777777" w:rsidR="00A85F9F" w:rsidRPr="0020291F" w:rsidDel="00FC7D73" w:rsidRDefault="00A85F9F" w:rsidP="006E17E7">
            <w:pPr>
              <w:jc w:val="both"/>
              <w:rPr>
                <w:b/>
                <w:bCs/>
                <w:noProof/>
              </w:rPr>
            </w:pPr>
            <w:r>
              <w:rPr>
                <w:b/>
                <w:noProof/>
              </w:rPr>
              <w:t>Välimeren alueen sopimus</w:t>
            </w:r>
            <w:r>
              <w:rPr>
                <w:noProof/>
              </w:rPr>
              <w:t xml:space="preserve"> (muu kuin säädös, Q3 2025)</w:t>
            </w:r>
          </w:p>
        </w:tc>
      </w:tr>
      <w:tr w:rsidR="00A85F9F" w:rsidRPr="008E1F61" w14:paraId="2E3C5028" w14:textId="77777777" w:rsidTr="005B18ED">
        <w:trPr>
          <w:cantSplit/>
          <w:trHeight w:val="300"/>
        </w:trPr>
        <w:tc>
          <w:tcPr>
            <w:tcW w:w="704" w:type="dxa"/>
            <w:tcBorders>
              <w:right w:val="single" w:sz="4" w:space="0" w:color="auto"/>
            </w:tcBorders>
          </w:tcPr>
          <w:p w14:paraId="13D7E75C"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5CD3772E" w14:textId="6B2F0485" w:rsidR="00A85F9F" w:rsidRPr="0020291F" w:rsidRDefault="00CD795D" w:rsidP="006E17E7">
            <w:pPr>
              <w:jc w:val="both"/>
              <w:rPr>
                <w:b/>
                <w:noProof/>
              </w:rPr>
            </w:pPr>
            <w:r>
              <w:rPr>
                <w:b/>
                <w:noProof/>
              </w:rPr>
              <w:t>Geopolitiikka</w:t>
            </w:r>
          </w:p>
        </w:tc>
        <w:tc>
          <w:tcPr>
            <w:tcW w:w="9923" w:type="dxa"/>
            <w:shd w:val="clear" w:color="auto" w:fill="auto"/>
            <w:tcMar>
              <w:top w:w="85" w:type="dxa"/>
              <w:bottom w:w="85" w:type="dxa"/>
            </w:tcMar>
          </w:tcPr>
          <w:p w14:paraId="379019D8" w14:textId="77777777" w:rsidR="00A85F9F" w:rsidRPr="0020291F" w:rsidRDefault="00A85F9F" w:rsidP="006E17E7">
            <w:pPr>
              <w:jc w:val="both"/>
              <w:rPr>
                <w:b/>
                <w:bCs/>
                <w:noProof/>
              </w:rPr>
            </w:pPr>
            <w:r>
              <w:rPr>
                <w:b/>
                <w:noProof/>
              </w:rPr>
              <w:t>EU:n strateginen Mustanmeren toimintamalli / Mustanmeren strategia</w:t>
            </w:r>
            <w:r>
              <w:rPr>
                <w:noProof/>
              </w:rPr>
              <w:t xml:space="preserve"> (muu kuin säädös, Q2 2025)</w:t>
            </w:r>
          </w:p>
        </w:tc>
      </w:tr>
      <w:tr w:rsidR="00A85F9F" w:rsidRPr="008E1F61" w14:paraId="7273276C" w14:textId="77777777" w:rsidTr="005B18ED">
        <w:trPr>
          <w:cantSplit/>
          <w:trHeight w:val="300"/>
        </w:trPr>
        <w:tc>
          <w:tcPr>
            <w:tcW w:w="704" w:type="dxa"/>
            <w:tcBorders>
              <w:right w:val="single" w:sz="4" w:space="0" w:color="auto"/>
            </w:tcBorders>
          </w:tcPr>
          <w:p w14:paraId="4DD57996"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11A64AD5" w14:textId="5C5B884B" w:rsidR="00A85F9F" w:rsidRPr="00160006" w:rsidRDefault="00CD795D" w:rsidP="006E17E7">
            <w:pPr>
              <w:jc w:val="both"/>
              <w:rPr>
                <w:b/>
                <w:noProof/>
              </w:rPr>
            </w:pPr>
            <w:r>
              <w:rPr>
                <w:b/>
                <w:noProof/>
              </w:rPr>
              <w:t>Geopolitiikka</w:t>
            </w:r>
          </w:p>
        </w:tc>
        <w:tc>
          <w:tcPr>
            <w:tcW w:w="9923" w:type="dxa"/>
            <w:shd w:val="clear" w:color="auto" w:fill="auto"/>
            <w:tcMar>
              <w:top w:w="85" w:type="dxa"/>
              <w:bottom w:w="85" w:type="dxa"/>
            </w:tcMar>
          </w:tcPr>
          <w:p w14:paraId="339190F7" w14:textId="6ADD748B" w:rsidR="00A85F9F" w:rsidRPr="00160006" w:rsidRDefault="00DC2A9B" w:rsidP="006E17E7">
            <w:pPr>
              <w:jc w:val="both"/>
              <w:rPr>
                <w:b/>
                <w:noProof/>
                <w:highlight w:val="green"/>
              </w:rPr>
            </w:pPr>
            <w:r>
              <w:rPr>
                <w:b/>
                <w:noProof/>
              </w:rPr>
              <w:t>Yhteinen tiedonanto EU:n ja Intian strategisesta agendasta</w:t>
            </w:r>
            <w:r>
              <w:rPr>
                <w:noProof/>
              </w:rPr>
              <w:t xml:space="preserve"> (muu kuin säädös, Q2 2025)</w:t>
            </w:r>
          </w:p>
        </w:tc>
      </w:tr>
      <w:tr w:rsidR="00A85F9F" w:rsidRPr="008E1F61" w14:paraId="064D8ED7" w14:textId="77777777" w:rsidTr="006E17E7">
        <w:trPr>
          <w:cantSplit/>
          <w:trHeight w:val="300"/>
        </w:trPr>
        <w:tc>
          <w:tcPr>
            <w:tcW w:w="13887" w:type="dxa"/>
            <w:gridSpan w:val="3"/>
            <w:shd w:val="clear" w:color="auto" w:fill="0EC6D6"/>
          </w:tcPr>
          <w:p w14:paraId="41EEEED7" w14:textId="77777777" w:rsidR="00A85F9F" w:rsidRPr="00701930" w:rsidRDefault="00A85F9F" w:rsidP="00CC462E">
            <w:pPr>
              <w:spacing w:before="60" w:after="60"/>
              <w:jc w:val="both"/>
              <w:rPr>
                <w:b/>
                <w:bCs/>
                <w:noProof/>
              </w:rPr>
            </w:pPr>
            <w:r>
              <w:rPr>
                <w:b/>
                <w:noProof/>
                <w:color w:val="FFFFFF" w:themeColor="background1"/>
              </w:rPr>
              <w:t>Tuloksiin yhdessä ja unioni valmiiksi tulevaisuuteen</w:t>
            </w:r>
          </w:p>
        </w:tc>
      </w:tr>
      <w:tr w:rsidR="00A85F9F" w:rsidRPr="008E1F61" w14:paraId="00600F38" w14:textId="77777777" w:rsidTr="005B18ED">
        <w:trPr>
          <w:cantSplit/>
          <w:trHeight w:val="300"/>
        </w:trPr>
        <w:tc>
          <w:tcPr>
            <w:tcW w:w="704" w:type="dxa"/>
            <w:tcBorders>
              <w:right w:val="single" w:sz="4" w:space="0" w:color="auto"/>
            </w:tcBorders>
          </w:tcPr>
          <w:p w14:paraId="686D94B0"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4EEE01D2" w14:textId="206B5A2A" w:rsidR="00A85F9F" w:rsidRPr="0020291F" w:rsidRDefault="008767C0" w:rsidP="006E17E7">
            <w:pPr>
              <w:jc w:val="both"/>
              <w:rPr>
                <w:b/>
                <w:noProof/>
              </w:rPr>
            </w:pPr>
            <w:r>
              <w:rPr>
                <w:b/>
                <w:noProof/>
              </w:rPr>
              <w:t>Tulevaisuuspainopisteet</w:t>
            </w:r>
          </w:p>
        </w:tc>
        <w:tc>
          <w:tcPr>
            <w:tcW w:w="9923" w:type="dxa"/>
            <w:shd w:val="clear" w:color="auto" w:fill="auto"/>
            <w:tcMar>
              <w:top w:w="85" w:type="dxa"/>
              <w:bottom w:w="85" w:type="dxa"/>
            </w:tcMar>
          </w:tcPr>
          <w:p w14:paraId="1BC8C5FC" w14:textId="70ECCFF5" w:rsidR="00A85F9F" w:rsidRPr="0020291F" w:rsidRDefault="00A85F9F" w:rsidP="006E17E7">
            <w:pPr>
              <w:jc w:val="both"/>
              <w:rPr>
                <w:b/>
                <w:bCs/>
                <w:noProof/>
              </w:rPr>
            </w:pPr>
            <w:r>
              <w:rPr>
                <w:b/>
                <w:noProof/>
              </w:rPr>
              <w:t>Vuoden 2027 jälkeistä monivuotista rahoituskehystä koskevat ehdotukset</w:t>
            </w:r>
            <w:r>
              <w:rPr>
                <w:noProof/>
              </w:rPr>
              <w:t xml:space="preserve"> (säädös, SEUT-sopimuksen 312 artikla, Q3 2025)</w:t>
            </w:r>
          </w:p>
        </w:tc>
      </w:tr>
      <w:tr w:rsidR="00A85F9F" w:rsidRPr="008E1F61" w14:paraId="242D778F" w14:textId="77777777" w:rsidTr="005B18ED">
        <w:trPr>
          <w:cantSplit/>
          <w:trHeight w:val="300"/>
        </w:trPr>
        <w:tc>
          <w:tcPr>
            <w:tcW w:w="704" w:type="dxa"/>
            <w:tcBorders>
              <w:right w:val="single" w:sz="4" w:space="0" w:color="auto"/>
            </w:tcBorders>
          </w:tcPr>
          <w:p w14:paraId="00349371" w14:textId="77777777" w:rsidR="00A85F9F" w:rsidRPr="0017125B" w:rsidRDefault="00A85F9F" w:rsidP="006E17E7">
            <w:pPr>
              <w:pStyle w:val="ListParagraph"/>
              <w:numPr>
                <w:ilvl w:val="0"/>
                <w:numId w:val="3"/>
              </w:numPr>
              <w:spacing w:after="0"/>
              <w:ind w:left="473"/>
              <w:rPr>
                <w:noProof/>
              </w:rPr>
            </w:pPr>
          </w:p>
        </w:tc>
        <w:tc>
          <w:tcPr>
            <w:tcW w:w="3260" w:type="dxa"/>
            <w:tcBorders>
              <w:left w:val="single" w:sz="4" w:space="0" w:color="auto"/>
            </w:tcBorders>
            <w:shd w:val="clear" w:color="auto" w:fill="auto"/>
            <w:tcMar>
              <w:top w:w="85" w:type="dxa"/>
              <w:bottom w:w="85" w:type="dxa"/>
            </w:tcMar>
          </w:tcPr>
          <w:p w14:paraId="7C08FD16" w14:textId="1629DE8F" w:rsidR="00A85F9F" w:rsidRPr="0020291F" w:rsidRDefault="00B91AB3" w:rsidP="006E17E7">
            <w:pPr>
              <w:jc w:val="both"/>
              <w:rPr>
                <w:b/>
                <w:noProof/>
              </w:rPr>
            </w:pPr>
            <w:r>
              <w:rPr>
                <w:b/>
                <w:noProof/>
              </w:rPr>
              <w:t>Tulevaisuuspainopisteet</w:t>
            </w:r>
          </w:p>
        </w:tc>
        <w:tc>
          <w:tcPr>
            <w:tcW w:w="9923" w:type="dxa"/>
            <w:shd w:val="clear" w:color="auto" w:fill="auto"/>
            <w:tcMar>
              <w:top w:w="85" w:type="dxa"/>
              <w:bottom w:w="85" w:type="dxa"/>
            </w:tcMar>
          </w:tcPr>
          <w:p w14:paraId="7FE2358E" w14:textId="288A26ED" w:rsidR="00A85F9F" w:rsidRPr="0020291F" w:rsidRDefault="00A85F9F" w:rsidP="006E17E7">
            <w:pPr>
              <w:jc w:val="both"/>
              <w:rPr>
                <w:b/>
                <w:bCs/>
                <w:noProof/>
              </w:rPr>
            </w:pPr>
            <w:r>
              <w:rPr>
                <w:b/>
                <w:noProof/>
              </w:rPr>
              <w:t>Laajentumiseen valmis EU: politiikan uudelleentarkastelut ja uudistukset</w:t>
            </w:r>
            <w:r>
              <w:rPr>
                <w:noProof/>
              </w:rPr>
              <w:t xml:space="preserve"> (muu kuin säädös, päätettävä)</w:t>
            </w:r>
          </w:p>
        </w:tc>
      </w:tr>
    </w:tbl>
    <w:p w14:paraId="6CA30F5D" w14:textId="77777777" w:rsidR="00A85F9F" w:rsidRDefault="00A85F9F">
      <w:pPr>
        <w:rPr>
          <w:noProof/>
        </w:rPr>
      </w:pPr>
    </w:p>
    <w:p w14:paraId="30F5B85F" w14:textId="5DAEF146" w:rsidR="006E17E7" w:rsidRDefault="006E17E7">
      <w:pPr>
        <w:rPr>
          <w:noProof/>
        </w:rPr>
      </w:pPr>
      <w:r>
        <w:rPr>
          <w:noProof/>
        </w:rPr>
        <w:br w:type="page"/>
      </w:r>
    </w:p>
    <w:p w14:paraId="7D75AD64" w14:textId="2D458A80" w:rsidR="00961324" w:rsidRPr="00961324" w:rsidRDefault="00961324" w:rsidP="00961324">
      <w:pPr>
        <w:spacing w:after="480"/>
        <w:jc w:val="center"/>
        <w:rPr>
          <w:rFonts w:ascii="Times New Roman" w:eastAsia="Times New Roman" w:hAnsi="Times New Roman" w:cs="Times New Roman"/>
          <w:b/>
          <w:bCs/>
          <w:noProof/>
          <w:sz w:val="28"/>
          <w:szCs w:val="28"/>
          <w:u w:val="single"/>
        </w:rPr>
      </w:pPr>
      <w:bookmarkStart w:id="2" w:name="_Hlk182915704"/>
      <w:r>
        <w:rPr>
          <w:rFonts w:ascii="Times New Roman" w:hAnsi="Times New Roman"/>
          <w:b/>
          <w:noProof/>
          <w:sz w:val="28"/>
          <w:u w:val="single"/>
        </w:rPr>
        <w:t>Liite II: Vuotuinen arviointi- ja toimivuustarkastussuunnitelma</w:t>
      </w:r>
    </w:p>
    <w:tbl>
      <w:tblPr>
        <w:tblStyle w:val="TableGrid"/>
        <w:tblW w:w="13745" w:type="dxa"/>
        <w:jc w:val="center"/>
        <w:tblLayout w:type="fixed"/>
        <w:tblLook w:val="04A0" w:firstRow="1" w:lastRow="0" w:firstColumn="1" w:lastColumn="0" w:noHBand="0" w:noVBand="1"/>
      </w:tblPr>
      <w:tblGrid>
        <w:gridCol w:w="567"/>
        <w:gridCol w:w="11335"/>
        <w:gridCol w:w="1843"/>
      </w:tblGrid>
      <w:tr w:rsidR="00961324" w:rsidRPr="006C1C34" w14:paraId="1F021781" w14:textId="77777777" w:rsidTr="003566BE">
        <w:trPr>
          <w:cantSplit/>
          <w:trHeight w:val="470"/>
          <w:tblHeader/>
          <w:jc w:val="center"/>
        </w:trPr>
        <w:tc>
          <w:tcPr>
            <w:tcW w:w="567" w:type="dxa"/>
            <w:tcBorders>
              <w:bottom w:val="single" w:sz="4" w:space="0" w:color="auto"/>
            </w:tcBorders>
            <w:shd w:val="clear" w:color="auto" w:fill="99CCFF"/>
            <w:tcMar>
              <w:top w:w="85" w:type="dxa"/>
              <w:left w:w="85" w:type="dxa"/>
              <w:bottom w:w="85" w:type="dxa"/>
              <w:right w:w="85" w:type="dxa"/>
            </w:tcMar>
          </w:tcPr>
          <w:p w14:paraId="2689D319" w14:textId="77777777" w:rsidR="00961324" w:rsidRPr="006C1C34" w:rsidRDefault="00961324" w:rsidP="007271D7">
            <w:pPr>
              <w:rPr>
                <w:b/>
                <w:bCs/>
                <w:noProof/>
              </w:rPr>
            </w:pPr>
            <w:r>
              <w:rPr>
                <w:b/>
                <w:noProof/>
              </w:rPr>
              <w:t>Nro</w:t>
            </w:r>
          </w:p>
        </w:tc>
        <w:tc>
          <w:tcPr>
            <w:tcW w:w="11335" w:type="dxa"/>
            <w:tcBorders>
              <w:bottom w:val="single" w:sz="4" w:space="0" w:color="auto"/>
            </w:tcBorders>
            <w:shd w:val="clear" w:color="auto" w:fill="99CCFF"/>
            <w:tcMar>
              <w:top w:w="85" w:type="dxa"/>
              <w:left w:w="85" w:type="dxa"/>
              <w:bottom w:w="85" w:type="dxa"/>
              <w:right w:w="85" w:type="dxa"/>
            </w:tcMar>
          </w:tcPr>
          <w:p w14:paraId="10742866" w14:textId="77777777" w:rsidR="00961324" w:rsidRPr="006C1C34" w:rsidRDefault="00961324" w:rsidP="007271D7">
            <w:pPr>
              <w:jc w:val="center"/>
              <w:rPr>
                <w:b/>
                <w:bCs/>
                <w:noProof/>
              </w:rPr>
            </w:pPr>
            <w:r>
              <w:rPr>
                <w:b/>
                <w:noProof/>
              </w:rPr>
              <w:t>Koko nimi</w:t>
            </w:r>
          </w:p>
        </w:tc>
        <w:tc>
          <w:tcPr>
            <w:tcW w:w="1843" w:type="dxa"/>
            <w:tcBorders>
              <w:bottom w:val="single" w:sz="4" w:space="0" w:color="auto"/>
            </w:tcBorders>
            <w:shd w:val="clear" w:color="auto" w:fill="99CCFF"/>
            <w:tcMar>
              <w:top w:w="85" w:type="dxa"/>
              <w:left w:w="85" w:type="dxa"/>
              <w:bottom w:w="85" w:type="dxa"/>
              <w:right w:w="85" w:type="dxa"/>
            </w:tcMar>
          </w:tcPr>
          <w:p w14:paraId="533E7B04" w14:textId="77777777" w:rsidR="00961324" w:rsidRPr="006C1C34" w:rsidRDefault="00961324" w:rsidP="007271D7">
            <w:pPr>
              <w:jc w:val="center"/>
              <w:rPr>
                <w:b/>
                <w:bCs/>
                <w:noProof/>
              </w:rPr>
            </w:pPr>
            <w:r>
              <w:rPr>
                <w:b/>
                <w:noProof/>
              </w:rPr>
              <w:t>Alustava valmistumisaika</w:t>
            </w:r>
          </w:p>
        </w:tc>
      </w:tr>
      <w:tr w:rsidR="00961324" w:rsidRPr="006C1C34" w14:paraId="094555CC" w14:textId="77777777" w:rsidTr="003566BE">
        <w:trPr>
          <w:trHeight w:val="300"/>
          <w:jc w:val="center"/>
        </w:trPr>
        <w:tc>
          <w:tcPr>
            <w:tcW w:w="567" w:type="dxa"/>
            <w:tcBorders>
              <w:right w:val="nil"/>
            </w:tcBorders>
            <w:shd w:val="clear" w:color="auto" w:fill="auto"/>
            <w:tcMar>
              <w:top w:w="85" w:type="dxa"/>
              <w:left w:w="85" w:type="dxa"/>
              <w:bottom w:w="85" w:type="dxa"/>
            </w:tcMar>
          </w:tcPr>
          <w:p w14:paraId="2E4C7B8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72C4881" w14:textId="358F7D6F" w:rsidR="00961324" w:rsidRPr="00D06013" w:rsidRDefault="00961324" w:rsidP="007271D7">
            <w:pPr>
              <w:tabs>
                <w:tab w:val="left" w:pos="990"/>
              </w:tabs>
              <w:rPr>
                <w:b/>
                <w:noProof/>
              </w:rPr>
            </w:pPr>
            <w:r>
              <w:rPr>
                <w:b/>
                <w:noProof/>
              </w:rPr>
              <w:t>Digitaalipolitiikan alan lainsäädännön toimivuustarkastus</w:t>
            </w:r>
            <w:r w:rsidR="00DD40BB">
              <w:rPr>
                <w:b/>
                <w:noProof/>
              </w:rPr>
              <w:t xml:space="preserve"> </w:t>
            </w:r>
          </w:p>
        </w:tc>
        <w:tc>
          <w:tcPr>
            <w:tcW w:w="1843" w:type="dxa"/>
            <w:tcMar>
              <w:top w:w="85" w:type="dxa"/>
              <w:left w:w="85" w:type="dxa"/>
              <w:bottom w:w="85" w:type="dxa"/>
            </w:tcMar>
          </w:tcPr>
          <w:p w14:paraId="08E661DF" w14:textId="77777777" w:rsidR="00961324" w:rsidRPr="00200181" w:rsidRDefault="00961324" w:rsidP="007271D7">
            <w:pPr>
              <w:rPr>
                <w:noProof/>
              </w:rPr>
            </w:pPr>
            <w:r>
              <w:rPr>
                <w:noProof/>
              </w:rPr>
              <w:t>Q4 2025</w:t>
            </w:r>
          </w:p>
        </w:tc>
      </w:tr>
      <w:tr w:rsidR="00961324" w:rsidRPr="006C1C34" w14:paraId="08235AB5" w14:textId="77777777" w:rsidTr="003566BE">
        <w:trPr>
          <w:trHeight w:val="239"/>
          <w:jc w:val="center"/>
        </w:trPr>
        <w:tc>
          <w:tcPr>
            <w:tcW w:w="567" w:type="dxa"/>
            <w:tcBorders>
              <w:right w:val="nil"/>
            </w:tcBorders>
            <w:shd w:val="clear" w:color="auto" w:fill="auto"/>
            <w:tcMar>
              <w:top w:w="85" w:type="dxa"/>
              <w:left w:w="85" w:type="dxa"/>
              <w:bottom w:w="85" w:type="dxa"/>
            </w:tcMar>
          </w:tcPr>
          <w:p w14:paraId="43F925E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8303B54" w14:textId="77777777" w:rsidR="00961324" w:rsidRPr="00D06013" w:rsidRDefault="00961324" w:rsidP="007271D7">
            <w:pPr>
              <w:tabs>
                <w:tab w:val="left" w:pos="990"/>
              </w:tabs>
              <w:rPr>
                <w:b/>
                <w:noProof/>
              </w:rPr>
            </w:pPr>
            <w:r>
              <w:rPr>
                <w:b/>
                <w:noProof/>
              </w:rPr>
              <w:t xml:space="preserve">Energiaturvallisuusarkkitehtuurin toimivuustarkastus </w:t>
            </w:r>
          </w:p>
        </w:tc>
        <w:tc>
          <w:tcPr>
            <w:tcW w:w="1843" w:type="dxa"/>
            <w:tcMar>
              <w:top w:w="85" w:type="dxa"/>
              <w:left w:w="85" w:type="dxa"/>
              <w:bottom w:w="85" w:type="dxa"/>
            </w:tcMar>
          </w:tcPr>
          <w:p w14:paraId="7D60DDA1" w14:textId="77777777" w:rsidR="00961324" w:rsidRPr="00200181" w:rsidRDefault="00961324" w:rsidP="007271D7">
            <w:pPr>
              <w:rPr>
                <w:bCs/>
                <w:noProof/>
              </w:rPr>
            </w:pPr>
            <w:r>
              <w:rPr>
                <w:noProof/>
              </w:rPr>
              <w:t>Q2 2025</w:t>
            </w:r>
          </w:p>
        </w:tc>
      </w:tr>
      <w:tr w:rsidR="00961324" w:rsidRPr="006C1C34" w14:paraId="0107DD9C" w14:textId="77777777" w:rsidTr="003566BE">
        <w:trPr>
          <w:trHeight w:val="300"/>
          <w:jc w:val="center"/>
        </w:trPr>
        <w:tc>
          <w:tcPr>
            <w:tcW w:w="567" w:type="dxa"/>
            <w:tcBorders>
              <w:right w:val="nil"/>
            </w:tcBorders>
            <w:shd w:val="clear" w:color="auto" w:fill="auto"/>
            <w:tcMar>
              <w:top w:w="85" w:type="dxa"/>
              <w:left w:w="85" w:type="dxa"/>
              <w:bottom w:w="85" w:type="dxa"/>
            </w:tcMar>
          </w:tcPr>
          <w:p w14:paraId="4F5B96E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7B95B97" w14:textId="77777777" w:rsidR="00961324" w:rsidRPr="00D06013" w:rsidRDefault="00961324" w:rsidP="007271D7">
            <w:pPr>
              <w:tabs>
                <w:tab w:val="left" w:pos="990"/>
              </w:tabs>
              <w:rPr>
                <w:b/>
                <w:noProof/>
              </w:rPr>
            </w:pPr>
            <w:r>
              <w:rPr>
                <w:b/>
                <w:noProof/>
              </w:rPr>
              <w:t>Sisävesiliikenteen markkinoille pääsyn toimivuustarkastus </w:t>
            </w:r>
          </w:p>
        </w:tc>
        <w:tc>
          <w:tcPr>
            <w:tcW w:w="1843" w:type="dxa"/>
            <w:tcMar>
              <w:top w:w="85" w:type="dxa"/>
              <w:left w:w="85" w:type="dxa"/>
              <w:bottom w:w="85" w:type="dxa"/>
            </w:tcMar>
          </w:tcPr>
          <w:p w14:paraId="6CFB5564" w14:textId="77777777" w:rsidR="00961324" w:rsidRPr="00BF2DCE" w:rsidRDefault="00961324" w:rsidP="007271D7">
            <w:pPr>
              <w:rPr>
                <w:bCs/>
                <w:noProof/>
              </w:rPr>
            </w:pPr>
            <w:r>
              <w:rPr>
                <w:noProof/>
              </w:rPr>
              <w:t>Q2/Q3 2025</w:t>
            </w:r>
          </w:p>
        </w:tc>
      </w:tr>
      <w:tr w:rsidR="00961324" w:rsidRPr="006C1C34" w14:paraId="5F3BF648" w14:textId="77777777" w:rsidTr="003566BE">
        <w:trPr>
          <w:trHeight w:val="252"/>
          <w:jc w:val="center"/>
        </w:trPr>
        <w:tc>
          <w:tcPr>
            <w:tcW w:w="567" w:type="dxa"/>
            <w:tcBorders>
              <w:right w:val="nil"/>
            </w:tcBorders>
            <w:shd w:val="clear" w:color="auto" w:fill="auto"/>
            <w:tcMar>
              <w:top w:w="85" w:type="dxa"/>
              <w:left w:w="85" w:type="dxa"/>
              <w:bottom w:w="85" w:type="dxa"/>
            </w:tcMar>
          </w:tcPr>
          <w:p w14:paraId="25CD5BF3"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24D4E8C" w14:textId="77777777" w:rsidR="00961324" w:rsidRPr="00D06013" w:rsidRDefault="00961324" w:rsidP="007271D7">
            <w:pPr>
              <w:tabs>
                <w:tab w:val="left" w:pos="990"/>
              </w:tabs>
              <w:rPr>
                <w:b/>
                <w:noProof/>
              </w:rPr>
            </w:pPr>
            <w:r>
              <w:rPr>
                <w:b/>
                <w:noProof/>
              </w:rPr>
              <w:t>EU:n lentoasemalainsäädännön toimivuustarkastus</w:t>
            </w:r>
          </w:p>
        </w:tc>
        <w:tc>
          <w:tcPr>
            <w:tcW w:w="1843" w:type="dxa"/>
            <w:tcMar>
              <w:top w:w="85" w:type="dxa"/>
              <w:left w:w="85" w:type="dxa"/>
              <w:bottom w:w="85" w:type="dxa"/>
            </w:tcMar>
          </w:tcPr>
          <w:p w14:paraId="7ACB2AF5" w14:textId="77777777" w:rsidR="00961324" w:rsidRPr="00493346" w:rsidRDefault="00961324" w:rsidP="007271D7">
            <w:pPr>
              <w:rPr>
                <w:bCs/>
                <w:noProof/>
              </w:rPr>
            </w:pPr>
            <w:r>
              <w:rPr>
                <w:noProof/>
              </w:rPr>
              <w:t>Q4 2025</w:t>
            </w:r>
          </w:p>
        </w:tc>
      </w:tr>
      <w:tr w:rsidR="00961324" w:rsidRPr="006C1C34" w14:paraId="382E4694" w14:textId="77777777" w:rsidTr="003566BE">
        <w:trPr>
          <w:trHeight w:val="252"/>
          <w:jc w:val="center"/>
        </w:trPr>
        <w:tc>
          <w:tcPr>
            <w:tcW w:w="567" w:type="dxa"/>
            <w:tcBorders>
              <w:right w:val="nil"/>
            </w:tcBorders>
            <w:shd w:val="clear" w:color="auto" w:fill="auto"/>
            <w:tcMar>
              <w:top w:w="85" w:type="dxa"/>
              <w:left w:w="85" w:type="dxa"/>
              <w:bottom w:w="85" w:type="dxa"/>
            </w:tcMar>
          </w:tcPr>
          <w:p w14:paraId="1A641CF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DB836C1" w14:textId="77777777" w:rsidR="00961324" w:rsidRPr="00D06013" w:rsidRDefault="00961324" w:rsidP="007271D7">
            <w:pPr>
              <w:tabs>
                <w:tab w:val="left" w:pos="990"/>
              </w:tabs>
              <w:rPr>
                <w:b/>
                <w:noProof/>
              </w:rPr>
            </w:pPr>
            <w:r>
              <w:rPr>
                <w:b/>
                <w:noProof/>
              </w:rPr>
              <w:t>Julkisia hankintoja koskevien direktiivien arviointi </w:t>
            </w:r>
          </w:p>
        </w:tc>
        <w:tc>
          <w:tcPr>
            <w:tcW w:w="1843" w:type="dxa"/>
            <w:tcMar>
              <w:top w:w="85" w:type="dxa"/>
              <w:left w:w="85" w:type="dxa"/>
              <w:bottom w:w="85" w:type="dxa"/>
            </w:tcMar>
          </w:tcPr>
          <w:p w14:paraId="6F1949BA" w14:textId="77777777" w:rsidR="00961324" w:rsidRDefault="00961324" w:rsidP="007271D7">
            <w:pPr>
              <w:rPr>
                <w:bCs/>
                <w:noProof/>
              </w:rPr>
            </w:pPr>
            <w:r>
              <w:rPr>
                <w:noProof/>
              </w:rPr>
              <w:t>Q3 2025</w:t>
            </w:r>
          </w:p>
        </w:tc>
      </w:tr>
      <w:tr w:rsidR="00961324" w:rsidRPr="006C1C34" w:rsidDel="00E556B4" w14:paraId="454D34A4" w14:textId="77777777" w:rsidTr="003566BE">
        <w:trPr>
          <w:trHeight w:val="300"/>
          <w:jc w:val="center"/>
        </w:trPr>
        <w:tc>
          <w:tcPr>
            <w:tcW w:w="567" w:type="dxa"/>
            <w:tcBorders>
              <w:right w:val="nil"/>
            </w:tcBorders>
            <w:shd w:val="clear" w:color="auto" w:fill="auto"/>
            <w:tcMar>
              <w:top w:w="85" w:type="dxa"/>
              <w:left w:w="85" w:type="dxa"/>
              <w:bottom w:w="85" w:type="dxa"/>
            </w:tcMar>
          </w:tcPr>
          <w:p w14:paraId="625665B8" w14:textId="77777777" w:rsidR="00961324" w:rsidRPr="006C1C34" w:rsidDel="00E556B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7892866" w14:textId="77777777" w:rsidR="00961324" w:rsidRPr="00D06013" w:rsidDel="00E556B4" w:rsidRDefault="00961324" w:rsidP="007271D7">
            <w:pPr>
              <w:tabs>
                <w:tab w:val="left" w:pos="990"/>
              </w:tabs>
              <w:rPr>
                <w:b/>
                <w:noProof/>
              </w:rPr>
            </w:pPr>
            <w:r>
              <w:rPr>
                <w:b/>
                <w:noProof/>
              </w:rPr>
              <w:t>Lääkinnällisiä laitteita ja in vitro -diagnostiikkaa koskevien EU:n sääntöjen arviointi</w:t>
            </w:r>
          </w:p>
        </w:tc>
        <w:tc>
          <w:tcPr>
            <w:tcW w:w="1843" w:type="dxa"/>
            <w:tcMar>
              <w:top w:w="85" w:type="dxa"/>
              <w:left w:w="85" w:type="dxa"/>
              <w:bottom w:w="85" w:type="dxa"/>
            </w:tcMar>
          </w:tcPr>
          <w:p w14:paraId="53DFA1C0" w14:textId="77777777" w:rsidR="00961324" w:rsidDel="00E556B4" w:rsidRDefault="00961324" w:rsidP="007271D7">
            <w:pPr>
              <w:rPr>
                <w:bCs/>
                <w:noProof/>
              </w:rPr>
            </w:pPr>
            <w:r>
              <w:rPr>
                <w:noProof/>
              </w:rPr>
              <w:t>Q4 2025</w:t>
            </w:r>
          </w:p>
        </w:tc>
      </w:tr>
      <w:tr w:rsidR="00961324" w:rsidRPr="006C1C34" w14:paraId="10D7746D" w14:textId="77777777" w:rsidTr="003566BE">
        <w:trPr>
          <w:trHeight w:val="300"/>
          <w:jc w:val="center"/>
        </w:trPr>
        <w:tc>
          <w:tcPr>
            <w:tcW w:w="567" w:type="dxa"/>
            <w:tcBorders>
              <w:right w:val="nil"/>
            </w:tcBorders>
            <w:shd w:val="clear" w:color="auto" w:fill="auto"/>
            <w:tcMar>
              <w:top w:w="85" w:type="dxa"/>
              <w:left w:w="85" w:type="dxa"/>
              <w:bottom w:w="85" w:type="dxa"/>
            </w:tcMar>
          </w:tcPr>
          <w:p w14:paraId="3DE9550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B6F4156" w14:textId="77777777" w:rsidR="00961324" w:rsidRPr="00D06013" w:rsidRDefault="00961324" w:rsidP="007271D7">
            <w:pPr>
              <w:tabs>
                <w:tab w:val="left" w:pos="990"/>
              </w:tabs>
              <w:rPr>
                <w:b/>
                <w:noProof/>
              </w:rPr>
            </w:pPr>
            <w:r>
              <w:rPr>
                <w:b/>
                <w:noProof/>
              </w:rPr>
              <w:t>Kansallisia päästövähennysvelvoitteita koskevan direktiivin arviointi</w:t>
            </w:r>
          </w:p>
        </w:tc>
        <w:tc>
          <w:tcPr>
            <w:tcW w:w="1843" w:type="dxa"/>
            <w:tcMar>
              <w:top w:w="85" w:type="dxa"/>
              <w:left w:w="85" w:type="dxa"/>
              <w:bottom w:w="85" w:type="dxa"/>
            </w:tcMar>
          </w:tcPr>
          <w:p w14:paraId="362A53A3" w14:textId="77777777" w:rsidR="00961324" w:rsidRDefault="00961324" w:rsidP="007271D7">
            <w:pPr>
              <w:rPr>
                <w:noProof/>
              </w:rPr>
            </w:pPr>
            <w:r>
              <w:rPr>
                <w:noProof/>
              </w:rPr>
              <w:t>Q4 2025</w:t>
            </w:r>
          </w:p>
        </w:tc>
      </w:tr>
      <w:tr w:rsidR="00961324" w:rsidRPr="006C1C34" w14:paraId="59A44C7E" w14:textId="77777777" w:rsidTr="003566BE">
        <w:trPr>
          <w:trHeight w:val="300"/>
          <w:jc w:val="center"/>
        </w:trPr>
        <w:tc>
          <w:tcPr>
            <w:tcW w:w="567" w:type="dxa"/>
            <w:tcBorders>
              <w:right w:val="nil"/>
            </w:tcBorders>
            <w:shd w:val="clear" w:color="auto" w:fill="auto"/>
            <w:tcMar>
              <w:top w:w="85" w:type="dxa"/>
              <w:left w:w="85" w:type="dxa"/>
              <w:bottom w:w="85" w:type="dxa"/>
            </w:tcMar>
          </w:tcPr>
          <w:p w14:paraId="349A35C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B0D7493" w14:textId="77777777" w:rsidR="00961324" w:rsidRPr="00D06013" w:rsidRDefault="00961324" w:rsidP="007271D7">
            <w:pPr>
              <w:tabs>
                <w:tab w:val="left" w:pos="990"/>
              </w:tabs>
              <w:rPr>
                <w:b/>
                <w:noProof/>
              </w:rPr>
            </w:pPr>
            <w:r>
              <w:rPr>
                <w:b/>
                <w:noProof/>
              </w:rPr>
              <w:t>Radioaktiivista jätettä koskevien direktiivien arviointi</w:t>
            </w:r>
          </w:p>
        </w:tc>
        <w:tc>
          <w:tcPr>
            <w:tcW w:w="1843" w:type="dxa"/>
            <w:tcMar>
              <w:top w:w="85" w:type="dxa"/>
              <w:left w:w="85" w:type="dxa"/>
              <w:bottom w:w="85" w:type="dxa"/>
            </w:tcMar>
          </w:tcPr>
          <w:p w14:paraId="6E3DF31B" w14:textId="77777777" w:rsidR="00961324" w:rsidRDefault="00961324" w:rsidP="007271D7">
            <w:pPr>
              <w:rPr>
                <w:bCs/>
                <w:noProof/>
              </w:rPr>
            </w:pPr>
            <w:r>
              <w:rPr>
                <w:noProof/>
              </w:rPr>
              <w:t>Q4 2025</w:t>
            </w:r>
          </w:p>
        </w:tc>
      </w:tr>
      <w:tr w:rsidR="00961324" w:rsidRPr="006C1C34" w14:paraId="5619180B" w14:textId="77777777" w:rsidTr="003566BE">
        <w:trPr>
          <w:trHeight w:val="300"/>
          <w:jc w:val="center"/>
        </w:trPr>
        <w:tc>
          <w:tcPr>
            <w:tcW w:w="567" w:type="dxa"/>
            <w:tcBorders>
              <w:right w:val="nil"/>
            </w:tcBorders>
            <w:shd w:val="clear" w:color="auto" w:fill="auto"/>
            <w:tcMar>
              <w:top w:w="85" w:type="dxa"/>
              <w:left w:w="85" w:type="dxa"/>
              <w:bottom w:w="85" w:type="dxa"/>
            </w:tcMar>
          </w:tcPr>
          <w:p w14:paraId="0F175704"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D71F4BF" w14:textId="77777777" w:rsidR="00961324" w:rsidRPr="00D06013" w:rsidRDefault="00961324" w:rsidP="007271D7">
            <w:pPr>
              <w:tabs>
                <w:tab w:val="left" w:pos="990"/>
              </w:tabs>
              <w:rPr>
                <w:b/>
                <w:noProof/>
              </w:rPr>
            </w:pPr>
            <w:r>
              <w:rPr>
                <w:b/>
                <w:noProof/>
              </w:rPr>
              <w:t>Painelaitedirektiivin ja yksinkertaisia painesäiliöitä koskevan direktiivin arviointi</w:t>
            </w:r>
          </w:p>
        </w:tc>
        <w:tc>
          <w:tcPr>
            <w:tcW w:w="1843" w:type="dxa"/>
            <w:tcMar>
              <w:top w:w="85" w:type="dxa"/>
              <w:left w:w="85" w:type="dxa"/>
              <w:bottom w:w="85" w:type="dxa"/>
            </w:tcMar>
          </w:tcPr>
          <w:p w14:paraId="67C6F104" w14:textId="77777777" w:rsidR="00961324" w:rsidRDefault="00961324" w:rsidP="007271D7">
            <w:pPr>
              <w:rPr>
                <w:noProof/>
              </w:rPr>
            </w:pPr>
            <w:r>
              <w:rPr>
                <w:noProof/>
              </w:rPr>
              <w:t>Q4 2025</w:t>
            </w:r>
          </w:p>
        </w:tc>
      </w:tr>
      <w:tr w:rsidR="00961324" w:rsidRPr="006C1C34" w14:paraId="65E668E6" w14:textId="77777777" w:rsidTr="003566BE">
        <w:trPr>
          <w:trHeight w:val="300"/>
          <w:jc w:val="center"/>
        </w:trPr>
        <w:tc>
          <w:tcPr>
            <w:tcW w:w="567" w:type="dxa"/>
            <w:tcBorders>
              <w:right w:val="nil"/>
            </w:tcBorders>
            <w:shd w:val="clear" w:color="auto" w:fill="auto"/>
            <w:tcMar>
              <w:top w:w="85" w:type="dxa"/>
              <w:left w:w="85" w:type="dxa"/>
              <w:bottom w:w="85" w:type="dxa"/>
            </w:tcMar>
          </w:tcPr>
          <w:p w14:paraId="1BBC45ED"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0D3461A" w14:textId="77777777" w:rsidR="00961324" w:rsidRPr="00D06013" w:rsidRDefault="00961324" w:rsidP="007271D7">
            <w:pPr>
              <w:tabs>
                <w:tab w:val="left" w:pos="990"/>
              </w:tabs>
              <w:rPr>
                <w:b/>
                <w:noProof/>
              </w:rPr>
            </w:pPr>
            <w:r>
              <w:rPr>
                <w:b/>
                <w:noProof/>
              </w:rPr>
              <w:t>EU:n hissidirektiivin arviointi</w:t>
            </w:r>
          </w:p>
        </w:tc>
        <w:tc>
          <w:tcPr>
            <w:tcW w:w="1843" w:type="dxa"/>
            <w:tcMar>
              <w:top w:w="85" w:type="dxa"/>
              <w:left w:w="85" w:type="dxa"/>
              <w:bottom w:w="85" w:type="dxa"/>
            </w:tcMar>
          </w:tcPr>
          <w:p w14:paraId="64352557" w14:textId="77777777" w:rsidR="00961324" w:rsidRDefault="00961324" w:rsidP="007271D7">
            <w:pPr>
              <w:rPr>
                <w:noProof/>
              </w:rPr>
            </w:pPr>
            <w:r>
              <w:rPr>
                <w:noProof/>
              </w:rPr>
              <w:t>Q2 2025</w:t>
            </w:r>
          </w:p>
        </w:tc>
      </w:tr>
      <w:tr w:rsidR="00961324" w:rsidRPr="006C1C34" w14:paraId="061EC982" w14:textId="77777777" w:rsidTr="003566BE">
        <w:trPr>
          <w:trHeight w:val="300"/>
          <w:jc w:val="center"/>
        </w:trPr>
        <w:tc>
          <w:tcPr>
            <w:tcW w:w="567" w:type="dxa"/>
            <w:tcBorders>
              <w:right w:val="nil"/>
            </w:tcBorders>
            <w:shd w:val="clear" w:color="auto" w:fill="auto"/>
            <w:tcMar>
              <w:top w:w="85" w:type="dxa"/>
              <w:left w:w="85" w:type="dxa"/>
              <w:bottom w:w="85" w:type="dxa"/>
            </w:tcMar>
          </w:tcPr>
          <w:p w14:paraId="535327C7"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829F089" w14:textId="77777777" w:rsidR="00961324" w:rsidRPr="00D06013" w:rsidRDefault="00961324" w:rsidP="007271D7">
            <w:pPr>
              <w:tabs>
                <w:tab w:val="left" w:pos="990"/>
              </w:tabs>
              <w:rPr>
                <w:b/>
                <w:noProof/>
              </w:rPr>
            </w:pPr>
            <w:r>
              <w:rPr>
                <w:b/>
                <w:noProof/>
              </w:rPr>
              <w:t>Hyvän kauppatavan vastaisista käytännöistä maataloustuote- ja elintarvikeketjussa annetun direktiivin arviointi</w:t>
            </w:r>
          </w:p>
        </w:tc>
        <w:tc>
          <w:tcPr>
            <w:tcW w:w="1843" w:type="dxa"/>
            <w:tcMar>
              <w:top w:w="85" w:type="dxa"/>
              <w:left w:w="85" w:type="dxa"/>
              <w:bottom w:w="85" w:type="dxa"/>
            </w:tcMar>
          </w:tcPr>
          <w:p w14:paraId="3BFD792F" w14:textId="77777777" w:rsidR="00961324" w:rsidRDefault="00961324" w:rsidP="007271D7">
            <w:pPr>
              <w:rPr>
                <w:noProof/>
              </w:rPr>
            </w:pPr>
            <w:r>
              <w:rPr>
                <w:noProof/>
              </w:rPr>
              <w:t>Q3 2025</w:t>
            </w:r>
          </w:p>
        </w:tc>
      </w:tr>
      <w:tr w:rsidR="00961324" w:rsidRPr="006C1C34" w14:paraId="7FD91EEC" w14:textId="77777777" w:rsidTr="003566BE">
        <w:trPr>
          <w:trHeight w:val="300"/>
          <w:jc w:val="center"/>
        </w:trPr>
        <w:tc>
          <w:tcPr>
            <w:tcW w:w="567" w:type="dxa"/>
            <w:tcBorders>
              <w:right w:val="nil"/>
            </w:tcBorders>
            <w:shd w:val="clear" w:color="auto" w:fill="auto"/>
            <w:tcMar>
              <w:top w:w="85" w:type="dxa"/>
              <w:left w:w="85" w:type="dxa"/>
              <w:bottom w:w="85" w:type="dxa"/>
            </w:tcMar>
          </w:tcPr>
          <w:p w14:paraId="66253400"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C48D18C" w14:textId="0EEE58E1" w:rsidR="00961324" w:rsidRPr="00D06013" w:rsidRDefault="00961324" w:rsidP="007271D7">
            <w:pPr>
              <w:tabs>
                <w:tab w:val="left" w:pos="990"/>
              </w:tabs>
              <w:rPr>
                <w:b/>
                <w:noProof/>
              </w:rPr>
            </w:pPr>
            <w:r>
              <w:rPr>
                <w:b/>
                <w:noProof/>
              </w:rPr>
              <w:t>Maankäyttöä, maankäytön muutosta ja metsätaloutta (LULUCF) koskevan asetuksen arviointi</w:t>
            </w:r>
          </w:p>
        </w:tc>
        <w:tc>
          <w:tcPr>
            <w:tcW w:w="1843" w:type="dxa"/>
            <w:tcMar>
              <w:top w:w="85" w:type="dxa"/>
              <w:left w:w="85" w:type="dxa"/>
              <w:bottom w:w="85" w:type="dxa"/>
            </w:tcMar>
          </w:tcPr>
          <w:p w14:paraId="509BB0C4" w14:textId="01B98A9B" w:rsidR="00961324" w:rsidRDefault="00961324" w:rsidP="007271D7">
            <w:pPr>
              <w:rPr>
                <w:noProof/>
              </w:rPr>
            </w:pPr>
            <w:r>
              <w:rPr>
                <w:noProof/>
              </w:rPr>
              <w:t>Q4 2025</w:t>
            </w:r>
          </w:p>
        </w:tc>
      </w:tr>
      <w:tr w:rsidR="00961324" w:rsidRPr="006C1C34" w14:paraId="4C296DCA" w14:textId="77777777" w:rsidTr="003566BE">
        <w:trPr>
          <w:trHeight w:val="300"/>
          <w:jc w:val="center"/>
        </w:trPr>
        <w:tc>
          <w:tcPr>
            <w:tcW w:w="567" w:type="dxa"/>
            <w:tcBorders>
              <w:right w:val="nil"/>
            </w:tcBorders>
            <w:shd w:val="clear" w:color="auto" w:fill="auto"/>
            <w:tcMar>
              <w:top w:w="85" w:type="dxa"/>
              <w:left w:w="85" w:type="dxa"/>
              <w:bottom w:w="85" w:type="dxa"/>
            </w:tcMar>
          </w:tcPr>
          <w:p w14:paraId="39641006"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EC77CD6" w14:textId="77777777" w:rsidR="00961324" w:rsidRPr="00D06013" w:rsidRDefault="00961324" w:rsidP="007271D7">
            <w:pPr>
              <w:tabs>
                <w:tab w:val="left" w:pos="990"/>
              </w:tabs>
              <w:rPr>
                <w:b/>
                <w:noProof/>
              </w:rPr>
            </w:pPr>
            <w:r>
              <w:rPr>
                <w:b/>
                <w:noProof/>
              </w:rPr>
              <w:t>Kalastusalusten turvallisuutta koskevan direktiivin arviointi</w:t>
            </w:r>
          </w:p>
        </w:tc>
        <w:tc>
          <w:tcPr>
            <w:tcW w:w="1843" w:type="dxa"/>
            <w:tcMar>
              <w:top w:w="85" w:type="dxa"/>
              <w:left w:w="85" w:type="dxa"/>
              <w:bottom w:w="85" w:type="dxa"/>
            </w:tcMar>
          </w:tcPr>
          <w:p w14:paraId="560D0298" w14:textId="77777777" w:rsidR="00961324" w:rsidRDefault="00961324" w:rsidP="007271D7">
            <w:pPr>
              <w:rPr>
                <w:noProof/>
              </w:rPr>
            </w:pPr>
            <w:r>
              <w:rPr>
                <w:noProof/>
              </w:rPr>
              <w:t>Q1/Q2 2025</w:t>
            </w:r>
          </w:p>
        </w:tc>
      </w:tr>
      <w:tr w:rsidR="00961324" w:rsidRPr="006C1C34" w14:paraId="3C2FE110" w14:textId="77777777" w:rsidTr="003566BE">
        <w:trPr>
          <w:trHeight w:val="300"/>
          <w:jc w:val="center"/>
        </w:trPr>
        <w:tc>
          <w:tcPr>
            <w:tcW w:w="567" w:type="dxa"/>
            <w:tcBorders>
              <w:right w:val="nil"/>
            </w:tcBorders>
            <w:shd w:val="clear" w:color="auto" w:fill="auto"/>
            <w:tcMar>
              <w:top w:w="85" w:type="dxa"/>
              <w:left w:w="85" w:type="dxa"/>
              <w:bottom w:w="85" w:type="dxa"/>
            </w:tcMar>
          </w:tcPr>
          <w:p w14:paraId="6C65BFC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67B8752" w14:textId="77777777" w:rsidR="00961324" w:rsidRPr="00D06013" w:rsidRDefault="00961324" w:rsidP="007271D7">
            <w:pPr>
              <w:tabs>
                <w:tab w:val="left" w:pos="990"/>
              </w:tabs>
              <w:rPr>
                <w:b/>
                <w:noProof/>
              </w:rPr>
            </w:pPr>
            <w:r>
              <w:rPr>
                <w:b/>
                <w:noProof/>
              </w:rPr>
              <w:t>Maarajoituksia koskevan asetuksen arviointi </w:t>
            </w:r>
          </w:p>
        </w:tc>
        <w:tc>
          <w:tcPr>
            <w:tcW w:w="1843" w:type="dxa"/>
            <w:tcMar>
              <w:top w:w="85" w:type="dxa"/>
              <w:left w:w="85" w:type="dxa"/>
              <w:bottom w:w="85" w:type="dxa"/>
            </w:tcMar>
          </w:tcPr>
          <w:p w14:paraId="1C030DAA" w14:textId="77777777" w:rsidR="00961324" w:rsidRDefault="00961324" w:rsidP="007271D7">
            <w:pPr>
              <w:rPr>
                <w:bCs/>
                <w:noProof/>
              </w:rPr>
            </w:pPr>
            <w:r>
              <w:rPr>
                <w:noProof/>
              </w:rPr>
              <w:t>Q4 2025</w:t>
            </w:r>
          </w:p>
        </w:tc>
      </w:tr>
      <w:tr w:rsidR="00961324" w:rsidRPr="006C1C34" w14:paraId="45375D39" w14:textId="77777777" w:rsidTr="003566BE">
        <w:trPr>
          <w:trHeight w:val="300"/>
          <w:jc w:val="center"/>
        </w:trPr>
        <w:tc>
          <w:tcPr>
            <w:tcW w:w="567" w:type="dxa"/>
            <w:tcBorders>
              <w:right w:val="nil"/>
            </w:tcBorders>
            <w:shd w:val="clear" w:color="auto" w:fill="auto"/>
            <w:tcMar>
              <w:top w:w="85" w:type="dxa"/>
              <w:left w:w="85" w:type="dxa"/>
              <w:bottom w:w="85" w:type="dxa"/>
            </w:tcMar>
          </w:tcPr>
          <w:p w14:paraId="13DA0665"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E341387" w14:textId="77777777" w:rsidR="00961324" w:rsidRPr="00D06013" w:rsidRDefault="00961324" w:rsidP="007271D7">
            <w:pPr>
              <w:tabs>
                <w:tab w:val="left" w:pos="990"/>
              </w:tabs>
              <w:rPr>
                <w:b/>
                <w:noProof/>
              </w:rPr>
            </w:pPr>
            <w:r>
              <w:rPr>
                <w:b/>
                <w:noProof/>
              </w:rPr>
              <w:t>Vaikeuksissa olevia pankkeja koskevien valtiontukisääntöjen arviointi</w:t>
            </w:r>
          </w:p>
        </w:tc>
        <w:tc>
          <w:tcPr>
            <w:tcW w:w="1843" w:type="dxa"/>
            <w:tcMar>
              <w:top w:w="85" w:type="dxa"/>
              <w:left w:w="85" w:type="dxa"/>
              <w:bottom w:w="85" w:type="dxa"/>
            </w:tcMar>
          </w:tcPr>
          <w:p w14:paraId="1EDDFCC9" w14:textId="77777777" w:rsidR="00961324" w:rsidRDefault="00961324" w:rsidP="007271D7">
            <w:pPr>
              <w:rPr>
                <w:bCs/>
                <w:noProof/>
              </w:rPr>
            </w:pPr>
            <w:r>
              <w:rPr>
                <w:noProof/>
              </w:rPr>
              <w:t>Q4 2025</w:t>
            </w:r>
          </w:p>
        </w:tc>
      </w:tr>
      <w:tr w:rsidR="00961324" w:rsidRPr="006C1C34" w14:paraId="703F401B" w14:textId="77777777" w:rsidTr="003566BE">
        <w:trPr>
          <w:trHeight w:val="300"/>
          <w:jc w:val="center"/>
        </w:trPr>
        <w:tc>
          <w:tcPr>
            <w:tcW w:w="567" w:type="dxa"/>
            <w:tcBorders>
              <w:right w:val="nil"/>
            </w:tcBorders>
            <w:shd w:val="clear" w:color="auto" w:fill="auto"/>
            <w:tcMar>
              <w:top w:w="85" w:type="dxa"/>
              <w:left w:w="85" w:type="dxa"/>
              <w:bottom w:w="85" w:type="dxa"/>
            </w:tcMar>
          </w:tcPr>
          <w:p w14:paraId="78002201"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8257973" w14:textId="77777777" w:rsidR="00961324" w:rsidRPr="00D06013" w:rsidRDefault="00961324" w:rsidP="007271D7">
            <w:pPr>
              <w:tabs>
                <w:tab w:val="left" w:pos="990"/>
              </w:tabs>
              <w:rPr>
                <w:b/>
                <w:noProof/>
              </w:rPr>
            </w:pPr>
            <w:r>
              <w:rPr>
                <w:b/>
                <w:noProof/>
              </w:rPr>
              <w:t>Takaustiedonannon arviointi</w:t>
            </w:r>
          </w:p>
        </w:tc>
        <w:tc>
          <w:tcPr>
            <w:tcW w:w="1843" w:type="dxa"/>
            <w:tcMar>
              <w:top w:w="85" w:type="dxa"/>
              <w:left w:w="85" w:type="dxa"/>
              <w:bottom w:w="85" w:type="dxa"/>
            </w:tcMar>
          </w:tcPr>
          <w:p w14:paraId="10B0F8A3" w14:textId="23797F43" w:rsidR="00961324" w:rsidRDefault="004F4928" w:rsidP="007271D7">
            <w:pPr>
              <w:rPr>
                <w:bCs/>
                <w:noProof/>
              </w:rPr>
            </w:pPr>
            <w:r>
              <w:rPr>
                <w:noProof/>
              </w:rPr>
              <w:t>Q3 2025</w:t>
            </w:r>
          </w:p>
        </w:tc>
      </w:tr>
      <w:tr w:rsidR="00961324" w:rsidRPr="006C1C34" w14:paraId="38DA81A0" w14:textId="77777777" w:rsidTr="003566BE">
        <w:trPr>
          <w:trHeight w:val="300"/>
          <w:jc w:val="center"/>
        </w:trPr>
        <w:tc>
          <w:tcPr>
            <w:tcW w:w="567" w:type="dxa"/>
            <w:tcBorders>
              <w:right w:val="nil"/>
            </w:tcBorders>
            <w:shd w:val="clear" w:color="auto" w:fill="auto"/>
            <w:tcMar>
              <w:top w:w="85" w:type="dxa"/>
              <w:left w:w="85" w:type="dxa"/>
              <w:bottom w:w="85" w:type="dxa"/>
            </w:tcMar>
          </w:tcPr>
          <w:p w14:paraId="458B432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A9CB01A" w14:textId="15FDC41B" w:rsidR="00961324" w:rsidRPr="00D06013" w:rsidRDefault="00961324" w:rsidP="007271D7">
            <w:pPr>
              <w:tabs>
                <w:tab w:val="left" w:pos="990"/>
              </w:tabs>
              <w:rPr>
                <w:b/>
                <w:noProof/>
              </w:rPr>
            </w:pPr>
            <w:r>
              <w:rPr>
                <w:b/>
                <w:noProof/>
              </w:rPr>
              <w:t>Veron kiertämisen estämistä koskevan direktiivin arviointi</w:t>
            </w:r>
            <w:r w:rsidR="00DD40BB">
              <w:rPr>
                <w:b/>
                <w:noProof/>
              </w:rPr>
              <w:t xml:space="preserve"> </w:t>
            </w:r>
          </w:p>
        </w:tc>
        <w:tc>
          <w:tcPr>
            <w:tcW w:w="1843" w:type="dxa"/>
            <w:tcMar>
              <w:top w:w="85" w:type="dxa"/>
              <w:left w:w="85" w:type="dxa"/>
              <w:bottom w:w="85" w:type="dxa"/>
            </w:tcMar>
          </w:tcPr>
          <w:p w14:paraId="381C8301" w14:textId="77777777" w:rsidR="00961324" w:rsidRDefault="00961324" w:rsidP="007271D7">
            <w:pPr>
              <w:rPr>
                <w:noProof/>
              </w:rPr>
            </w:pPr>
            <w:r>
              <w:rPr>
                <w:noProof/>
              </w:rPr>
              <w:t>Q4 2025</w:t>
            </w:r>
          </w:p>
        </w:tc>
      </w:tr>
      <w:tr w:rsidR="00961324" w:rsidRPr="006C1C34" w14:paraId="692D61E1" w14:textId="77777777" w:rsidTr="003566BE">
        <w:trPr>
          <w:trHeight w:val="300"/>
          <w:jc w:val="center"/>
        </w:trPr>
        <w:tc>
          <w:tcPr>
            <w:tcW w:w="567" w:type="dxa"/>
            <w:tcBorders>
              <w:right w:val="nil"/>
            </w:tcBorders>
            <w:shd w:val="clear" w:color="auto" w:fill="auto"/>
            <w:tcMar>
              <w:top w:w="85" w:type="dxa"/>
              <w:left w:w="85" w:type="dxa"/>
              <w:bottom w:w="85" w:type="dxa"/>
            </w:tcMar>
          </w:tcPr>
          <w:p w14:paraId="31AB9CCF"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FAB8831" w14:textId="77777777" w:rsidR="00961324" w:rsidRPr="00D06013" w:rsidRDefault="00961324" w:rsidP="007271D7">
            <w:pPr>
              <w:tabs>
                <w:tab w:val="left" w:pos="990"/>
              </w:tabs>
              <w:rPr>
                <w:b/>
                <w:noProof/>
              </w:rPr>
            </w:pPr>
            <w:r>
              <w:rPr>
                <w:b/>
                <w:noProof/>
              </w:rPr>
              <w:t>EU:n alkuperäsääntöjen arviointi</w:t>
            </w:r>
          </w:p>
        </w:tc>
        <w:tc>
          <w:tcPr>
            <w:tcW w:w="1843" w:type="dxa"/>
            <w:tcMar>
              <w:top w:w="85" w:type="dxa"/>
              <w:left w:w="85" w:type="dxa"/>
              <w:bottom w:w="85" w:type="dxa"/>
            </w:tcMar>
          </w:tcPr>
          <w:p w14:paraId="12949539" w14:textId="77777777" w:rsidR="00961324" w:rsidRDefault="00961324" w:rsidP="007271D7">
            <w:pPr>
              <w:rPr>
                <w:noProof/>
              </w:rPr>
            </w:pPr>
            <w:r>
              <w:rPr>
                <w:noProof/>
              </w:rPr>
              <w:t>Q4 2025</w:t>
            </w:r>
          </w:p>
        </w:tc>
      </w:tr>
      <w:tr w:rsidR="00961324" w:rsidRPr="006C1C34" w14:paraId="13A9365B" w14:textId="77777777" w:rsidTr="003566BE">
        <w:trPr>
          <w:trHeight w:val="300"/>
          <w:jc w:val="center"/>
        </w:trPr>
        <w:tc>
          <w:tcPr>
            <w:tcW w:w="567" w:type="dxa"/>
            <w:tcBorders>
              <w:right w:val="nil"/>
            </w:tcBorders>
            <w:shd w:val="clear" w:color="auto" w:fill="auto"/>
            <w:tcMar>
              <w:top w:w="85" w:type="dxa"/>
              <w:left w:w="85" w:type="dxa"/>
              <w:bottom w:w="85" w:type="dxa"/>
            </w:tcMar>
          </w:tcPr>
          <w:p w14:paraId="0D10DB18"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AB1DFD7" w14:textId="77777777" w:rsidR="00961324" w:rsidRPr="00D06013" w:rsidRDefault="00961324" w:rsidP="007271D7">
            <w:pPr>
              <w:tabs>
                <w:tab w:val="left" w:pos="990"/>
              </w:tabs>
              <w:rPr>
                <w:b/>
                <w:noProof/>
              </w:rPr>
            </w:pPr>
            <w:r>
              <w:rPr>
                <w:b/>
                <w:noProof/>
              </w:rPr>
              <w:t xml:space="preserve">Puolustustarvikesiirtoja koskevan direktiivin arviointi </w:t>
            </w:r>
          </w:p>
        </w:tc>
        <w:tc>
          <w:tcPr>
            <w:tcW w:w="1843" w:type="dxa"/>
            <w:tcMar>
              <w:top w:w="85" w:type="dxa"/>
              <w:left w:w="85" w:type="dxa"/>
              <w:bottom w:w="85" w:type="dxa"/>
            </w:tcMar>
          </w:tcPr>
          <w:p w14:paraId="74E516D1" w14:textId="77777777" w:rsidR="00961324" w:rsidRDefault="00961324" w:rsidP="007271D7">
            <w:pPr>
              <w:rPr>
                <w:noProof/>
              </w:rPr>
            </w:pPr>
            <w:r>
              <w:rPr>
                <w:noProof/>
              </w:rPr>
              <w:t>Q4 2025</w:t>
            </w:r>
          </w:p>
        </w:tc>
      </w:tr>
      <w:tr w:rsidR="00961324" w:rsidRPr="006C1C34" w14:paraId="1496E9E9" w14:textId="77777777" w:rsidTr="003566BE">
        <w:trPr>
          <w:trHeight w:val="300"/>
          <w:jc w:val="center"/>
        </w:trPr>
        <w:tc>
          <w:tcPr>
            <w:tcW w:w="567" w:type="dxa"/>
            <w:tcBorders>
              <w:right w:val="nil"/>
            </w:tcBorders>
            <w:shd w:val="clear" w:color="auto" w:fill="auto"/>
            <w:tcMar>
              <w:top w:w="85" w:type="dxa"/>
              <w:left w:w="85" w:type="dxa"/>
              <w:bottom w:w="85" w:type="dxa"/>
            </w:tcMar>
          </w:tcPr>
          <w:p w14:paraId="5D97003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4F06945" w14:textId="77777777" w:rsidR="00961324" w:rsidRPr="00D06013" w:rsidRDefault="00961324" w:rsidP="007271D7">
            <w:pPr>
              <w:tabs>
                <w:tab w:val="left" w:pos="990"/>
              </w:tabs>
              <w:rPr>
                <w:b/>
                <w:noProof/>
              </w:rPr>
            </w:pPr>
            <w:r>
              <w:rPr>
                <w:b/>
                <w:noProof/>
              </w:rPr>
              <w:t>Ampuma-asedirektiivin arviointi</w:t>
            </w:r>
          </w:p>
        </w:tc>
        <w:tc>
          <w:tcPr>
            <w:tcW w:w="1843" w:type="dxa"/>
            <w:tcMar>
              <w:top w:w="85" w:type="dxa"/>
              <w:left w:w="85" w:type="dxa"/>
              <w:bottom w:w="85" w:type="dxa"/>
            </w:tcMar>
          </w:tcPr>
          <w:p w14:paraId="16033863" w14:textId="77777777" w:rsidR="00961324" w:rsidRDefault="00961324" w:rsidP="007271D7">
            <w:pPr>
              <w:rPr>
                <w:noProof/>
              </w:rPr>
            </w:pPr>
            <w:r>
              <w:rPr>
                <w:noProof/>
              </w:rPr>
              <w:t>Q4 2025</w:t>
            </w:r>
          </w:p>
        </w:tc>
      </w:tr>
      <w:tr w:rsidR="00961324" w:rsidRPr="006C1C34" w14:paraId="0FDBA378" w14:textId="77777777" w:rsidTr="003566BE">
        <w:trPr>
          <w:trHeight w:val="300"/>
          <w:jc w:val="center"/>
        </w:trPr>
        <w:tc>
          <w:tcPr>
            <w:tcW w:w="567" w:type="dxa"/>
            <w:tcBorders>
              <w:right w:val="nil"/>
            </w:tcBorders>
            <w:shd w:val="clear" w:color="auto" w:fill="auto"/>
            <w:tcMar>
              <w:top w:w="85" w:type="dxa"/>
              <w:left w:w="85" w:type="dxa"/>
              <w:bottom w:w="85" w:type="dxa"/>
            </w:tcMar>
          </w:tcPr>
          <w:p w14:paraId="7C984F1B"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A1FB93D" w14:textId="77777777" w:rsidR="00961324" w:rsidRPr="00D06013" w:rsidRDefault="00961324" w:rsidP="007271D7">
            <w:pPr>
              <w:tabs>
                <w:tab w:val="left" w:pos="990"/>
              </w:tabs>
              <w:rPr>
                <w:b/>
                <w:noProof/>
              </w:rPr>
            </w:pPr>
            <w:r>
              <w:rPr>
                <w:b/>
                <w:noProof/>
              </w:rPr>
              <w:t>Innovaatiorahaston arviointi</w:t>
            </w:r>
          </w:p>
        </w:tc>
        <w:tc>
          <w:tcPr>
            <w:tcW w:w="1843" w:type="dxa"/>
            <w:tcMar>
              <w:top w:w="85" w:type="dxa"/>
              <w:left w:w="85" w:type="dxa"/>
              <w:bottom w:w="85" w:type="dxa"/>
            </w:tcMar>
          </w:tcPr>
          <w:p w14:paraId="2E1251DF" w14:textId="77777777" w:rsidR="00961324" w:rsidRPr="00F515D1" w:rsidRDefault="00961324" w:rsidP="007271D7">
            <w:pPr>
              <w:rPr>
                <w:noProof/>
              </w:rPr>
            </w:pPr>
            <w:r>
              <w:rPr>
                <w:noProof/>
              </w:rPr>
              <w:t>Q4 2025</w:t>
            </w:r>
          </w:p>
        </w:tc>
      </w:tr>
      <w:tr w:rsidR="00961324" w:rsidRPr="006C1C34" w14:paraId="16E090B3" w14:textId="77777777" w:rsidTr="003566BE">
        <w:trPr>
          <w:trHeight w:val="300"/>
          <w:jc w:val="center"/>
        </w:trPr>
        <w:tc>
          <w:tcPr>
            <w:tcW w:w="567" w:type="dxa"/>
            <w:tcBorders>
              <w:right w:val="nil"/>
            </w:tcBorders>
            <w:shd w:val="clear" w:color="auto" w:fill="auto"/>
            <w:tcMar>
              <w:top w:w="85" w:type="dxa"/>
              <w:left w:w="85" w:type="dxa"/>
              <w:bottom w:w="85" w:type="dxa"/>
            </w:tcMar>
          </w:tcPr>
          <w:p w14:paraId="781AE2B2"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A77B808" w14:textId="77777777" w:rsidR="00961324" w:rsidRPr="00D06013" w:rsidRDefault="00961324" w:rsidP="007271D7">
            <w:pPr>
              <w:tabs>
                <w:tab w:val="left" w:pos="990"/>
              </w:tabs>
              <w:rPr>
                <w:b/>
                <w:noProof/>
              </w:rPr>
            </w:pPr>
            <w:r>
              <w:rPr>
                <w:b/>
                <w:noProof/>
              </w:rPr>
              <w:t>Modernisaatiorahaston arviointi</w:t>
            </w:r>
          </w:p>
        </w:tc>
        <w:tc>
          <w:tcPr>
            <w:tcW w:w="1843" w:type="dxa"/>
            <w:tcMar>
              <w:top w:w="85" w:type="dxa"/>
              <w:left w:w="85" w:type="dxa"/>
              <w:bottom w:w="85" w:type="dxa"/>
            </w:tcMar>
          </w:tcPr>
          <w:p w14:paraId="1DDBDE01" w14:textId="77777777" w:rsidR="00961324" w:rsidRPr="00F515D1" w:rsidRDefault="00961324" w:rsidP="007271D7">
            <w:pPr>
              <w:rPr>
                <w:noProof/>
              </w:rPr>
            </w:pPr>
            <w:r>
              <w:rPr>
                <w:noProof/>
              </w:rPr>
              <w:t>Q4 2025</w:t>
            </w:r>
          </w:p>
        </w:tc>
      </w:tr>
      <w:tr w:rsidR="00565992" w:rsidRPr="006C1C34" w14:paraId="6C36292A" w14:textId="77777777" w:rsidTr="003566BE">
        <w:trPr>
          <w:trHeight w:val="300"/>
          <w:jc w:val="center"/>
        </w:trPr>
        <w:tc>
          <w:tcPr>
            <w:tcW w:w="567" w:type="dxa"/>
            <w:tcBorders>
              <w:right w:val="nil"/>
            </w:tcBorders>
            <w:shd w:val="clear" w:color="auto" w:fill="auto"/>
            <w:tcMar>
              <w:top w:w="85" w:type="dxa"/>
              <w:left w:w="85" w:type="dxa"/>
              <w:bottom w:w="85" w:type="dxa"/>
            </w:tcMar>
          </w:tcPr>
          <w:p w14:paraId="29960C62" w14:textId="77777777" w:rsidR="00565992" w:rsidRPr="006C1C34" w:rsidRDefault="00565992" w:rsidP="00565992">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C65C392" w14:textId="4A14F56B" w:rsidR="00565992" w:rsidRPr="00D06013" w:rsidRDefault="00565992" w:rsidP="00565992">
            <w:pPr>
              <w:tabs>
                <w:tab w:val="left" w:pos="990"/>
              </w:tabs>
              <w:rPr>
                <w:b/>
                <w:noProof/>
              </w:rPr>
            </w:pPr>
            <w:r>
              <w:rPr>
                <w:b/>
                <w:noProof/>
              </w:rPr>
              <w:t>EU:n rautatievirastoa koskevan asetuksen (EU) 2016/796 arviointi</w:t>
            </w:r>
          </w:p>
        </w:tc>
        <w:tc>
          <w:tcPr>
            <w:tcW w:w="1843" w:type="dxa"/>
            <w:tcMar>
              <w:top w:w="85" w:type="dxa"/>
              <w:left w:w="85" w:type="dxa"/>
              <w:bottom w:w="85" w:type="dxa"/>
            </w:tcMar>
          </w:tcPr>
          <w:p w14:paraId="670CAC2D" w14:textId="4CEA5702" w:rsidR="00565992" w:rsidRDefault="00565992" w:rsidP="00565992">
            <w:pPr>
              <w:rPr>
                <w:noProof/>
              </w:rPr>
            </w:pPr>
            <w:r>
              <w:rPr>
                <w:noProof/>
              </w:rPr>
              <w:t>Q3 2025</w:t>
            </w:r>
          </w:p>
        </w:tc>
      </w:tr>
      <w:tr w:rsidR="00961324" w:rsidRPr="006C1C34" w14:paraId="02C97841" w14:textId="77777777" w:rsidTr="003566BE">
        <w:trPr>
          <w:trHeight w:val="300"/>
          <w:jc w:val="center"/>
        </w:trPr>
        <w:tc>
          <w:tcPr>
            <w:tcW w:w="567" w:type="dxa"/>
            <w:tcBorders>
              <w:right w:val="nil"/>
            </w:tcBorders>
            <w:shd w:val="clear" w:color="auto" w:fill="auto"/>
            <w:tcMar>
              <w:top w:w="85" w:type="dxa"/>
              <w:left w:w="85" w:type="dxa"/>
              <w:bottom w:w="85" w:type="dxa"/>
            </w:tcMar>
          </w:tcPr>
          <w:p w14:paraId="401BEFAE"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0AC6B916" w14:textId="77777777" w:rsidR="00961324" w:rsidRPr="00D06013" w:rsidRDefault="00961324" w:rsidP="007271D7">
            <w:pPr>
              <w:tabs>
                <w:tab w:val="left" w:pos="990"/>
              </w:tabs>
              <w:rPr>
                <w:b/>
                <w:noProof/>
              </w:rPr>
            </w:pPr>
            <w:r>
              <w:rPr>
                <w:b/>
                <w:noProof/>
              </w:rPr>
              <w:t>Verkkojen Eurooppa -välineen (CEF) 2014–2020 jälkiarviointi</w:t>
            </w:r>
          </w:p>
        </w:tc>
        <w:tc>
          <w:tcPr>
            <w:tcW w:w="1843" w:type="dxa"/>
            <w:tcMar>
              <w:top w:w="85" w:type="dxa"/>
              <w:left w:w="85" w:type="dxa"/>
              <w:bottom w:w="85" w:type="dxa"/>
            </w:tcMar>
          </w:tcPr>
          <w:p w14:paraId="04B7306D" w14:textId="77777777" w:rsidR="00961324" w:rsidRDefault="00961324" w:rsidP="007271D7">
            <w:pPr>
              <w:rPr>
                <w:noProof/>
              </w:rPr>
            </w:pPr>
            <w:r>
              <w:rPr>
                <w:noProof/>
              </w:rPr>
              <w:t>Q3/Q4 2025</w:t>
            </w:r>
          </w:p>
        </w:tc>
      </w:tr>
      <w:tr w:rsidR="00961324" w:rsidRPr="006C1C34" w14:paraId="24EFA770" w14:textId="77777777" w:rsidTr="003566BE">
        <w:trPr>
          <w:trHeight w:val="300"/>
          <w:jc w:val="center"/>
        </w:trPr>
        <w:tc>
          <w:tcPr>
            <w:tcW w:w="567" w:type="dxa"/>
            <w:tcBorders>
              <w:right w:val="nil"/>
            </w:tcBorders>
            <w:shd w:val="clear" w:color="auto" w:fill="auto"/>
            <w:tcMar>
              <w:top w:w="85" w:type="dxa"/>
              <w:left w:w="85" w:type="dxa"/>
              <w:bottom w:w="85" w:type="dxa"/>
            </w:tcMar>
          </w:tcPr>
          <w:p w14:paraId="06170100"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B8E16FF" w14:textId="77777777" w:rsidR="00961324" w:rsidRPr="00D06013" w:rsidRDefault="00961324" w:rsidP="007271D7">
            <w:pPr>
              <w:tabs>
                <w:tab w:val="left" w:pos="990"/>
              </w:tabs>
              <w:rPr>
                <w:b/>
                <w:noProof/>
              </w:rPr>
            </w:pPr>
            <w:r>
              <w:rPr>
                <w:b/>
                <w:noProof/>
              </w:rPr>
              <w:t>Turvapaikka-, maahanmuutto- ja kotouttamisrahaston (AMIF) 2014–2020 jälkiarviointi</w:t>
            </w:r>
          </w:p>
        </w:tc>
        <w:tc>
          <w:tcPr>
            <w:tcW w:w="1843" w:type="dxa"/>
            <w:tcMar>
              <w:top w:w="85" w:type="dxa"/>
              <w:left w:w="85" w:type="dxa"/>
              <w:bottom w:w="85" w:type="dxa"/>
            </w:tcMar>
          </w:tcPr>
          <w:p w14:paraId="551515BC" w14:textId="77777777" w:rsidR="00961324" w:rsidRDefault="00961324" w:rsidP="007271D7">
            <w:pPr>
              <w:rPr>
                <w:noProof/>
              </w:rPr>
            </w:pPr>
            <w:r>
              <w:rPr>
                <w:noProof/>
              </w:rPr>
              <w:t>Q2 2025</w:t>
            </w:r>
          </w:p>
        </w:tc>
      </w:tr>
      <w:tr w:rsidR="00961324" w:rsidRPr="006C1C34" w14:paraId="0C9E34C0" w14:textId="77777777" w:rsidTr="003566BE">
        <w:trPr>
          <w:trHeight w:val="300"/>
          <w:jc w:val="center"/>
        </w:trPr>
        <w:tc>
          <w:tcPr>
            <w:tcW w:w="567" w:type="dxa"/>
            <w:tcBorders>
              <w:right w:val="nil"/>
            </w:tcBorders>
            <w:shd w:val="clear" w:color="auto" w:fill="auto"/>
            <w:tcMar>
              <w:top w:w="85" w:type="dxa"/>
              <w:left w:w="85" w:type="dxa"/>
              <w:bottom w:w="85" w:type="dxa"/>
            </w:tcMar>
          </w:tcPr>
          <w:p w14:paraId="18F73ADF"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F9A45EA" w14:textId="77777777" w:rsidR="00961324" w:rsidRPr="00D06013" w:rsidRDefault="00961324" w:rsidP="007271D7">
            <w:pPr>
              <w:tabs>
                <w:tab w:val="left" w:pos="990"/>
              </w:tabs>
              <w:rPr>
                <w:b/>
                <w:noProof/>
              </w:rPr>
            </w:pPr>
            <w:r>
              <w:rPr>
                <w:b/>
                <w:noProof/>
              </w:rPr>
              <w:t>Sisäisen turvallisuuden rahastoon kuuluvan ulkorajojen ja viisumipolitiikan rahoitusvälineen (ISF-BV) 2014–2020 jälkiarviointi</w:t>
            </w:r>
          </w:p>
        </w:tc>
        <w:tc>
          <w:tcPr>
            <w:tcW w:w="1843" w:type="dxa"/>
            <w:tcMar>
              <w:top w:w="85" w:type="dxa"/>
              <w:left w:w="85" w:type="dxa"/>
              <w:bottom w:w="85" w:type="dxa"/>
            </w:tcMar>
          </w:tcPr>
          <w:p w14:paraId="3C791818" w14:textId="77777777" w:rsidR="00961324" w:rsidRDefault="00961324" w:rsidP="007271D7">
            <w:pPr>
              <w:rPr>
                <w:noProof/>
              </w:rPr>
            </w:pPr>
            <w:r>
              <w:rPr>
                <w:noProof/>
              </w:rPr>
              <w:t>Q2 2025</w:t>
            </w:r>
          </w:p>
        </w:tc>
      </w:tr>
      <w:tr w:rsidR="00961324" w:rsidRPr="006C1C34" w14:paraId="176700A1" w14:textId="77777777" w:rsidTr="003566BE">
        <w:trPr>
          <w:trHeight w:val="300"/>
          <w:jc w:val="center"/>
        </w:trPr>
        <w:tc>
          <w:tcPr>
            <w:tcW w:w="567" w:type="dxa"/>
            <w:tcBorders>
              <w:right w:val="nil"/>
            </w:tcBorders>
            <w:shd w:val="clear" w:color="auto" w:fill="auto"/>
            <w:tcMar>
              <w:top w:w="85" w:type="dxa"/>
              <w:left w:w="85" w:type="dxa"/>
              <w:bottom w:w="85" w:type="dxa"/>
            </w:tcMar>
          </w:tcPr>
          <w:p w14:paraId="2C5A7009"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488CB49" w14:textId="77777777" w:rsidR="00961324" w:rsidRPr="00D06013" w:rsidRDefault="00961324" w:rsidP="007271D7">
            <w:pPr>
              <w:tabs>
                <w:tab w:val="left" w:pos="990"/>
              </w:tabs>
              <w:rPr>
                <w:b/>
                <w:noProof/>
              </w:rPr>
            </w:pPr>
            <w:r>
              <w:rPr>
                <w:b/>
                <w:noProof/>
              </w:rPr>
              <w:t>Sisäisen turvallisuuden rahastoon kuuluvan poliisiyhteistyön rahoitusvälineen (ISF-P) 2014–2020 jälkiarviointi</w:t>
            </w:r>
          </w:p>
        </w:tc>
        <w:tc>
          <w:tcPr>
            <w:tcW w:w="1843" w:type="dxa"/>
            <w:tcMar>
              <w:top w:w="85" w:type="dxa"/>
              <w:left w:w="85" w:type="dxa"/>
              <w:bottom w:w="85" w:type="dxa"/>
            </w:tcMar>
          </w:tcPr>
          <w:p w14:paraId="2EEB63F9" w14:textId="77777777" w:rsidR="00961324" w:rsidRDefault="00961324" w:rsidP="007271D7">
            <w:pPr>
              <w:rPr>
                <w:noProof/>
              </w:rPr>
            </w:pPr>
            <w:r>
              <w:rPr>
                <w:noProof/>
              </w:rPr>
              <w:t>Q2 2025</w:t>
            </w:r>
          </w:p>
        </w:tc>
      </w:tr>
      <w:tr w:rsidR="00CC0B4E" w:rsidRPr="006C1C34" w14:paraId="08047C7D" w14:textId="77777777" w:rsidTr="003566BE">
        <w:trPr>
          <w:trHeight w:val="300"/>
          <w:jc w:val="center"/>
        </w:trPr>
        <w:tc>
          <w:tcPr>
            <w:tcW w:w="567" w:type="dxa"/>
            <w:tcBorders>
              <w:right w:val="nil"/>
            </w:tcBorders>
            <w:shd w:val="clear" w:color="auto" w:fill="auto"/>
            <w:tcMar>
              <w:top w:w="85" w:type="dxa"/>
              <w:left w:w="85" w:type="dxa"/>
              <w:bottom w:w="85" w:type="dxa"/>
            </w:tcMar>
          </w:tcPr>
          <w:p w14:paraId="4B39684B" w14:textId="77777777" w:rsidR="00CC0B4E" w:rsidRPr="006C1C34" w:rsidRDefault="00CC0B4E" w:rsidP="00CC0B4E">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462D5F1" w14:textId="550778C6" w:rsidR="00CC0B4E" w:rsidRPr="00D06013" w:rsidRDefault="00CC0B4E" w:rsidP="00CC0B4E">
            <w:pPr>
              <w:tabs>
                <w:tab w:val="left" w:pos="990"/>
              </w:tabs>
              <w:rPr>
                <w:b/>
                <w:noProof/>
              </w:rPr>
            </w:pPr>
            <w:r>
              <w:rPr>
                <w:b/>
                <w:noProof/>
              </w:rPr>
              <w:t>Euroopan aluekehitysrahaston ja koheesiorahaston 2014–2020 jälkiarviointi</w:t>
            </w:r>
          </w:p>
        </w:tc>
        <w:tc>
          <w:tcPr>
            <w:tcW w:w="1843" w:type="dxa"/>
            <w:tcMar>
              <w:top w:w="85" w:type="dxa"/>
              <w:left w:w="85" w:type="dxa"/>
              <w:bottom w:w="85" w:type="dxa"/>
            </w:tcMar>
          </w:tcPr>
          <w:p w14:paraId="0EB67072" w14:textId="14FA1888" w:rsidR="00CC0B4E" w:rsidRDefault="00CC0B4E" w:rsidP="00CC0B4E">
            <w:pPr>
              <w:rPr>
                <w:noProof/>
              </w:rPr>
            </w:pPr>
            <w:r>
              <w:rPr>
                <w:noProof/>
              </w:rPr>
              <w:t xml:space="preserve">Q2 2025 </w:t>
            </w:r>
          </w:p>
        </w:tc>
      </w:tr>
      <w:tr w:rsidR="0094680D" w:rsidRPr="006C1C34" w14:paraId="6A51E9FD" w14:textId="77777777" w:rsidTr="003566BE">
        <w:trPr>
          <w:trHeight w:val="300"/>
          <w:jc w:val="center"/>
        </w:trPr>
        <w:tc>
          <w:tcPr>
            <w:tcW w:w="567" w:type="dxa"/>
            <w:tcBorders>
              <w:right w:val="nil"/>
            </w:tcBorders>
            <w:shd w:val="clear" w:color="auto" w:fill="auto"/>
            <w:tcMar>
              <w:top w:w="85" w:type="dxa"/>
              <w:left w:w="85" w:type="dxa"/>
              <w:bottom w:w="85" w:type="dxa"/>
            </w:tcMar>
          </w:tcPr>
          <w:p w14:paraId="10CFF4B5" w14:textId="77777777" w:rsidR="0094680D" w:rsidRPr="006C1C34" w:rsidRDefault="0094680D" w:rsidP="00CC0B4E">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4EB8F5C" w14:textId="4890C3E3" w:rsidR="0094680D" w:rsidRDefault="00066690" w:rsidP="00CC0B4E">
            <w:pPr>
              <w:tabs>
                <w:tab w:val="left" w:pos="990"/>
              </w:tabs>
              <w:rPr>
                <w:b/>
                <w:noProof/>
              </w:rPr>
            </w:pPr>
            <w:r>
              <w:rPr>
                <w:b/>
                <w:noProof/>
              </w:rPr>
              <w:t>Vähävaraisimmille suunnatun eurooppalaisen avun rahaston (FEAD) 2014–2020 jälkiarviointi</w:t>
            </w:r>
          </w:p>
        </w:tc>
        <w:tc>
          <w:tcPr>
            <w:tcW w:w="1843" w:type="dxa"/>
            <w:tcMar>
              <w:top w:w="85" w:type="dxa"/>
              <w:left w:w="85" w:type="dxa"/>
              <w:bottom w:w="85" w:type="dxa"/>
            </w:tcMar>
          </w:tcPr>
          <w:p w14:paraId="2BE77A77" w14:textId="1868F4E9" w:rsidR="0094680D" w:rsidRDefault="00066690" w:rsidP="00CC0B4E">
            <w:pPr>
              <w:rPr>
                <w:noProof/>
              </w:rPr>
            </w:pPr>
            <w:r>
              <w:rPr>
                <w:noProof/>
              </w:rPr>
              <w:t>Q2 2025</w:t>
            </w:r>
          </w:p>
        </w:tc>
      </w:tr>
      <w:tr w:rsidR="00066690" w:rsidRPr="006C1C34" w14:paraId="6ACBE5F0" w14:textId="77777777" w:rsidTr="003566BE">
        <w:trPr>
          <w:trHeight w:val="300"/>
          <w:jc w:val="center"/>
        </w:trPr>
        <w:tc>
          <w:tcPr>
            <w:tcW w:w="567" w:type="dxa"/>
            <w:tcBorders>
              <w:right w:val="nil"/>
            </w:tcBorders>
            <w:shd w:val="clear" w:color="auto" w:fill="auto"/>
            <w:tcMar>
              <w:top w:w="85" w:type="dxa"/>
              <w:left w:w="85" w:type="dxa"/>
              <w:bottom w:w="85" w:type="dxa"/>
            </w:tcMar>
          </w:tcPr>
          <w:p w14:paraId="6283F0EE" w14:textId="77777777" w:rsidR="00066690" w:rsidRPr="006C1C34" w:rsidRDefault="00066690"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ABED2B8" w14:textId="12CEAF9D" w:rsidR="00066690" w:rsidRPr="00D06013" w:rsidRDefault="00066690" w:rsidP="007271D7">
            <w:pPr>
              <w:tabs>
                <w:tab w:val="left" w:pos="990"/>
              </w:tabs>
              <w:rPr>
                <w:b/>
                <w:noProof/>
              </w:rPr>
            </w:pPr>
            <w:r>
              <w:rPr>
                <w:b/>
                <w:noProof/>
              </w:rPr>
              <w:t>Euroopan sosiaalirahaston ja nuorisotyöllisyysaloitteen 2014–2020 jälkiarviointi</w:t>
            </w:r>
          </w:p>
        </w:tc>
        <w:tc>
          <w:tcPr>
            <w:tcW w:w="1843" w:type="dxa"/>
            <w:tcMar>
              <w:top w:w="85" w:type="dxa"/>
              <w:left w:w="85" w:type="dxa"/>
              <w:bottom w:w="85" w:type="dxa"/>
            </w:tcMar>
          </w:tcPr>
          <w:p w14:paraId="05A6CB24" w14:textId="53A8A69C" w:rsidR="00066690" w:rsidRDefault="005670D6" w:rsidP="007271D7">
            <w:pPr>
              <w:rPr>
                <w:noProof/>
              </w:rPr>
            </w:pPr>
            <w:r>
              <w:rPr>
                <w:noProof/>
              </w:rPr>
              <w:t>Q3 2025</w:t>
            </w:r>
          </w:p>
        </w:tc>
      </w:tr>
      <w:tr w:rsidR="00961324" w:rsidRPr="006C1C34" w14:paraId="5F7D44DC" w14:textId="77777777" w:rsidTr="003566BE">
        <w:trPr>
          <w:trHeight w:val="300"/>
          <w:jc w:val="center"/>
        </w:trPr>
        <w:tc>
          <w:tcPr>
            <w:tcW w:w="567" w:type="dxa"/>
            <w:tcBorders>
              <w:right w:val="nil"/>
            </w:tcBorders>
            <w:shd w:val="clear" w:color="auto" w:fill="auto"/>
            <w:tcMar>
              <w:top w:w="85" w:type="dxa"/>
              <w:left w:w="85" w:type="dxa"/>
              <w:bottom w:w="85" w:type="dxa"/>
            </w:tcMar>
          </w:tcPr>
          <w:p w14:paraId="658FEAAA"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5D2A7537" w14:textId="77777777" w:rsidR="00961324" w:rsidRPr="00D06013" w:rsidRDefault="00961324" w:rsidP="007271D7">
            <w:pPr>
              <w:tabs>
                <w:tab w:val="left" w:pos="990"/>
              </w:tabs>
              <w:rPr>
                <w:b/>
                <w:noProof/>
              </w:rPr>
            </w:pPr>
            <w:r>
              <w:rPr>
                <w:b/>
                <w:noProof/>
              </w:rPr>
              <w:t>Euroopan puolustusrahaston väliarviointi</w:t>
            </w:r>
          </w:p>
        </w:tc>
        <w:tc>
          <w:tcPr>
            <w:tcW w:w="1843" w:type="dxa"/>
            <w:tcMar>
              <w:top w:w="85" w:type="dxa"/>
              <w:left w:w="85" w:type="dxa"/>
              <w:bottom w:w="85" w:type="dxa"/>
            </w:tcMar>
          </w:tcPr>
          <w:p w14:paraId="40DFA9AE" w14:textId="77777777" w:rsidR="00961324" w:rsidRPr="00DC59C9" w:rsidRDefault="00961324" w:rsidP="007271D7">
            <w:pPr>
              <w:rPr>
                <w:noProof/>
              </w:rPr>
            </w:pPr>
            <w:r>
              <w:rPr>
                <w:noProof/>
              </w:rPr>
              <w:t>Q1–Q2 2025</w:t>
            </w:r>
          </w:p>
        </w:tc>
      </w:tr>
      <w:tr w:rsidR="00961324" w:rsidRPr="006C1C34" w14:paraId="7333755D" w14:textId="77777777" w:rsidTr="003566BE">
        <w:trPr>
          <w:trHeight w:val="300"/>
          <w:jc w:val="center"/>
        </w:trPr>
        <w:tc>
          <w:tcPr>
            <w:tcW w:w="567" w:type="dxa"/>
            <w:tcBorders>
              <w:right w:val="nil"/>
            </w:tcBorders>
            <w:shd w:val="clear" w:color="auto" w:fill="auto"/>
            <w:tcMar>
              <w:top w:w="85" w:type="dxa"/>
              <w:left w:w="85" w:type="dxa"/>
              <w:bottom w:w="85" w:type="dxa"/>
            </w:tcMar>
          </w:tcPr>
          <w:p w14:paraId="63C7A527"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7D17C552" w14:textId="77777777" w:rsidR="00961324" w:rsidRPr="00D06013" w:rsidRDefault="00961324" w:rsidP="007271D7">
            <w:pPr>
              <w:tabs>
                <w:tab w:val="left" w:pos="990"/>
              </w:tabs>
              <w:rPr>
                <w:b/>
                <w:noProof/>
              </w:rPr>
            </w:pPr>
            <w:r>
              <w:rPr>
                <w:b/>
                <w:noProof/>
              </w:rPr>
              <w:t>Tulli 2021–2027 -ohjelman väliarviointi</w:t>
            </w:r>
          </w:p>
        </w:tc>
        <w:tc>
          <w:tcPr>
            <w:tcW w:w="1843" w:type="dxa"/>
            <w:tcMar>
              <w:top w:w="85" w:type="dxa"/>
              <w:left w:w="85" w:type="dxa"/>
              <w:bottom w:w="85" w:type="dxa"/>
            </w:tcMar>
          </w:tcPr>
          <w:p w14:paraId="13F9DA2C" w14:textId="77777777" w:rsidR="00961324" w:rsidRPr="00DC59C9" w:rsidRDefault="00961324" w:rsidP="007271D7">
            <w:pPr>
              <w:rPr>
                <w:noProof/>
              </w:rPr>
            </w:pPr>
            <w:r>
              <w:rPr>
                <w:noProof/>
              </w:rPr>
              <w:t>Q3 2025</w:t>
            </w:r>
          </w:p>
        </w:tc>
      </w:tr>
      <w:tr w:rsidR="00961324" w:rsidRPr="006C1C34" w14:paraId="6F4A2DF6" w14:textId="77777777" w:rsidTr="003566BE">
        <w:trPr>
          <w:trHeight w:val="300"/>
          <w:jc w:val="center"/>
        </w:trPr>
        <w:tc>
          <w:tcPr>
            <w:tcW w:w="567" w:type="dxa"/>
            <w:tcBorders>
              <w:right w:val="nil"/>
            </w:tcBorders>
            <w:shd w:val="clear" w:color="auto" w:fill="auto"/>
            <w:tcMar>
              <w:top w:w="85" w:type="dxa"/>
              <w:left w:w="85" w:type="dxa"/>
              <w:bottom w:w="85" w:type="dxa"/>
            </w:tcMar>
          </w:tcPr>
          <w:p w14:paraId="182A7782"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3037807B" w14:textId="77777777" w:rsidR="00961324" w:rsidRPr="00D06013" w:rsidRDefault="00961324" w:rsidP="007271D7">
            <w:pPr>
              <w:tabs>
                <w:tab w:val="left" w:pos="990"/>
              </w:tabs>
              <w:rPr>
                <w:b/>
                <w:noProof/>
              </w:rPr>
            </w:pPr>
            <w:r>
              <w:rPr>
                <w:b/>
                <w:noProof/>
              </w:rPr>
              <w:t>Tullitarkastuslaitteiden rahoitusvälinettä (CCEI) koskevan ohjelman väliarviointi</w:t>
            </w:r>
          </w:p>
        </w:tc>
        <w:tc>
          <w:tcPr>
            <w:tcW w:w="1843" w:type="dxa"/>
            <w:tcMar>
              <w:top w:w="85" w:type="dxa"/>
              <w:left w:w="85" w:type="dxa"/>
              <w:bottom w:w="85" w:type="dxa"/>
            </w:tcMar>
          </w:tcPr>
          <w:p w14:paraId="5C48C8BF" w14:textId="77777777" w:rsidR="00961324" w:rsidRDefault="00961324" w:rsidP="007271D7">
            <w:pPr>
              <w:rPr>
                <w:noProof/>
              </w:rPr>
            </w:pPr>
            <w:r>
              <w:rPr>
                <w:noProof/>
              </w:rPr>
              <w:t>Q2 2025</w:t>
            </w:r>
          </w:p>
        </w:tc>
      </w:tr>
      <w:tr w:rsidR="00961324" w:rsidRPr="006C1C34" w14:paraId="6A46C9C7" w14:textId="77777777" w:rsidTr="003566BE">
        <w:trPr>
          <w:trHeight w:val="300"/>
          <w:jc w:val="center"/>
        </w:trPr>
        <w:tc>
          <w:tcPr>
            <w:tcW w:w="567" w:type="dxa"/>
            <w:tcBorders>
              <w:right w:val="nil"/>
            </w:tcBorders>
            <w:shd w:val="clear" w:color="auto" w:fill="auto"/>
            <w:tcMar>
              <w:top w:w="85" w:type="dxa"/>
              <w:left w:w="85" w:type="dxa"/>
              <w:bottom w:w="85" w:type="dxa"/>
            </w:tcMar>
          </w:tcPr>
          <w:p w14:paraId="0BD229C3" w14:textId="77777777" w:rsidR="00961324" w:rsidRPr="006C1C34" w:rsidRDefault="00961324"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1898C6D4" w14:textId="77777777" w:rsidR="00961324" w:rsidRPr="00D06013" w:rsidRDefault="00961324" w:rsidP="007271D7">
            <w:pPr>
              <w:tabs>
                <w:tab w:val="left" w:pos="990"/>
              </w:tabs>
              <w:rPr>
                <w:b/>
                <w:noProof/>
              </w:rPr>
            </w:pPr>
            <w:r>
              <w:rPr>
                <w:b/>
                <w:noProof/>
              </w:rPr>
              <w:t>Fiscalis-ohjelman 2021–2027 väliarviointi</w:t>
            </w:r>
          </w:p>
        </w:tc>
        <w:tc>
          <w:tcPr>
            <w:tcW w:w="1843" w:type="dxa"/>
            <w:tcMar>
              <w:top w:w="85" w:type="dxa"/>
              <w:left w:w="85" w:type="dxa"/>
              <w:bottom w:w="85" w:type="dxa"/>
            </w:tcMar>
          </w:tcPr>
          <w:p w14:paraId="38107434" w14:textId="0713F846" w:rsidR="00961324" w:rsidRDefault="00960637" w:rsidP="007271D7">
            <w:pPr>
              <w:rPr>
                <w:noProof/>
              </w:rPr>
            </w:pPr>
            <w:r>
              <w:rPr>
                <w:noProof/>
              </w:rPr>
              <w:t>Q4 2025</w:t>
            </w:r>
          </w:p>
        </w:tc>
      </w:tr>
      <w:tr w:rsidR="000B560F" w:rsidRPr="006C1C34" w14:paraId="7BFCE8FB" w14:textId="77777777" w:rsidTr="003566BE">
        <w:trPr>
          <w:trHeight w:val="300"/>
          <w:jc w:val="center"/>
        </w:trPr>
        <w:tc>
          <w:tcPr>
            <w:tcW w:w="567" w:type="dxa"/>
            <w:tcBorders>
              <w:right w:val="nil"/>
            </w:tcBorders>
            <w:shd w:val="clear" w:color="auto" w:fill="auto"/>
            <w:tcMar>
              <w:top w:w="85" w:type="dxa"/>
              <w:left w:w="85" w:type="dxa"/>
              <w:bottom w:w="85" w:type="dxa"/>
            </w:tcMar>
          </w:tcPr>
          <w:p w14:paraId="5CF1B969" w14:textId="77777777" w:rsidR="000B560F" w:rsidRPr="006C1C34" w:rsidRDefault="000B560F"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4062CF78" w14:textId="7BAF251B" w:rsidR="000B560F" w:rsidRPr="00D06013" w:rsidRDefault="003A6C53" w:rsidP="007271D7">
            <w:pPr>
              <w:tabs>
                <w:tab w:val="left" w:pos="990"/>
              </w:tabs>
              <w:rPr>
                <w:b/>
                <w:noProof/>
              </w:rPr>
            </w:pPr>
            <w:r>
              <w:rPr>
                <w:b/>
                <w:noProof/>
              </w:rPr>
              <w:t>Tutkimuksen ja innovoinnin Horisontti Eurooppa -puiteohjelman väliarviointi</w:t>
            </w:r>
          </w:p>
        </w:tc>
        <w:tc>
          <w:tcPr>
            <w:tcW w:w="1843" w:type="dxa"/>
            <w:tcMar>
              <w:top w:w="85" w:type="dxa"/>
              <w:left w:w="85" w:type="dxa"/>
              <w:bottom w:w="85" w:type="dxa"/>
            </w:tcMar>
          </w:tcPr>
          <w:p w14:paraId="29BE1373" w14:textId="3C264CD5" w:rsidR="000B560F" w:rsidRDefault="005A0028" w:rsidP="007271D7">
            <w:pPr>
              <w:rPr>
                <w:noProof/>
              </w:rPr>
            </w:pPr>
            <w:r>
              <w:rPr>
                <w:noProof/>
              </w:rPr>
              <w:t>Q2 2025</w:t>
            </w:r>
          </w:p>
        </w:tc>
      </w:tr>
      <w:tr w:rsidR="00813853" w:rsidRPr="006C1C34" w14:paraId="70E72AA4" w14:textId="77777777" w:rsidTr="003566BE">
        <w:trPr>
          <w:trHeight w:val="300"/>
          <w:jc w:val="center"/>
        </w:trPr>
        <w:tc>
          <w:tcPr>
            <w:tcW w:w="567" w:type="dxa"/>
            <w:tcBorders>
              <w:right w:val="nil"/>
            </w:tcBorders>
            <w:shd w:val="clear" w:color="auto" w:fill="auto"/>
            <w:tcMar>
              <w:top w:w="85" w:type="dxa"/>
              <w:left w:w="85" w:type="dxa"/>
              <w:bottom w:w="85" w:type="dxa"/>
            </w:tcMar>
          </w:tcPr>
          <w:p w14:paraId="5C5E60B9" w14:textId="77777777" w:rsidR="00813853" w:rsidRPr="006C1C34" w:rsidRDefault="00813853"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BB17D17" w14:textId="67B15F72" w:rsidR="00813853" w:rsidRPr="00F756DE" w:rsidRDefault="00813853" w:rsidP="007271D7">
            <w:pPr>
              <w:tabs>
                <w:tab w:val="left" w:pos="990"/>
              </w:tabs>
              <w:rPr>
                <w:b/>
                <w:noProof/>
              </w:rPr>
            </w:pPr>
            <w:r>
              <w:rPr>
                <w:b/>
                <w:noProof/>
              </w:rPr>
              <w:t>Euroopan aluekehitysrahaston, koheesiorahaston ja oikeudenmukaisen siirtymän rahaston 2021–2027 puoliväliarviointi</w:t>
            </w:r>
          </w:p>
        </w:tc>
        <w:tc>
          <w:tcPr>
            <w:tcW w:w="1843" w:type="dxa"/>
            <w:tcMar>
              <w:top w:w="85" w:type="dxa"/>
              <w:left w:w="85" w:type="dxa"/>
              <w:bottom w:w="85" w:type="dxa"/>
            </w:tcMar>
          </w:tcPr>
          <w:p w14:paraId="531893B3" w14:textId="6E6D99A8" w:rsidR="00813853" w:rsidRDefault="00AD5105" w:rsidP="007271D7">
            <w:pPr>
              <w:rPr>
                <w:noProof/>
              </w:rPr>
            </w:pPr>
            <w:r>
              <w:rPr>
                <w:noProof/>
              </w:rPr>
              <w:t xml:space="preserve">Q2 2025 </w:t>
            </w:r>
          </w:p>
        </w:tc>
      </w:tr>
      <w:tr w:rsidR="005670D6" w:rsidRPr="006C1C34" w14:paraId="2D5917B0" w14:textId="77777777" w:rsidTr="003566BE">
        <w:trPr>
          <w:trHeight w:val="300"/>
          <w:jc w:val="center"/>
        </w:trPr>
        <w:tc>
          <w:tcPr>
            <w:tcW w:w="567" w:type="dxa"/>
            <w:tcBorders>
              <w:right w:val="nil"/>
            </w:tcBorders>
            <w:shd w:val="clear" w:color="auto" w:fill="auto"/>
            <w:tcMar>
              <w:top w:w="85" w:type="dxa"/>
              <w:left w:w="85" w:type="dxa"/>
              <w:bottom w:w="85" w:type="dxa"/>
            </w:tcMar>
          </w:tcPr>
          <w:p w14:paraId="4F0C7463" w14:textId="77777777" w:rsidR="005670D6" w:rsidRPr="006C1C34" w:rsidRDefault="005670D6" w:rsidP="006E2351">
            <w:pPr>
              <w:numPr>
                <w:ilvl w:val="0"/>
                <w:numId w:val="1"/>
              </w:numPr>
              <w:tabs>
                <w:tab w:val="num" w:pos="999"/>
              </w:tabs>
              <w:ind w:left="470" w:hanging="357"/>
              <w:jc w:val="both"/>
              <w:rPr>
                <w:b/>
                <w:noProof/>
              </w:rPr>
            </w:pPr>
          </w:p>
        </w:tc>
        <w:tc>
          <w:tcPr>
            <w:tcW w:w="11335" w:type="dxa"/>
            <w:shd w:val="clear" w:color="auto" w:fill="auto"/>
            <w:tcMar>
              <w:top w:w="85" w:type="dxa"/>
              <w:left w:w="85" w:type="dxa"/>
              <w:bottom w:w="85" w:type="dxa"/>
              <w:right w:w="85" w:type="dxa"/>
            </w:tcMar>
          </w:tcPr>
          <w:p w14:paraId="2BD9E362" w14:textId="67EEA00B" w:rsidR="005670D6" w:rsidRPr="00813853" w:rsidRDefault="00BF0448" w:rsidP="007271D7">
            <w:pPr>
              <w:tabs>
                <w:tab w:val="left" w:pos="990"/>
              </w:tabs>
              <w:rPr>
                <w:b/>
                <w:noProof/>
              </w:rPr>
            </w:pPr>
            <w:r>
              <w:rPr>
                <w:b/>
                <w:noProof/>
              </w:rPr>
              <w:t>Euroopan sosiaalirahasto plussan puoliväliarviointi 2021–2027</w:t>
            </w:r>
          </w:p>
        </w:tc>
        <w:tc>
          <w:tcPr>
            <w:tcW w:w="1843" w:type="dxa"/>
            <w:tcMar>
              <w:top w:w="85" w:type="dxa"/>
              <w:left w:w="85" w:type="dxa"/>
              <w:bottom w:w="85" w:type="dxa"/>
            </w:tcMar>
          </w:tcPr>
          <w:p w14:paraId="60F4E098" w14:textId="11BE8DA3" w:rsidR="005670D6" w:rsidRDefault="00BF0448" w:rsidP="007271D7">
            <w:pPr>
              <w:rPr>
                <w:noProof/>
              </w:rPr>
            </w:pPr>
            <w:r>
              <w:rPr>
                <w:noProof/>
              </w:rPr>
              <w:t>Q2 2025</w:t>
            </w:r>
          </w:p>
        </w:tc>
      </w:tr>
      <w:bookmarkEnd w:id="2"/>
    </w:tbl>
    <w:p w14:paraId="12AA31AB" w14:textId="77777777" w:rsidR="00D810BC" w:rsidRDefault="00D810BC" w:rsidP="00B547C9">
      <w:pPr>
        <w:spacing w:after="480" w:line="278" w:lineRule="auto"/>
        <w:jc w:val="center"/>
        <w:rPr>
          <w:rFonts w:ascii="Times New Roman" w:eastAsia="Times New Roman" w:hAnsi="Times New Roman" w:cs="Times New Roman"/>
          <w:b/>
          <w:bCs/>
          <w:noProof/>
          <w:sz w:val="28"/>
          <w:szCs w:val="28"/>
          <w:u w:val="single"/>
          <w:lang w:val="en-GB" w:eastAsia="en-GB"/>
        </w:rPr>
      </w:pPr>
    </w:p>
    <w:p w14:paraId="08D87519" w14:textId="6B076C69" w:rsidR="00D810BC" w:rsidRDefault="00D810BC">
      <w:pPr>
        <w:rPr>
          <w:rFonts w:ascii="Times New Roman" w:eastAsia="Times New Roman" w:hAnsi="Times New Roman" w:cs="Times New Roman"/>
          <w:b/>
          <w:bCs/>
          <w:noProof/>
          <w:sz w:val="28"/>
          <w:szCs w:val="28"/>
          <w:u w:val="single"/>
          <w:lang w:val="en-GB" w:eastAsia="en-GB"/>
        </w:rPr>
      </w:pPr>
    </w:p>
    <w:p w14:paraId="73FF7FB4" w14:textId="7EA08FBA" w:rsidR="00AB66A8" w:rsidRPr="001D1E77" w:rsidRDefault="00E51030" w:rsidP="00B547C9">
      <w:pPr>
        <w:spacing w:after="480" w:line="278" w:lineRule="auto"/>
        <w:jc w:val="center"/>
        <w:rPr>
          <w:rFonts w:ascii="Times New Roman" w:eastAsia="Times New Roman" w:hAnsi="Times New Roman" w:cs="Times New Roman"/>
          <w:b/>
          <w:bCs/>
          <w:i/>
          <w:iCs/>
          <w:noProof/>
          <w:sz w:val="28"/>
          <w:szCs w:val="28"/>
        </w:rPr>
      </w:pPr>
      <w:r>
        <w:rPr>
          <w:rFonts w:ascii="Times New Roman" w:hAnsi="Times New Roman"/>
          <w:b/>
          <w:noProof/>
          <w:sz w:val="28"/>
          <w:u w:val="single"/>
        </w:rPr>
        <w:t>Liite III: Vireillä olevat ehdotukset</w:t>
      </w:r>
    </w:p>
    <w:tbl>
      <w:tblPr>
        <w:tblStyle w:val="TableGrid"/>
        <w:tblW w:w="14029" w:type="dxa"/>
        <w:jc w:val="center"/>
        <w:tblLayout w:type="fixed"/>
        <w:tblLook w:val="04A0" w:firstRow="1" w:lastRow="0" w:firstColumn="1" w:lastColumn="0" w:noHBand="0" w:noVBand="1"/>
      </w:tblPr>
      <w:tblGrid>
        <w:gridCol w:w="562"/>
        <w:gridCol w:w="11464"/>
        <w:gridCol w:w="2003"/>
      </w:tblGrid>
      <w:tr w:rsidR="00AB66A8" w:rsidRPr="006C1C34" w14:paraId="5B048948" w14:textId="77777777" w:rsidTr="00C12335">
        <w:trPr>
          <w:cantSplit/>
          <w:trHeight w:val="145"/>
          <w:tblHeader/>
          <w:jc w:val="center"/>
        </w:trPr>
        <w:tc>
          <w:tcPr>
            <w:tcW w:w="562" w:type="dxa"/>
            <w:tcBorders>
              <w:bottom w:val="single" w:sz="4" w:space="0" w:color="auto"/>
            </w:tcBorders>
            <w:shd w:val="clear" w:color="auto" w:fill="99CCFF"/>
            <w:tcMar>
              <w:top w:w="85" w:type="dxa"/>
              <w:left w:w="85" w:type="dxa"/>
              <w:bottom w:w="85" w:type="dxa"/>
              <w:right w:w="85" w:type="dxa"/>
            </w:tcMar>
          </w:tcPr>
          <w:p w14:paraId="2BD31AB9" w14:textId="77777777" w:rsidR="00AB66A8" w:rsidRPr="006C1C34" w:rsidRDefault="00AB66A8" w:rsidP="00E34677">
            <w:pPr>
              <w:spacing w:before="60" w:after="60"/>
              <w:rPr>
                <w:b/>
                <w:bCs/>
                <w:noProof/>
              </w:rPr>
            </w:pPr>
            <w:r>
              <w:rPr>
                <w:b/>
                <w:noProof/>
              </w:rPr>
              <w:t>Nro</w:t>
            </w:r>
          </w:p>
        </w:tc>
        <w:tc>
          <w:tcPr>
            <w:tcW w:w="11464" w:type="dxa"/>
            <w:tcBorders>
              <w:bottom w:val="single" w:sz="4" w:space="0" w:color="auto"/>
            </w:tcBorders>
            <w:shd w:val="clear" w:color="auto" w:fill="99CCFF"/>
            <w:tcMar>
              <w:top w:w="85" w:type="dxa"/>
              <w:left w:w="85" w:type="dxa"/>
              <w:bottom w:w="85" w:type="dxa"/>
              <w:right w:w="85" w:type="dxa"/>
            </w:tcMar>
          </w:tcPr>
          <w:p w14:paraId="5CB4E846" w14:textId="77777777" w:rsidR="00AB66A8" w:rsidRPr="006C1C34" w:rsidRDefault="00AB66A8" w:rsidP="00E34677">
            <w:pPr>
              <w:spacing w:before="60" w:after="60"/>
              <w:jc w:val="center"/>
              <w:rPr>
                <w:b/>
                <w:bCs/>
                <w:noProof/>
              </w:rPr>
            </w:pPr>
            <w:r>
              <w:rPr>
                <w:b/>
                <w:noProof/>
              </w:rPr>
              <w:t>Koko nimi</w:t>
            </w:r>
          </w:p>
        </w:tc>
        <w:tc>
          <w:tcPr>
            <w:tcW w:w="2003" w:type="dxa"/>
            <w:tcBorders>
              <w:bottom w:val="single" w:sz="4" w:space="0" w:color="auto"/>
            </w:tcBorders>
            <w:shd w:val="clear" w:color="auto" w:fill="99CCFF"/>
            <w:tcMar>
              <w:top w:w="85" w:type="dxa"/>
              <w:left w:w="85" w:type="dxa"/>
              <w:bottom w:w="85" w:type="dxa"/>
              <w:right w:w="85" w:type="dxa"/>
            </w:tcMar>
          </w:tcPr>
          <w:p w14:paraId="233FA0B2" w14:textId="77777777" w:rsidR="00AB66A8" w:rsidRPr="006C1C34" w:rsidRDefault="00AB66A8" w:rsidP="00E34677">
            <w:pPr>
              <w:spacing w:before="60" w:after="60"/>
              <w:jc w:val="center"/>
              <w:rPr>
                <w:b/>
                <w:bCs/>
                <w:noProof/>
              </w:rPr>
            </w:pPr>
            <w:r>
              <w:rPr>
                <w:b/>
                <w:noProof/>
              </w:rPr>
              <w:t>Viitteet</w:t>
            </w:r>
          </w:p>
        </w:tc>
      </w:tr>
      <w:tr w:rsidR="00AB66A8" w:rsidRPr="006C1C34" w14:paraId="7B6233CC" w14:textId="77777777" w:rsidTr="00FF69A3">
        <w:trPr>
          <w:cantSplit/>
          <w:trHeight w:val="145"/>
          <w:jc w:val="center"/>
        </w:trPr>
        <w:tc>
          <w:tcPr>
            <w:tcW w:w="14029" w:type="dxa"/>
            <w:gridSpan w:val="3"/>
            <w:shd w:val="clear" w:color="auto" w:fill="0046FF"/>
            <w:tcMar>
              <w:top w:w="85" w:type="dxa"/>
              <w:left w:w="85" w:type="dxa"/>
              <w:bottom w:w="85" w:type="dxa"/>
              <w:right w:w="85" w:type="dxa"/>
            </w:tcMar>
          </w:tcPr>
          <w:p w14:paraId="581366F9" w14:textId="77777777" w:rsidR="00AB66A8" w:rsidRPr="006C1C34" w:rsidRDefault="00AB66A8" w:rsidP="009E7831">
            <w:pPr>
              <w:keepNext/>
              <w:spacing w:before="60" w:after="60"/>
              <w:rPr>
                <w:b/>
                <w:bCs/>
                <w:noProof/>
                <w:color w:val="FFFFFF"/>
              </w:rPr>
            </w:pPr>
            <w:r>
              <w:rPr>
                <w:b/>
                <w:noProof/>
                <w:color w:val="FFFFFF" w:themeColor="background1"/>
              </w:rPr>
              <w:t>Uusi suunnitelma Euroopan kestävän vaurauden ja kilpailukyvyn varmistamiseksi</w:t>
            </w:r>
          </w:p>
        </w:tc>
      </w:tr>
      <w:tr w:rsidR="00AB66A8" w:rsidRPr="006C1C34" w14:paraId="7E853DD9" w14:textId="77777777" w:rsidTr="00C12335">
        <w:trPr>
          <w:jc w:val="center"/>
        </w:trPr>
        <w:tc>
          <w:tcPr>
            <w:tcW w:w="562" w:type="dxa"/>
            <w:tcBorders>
              <w:right w:val="nil"/>
            </w:tcBorders>
            <w:shd w:val="clear" w:color="auto" w:fill="auto"/>
            <w:tcMar>
              <w:top w:w="85" w:type="dxa"/>
              <w:left w:w="85" w:type="dxa"/>
              <w:bottom w:w="85" w:type="dxa"/>
            </w:tcMar>
          </w:tcPr>
          <w:p w14:paraId="016A150C" w14:textId="77777777" w:rsidR="00AB66A8" w:rsidRPr="006C1C34" w:rsidRDefault="00AB66A8" w:rsidP="006E2351">
            <w:pPr>
              <w:numPr>
                <w:ilvl w:val="0"/>
                <w:numId w:val="6"/>
              </w:numPr>
              <w:ind w:left="431"/>
              <w:contextualSpacing/>
              <w:rPr>
                <w:b/>
                <w:noProof/>
              </w:rPr>
            </w:pPr>
          </w:p>
        </w:tc>
        <w:tc>
          <w:tcPr>
            <w:tcW w:w="11464" w:type="dxa"/>
            <w:shd w:val="clear" w:color="auto" w:fill="auto"/>
            <w:tcMar>
              <w:top w:w="85" w:type="dxa"/>
              <w:left w:w="85" w:type="dxa"/>
              <w:bottom w:w="85" w:type="dxa"/>
              <w:right w:w="85" w:type="dxa"/>
            </w:tcMar>
          </w:tcPr>
          <w:p w14:paraId="5DB60B41" w14:textId="77777777" w:rsidR="00AB66A8" w:rsidRPr="00CA6E7F" w:rsidRDefault="00AB66A8" w:rsidP="00E34677">
            <w:pPr>
              <w:tabs>
                <w:tab w:val="left" w:pos="990"/>
              </w:tabs>
              <w:jc w:val="both"/>
              <w:rPr>
                <w:noProof/>
              </w:rPr>
            </w:pPr>
            <w:r>
              <w:rPr>
                <w:noProof/>
              </w:rPr>
              <w:t>Ehdotus EUROOPAN PARLAMENTIN JA NEUVOSTON DIREKTIIVIKSI direktiivin 2014/32/EU muuttamisesta siltä osin kuin on kyse sähköajoneuvojen latauslaitteista, paineistetun kaasun jakelulaitteista sekä sähkö-, kaasu- ja lämpöenergiamittareista</w:t>
            </w:r>
          </w:p>
        </w:tc>
        <w:tc>
          <w:tcPr>
            <w:tcW w:w="2003" w:type="dxa"/>
            <w:tcMar>
              <w:top w:w="85" w:type="dxa"/>
              <w:left w:w="85" w:type="dxa"/>
              <w:bottom w:w="85" w:type="dxa"/>
            </w:tcMar>
          </w:tcPr>
          <w:p w14:paraId="2BDAA8AA" w14:textId="77777777" w:rsidR="00AB66A8" w:rsidRPr="00200181" w:rsidRDefault="00AB66A8" w:rsidP="006C6FCD">
            <w:pPr>
              <w:rPr>
                <w:noProof/>
              </w:rPr>
            </w:pPr>
            <w:r>
              <w:rPr>
                <w:noProof/>
              </w:rPr>
              <w:t>COM(2024) 561 final</w:t>
            </w:r>
            <w:r>
              <w:rPr>
                <w:noProof/>
              </w:rPr>
              <w:br/>
              <w:t>2024/0311 (COD)</w:t>
            </w:r>
            <w:r>
              <w:rPr>
                <w:noProof/>
              </w:rPr>
              <w:br/>
              <w:t>29.11.2024</w:t>
            </w:r>
          </w:p>
        </w:tc>
      </w:tr>
      <w:tr w:rsidR="00AB66A8" w:rsidRPr="006C1C34" w14:paraId="51871202" w14:textId="77777777" w:rsidTr="00C12335">
        <w:trPr>
          <w:jc w:val="center"/>
        </w:trPr>
        <w:tc>
          <w:tcPr>
            <w:tcW w:w="562" w:type="dxa"/>
            <w:tcBorders>
              <w:right w:val="nil"/>
            </w:tcBorders>
            <w:shd w:val="clear" w:color="auto" w:fill="auto"/>
            <w:tcMar>
              <w:top w:w="85" w:type="dxa"/>
              <w:left w:w="85" w:type="dxa"/>
              <w:bottom w:w="85" w:type="dxa"/>
            </w:tcMar>
          </w:tcPr>
          <w:p w14:paraId="58A2A19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21E367B" w14:textId="77777777" w:rsidR="00AB66A8" w:rsidRPr="004E2398" w:rsidRDefault="00AB66A8" w:rsidP="00E34677">
            <w:pPr>
              <w:tabs>
                <w:tab w:val="left" w:pos="990"/>
              </w:tabs>
              <w:jc w:val="both"/>
              <w:rPr>
                <w:bCs/>
                <w:noProof/>
              </w:rPr>
            </w:pPr>
            <w:r>
              <w:rPr>
                <w:noProof/>
              </w:rPr>
              <w:t>Ehdotus EUROOPAN PARLAMENTIN JA NEUVOSTON ASETUKSEKSI sisämarkkinoiden tietojenvaihtojärjestelmään liitetystä työntekijöiden lähettämistä koskevan ilmoituksen tekemiseen tarkoitetusta julkisesta käyttöliittymästä ja asetuksen (EU) N:o 1024/2012 muuttamisesta</w:t>
            </w:r>
          </w:p>
        </w:tc>
        <w:tc>
          <w:tcPr>
            <w:tcW w:w="2003" w:type="dxa"/>
            <w:tcMar>
              <w:top w:w="85" w:type="dxa"/>
              <w:left w:w="85" w:type="dxa"/>
              <w:bottom w:w="85" w:type="dxa"/>
            </w:tcMar>
          </w:tcPr>
          <w:p w14:paraId="0C1D0CF7" w14:textId="77777777" w:rsidR="00AB66A8" w:rsidRPr="00200181" w:rsidRDefault="00AB66A8" w:rsidP="006C6FCD">
            <w:pPr>
              <w:rPr>
                <w:bCs/>
                <w:noProof/>
              </w:rPr>
            </w:pPr>
            <w:r>
              <w:rPr>
                <w:noProof/>
              </w:rPr>
              <w:t>COM(2024) 531 final</w:t>
            </w:r>
            <w:r>
              <w:rPr>
                <w:noProof/>
              </w:rPr>
              <w:br/>
              <w:t>2024/0301 (COD)</w:t>
            </w:r>
            <w:r>
              <w:rPr>
                <w:noProof/>
              </w:rPr>
              <w:br/>
              <w:t>13.11.2024</w:t>
            </w:r>
          </w:p>
        </w:tc>
      </w:tr>
      <w:tr w:rsidR="00AB66A8" w:rsidRPr="006C1C34" w14:paraId="1767DA11" w14:textId="77777777" w:rsidTr="00C12335">
        <w:trPr>
          <w:jc w:val="center"/>
        </w:trPr>
        <w:tc>
          <w:tcPr>
            <w:tcW w:w="562" w:type="dxa"/>
            <w:tcBorders>
              <w:right w:val="nil"/>
            </w:tcBorders>
            <w:shd w:val="clear" w:color="auto" w:fill="auto"/>
            <w:tcMar>
              <w:top w:w="85" w:type="dxa"/>
              <w:left w:w="85" w:type="dxa"/>
              <w:bottom w:w="85" w:type="dxa"/>
            </w:tcMar>
          </w:tcPr>
          <w:p w14:paraId="45CAABFF"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B35243D" w14:textId="77777777" w:rsidR="00AB66A8" w:rsidRPr="005A6B85" w:rsidRDefault="00AB66A8" w:rsidP="00E34677">
            <w:pPr>
              <w:tabs>
                <w:tab w:val="left" w:pos="990"/>
              </w:tabs>
              <w:jc w:val="both"/>
              <w:rPr>
                <w:bCs/>
                <w:noProof/>
              </w:rPr>
            </w:pPr>
            <w:r>
              <w:rPr>
                <w:noProof/>
              </w:rPr>
              <w:t>Ehdotus NEUVOSTON DIREKTIIVIKSI hallinnollisesta yhteistyöstä verotuksen alalla annetun direktiivin 2011/16/EU muuttamisesta</w:t>
            </w:r>
          </w:p>
        </w:tc>
        <w:tc>
          <w:tcPr>
            <w:tcW w:w="2003" w:type="dxa"/>
            <w:tcMar>
              <w:top w:w="85" w:type="dxa"/>
              <w:left w:w="85" w:type="dxa"/>
              <w:bottom w:w="85" w:type="dxa"/>
            </w:tcMar>
          </w:tcPr>
          <w:p w14:paraId="10BC0065" w14:textId="77777777" w:rsidR="00AB66A8" w:rsidRPr="00C5322F" w:rsidRDefault="00AB66A8" w:rsidP="006C6FCD">
            <w:pPr>
              <w:rPr>
                <w:bCs/>
                <w:noProof/>
              </w:rPr>
            </w:pPr>
            <w:r>
              <w:rPr>
                <w:noProof/>
              </w:rPr>
              <w:t>COM(2024) 497 final</w:t>
            </w:r>
            <w:r>
              <w:rPr>
                <w:noProof/>
              </w:rPr>
              <w:br/>
              <w:t>2024/0276 (CNS)</w:t>
            </w:r>
            <w:r>
              <w:rPr>
                <w:noProof/>
              </w:rPr>
              <w:br/>
              <w:t>28.10.2024</w:t>
            </w:r>
          </w:p>
        </w:tc>
      </w:tr>
      <w:tr w:rsidR="00AB66A8" w:rsidRPr="006C1C34" w14:paraId="5FE14AD3" w14:textId="77777777" w:rsidTr="00C12335">
        <w:trPr>
          <w:jc w:val="center"/>
        </w:trPr>
        <w:tc>
          <w:tcPr>
            <w:tcW w:w="562" w:type="dxa"/>
            <w:tcBorders>
              <w:right w:val="nil"/>
            </w:tcBorders>
            <w:shd w:val="clear" w:color="auto" w:fill="auto"/>
            <w:tcMar>
              <w:top w:w="85" w:type="dxa"/>
              <w:left w:w="85" w:type="dxa"/>
              <w:bottom w:w="85" w:type="dxa"/>
            </w:tcMar>
          </w:tcPr>
          <w:p w14:paraId="7AC465F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B87EA7A" w14:textId="77777777" w:rsidR="00AB66A8" w:rsidRPr="00662F74" w:rsidRDefault="00AB66A8" w:rsidP="00E53571">
            <w:pPr>
              <w:tabs>
                <w:tab w:val="left" w:pos="990"/>
              </w:tabs>
              <w:jc w:val="both"/>
              <w:rPr>
                <w:noProof/>
              </w:rPr>
            </w:pPr>
            <w:r>
              <w:rPr>
                <w:noProof/>
              </w:rPr>
              <w:t>Ehdotus EUROOPAN PARLAMENTIN JA NEUVOSTON ASETUKSEKSI maatalouden taloustileistä unionissa (kodifikaatio)</w:t>
            </w:r>
          </w:p>
        </w:tc>
        <w:tc>
          <w:tcPr>
            <w:tcW w:w="2003" w:type="dxa"/>
            <w:tcMar>
              <w:top w:w="85" w:type="dxa"/>
              <w:left w:w="85" w:type="dxa"/>
              <w:bottom w:w="85" w:type="dxa"/>
            </w:tcMar>
          </w:tcPr>
          <w:p w14:paraId="083B2403" w14:textId="77777777" w:rsidR="00AB66A8" w:rsidRPr="00BF2DCE" w:rsidRDefault="00AB66A8" w:rsidP="006C6FCD">
            <w:pPr>
              <w:rPr>
                <w:bCs/>
                <w:noProof/>
              </w:rPr>
            </w:pPr>
            <w:r>
              <w:rPr>
                <w:noProof/>
              </w:rPr>
              <w:t>COM(2024) 255 final</w:t>
            </w:r>
            <w:r>
              <w:rPr>
                <w:noProof/>
              </w:rPr>
              <w:br/>
              <w:t>2024/0144 (COD)</w:t>
            </w:r>
            <w:r>
              <w:rPr>
                <w:noProof/>
              </w:rPr>
              <w:br/>
              <w:t>20.6.2024</w:t>
            </w:r>
          </w:p>
        </w:tc>
      </w:tr>
      <w:tr w:rsidR="00AB66A8" w:rsidRPr="006C1C34" w14:paraId="56BC0526" w14:textId="77777777" w:rsidTr="00C12335">
        <w:trPr>
          <w:jc w:val="center"/>
        </w:trPr>
        <w:tc>
          <w:tcPr>
            <w:tcW w:w="562" w:type="dxa"/>
            <w:tcBorders>
              <w:right w:val="nil"/>
            </w:tcBorders>
            <w:shd w:val="clear" w:color="auto" w:fill="auto"/>
            <w:tcMar>
              <w:top w:w="85" w:type="dxa"/>
              <w:left w:w="85" w:type="dxa"/>
              <w:bottom w:w="85" w:type="dxa"/>
            </w:tcMar>
          </w:tcPr>
          <w:p w14:paraId="6100624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6C757FE" w14:textId="77777777" w:rsidR="00AB66A8" w:rsidRPr="00BE5426" w:rsidRDefault="00AB66A8" w:rsidP="005336FA">
            <w:pPr>
              <w:tabs>
                <w:tab w:val="left" w:pos="990"/>
              </w:tabs>
              <w:jc w:val="both"/>
              <w:rPr>
                <w:noProof/>
              </w:rPr>
            </w:pPr>
            <w:r>
              <w:rPr>
                <w:noProof/>
              </w:rPr>
              <w:t>Ehdotus neuvoston päätökseksi Kanadan osallistumista unionin ohjelmiin ja Kanadan assosioitumista Horisontti Eurooppa -puiteohjelmaan koskevan Euroopan unionin ja Kanadan välisen sopimuksen tekemisestä</w:t>
            </w:r>
          </w:p>
        </w:tc>
        <w:tc>
          <w:tcPr>
            <w:tcW w:w="2003" w:type="dxa"/>
            <w:tcMar>
              <w:top w:w="85" w:type="dxa"/>
              <w:left w:w="85" w:type="dxa"/>
              <w:bottom w:w="85" w:type="dxa"/>
            </w:tcMar>
          </w:tcPr>
          <w:p w14:paraId="0887A470" w14:textId="77777777" w:rsidR="00AB66A8" w:rsidRPr="00BE5426" w:rsidRDefault="00AB66A8" w:rsidP="006C6FCD">
            <w:pPr>
              <w:rPr>
                <w:noProof/>
              </w:rPr>
            </w:pPr>
            <w:r>
              <w:rPr>
                <w:noProof/>
              </w:rPr>
              <w:t>COM(2024) 67 final</w:t>
            </w:r>
            <w:r>
              <w:rPr>
                <w:noProof/>
              </w:rPr>
              <w:br/>
              <w:t>2024/0038 (NLE)</w:t>
            </w:r>
            <w:r>
              <w:rPr>
                <w:noProof/>
              </w:rPr>
              <w:br/>
              <w:t>9.2.2024</w:t>
            </w:r>
          </w:p>
        </w:tc>
      </w:tr>
      <w:tr w:rsidR="00AB66A8" w:rsidRPr="006C1C34" w14:paraId="5642BBBE" w14:textId="77777777" w:rsidTr="00C12335">
        <w:trPr>
          <w:jc w:val="center"/>
        </w:trPr>
        <w:tc>
          <w:tcPr>
            <w:tcW w:w="562" w:type="dxa"/>
            <w:tcBorders>
              <w:right w:val="nil"/>
            </w:tcBorders>
            <w:shd w:val="clear" w:color="auto" w:fill="auto"/>
            <w:tcMar>
              <w:top w:w="85" w:type="dxa"/>
              <w:left w:w="85" w:type="dxa"/>
              <w:bottom w:w="85" w:type="dxa"/>
            </w:tcMar>
          </w:tcPr>
          <w:p w14:paraId="061E5FF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65371EC" w14:textId="77777777" w:rsidR="00AB66A8" w:rsidRPr="00CA6E7F" w:rsidRDefault="00AB66A8" w:rsidP="005336FA">
            <w:pPr>
              <w:tabs>
                <w:tab w:val="left" w:pos="990"/>
              </w:tabs>
              <w:jc w:val="both"/>
              <w:rPr>
                <w:noProof/>
              </w:rPr>
            </w:pPr>
            <w:r>
              <w:rPr>
                <w:noProof/>
              </w:rPr>
              <w:t>Ehdotus EUROOPAN PARLAMENTIN JA NEUVOSTON PÄÄTÖKSEKSI neuvoston päätöksen 2003/17/EY muuttamisesta siltä osin kuin on kyse Moldovan tasavallassa rehukasvien siemenviljelmillä tehtyjen viljelystarkastusten vastaavuudesta ja Moldovan tasavallassa tuotettujen rehukasvien siementen vastaavuudesta, ja siltä osin kuin on kyse Ukrainassa juurikkaiden ja öljykasvien siemenviljelmillä tehtyjen viljelystarkastusten vastaavuudesta ja Ukrainassa tuotettujen juurikkaiden ja öljykasvien siementen vastaavuudesta</w:t>
            </w:r>
          </w:p>
        </w:tc>
        <w:tc>
          <w:tcPr>
            <w:tcW w:w="2003" w:type="dxa"/>
            <w:tcMar>
              <w:top w:w="85" w:type="dxa"/>
              <w:left w:w="85" w:type="dxa"/>
              <w:bottom w:w="85" w:type="dxa"/>
            </w:tcMar>
          </w:tcPr>
          <w:p w14:paraId="5A464E9D" w14:textId="77777777" w:rsidR="00AB66A8" w:rsidRPr="00BB4F8E" w:rsidRDefault="00AB66A8" w:rsidP="006C6FCD">
            <w:pPr>
              <w:rPr>
                <w:noProof/>
              </w:rPr>
            </w:pPr>
            <w:r>
              <w:rPr>
                <w:noProof/>
              </w:rPr>
              <w:t>COM(2024) 52 final</w:t>
            </w:r>
            <w:r>
              <w:rPr>
                <w:noProof/>
              </w:rPr>
              <w:br/>
              <w:t>2024/0027 (COD)</w:t>
            </w:r>
            <w:r>
              <w:rPr>
                <w:noProof/>
              </w:rPr>
              <w:br/>
              <w:t>5.2.2024</w:t>
            </w:r>
          </w:p>
        </w:tc>
      </w:tr>
      <w:tr w:rsidR="00AB66A8" w:rsidRPr="006C1C34" w14:paraId="5F366A8E" w14:textId="77777777" w:rsidTr="00C12335">
        <w:trPr>
          <w:jc w:val="center"/>
        </w:trPr>
        <w:tc>
          <w:tcPr>
            <w:tcW w:w="562" w:type="dxa"/>
            <w:tcBorders>
              <w:right w:val="nil"/>
            </w:tcBorders>
            <w:shd w:val="clear" w:color="auto" w:fill="auto"/>
            <w:tcMar>
              <w:top w:w="85" w:type="dxa"/>
              <w:left w:w="85" w:type="dxa"/>
              <w:bottom w:w="85" w:type="dxa"/>
            </w:tcMar>
          </w:tcPr>
          <w:p w14:paraId="592958A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23A65A5" w14:textId="77777777" w:rsidR="00AB66A8" w:rsidRPr="00CA6E7F" w:rsidRDefault="00AB66A8" w:rsidP="005336FA">
            <w:pPr>
              <w:tabs>
                <w:tab w:val="left" w:pos="990"/>
              </w:tabs>
              <w:jc w:val="both"/>
              <w:rPr>
                <w:noProof/>
              </w:rPr>
            </w:pPr>
            <w:r>
              <w:rPr>
                <w:noProof/>
              </w:rPr>
              <w:t>Ehdotus EUROOPAN PARLAMENTIN JA NEUVOSTON DIREKTIIVIKSI yhdenmukaistetuista jokitiedotuspalveluista (RIS) Euroopan yhteisön sisävesillä annetun direktiivin 2005/44/EY muuttamisesta</w:t>
            </w:r>
          </w:p>
        </w:tc>
        <w:tc>
          <w:tcPr>
            <w:tcW w:w="2003" w:type="dxa"/>
            <w:tcMar>
              <w:top w:w="85" w:type="dxa"/>
              <w:left w:w="85" w:type="dxa"/>
              <w:bottom w:w="85" w:type="dxa"/>
            </w:tcMar>
          </w:tcPr>
          <w:p w14:paraId="355A2B28" w14:textId="77777777" w:rsidR="00AB66A8" w:rsidRPr="00BB4F8E" w:rsidRDefault="00AB66A8" w:rsidP="006C6FCD">
            <w:pPr>
              <w:rPr>
                <w:noProof/>
              </w:rPr>
            </w:pPr>
            <w:r>
              <w:rPr>
                <w:noProof/>
              </w:rPr>
              <w:t>COM(2024) 33 final</w:t>
            </w:r>
            <w:r>
              <w:rPr>
                <w:noProof/>
              </w:rPr>
              <w:br/>
              <w:t>2024/0011 (COD)</w:t>
            </w:r>
            <w:r>
              <w:rPr>
                <w:noProof/>
              </w:rPr>
              <w:br/>
              <w:t>26.1.2024</w:t>
            </w:r>
          </w:p>
        </w:tc>
      </w:tr>
      <w:tr w:rsidR="00AB66A8" w:rsidRPr="006C1C34" w14:paraId="5BC32028" w14:textId="77777777" w:rsidTr="00C12335">
        <w:trPr>
          <w:jc w:val="center"/>
        </w:trPr>
        <w:tc>
          <w:tcPr>
            <w:tcW w:w="562" w:type="dxa"/>
            <w:tcBorders>
              <w:right w:val="nil"/>
            </w:tcBorders>
            <w:shd w:val="clear" w:color="auto" w:fill="auto"/>
            <w:tcMar>
              <w:top w:w="85" w:type="dxa"/>
              <w:left w:w="85" w:type="dxa"/>
              <w:bottom w:w="85" w:type="dxa"/>
            </w:tcMar>
          </w:tcPr>
          <w:p w14:paraId="45A2BF4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F91AE2A" w14:textId="77777777" w:rsidR="00AB66A8" w:rsidRPr="002406AF" w:rsidRDefault="00AB66A8" w:rsidP="005336FA">
            <w:pPr>
              <w:tabs>
                <w:tab w:val="left" w:pos="990"/>
              </w:tabs>
              <w:jc w:val="both"/>
              <w:rPr>
                <w:bCs/>
                <w:noProof/>
              </w:rPr>
            </w:pPr>
            <w:r>
              <w:rPr>
                <w:noProof/>
              </w:rPr>
              <w:t>Ehdotus NEUVOSTON PÄÄTÖKSEKSI Euratomin ydinmateriaalivalvonnan täytäntöönpanosta annetun komission asetuksen (Euratom) hyväksymisestä</w:t>
            </w:r>
          </w:p>
        </w:tc>
        <w:tc>
          <w:tcPr>
            <w:tcW w:w="2003" w:type="dxa"/>
            <w:tcMar>
              <w:top w:w="85" w:type="dxa"/>
              <w:left w:w="85" w:type="dxa"/>
              <w:bottom w:w="85" w:type="dxa"/>
            </w:tcMar>
          </w:tcPr>
          <w:p w14:paraId="62D335C8" w14:textId="77777777" w:rsidR="00AB66A8" w:rsidRPr="001D5664" w:rsidRDefault="00AB66A8" w:rsidP="006C6FCD">
            <w:pPr>
              <w:rPr>
                <w:bCs/>
                <w:noProof/>
              </w:rPr>
            </w:pPr>
            <w:r>
              <w:rPr>
                <w:noProof/>
              </w:rPr>
              <w:t>COM(2023) 793 final</w:t>
            </w:r>
            <w:r>
              <w:rPr>
                <w:noProof/>
              </w:rPr>
              <w:br/>
              <w:t>2023/0465 (NLE)</w:t>
            </w:r>
            <w:r>
              <w:rPr>
                <w:noProof/>
              </w:rPr>
              <w:br/>
              <w:t>21.12.2023</w:t>
            </w:r>
          </w:p>
        </w:tc>
      </w:tr>
      <w:tr w:rsidR="00AB66A8" w:rsidRPr="006C1C34" w14:paraId="7EFD7FBD" w14:textId="77777777" w:rsidTr="00C12335">
        <w:trPr>
          <w:jc w:val="center"/>
        </w:trPr>
        <w:tc>
          <w:tcPr>
            <w:tcW w:w="562" w:type="dxa"/>
            <w:tcBorders>
              <w:right w:val="nil"/>
            </w:tcBorders>
            <w:shd w:val="clear" w:color="auto" w:fill="auto"/>
            <w:tcMar>
              <w:top w:w="85" w:type="dxa"/>
              <w:left w:w="85" w:type="dxa"/>
              <w:bottom w:w="85" w:type="dxa"/>
            </w:tcMar>
          </w:tcPr>
          <w:p w14:paraId="67B58AF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AA0861D" w14:textId="77777777" w:rsidR="00AB66A8" w:rsidRPr="00BE5426" w:rsidRDefault="00AB66A8" w:rsidP="005336FA">
            <w:pPr>
              <w:tabs>
                <w:tab w:val="left" w:pos="990"/>
              </w:tabs>
              <w:jc w:val="both"/>
              <w:rPr>
                <w:noProof/>
                <w:highlight w:val="yellow"/>
              </w:rPr>
            </w:pPr>
            <w:r>
              <w:rPr>
                <w:noProof/>
              </w:rPr>
              <w:t>Ehdotus EUROOPAN PARLAMENTIN JA NEUVOSTON ASETUKSEKSI Euroopan parlamentin ja neuvoston asetusten (EY) N:o 178/2002, (EY) N:o 401/2009, (EU) 2017/745 ja (EU) 2019/1021 muuttamisesta tieteellisten ja teknisten tehtävien siirtämiseksi ja yhteistyön parantamiseksi unionin virastojen välillä kemikaalialalla</w:t>
            </w:r>
          </w:p>
        </w:tc>
        <w:tc>
          <w:tcPr>
            <w:tcW w:w="2003" w:type="dxa"/>
            <w:tcMar>
              <w:top w:w="85" w:type="dxa"/>
              <w:left w:w="85" w:type="dxa"/>
              <w:bottom w:w="85" w:type="dxa"/>
            </w:tcMar>
          </w:tcPr>
          <w:p w14:paraId="3B45C759" w14:textId="77777777" w:rsidR="00AB66A8" w:rsidRPr="00BE5426" w:rsidRDefault="00AB66A8" w:rsidP="006C6FCD">
            <w:pPr>
              <w:rPr>
                <w:noProof/>
                <w:highlight w:val="yellow"/>
              </w:rPr>
            </w:pPr>
            <w:r>
              <w:rPr>
                <w:noProof/>
              </w:rPr>
              <w:t>COM(2023) 783 final</w:t>
            </w:r>
            <w:r>
              <w:rPr>
                <w:noProof/>
              </w:rPr>
              <w:br/>
              <w:t>2023/0455 (COD)</w:t>
            </w:r>
            <w:r>
              <w:rPr>
                <w:noProof/>
              </w:rPr>
              <w:br/>
              <w:t>7.12.2023</w:t>
            </w:r>
          </w:p>
        </w:tc>
      </w:tr>
      <w:tr w:rsidR="00AB66A8" w:rsidRPr="006C1C34" w14:paraId="67EE4D04" w14:textId="77777777" w:rsidTr="00C12335">
        <w:trPr>
          <w:jc w:val="center"/>
        </w:trPr>
        <w:tc>
          <w:tcPr>
            <w:tcW w:w="562" w:type="dxa"/>
            <w:tcBorders>
              <w:right w:val="nil"/>
            </w:tcBorders>
            <w:shd w:val="clear" w:color="auto" w:fill="auto"/>
            <w:tcMar>
              <w:top w:w="85" w:type="dxa"/>
              <w:left w:w="85" w:type="dxa"/>
              <w:bottom w:w="85" w:type="dxa"/>
            </w:tcMar>
          </w:tcPr>
          <w:p w14:paraId="5E1A70C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764F9D4" w14:textId="77777777" w:rsidR="00AB66A8" w:rsidRPr="00BE5426" w:rsidRDefault="00AB66A8" w:rsidP="005336FA">
            <w:pPr>
              <w:tabs>
                <w:tab w:val="left" w:pos="990"/>
              </w:tabs>
              <w:jc w:val="both"/>
              <w:rPr>
                <w:noProof/>
              </w:rPr>
            </w:pPr>
            <w:r>
              <w:rPr>
                <w:noProof/>
              </w:rPr>
              <w:t>Ehdotus EUROOPAN PARLAMENTIN JA NEUVOSTON DIREKTIIVIKSI Euroopan parlamentin ja neuvoston direktiivin 2011/65/EU muuttamisesta tieteellisten ja teknisten tehtävien siirtämiseksi Euroopan kemikaalivirastolle</w:t>
            </w:r>
          </w:p>
        </w:tc>
        <w:tc>
          <w:tcPr>
            <w:tcW w:w="2003" w:type="dxa"/>
            <w:tcMar>
              <w:top w:w="85" w:type="dxa"/>
              <w:left w:w="85" w:type="dxa"/>
              <w:bottom w:w="85" w:type="dxa"/>
            </w:tcMar>
          </w:tcPr>
          <w:p w14:paraId="37D0FFB3" w14:textId="77777777" w:rsidR="00AB66A8" w:rsidRPr="00BE5426" w:rsidRDefault="00AB66A8" w:rsidP="006C6FCD">
            <w:pPr>
              <w:rPr>
                <w:noProof/>
              </w:rPr>
            </w:pPr>
            <w:r>
              <w:rPr>
                <w:noProof/>
              </w:rPr>
              <w:t>COM(2023) 781 final</w:t>
            </w:r>
            <w:r>
              <w:rPr>
                <w:noProof/>
              </w:rPr>
              <w:br/>
              <w:t>2023/0454 (COD)</w:t>
            </w:r>
            <w:r>
              <w:rPr>
                <w:noProof/>
              </w:rPr>
              <w:br/>
              <w:t>7.12.2023</w:t>
            </w:r>
          </w:p>
        </w:tc>
      </w:tr>
      <w:tr w:rsidR="00AB66A8" w:rsidRPr="006C1C34" w14:paraId="1AE5DD12" w14:textId="77777777" w:rsidTr="00C12335">
        <w:trPr>
          <w:jc w:val="center"/>
        </w:trPr>
        <w:tc>
          <w:tcPr>
            <w:tcW w:w="562" w:type="dxa"/>
            <w:tcBorders>
              <w:right w:val="nil"/>
            </w:tcBorders>
            <w:shd w:val="clear" w:color="auto" w:fill="auto"/>
            <w:tcMar>
              <w:top w:w="85" w:type="dxa"/>
              <w:left w:w="85" w:type="dxa"/>
              <w:bottom w:w="85" w:type="dxa"/>
            </w:tcMar>
          </w:tcPr>
          <w:p w14:paraId="3C0D8E3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F167055" w14:textId="217430BB" w:rsidR="00AB66A8" w:rsidRPr="00BE5426" w:rsidRDefault="00AB66A8" w:rsidP="005336FA">
            <w:pPr>
              <w:tabs>
                <w:tab w:val="left" w:pos="990"/>
              </w:tabs>
              <w:jc w:val="both"/>
              <w:rPr>
                <w:noProof/>
              </w:rPr>
            </w:pPr>
            <w:r>
              <w:rPr>
                <w:noProof/>
              </w:rPr>
              <w:t>Ehdotus EUROOPAN PARLAMENTIN JA NEUVOSTON ASETUKSEKSI kemikaaleja koskevan yhteisen data-alustan perustamisesta, sääntöjen vahvistamisesta sen varmistamiseksi, että alustalla olevat tiedot ovat löydettävissä, saatavilla, yhteentoimivia ja uudelleenkäytettäviä, sekä kemikaaleja koskevan seuranta- ja ennustekehyksen perustamisesta</w:t>
            </w:r>
          </w:p>
        </w:tc>
        <w:tc>
          <w:tcPr>
            <w:tcW w:w="2003" w:type="dxa"/>
            <w:tcMar>
              <w:top w:w="85" w:type="dxa"/>
              <w:left w:w="85" w:type="dxa"/>
              <w:bottom w:w="85" w:type="dxa"/>
            </w:tcMar>
          </w:tcPr>
          <w:p w14:paraId="4AE0533B" w14:textId="77777777" w:rsidR="00AB66A8" w:rsidRPr="00BE5426" w:rsidRDefault="00AB66A8" w:rsidP="006C6FCD">
            <w:pPr>
              <w:rPr>
                <w:noProof/>
              </w:rPr>
            </w:pPr>
            <w:r>
              <w:rPr>
                <w:noProof/>
              </w:rPr>
              <w:t>COM(2023) 779 final</w:t>
            </w:r>
            <w:r>
              <w:rPr>
                <w:noProof/>
              </w:rPr>
              <w:br/>
              <w:t>2023/0453 (COD)</w:t>
            </w:r>
            <w:r>
              <w:rPr>
                <w:noProof/>
              </w:rPr>
              <w:br/>
              <w:t>7.12.2023</w:t>
            </w:r>
          </w:p>
        </w:tc>
      </w:tr>
      <w:tr w:rsidR="00AB66A8" w:rsidRPr="006C1C34" w14:paraId="73F6C168" w14:textId="77777777" w:rsidTr="00C12335">
        <w:trPr>
          <w:jc w:val="center"/>
        </w:trPr>
        <w:tc>
          <w:tcPr>
            <w:tcW w:w="562" w:type="dxa"/>
            <w:tcBorders>
              <w:right w:val="nil"/>
            </w:tcBorders>
            <w:shd w:val="clear" w:color="auto" w:fill="auto"/>
            <w:tcMar>
              <w:top w:w="85" w:type="dxa"/>
              <w:left w:w="85" w:type="dxa"/>
              <w:bottom w:w="85" w:type="dxa"/>
            </w:tcMar>
          </w:tcPr>
          <w:p w14:paraId="7F5EBED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0CB82D6" w14:textId="77777777" w:rsidR="00AB66A8" w:rsidRPr="00BE5426" w:rsidRDefault="00AB66A8" w:rsidP="005336FA">
            <w:pPr>
              <w:tabs>
                <w:tab w:val="left" w:pos="990"/>
              </w:tabs>
              <w:jc w:val="both"/>
              <w:rPr>
                <w:noProof/>
              </w:rPr>
            </w:pPr>
            <w:r>
              <w:rPr>
                <w:noProof/>
              </w:rPr>
              <w:t>Ehdotus EUROOPAN PARLAMENTIN JA NEUVOSTON ASETUKSEKSI eläinten suojelusta kuljetuksen ja siihen liittyvien toimenpiteiden aikana, neuvoston asetuksen (EY) N:o 1255/97 muuttamisesta ja neuvoston asetuksen (EY) N:o 1/2005 kumoamisesta</w:t>
            </w:r>
          </w:p>
        </w:tc>
        <w:tc>
          <w:tcPr>
            <w:tcW w:w="2003" w:type="dxa"/>
            <w:tcMar>
              <w:top w:w="85" w:type="dxa"/>
              <w:left w:w="85" w:type="dxa"/>
              <w:bottom w:w="85" w:type="dxa"/>
            </w:tcMar>
          </w:tcPr>
          <w:p w14:paraId="4A673205" w14:textId="77777777" w:rsidR="00AB66A8" w:rsidRPr="00BE5426" w:rsidRDefault="00AB66A8" w:rsidP="006C6FCD">
            <w:pPr>
              <w:rPr>
                <w:noProof/>
              </w:rPr>
            </w:pPr>
            <w:r>
              <w:rPr>
                <w:noProof/>
              </w:rPr>
              <w:t>COM(2023) 770 final</w:t>
            </w:r>
            <w:r>
              <w:rPr>
                <w:noProof/>
              </w:rPr>
              <w:br/>
              <w:t>2023/0448 (COD)</w:t>
            </w:r>
            <w:r>
              <w:rPr>
                <w:noProof/>
              </w:rPr>
              <w:br/>
              <w:t>7.12.2023</w:t>
            </w:r>
          </w:p>
        </w:tc>
      </w:tr>
      <w:tr w:rsidR="00AB66A8" w:rsidRPr="006C1C34" w14:paraId="57A965C8" w14:textId="77777777" w:rsidTr="00C12335">
        <w:trPr>
          <w:jc w:val="center"/>
        </w:trPr>
        <w:tc>
          <w:tcPr>
            <w:tcW w:w="562" w:type="dxa"/>
            <w:tcBorders>
              <w:right w:val="nil"/>
            </w:tcBorders>
            <w:shd w:val="clear" w:color="auto" w:fill="auto"/>
            <w:tcMar>
              <w:top w:w="85" w:type="dxa"/>
              <w:left w:w="85" w:type="dxa"/>
              <w:bottom w:w="85" w:type="dxa"/>
            </w:tcMar>
          </w:tcPr>
          <w:p w14:paraId="5C66999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71ECB0F" w14:textId="77777777" w:rsidR="00AB66A8" w:rsidRPr="00BE5426" w:rsidRDefault="00AB66A8" w:rsidP="005336FA">
            <w:pPr>
              <w:tabs>
                <w:tab w:val="left" w:pos="990"/>
              </w:tabs>
              <w:jc w:val="both"/>
              <w:rPr>
                <w:noProof/>
              </w:rPr>
            </w:pPr>
            <w:r>
              <w:rPr>
                <w:noProof/>
              </w:rPr>
              <w:t>Ehdotus EUROOPAN PARLAMENTIN JA NEUVOSTON ASETUKSEKSI koirien ja kissojen hyvinvoinnista ja jäljitettävyydestä</w:t>
            </w:r>
          </w:p>
        </w:tc>
        <w:tc>
          <w:tcPr>
            <w:tcW w:w="2003" w:type="dxa"/>
            <w:tcMar>
              <w:top w:w="85" w:type="dxa"/>
              <w:left w:w="85" w:type="dxa"/>
              <w:bottom w:w="85" w:type="dxa"/>
            </w:tcMar>
          </w:tcPr>
          <w:p w14:paraId="2360E7CD" w14:textId="77777777" w:rsidR="00AB66A8" w:rsidRPr="00BE5426" w:rsidRDefault="00AB66A8" w:rsidP="006C6FCD">
            <w:pPr>
              <w:rPr>
                <w:noProof/>
              </w:rPr>
            </w:pPr>
            <w:r>
              <w:rPr>
                <w:noProof/>
              </w:rPr>
              <w:t>COM(2023) 769 final</w:t>
            </w:r>
            <w:r>
              <w:rPr>
                <w:noProof/>
              </w:rPr>
              <w:br/>
              <w:t>2023/0447 (COD)</w:t>
            </w:r>
            <w:r>
              <w:rPr>
                <w:noProof/>
              </w:rPr>
              <w:br/>
              <w:t>7.12.2023</w:t>
            </w:r>
          </w:p>
        </w:tc>
      </w:tr>
      <w:tr w:rsidR="00AB66A8" w:rsidRPr="006C1C34" w14:paraId="13D6A326" w14:textId="77777777" w:rsidTr="00C12335">
        <w:trPr>
          <w:jc w:val="center"/>
        </w:trPr>
        <w:tc>
          <w:tcPr>
            <w:tcW w:w="562" w:type="dxa"/>
            <w:tcBorders>
              <w:right w:val="nil"/>
            </w:tcBorders>
            <w:shd w:val="clear" w:color="auto" w:fill="auto"/>
            <w:tcMar>
              <w:top w:w="85" w:type="dxa"/>
              <w:left w:w="85" w:type="dxa"/>
              <w:bottom w:w="85" w:type="dxa"/>
            </w:tcMar>
          </w:tcPr>
          <w:p w14:paraId="18B2A05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7BE1F05" w14:textId="77777777" w:rsidR="00AB66A8" w:rsidRPr="00F515D1" w:rsidRDefault="00AB66A8" w:rsidP="005336FA">
            <w:pPr>
              <w:tabs>
                <w:tab w:val="left" w:pos="990"/>
              </w:tabs>
              <w:jc w:val="both"/>
              <w:rPr>
                <w:noProof/>
              </w:rPr>
            </w:pPr>
            <w:r>
              <w:rPr>
                <w:noProof/>
              </w:rPr>
              <w:t>Ehdotus EUROOPAN PARLAMENTIN JA NEUVOSTON ASETUKSEKSI asetusten (EY) N:o 261/2004, (EY) N:o 1107/2006, (EU) N:o 1177/2010, (EU) N:o 181/2011 ja (EU) 2021/782 muuttamisesta siltä osin kuin on kyse matkustajien oikeuksien toteuttamisesta unionissa</w:t>
            </w:r>
          </w:p>
        </w:tc>
        <w:tc>
          <w:tcPr>
            <w:tcW w:w="2003" w:type="dxa"/>
            <w:tcMar>
              <w:top w:w="85" w:type="dxa"/>
              <w:left w:w="85" w:type="dxa"/>
              <w:bottom w:w="85" w:type="dxa"/>
            </w:tcMar>
          </w:tcPr>
          <w:p w14:paraId="73B8CE7E" w14:textId="77777777" w:rsidR="00AB66A8" w:rsidRPr="00F515D1" w:rsidRDefault="00AB66A8" w:rsidP="006C6FCD">
            <w:pPr>
              <w:rPr>
                <w:noProof/>
              </w:rPr>
            </w:pPr>
            <w:r>
              <w:rPr>
                <w:noProof/>
              </w:rPr>
              <w:t>COM(2023) 753 final</w:t>
            </w:r>
            <w:r>
              <w:rPr>
                <w:noProof/>
              </w:rPr>
              <w:br/>
              <w:t>2023/0437 (COD)</w:t>
            </w:r>
            <w:r>
              <w:rPr>
                <w:noProof/>
              </w:rPr>
              <w:br/>
              <w:t>29.11.2023</w:t>
            </w:r>
          </w:p>
        </w:tc>
      </w:tr>
      <w:tr w:rsidR="00AB66A8" w:rsidRPr="006C1C34" w14:paraId="7388876B" w14:textId="77777777" w:rsidTr="00C12335">
        <w:trPr>
          <w:jc w:val="center"/>
        </w:trPr>
        <w:tc>
          <w:tcPr>
            <w:tcW w:w="562" w:type="dxa"/>
            <w:tcBorders>
              <w:right w:val="nil"/>
            </w:tcBorders>
            <w:shd w:val="clear" w:color="auto" w:fill="auto"/>
            <w:tcMar>
              <w:top w:w="85" w:type="dxa"/>
              <w:left w:w="85" w:type="dxa"/>
              <w:bottom w:w="85" w:type="dxa"/>
            </w:tcMar>
          </w:tcPr>
          <w:p w14:paraId="2C3DA78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450746E" w14:textId="77777777" w:rsidR="00AB66A8" w:rsidRPr="00F515D1" w:rsidRDefault="00AB66A8" w:rsidP="005336FA">
            <w:pPr>
              <w:tabs>
                <w:tab w:val="left" w:pos="990"/>
              </w:tabs>
              <w:jc w:val="both"/>
              <w:rPr>
                <w:noProof/>
              </w:rPr>
            </w:pPr>
            <w:r>
              <w:rPr>
                <w:noProof/>
              </w:rPr>
              <w:t>Ehdotus EUROOPAN PARLAMENTIN JA NEUVOSTON ASETUKSEKSI matkustajien oikeuksista multimodaalisten matkojen yhteydessä</w:t>
            </w:r>
          </w:p>
        </w:tc>
        <w:tc>
          <w:tcPr>
            <w:tcW w:w="2003" w:type="dxa"/>
            <w:tcMar>
              <w:top w:w="85" w:type="dxa"/>
              <w:left w:w="85" w:type="dxa"/>
              <w:bottom w:w="85" w:type="dxa"/>
            </w:tcMar>
          </w:tcPr>
          <w:p w14:paraId="2D8F7502" w14:textId="77777777" w:rsidR="00AB66A8" w:rsidRPr="00F515D1" w:rsidRDefault="00AB66A8" w:rsidP="006C6FCD">
            <w:pPr>
              <w:rPr>
                <w:noProof/>
              </w:rPr>
            </w:pPr>
            <w:r>
              <w:rPr>
                <w:noProof/>
              </w:rPr>
              <w:t>COM(2023) 752 final</w:t>
            </w:r>
            <w:r>
              <w:rPr>
                <w:noProof/>
              </w:rPr>
              <w:br/>
              <w:t>2023/0436 (COD)</w:t>
            </w:r>
            <w:r>
              <w:rPr>
                <w:noProof/>
              </w:rPr>
              <w:br/>
              <w:t>29.11.2023</w:t>
            </w:r>
          </w:p>
        </w:tc>
      </w:tr>
      <w:tr w:rsidR="00AB66A8" w:rsidRPr="006C1C34" w14:paraId="13ADF3AC" w14:textId="77777777" w:rsidTr="00C12335">
        <w:trPr>
          <w:jc w:val="center"/>
        </w:trPr>
        <w:tc>
          <w:tcPr>
            <w:tcW w:w="562" w:type="dxa"/>
            <w:tcBorders>
              <w:right w:val="nil"/>
            </w:tcBorders>
            <w:shd w:val="clear" w:color="auto" w:fill="auto"/>
            <w:tcMar>
              <w:top w:w="85" w:type="dxa"/>
              <w:left w:w="85" w:type="dxa"/>
              <w:bottom w:w="85" w:type="dxa"/>
            </w:tcMar>
          </w:tcPr>
          <w:p w14:paraId="57C00ED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E05B7B3" w14:textId="6CD3DEEA" w:rsidR="00AB66A8" w:rsidRPr="00F515D1" w:rsidRDefault="00AB66A8" w:rsidP="005336FA">
            <w:pPr>
              <w:tabs>
                <w:tab w:val="left" w:pos="990"/>
              </w:tabs>
              <w:jc w:val="both"/>
              <w:rPr>
                <w:noProof/>
              </w:rPr>
            </w:pPr>
            <w:r>
              <w:rPr>
                <w:noProof/>
              </w:rPr>
              <w:t>Ehdotus EUROOPAN PARLAMENTIN JA NEUVOSTON DIREKTIIVIKSI neuvoston päätöksen 92/106/ETY muuttamisesta tavaroiden intermodaalikuljetuksia koskevan tukikehyksen osalta sekä Euroopan parlamentin ja neuvoston asetuksen (EU) 2020/1056 muuttamisesta ulkoisten kustannusten säästöjen laskemisen ja koottujen tietojen tuottamisen osalta</w:t>
            </w:r>
          </w:p>
        </w:tc>
        <w:tc>
          <w:tcPr>
            <w:tcW w:w="2003" w:type="dxa"/>
            <w:tcMar>
              <w:top w:w="85" w:type="dxa"/>
              <w:left w:w="85" w:type="dxa"/>
              <w:bottom w:w="85" w:type="dxa"/>
            </w:tcMar>
          </w:tcPr>
          <w:p w14:paraId="3C654251" w14:textId="77777777" w:rsidR="00AB66A8" w:rsidRPr="00F515D1" w:rsidRDefault="00AB66A8" w:rsidP="006C6FCD">
            <w:pPr>
              <w:rPr>
                <w:noProof/>
              </w:rPr>
            </w:pPr>
            <w:r>
              <w:rPr>
                <w:noProof/>
              </w:rPr>
              <w:t>COM(2023) 702 final</w:t>
            </w:r>
            <w:r>
              <w:rPr>
                <w:noProof/>
              </w:rPr>
              <w:br/>
              <w:t>2023/0396 (COD)</w:t>
            </w:r>
            <w:r>
              <w:rPr>
                <w:noProof/>
              </w:rPr>
              <w:br/>
              <w:t>7.11.2023</w:t>
            </w:r>
          </w:p>
        </w:tc>
      </w:tr>
      <w:tr w:rsidR="00AB66A8" w:rsidRPr="006C1C34" w14:paraId="5C2F2780" w14:textId="77777777" w:rsidTr="00C12335">
        <w:trPr>
          <w:jc w:val="center"/>
        </w:trPr>
        <w:tc>
          <w:tcPr>
            <w:tcW w:w="562" w:type="dxa"/>
            <w:tcBorders>
              <w:right w:val="nil"/>
            </w:tcBorders>
            <w:shd w:val="clear" w:color="auto" w:fill="auto"/>
            <w:tcMar>
              <w:top w:w="85" w:type="dxa"/>
              <w:left w:w="85" w:type="dxa"/>
              <w:bottom w:w="85" w:type="dxa"/>
            </w:tcMar>
          </w:tcPr>
          <w:p w14:paraId="1369C39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B810A83" w14:textId="77777777" w:rsidR="00AB66A8" w:rsidRPr="00F515D1" w:rsidRDefault="00AB66A8" w:rsidP="005336FA">
            <w:pPr>
              <w:tabs>
                <w:tab w:val="left" w:pos="990"/>
              </w:tabs>
              <w:jc w:val="both"/>
              <w:rPr>
                <w:noProof/>
              </w:rPr>
            </w:pPr>
            <w:r>
              <w:rPr>
                <w:noProof/>
              </w:rPr>
              <w:t>Ehdotus EUROOPAN PARLAMENTIN JA NEUVOSTON ASETUKSEKSI muovipellettihävikin estämisestä mikromuovisaasteen vähentämiseksi</w:t>
            </w:r>
          </w:p>
        </w:tc>
        <w:tc>
          <w:tcPr>
            <w:tcW w:w="2003" w:type="dxa"/>
            <w:tcMar>
              <w:top w:w="85" w:type="dxa"/>
              <w:left w:w="85" w:type="dxa"/>
              <w:bottom w:w="85" w:type="dxa"/>
            </w:tcMar>
          </w:tcPr>
          <w:p w14:paraId="007D2633" w14:textId="77777777" w:rsidR="00AB66A8" w:rsidRPr="00F515D1" w:rsidRDefault="00AB66A8" w:rsidP="006C6FCD">
            <w:pPr>
              <w:rPr>
                <w:noProof/>
              </w:rPr>
            </w:pPr>
            <w:r>
              <w:rPr>
                <w:noProof/>
              </w:rPr>
              <w:t>COM(2023) 645 final</w:t>
            </w:r>
            <w:r>
              <w:rPr>
                <w:noProof/>
              </w:rPr>
              <w:br/>
              <w:t>2023/0373 (COD)</w:t>
            </w:r>
            <w:r>
              <w:rPr>
                <w:noProof/>
              </w:rPr>
              <w:br/>
              <w:t>16.10.2023</w:t>
            </w:r>
          </w:p>
        </w:tc>
      </w:tr>
      <w:tr w:rsidR="00AB66A8" w:rsidRPr="006C1C34" w14:paraId="2062D92C" w14:textId="77777777" w:rsidTr="00C12335">
        <w:trPr>
          <w:jc w:val="center"/>
        </w:trPr>
        <w:tc>
          <w:tcPr>
            <w:tcW w:w="562" w:type="dxa"/>
            <w:tcBorders>
              <w:right w:val="nil"/>
            </w:tcBorders>
            <w:shd w:val="clear" w:color="auto" w:fill="auto"/>
            <w:tcMar>
              <w:top w:w="85" w:type="dxa"/>
              <w:left w:w="85" w:type="dxa"/>
              <w:bottom w:w="85" w:type="dxa"/>
            </w:tcMar>
          </w:tcPr>
          <w:p w14:paraId="180B437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32771F1" w14:textId="77777777" w:rsidR="00AB66A8" w:rsidRPr="00BE5426" w:rsidRDefault="00AB66A8" w:rsidP="005336FA">
            <w:pPr>
              <w:tabs>
                <w:tab w:val="left" w:pos="990"/>
              </w:tabs>
              <w:jc w:val="both"/>
              <w:rPr>
                <w:noProof/>
              </w:rPr>
            </w:pPr>
            <w:r>
              <w:rPr>
                <w:noProof/>
              </w:rPr>
              <w:t>Ehdotus EUROOPAN PARLAMENTIN JA NEUVOSTON ASETUKSEKSI kaupallisissa toimissa tapahtuvien maksuviivästysten torjumisesta</w:t>
            </w:r>
          </w:p>
        </w:tc>
        <w:tc>
          <w:tcPr>
            <w:tcW w:w="2003" w:type="dxa"/>
            <w:tcMar>
              <w:top w:w="85" w:type="dxa"/>
              <w:left w:w="85" w:type="dxa"/>
              <w:bottom w:w="85" w:type="dxa"/>
            </w:tcMar>
          </w:tcPr>
          <w:p w14:paraId="1B4AD1E4" w14:textId="77777777" w:rsidR="00AB66A8" w:rsidRPr="00BE5426" w:rsidRDefault="00AB66A8" w:rsidP="006C6FCD">
            <w:pPr>
              <w:rPr>
                <w:noProof/>
              </w:rPr>
            </w:pPr>
            <w:r>
              <w:rPr>
                <w:noProof/>
              </w:rPr>
              <w:t>COM(2023) 533 final</w:t>
            </w:r>
            <w:r>
              <w:rPr>
                <w:noProof/>
              </w:rPr>
              <w:br/>
              <w:t>2023/0323 (COD)</w:t>
            </w:r>
            <w:r>
              <w:rPr>
                <w:noProof/>
              </w:rPr>
              <w:br/>
              <w:t>12.9.2023</w:t>
            </w:r>
          </w:p>
        </w:tc>
      </w:tr>
      <w:tr w:rsidR="00AB66A8" w:rsidRPr="006C1C34" w14:paraId="70487CE3" w14:textId="77777777" w:rsidTr="00C12335">
        <w:trPr>
          <w:jc w:val="center"/>
        </w:trPr>
        <w:tc>
          <w:tcPr>
            <w:tcW w:w="562" w:type="dxa"/>
            <w:tcBorders>
              <w:right w:val="nil"/>
            </w:tcBorders>
            <w:shd w:val="clear" w:color="auto" w:fill="auto"/>
            <w:tcMar>
              <w:top w:w="85" w:type="dxa"/>
              <w:left w:w="85" w:type="dxa"/>
              <w:bottom w:w="85" w:type="dxa"/>
            </w:tcMar>
          </w:tcPr>
          <w:p w14:paraId="0B32201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D05C130" w14:textId="77777777" w:rsidR="00AB66A8" w:rsidRPr="006C1C34" w:rsidRDefault="00AB66A8" w:rsidP="005336FA">
            <w:pPr>
              <w:tabs>
                <w:tab w:val="left" w:pos="990"/>
              </w:tabs>
              <w:jc w:val="both"/>
              <w:rPr>
                <w:noProof/>
              </w:rPr>
            </w:pPr>
            <w:r>
              <w:rPr>
                <w:noProof/>
              </w:rPr>
              <w:t>Ehdotus NEUVOSTON DIREKTIIVIKSI yritysten tuloverotusta Euroopassa koskevasta kehyksestä (BEFIT)</w:t>
            </w:r>
          </w:p>
        </w:tc>
        <w:tc>
          <w:tcPr>
            <w:tcW w:w="2003" w:type="dxa"/>
            <w:tcMar>
              <w:top w:w="85" w:type="dxa"/>
              <w:left w:w="85" w:type="dxa"/>
              <w:bottom w:w="85" w:type="dxa"/>
            </w:tcMar>
          </w:tcPr>
          <w:p w14:paraId="00D11613" w14:textId="77777777" w:rsidR="00AB66A8" w:rsidRPr="006C1C34" w:rsidRDefault="00AB66A8" w:rsidP="006C6FCD">
            <w:pPr>
              <w:rPr>
                <w:noProof/>
              </w:rPr>
            </w:pPr>
            <w:r>
              <w:rPr>
                <w:noProof/>
              </w:rPr>
              <w:t>COM(2023) 532 final</w:t>
            </w:r>
            <w:r>
              <w:rPr>
                <w:noProof/>
              </w:rPr>
              <w:br/>
              <w:t>2023/0321 (CNS)</w:t>
            </w:r>
            <w:r>
              <w:rPr>
                <w:noProof/>
              </w:rPr>
              <w:br/>
              <w:t>12.9.2023</w:t>
            </w:r>
          </w:p>
        </w:tc>
      </w:tr>
      <w:tr w:rsidR="002148B4" w:rsidRPr="006C1C34" w14:paraId="4A6FB9E1" w14:textId="77777777" w:rsidTr="00C12335">
        <w:trPr>
          <w:jc w:val="center"/>
        </w:trPr>
        <w:tc>
          <w:tcPr>
            <w:tcW w:w="562" w:type="dxa"/>
            <w:tcBorders>
              <w:right w:val="nil"/>
            </w:tcBorders>
            <w:shd w:val="clear" w:color="auto" w:fill="auto"/>
            <w:tcMar>
              <w:top w:w="85" w:type="dxa"/>
              <w:left w:w="85" w:type="dxa"/>
              <w:bottom w:w="85" w:type="dxa"/>
            </w:tcMar>
          </w:tcPr>
          <w:p w14:paraId="34047216" w14:textId="77777777" w:rsidR="002148B4" w:rsidRPr="006C1C34" w:rsidRDefault="002148B4" w:rsidP="002148B4">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9997336" w14:textId="40DE3064" w:rsidR="002148B4" w:rsidRPr="000413EE" w:rsidRDefault="002148B4" w:rsidP="002148B4">
            <w:pPr>
              <w:tabs>
                <w:tab w:val="left" w:pos="990"/>
              </w:tabs>
              <w:jc w:val="both"/>
              <w:rPr>
                <w:noProof/>
              </w:rPr>
            </w:pPr>
            <w:r>
              <w:rPr>
                <w:noProof/>
              </w:rPr>
              <w:t>Ehdotus NEUVOSTON DIREKTIIVIKSI siirtohinnoittelusta</w:t>
            </w:r>
          </w:p>
        </w:tc>
        <w:tc>
          <w:tcPr>
            <w:tcW w:w="2003" w:type="dxa"/>
            <w:tcMar>
              <w:top w:w="85" w:type="dxa"/>
              <w:left w:w="85" w:type="dxa"/>
              <w:bottom w:w="85" w:type="dxa"/>
            </w:tcMar>
          </w:tcPr>
          <w:p w14:paraId="7EE5A173" w14:textId="26F34592" w:rsidR="002148B4" w:rsidRDefault="002148B4" w:rsidP="002148B4">
            <w:pPr>
              <w:rPr>
                <w:noProof/>
              </w:rPr>
            </w:pPr>
            <w:r>
              <w:rPr>
                <w:noProof/>
              </w:rPr>
              <w:t>COM(2023) 529 final</w:t>
            </w:r>
            <w:r>
              <w:rPr>
                <w:noProof/>
              </w:rPr>
              <w:br/>
              <w:t>2023/0322 (CNS)</w:t>
            </w:r>
            <w:r>
              <w:rPr>
                <w:noProof/>
              </w:rPr>
              <w:br/>
              <w:t>12.9.2023</w:t>
            </w:r>
          </w:p>
        </w:tc>
      </w:tr>
      <w:tr w:rsidR="00AB66A8" w:rsidRPr="006C1C34" w14:paraId="079AF7D0"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591280F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5E9AE9D" w14:textId="77777777" w:rsidR="00AB66A8" w:rsidRPr="000413EE" w:rsidRDefault="00AB66A8" w:rsidP="005336FA">
            <w:pPr>
              <w:tabs>
                <w:tab w:val="left" w:pos="990"/>
              </w:tabs>
              <w:jc w:val="both"/>
              <w:rPr>
                <w:noProof/>
              </w:rPr>
            </w:pPr>
            <w:r>
              <w:rPr>
                <w:noProof/>
              </w:rPr>
              <w:t>Ehdotus NEUVOSTON DIREKTIIVIKSI mikroyrityksiä sekä pieniä ja keskisuuria yrityksiä koskevan päätoimipaikkaverotukseen perustuvan järjestelmän perustamisesta sekä direktiivin 2011/16/EU muuttamisesta</w:t>
            </w:r>
          </w:p>
        </w:tc>
        <w:tc>
          <w:tcPr>
            <w:tcW w:w="2003" w:type="dxa"/>
            <w:tcBorders>
              <w:bottom w:val="single" w:sz="4" w:space="0" w:color="auto"/>
            </w:tcBorders>
            <w:tcMar>
              <w:top w:w="85" w:type="dxa"/>
              <w:left w:w="85" w:type="dxa"/>
              <w:bottom w:w="85" w:type="dxa"/>
            </w:tcMar>
          </w:tcPr>
          <w:p w14:paraId="60DC89AF" w14:textId="77777777" w:rsidR="00AB66A8" w:rsidRDefault="00AB66A8" w:rsidP="006C6FCD">
            <w:pPr>
              <w:rPr>
                <w:noProof/>
              </w:rPr>
            </w:pPr>
            <w:r>
              <w:rPr>
                <w:noProof/>
              </w:rPr>
              <w:t>COM(2023) 528 final</w:t>
            </w:r>
            <w:r>
              <w:rPr>
                <w:noProof/>
              </w:rPr>
              <w:br/>
              <w:t>2023/0320 (CNS)</w:t>
            </w:r>
            <w:r>
              <w:rPr>
                <w:noProof/>
              </w:rPr>
              <w:br/>
              <w:t>12.9.2023</w:t>
            </w:r>
          </w:p>
        </w:tc>
      </w:tr>
      <w:tr w:rsidR="00AB66A8" w:rsidRPr="006C1C34" w14:paraId="2E5222D9" w14:textId="77777777" w:rsidTr="00C12335">
        <w:trPr>
          <w:jc w:val="center"/>
        </w:trPr>
        <w:tc>
          <w:tcPr>
            <w:tcW w:w="562" w:type="dxa"/>
            <w:tcBorders>
              <w:bottom w:val="nil"/>
              <w:right w:val="nil"/>
            </w:tcBorders>
            <w:shd w:val="clear" w:color="auto" w:fill="auto"/>
            <w:tcMar>
              <w:top w:w="85" w:type="dxa"/>
              <w:left w:w="85" w:type="dxa"/>
              <w:bottom w:w="85" w:type="dxa"/>
            </w:tcMar>
          </w:tcPr>
          <w:p w14:paraId="5F2195F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26840A4A" w14:textId="77777777" w:rsidR="00AB66A8" w:rsidRPr="008C76E7" w:rsidRDefault="00AB66A8" w:rsidP="005336FA">
            <w:pPr>
              <w:tabs>
                <w:tab w:val="left" w:pos="990"/>
              </w:tabs>
              <w:jc w:val="both"/>
              <w:rPr>
                <w:rFonts w:cs="Calibri"/>
                <w:noProof/>
              </w:rPr>
            </w:pPr>
            <w:r>
              <w:rPr>
                <w:noProof/>
              </w:rPr>
              <w:t>Ehdotus EUROOPAN PARLAMENTIN JA NEUVOSTON DIREKTIIVIKSI eurooppalaisista rajat ylittävistä yhdistyksistä</w:t>
            </w:r>
          </w:p>
        </w:tc>
        <w:tc>
          <w:tcPr>
            <w:tcW w:w="2003" w:type="dxa"/>
            <w:tcBorders>
              <w:bottom w:val="nil"/>
            </w:tcBorders>
            <w:tcMar>
              <w:top w:w="85" w:type="dxa"/>
              <w:left w:w="85" w:type="dxa"/>
              <w:bottom w:w="85" w:type="dxa"/>
            </w:tcMar>
          </w:tcPr>
          <w:p w14:paraId="328B8AA1" w14:textId="77777777" w:rsidR="00AB66A8" w:rsidRDefault="00AB66A8" w:rsidP="006C6FCD">
            <w:pPr>
              <w:rPr>
                <w:rFonts w:cs="Calibri"/>
                <w:bCs/>
                <w:noProof/>
              </w:rPr>
            </w:pPr>
            <w:r>
              <w:rPr>
                <w:noProof/>
              </w:rPr>
              <w:t>COM(2023) 516 final</w:t>
            </w:r>
            <w:r>
              <w:rPr>
                <w:noProof/>
              </w:rPr>
              <w:br/>
              <w:t>2023/0315 (COD)</w:t>
            </w:r>
            <w:r>
              <w:rPr>
                <w:noProof/>
              </w:rPr>
              <w:br/>
              <w:t>5.9.2023</w:t>
            </w:r>
          </w:p>
        </w:tc>
      </w:tr>
      <w:tr w:rsidR="00AB66A8" w:rsidRPr="006C1C34" w14:paraId="4FEC6C61" w14:textId="77777777" w:rsidTr="00C12335">
        <w:trPr>
          <w:jc w:val="center"/>
        </w:trPr>
        <w:tc>
          <w:tcPr>
            <w:tcW w:w="562" w:type="dxa"/>
            <w:tcBorders>
              <w:top w:val="nil"/>
              <w:right w:val="nil"/>
            </w:tcBorders>
            <w:shd w:val="clear" w:color="auto" w:fill="auto"/>
            <w:tcMar>
              <w:top w:w="85" w:type="dxa"/>
              <w:left w:w="85" w:type="dxa"/>
              <w:bottom w:w="85" w:type="dxa"/>
            </w:tcMar>
          </w:tcPr>
          <w:p w14:paraId="200FA8F0" w14:textId="77777777" w:rsidR="00AB66A8" w:rsidRPr="006C1C34" w:rsidRDefault="00AB66A8" w:rsidP="006C6FCD">
            <w:pPr>
              <w:ind w:left="425"/>
              <w:contextualSpacing/>
              <w:rPr>
                <w:b/>
                <w:noProof/>
              </w:rPr>
            </w:pPr>
          </w:p>
        </w:tc>
        <w:tc>
          <w:tcPr>
            <w:tcW w:w="11464" w:type="dxa"/>
            <w:tcBorders>
              <w:top w:val="nil"/>
            </w:tcBorders>
            <w:shd w:val="clear" w:color="auto" w:fill="auto"/>
            <w:tcMar>
              <w:top w:w="85" w:type="dxa"/>
              <w:left w:w="85" w:type="dxa"/>
              <w:bottom w:w="85" w:type="dxa"/>
              <w:right w:w="85" w:type="dxa"/>
            </w:tcMar>
          </w:tcPr>
          <w:p w14:paraId="13D0CB51" w14:textId="77777777" w:rsidR="00AB66A8" w:rsidRPr="008C76E7" w:rsidRDefault="00AB66A8" w:rsidP="005336FA">
            <w:pPr>
              <w:tabs>
                <w:tab w:val="left" w:pos="990"/>
              </w:tabs>
              <w:jc w:val="both"/>
              <w:rPr>
                <w:rFonts w:cs="Calibri"/>
                <w:noProof/>
              </w:rPr>
            </w:pPr>
            <w:r>
              <w:rPr>
                <w:noProof/>
              </w:rPr>
              <w:t>Ehdotus EUROOPAN PARLAMENTIN JA NEUVOSTON ASETUKSEKSI asetusten (EU) N:o 1024/2012 ja (EU) 2018/1724 muuttamisesta siltä osin kuin on kyse sisämarkkinoiden tietojenvaihtojärjestelmän ja yhteisen digitaalisen palveluväylän käytöstä sovellettaessa eurooppalaisista rajat ylittävistä yhdistyksistä annetussa Euroopan parlamentin ja neuvoston direktiivissä (EU).../... vahvistettuja tiettyjä vaatimuksia</w:t>
            </w:r>
          </w:p>
        </w:tc>
        <w:tc>
          <w:tcPr>
            <w:tcW w:w="2003" w:type="dxa"/>
            <w:tcBorders>
              <w:top w:val="nil"/>
            </w:tcBorders>
            <w:tcMar>
              <w:top w:w="85" w:type="dxa"/>
              <w:left w:w="85" w:type="dxa"/>
              <w:bottom w:w="85" w:type="dxa"/>
            </w:tcMar>
          </w:tcPr>
          <w:p w14:paraId="4C14AAE2" w14:textId="77777777" w:rsidR="00AB66A8" w:rsidRDefault="00AB66A8" w:rsidP="006C6FCD">
            <w:pPr>
              <w:rPr>
                <w:rFonts w:cs="Calibri"/>
                <w:bCs/>
                <w:noProof/>
              </w:rPr>
            </w:pPr>
            <w:r>
              <w:rPr>
                <w:noProof/>
              </w:rPr>
              <w:t>COM(2023) 515 final</w:t>
            </w:r>
            <w:r>
              <w:rPr>
                <w:noProof/>
              </w:rPr>
              <w:br/>
              <w:t>2023/0314 (COD)</w:t>
            </w:r>
            <w:r>
              <w:rPr>
                <w:noProof/>
              </w:rPr>
              <w:br/>
              <w:t>5.9.2023</w:t>
            </w:r>
          </w:p>
        </w:tc>
      </w:tr>
      <w:tr w:rsidR="00AB66A8" w:rsidRPr="006C1C34" w14:paraId="245B8DAA" w14:textId="77777777" w:rsidTr="00C12335">
        <w:trPr>
          <w:jc w:val="center"/>
        </w:trPr>
        <w:tc>
          <w:tcPr>
            <w:tcW w:w="562" w:type="dxa"/>
            <w:tcBorders>
              <w:right w:val="nil"/>
            </w:tcBorders>
            <w:shd w:val="clear" w:color="auto" w:fill="auto"/>
            <w:tcMar>
              <w:top w:w="85" w:type="dxa"/>
              <w:left w:w="85" w:type="dxa"/>
              <w:bottom w:w="85" w:type="dxa"/>
            </w:tcMar>
          </w:tcPr>
          <w:p w14:paraId="3C069BA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48D59E2" w14:textId="77777777" w:rsidR="00AB66A8" w:rsidRPr="008C76E7" w:rsidRDefault="00AB66A8" w:rsidP="005336FA">
            <w:pPr>
              <w:tabs>
                <w:tab w:val="left" w:pos="990"/>
              </w:tabs>
              <w:jc w:val="both"/>
              <w:rPr>
                <w:rFonts w:cs="Calibri"/>
                <w:noProof/>
              </w:rPr>
            </w:pPr>
            <w:r>
              <w:rPr>
                <w:noProof/>
              </w:rPr>
              <w:t>Ehdotus EUROOPAN PARLAMENTIN JA NEUVOSTON ASETUKSEKSI lelujen turvallisuudesta ja direktiivin 2009/48/EY kumoamisesta</w:t>
            </w:r>
          </w:p>
        </w:tc>
        <w:tc>
          <w:tcPr>
            <w:tcW w:w="2003" w:type="dxa"/>
            <w:tcMar>
              <w:top w:w="85" w:type="dxa"/>
              <w:left w:w="85" w:type="dxa"/>
              <w:bottom w:w="85" w:type="dxa"/>
            </w:tcMar>
          </w:tcPr>
          <w:p w14:paraId="1DBE309C" w14:textId="77777777" w:rsidR="00AB66A8" w:rsidRDefault="00AB66A8" w:rsidP="006C6FCD">
            <w:pPr>
              <w:rPr>
                <w:rFonts w:cs="Calibri"/>
                <w:bCs/>
                <w:noProof/>
              </w:rPr>
            </w:pPr>
            <w:r>
              <w:rPr>
                <w:noProof/>
              </w:rPr>
              <w:t>COM(2023) 462 final</w:t>
            </w:r>
            <w:r>
              <w:rPr>
                <w:noProof/>
              </w:rPr>
              <w:br/>
              <w:t>2023/0290 (COD)</w:t>
            </w:r>
            <w:r>
              <w:rPr>
                <w:noProof/>
              </w:rPr>
              <w:br/>
              <w:t>28.7.2023</w:t>
            </w:r>
          </w:p>
        </w:tc>
      </w:tr>
      <w:tr w:rsidR="00AB66A8" w:rsidRPr="006C1C34" w14:paraId="12C153A9" w14:textId="77777777" w:rsidTr="00C12335">
        <w:trPr>
          <w:jc w:val="center"/>
        </w:trPr>
        <w:tc>
          <w:tcPr>
            <w:tcW w:w="562" w:type="dxa"/>
            <w:tcBorders>
              <w:right w:val="nil"/>
            </w:tcBorders>
            <w:shd w:val="clear" w:color="auto" w:fill="auto"/>
            <w:tcMar>
              <w:top w:w="85" w:type="dxa"/>
              <w:left w:w="85" w:type="dxa"/>
              <w:bottom w:w="85" w:type="dxa"/>
            </w:tcMar>
          </w:tcPr>
          <w:p w14:paraId="6756870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D87E4D2" w14:textId="77777777" w:rsidR="00AB66A8" w:rsidRPr="00006850" w:rsidRDefault="00AB66A8" w:rsidP="005336FA">
            <w:pPr>
              <w:tabs>
                <w:tab w:val="left" w:pos="990"/>
              </w:tabs>
              <w:jc w:val="both"/>
              <w:rPr>
                <w:noProof/>
              </w:rPr>
            </w:pPr>
            <w:r>
              <w:rPr>
                <w:noProof/>
              </w:rPr>
              <w:t xml:space="preserve">Ehdotus EUROOPAN PARLAMENTIN JA NEUVOSTON ASETUKSEKSI ajoneuvojen suunnittelua koskevista kiertotalousvaatimuksista ja romuajoneuvojen jätehuollosta, asetusten (EU) 2018/858 ja 2019/1020 muuttamisesta sekä direktiivien 2000/53/EY ja 2005/64/EY kumoamisesta </w:t>
            </w:r>
          </w:p>
        </w:tc>
        <w:tc>
          <w:tcPr>
            <w:tcW w:w="2003" w:type="dxa"/>
            <w:tcMar>
              <w:top w:w="85" w:type="dxa"/>
              <w:left w:w="85" w:type="dxa"/>
              <w:bottom w:w="85" w:type="dxa"/>
            </w:tcMar>
          </w:tcPr>
          <w:p w14:paraId="61624A18" w14:textId="77777777" w:rsidR="00AB66A8" w:rsidRPr="00006850" w:rsidRDefault="00AB66A8" w:rsidP="006C6FCD">
            <w:pPr>
              <w:rPr>
                <w:noProof/>
              </w:rPr>
            </w:pPr>
            <w:r>
              <w:rPr>
                <w:noProof/>
              </w:rPr>
              <w:t>COM(2023) 451 final</w:t>
            </w:r>
            <w:r>
              <w:rPr>
                <w:noProof/>
              </w:rPr>
              <w:br/>
              <w:t>2023/0284 (COD)</w:t>
            </w:r>
            <w:r>
              <w:rPr>
                <w:noProof/>
              </w:rPr>
              <w:br/>
              <w:t>13.7.2023</w:t>
            </w:r>
          </w:p>
        </w:tc>
      </w:tr>
      <w:tr w:rsidR="00AB66A8" w:rsidRPr="006C1C34" w14:paraId="2B05C805" w14:textId="77777777" w:rsidTr="00C12335">
        <w:trPr>
          <w:jc w:val="center"/>
        </w:trPr>
        <w:tc>
          <w:tcPr>
            <w:tcW w:w="562" w:type="dxa"/>
            <w:tcBorders>
              <w:right w:val="nil"/>
            </w:tcBorders>
            <w:shd w:val="clear" w:color="auto" w:fill="auto"/>
            <w:tcMar>
              <w:top w:w="85" w:type="dxa"/>
              <w:left w:w="85" w:type="dxa"/>
              <w:bottom w:w="85" w:type="dxa"/>
            </w:tcMar>
          </w:tcPr>
          <w:p w14:paraId="1DB3452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1718D78" w14:textId="77777777" w:rsidR="00AB66A8" w:rsidRPr="00006850" w:rsidRDefault="00AB66A8" w:rsidP="005336FA">
            <w:pPr>
              <w:tabs>
                <w:tab w:val="left" w:pos="990"/>
              </w:tabs>
              <w:jc w:val="both"/>
              <w:rPr>
                <w:noProof/>
              </w:rPr>
            </w:pPr>
            <w:r>
              <w:rPr>
                <w:noProof/>
              </w:rPr>
              <w:t>Ehdotus EUROOPAN PARLAMENTIN JA NEUVOSTON DIREKTIIVIKSI tiettyjen yhteisössä liikkuvien tieliikenteen ajoneuvojen suurimmista kansallisessa ja kansainvälisessä liikenteessä sallituista mitoista ja suurimmista kansainvälisessä liikenteessä sallituista painoista annetun neuvoston direktiivin 96/53/EY muuttamisesta</w:t>
            </w:r>
          </w:p>
        </w:tc>
        <w:tc>
          <w:tcPr>
            <w:tcW w:w="2003" w:type="dxa"/>
            <w:tcMar>
              <w:top w:w="85" w:type="dxa"/>
              <w:left w:w="85" w:type="dxa"/>
              <w:bottom w:w="85" w:type="dxa"/>
            </w:tcMar>
          </w:tcPr>
          <w:p w14:paraId="7C4CD7F5" w14:textId="77777777" w:rsidR="00AB66A8" w:rsidRPr="00006850" w:rsidRDefault="00AB66A8" w:rsidP="006C6FCD">
            <w:pPr>
              <w:rPr>
                <w:noProof/>
              </w:rPr>
            </w:pPr>
            <w:r>
              <w:rPr>
                <w:noProof/>
              </w:rPr>
              <w:t>COM(2023) 445 final</w:t>
            </w:r>
            <w:r>
              <w:rPr>
                <w:noProof/>
              </w:rPr>
              <w:br/>
              <w:t>2023/0265 (COD)</w:t>
            </w:r>
            <w:r>
              <w:rPr>
                <w:noProof/>
              </w:rPr>
              <w:br/>
              <w:t>11.7.2023</w:t>
            </w:r>
          </w:p>
        </w:tc>
      </w:tr>
      <w:tr w:rsidR="00AB66A8" w:rsidRPr="006C1C34" w14:paraId="6A8A6436" w14:textId="77777777" w:rsidTr="00C12335">
        <w:trPr>
          <w:jc w:val="center"/>
        </w:trPr>
        <w:tc>
          <w:tcPr>
            <w:tcW w:w="562" w:type="dxa"/>
            <w:tcBorders>
              <w:right w:val="nil"/>
            </w:tcBorders>
            <w:shd w:val="clear" w:color="auto" w:fill="auto"/>
            <w:tcMar>
              <w:top w:w="85" w:type="dxa"/>
              <w:left w:w="85" w:type="dxa"/>
              <w:bottom w:w="85" w:type="dxa"/>
            </w:tcMar>
          </w:tcPr>
          <w:p w14:paraId="17D72A2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4780450" w14:textId="77777777" w:rsidR="00AB66A8" w:rsidRPr="00006850" w:rsidRDefault="00AB66A8" w:rsidP="005336FA">
            <w:pPr>
              <w:tabs>
                <w:tab w:val="left" w:pos="990"/>
              </w:tabs>
              <w:jc w:val="both"/>
              <w:rPr>
                <w:noProof/>
              </w:rPr>
            </w:pPr>
            <w:r>
              <w:rPr>
                <w:noProof/>
              </w:rPr>
              <w:t>Ehdotus EUROOPAN PARLAMENTIN JA NEUVOSTON ASETUKSEKSI rautateiden ratakapasiteetin käytöstä yhtenäisellä eurooppalaisella rautatiealueella sekä direktiivin 2012/34/EU muuttamisesta ja asetuksen (EU) N:o 913/2010 kumoamisesta</w:t>
            </w:r>
          </w:p>
        </w:tc>
        <w:tc>
          <w:tcPr>
            <w:tcW w:w="2003" w:type="dxa"/>
            <w:tcMar>
              <w:top w:w="85" w:type="dxa"/>
              <w:left w:w="85" w:type="dxa"/>
              <w:bottom w:w="85" w:type="dxa"/>
            </w:tcMar>
          </w:tcPr>
          <w:p w14:paraId="7B4A401C" w14:textId="77777777" w:rsidR="00AB66A8" w:rsidRPr="00006850" w:rsidRDefault="00AB66A8" w:rsidP="006C6FCD">
            <w:pPr>
              <w:rPr>
                <w:noProof/>
              </w:rPr>
            </w:pPr>
            <w:r>
              <w:rPr>
                <w:noProof/>
              </w:rPr>
              <w:t>COM(2023) 443 final</w:t>
            </w:r>
            <w:r>
              <w:rPr>
                <w:noProof/>
              </w:rPr>
              <w:br/>
              <w:t>2023/0271 (COD)</w:t>
            </w:r>
            <w:r>
              <w:rPr>
                <w:noProof/>
              </w:rPr>
              <w:br/>
              <w:t>11.7.2023</w:t>
            </w:r>
          </w:p>
        </w:tc>
      </w:tr>
      <w:tr w:rsidR="00AB66A8" w:rsidRPr="006C1C34" w14:paraId="6D39EED0" w14:textId="77777777" w:rsidTr="00C12335">
        <w:trPr>
          <w:jc w:val="center"/>
        </w:trPr>
        <w:tc>
          <w:tcPr>
            <w:tcW w:w="562" w:type="dxa"/>
            <w:tcBorders>
              <w:right w:val="nil"/>
            </w:tcBorders>
            <w:shd w:val="clear" w:color="auto" w:fill="auto"/>
            <w:tcMar>
              <w:top w:w="85" w:type="dxa"/>
              <w:left w:w="85" w:type="dxa"/>
              <w:bottom w:w="85" w:type="dxa"/>
            </w:tcMar>
          </w:tcPr>
          <w:p w14:paraId="5A33572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EA2CCA7" w14:textId="77777777" w:rsidR="00AB66A8" w:rsidRPr="00006850" w:rsidRDefault="00AB66A8" w:rsidP="005336FA">
            <w:pPr>
              <w:tabs>
                <w:tab w:val="left" w:pos="990"/>
              </w:tabs>
              <w:jc w:val="both"/>
              <w:rPr>
                <w:rFonts w:cs="Calibri"/>
                <w:noProof/>
              </w:rPr>
            </w:pPr>
            <w:r>
              <w:rPr>
                <w:noProof/>
              </w:rPr>
              <w:t xml:space="preserve">Ehdotus EUROOPAN PARLAMENTIN JA NEUVOSTON ASETUKSEKSI kuljetuspalvelujen kasvihuonekaasupäästöjen laskennasta </w:t>
            </w:r>
          </w:p>
        </w:tc>
        <w:tc>
          <w:tcPr>
            <w:tcW w:w="2003" w:type="dxa"/>
            <w:tcMar>
              <w:top w:w="85" w:type="dxa"/>
              <w:left w:w="85" w:type="dxa"/>
              <w:bottom w:w="85" w:type="dxa"/>
            </w:tcMar>
          </w:tcPr>
          <w:p w14:paraId="469214EF" w14:textId="77777777" w:rsidR="00AB66A8" w:rsidRPr="00006850" w:rsidRDefault="00AB66A8" w:rsidP="006C6FCD">
            <w:pPr>
              <w:rPr>
                <w:noProof/>
              </w:rPr>
            </w:pPr>
            <w:r>
              <w:rPr>
                <w:noProof/>
              </w:rPr>
              <w:t>COM(2023) 441 final</w:t>
            </w:r>
            <w:r>
              <w:rPr>
                <w:noProof/>
              </w:rPr>
              <w:br/>
              <w:t>2023/0266 (COD)</w:t>
            </w:r>
            <w:r>
              <w:rPr>
                <w:noProof/>
              </w:rPr>
              <w:br/>
              <w:t xml:space="preserve">11.7.2023 </w:t>
            </w:r>
          </w:p>
        </w:tc>
      </w:tr>
      <w:tr w:rsidR="00AB66A8" w:rsidRPr="006C1C34" w14:paraId="43283C3A" w14:textId="77777777" w:rsidTr="00C12335">
        <w:trPr>
          <w:jc w:val="center"/>
        </w:trPr>
        <w:tc>
          <w:tcPr>
            <w:tcW w:w="562" w:type="dxa"/>
            <w:tcBorders>
              <w:right w:val="nil"/>
            </w:tcBorders>
            <w:shd w:val="clear" w:color="auto" w:fill="auto"/>
            <w:tcMar>
              <w:top w:w="85" w:type="dxa"/>
              <w:left w:w="85" w:type="dxa"/>
              <w:bottom w:w="85" w:type="dxa"/>
            </w:tcMar>
          </w:tcPr>
          <w:p w14:paraId="628B812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CE74622" w14:textId="77777777" w:rsidR="00AB66A8" w:rsidRPr="00006850" w:rsidRDefault="00AB66A8" w:rsidP="005336FA">
            <w:pPr>
              <w:tabs>
                <w:tab w:val="left" w:pos="990"/>
              </w:tabs>
              <w:jc w:val="both"/>
              <w:rPr>
                <w:noProof/>
              </w:rPr>
            </w:pPr>
            <w:r>
              <w:rPr>
                <w:noProof/>
              </w:rPr>
              <w:t>Ehdotus EUROOPAN PARLAMENTIN JA NEUVOSTON DIREKTIIVIKSI jätteistä annetun direktiivin 2008/98/EY muuttamisesta</w:t>
            </w:r>
          </w:p>
        </w:tc>
        <w:tc>
          <w:tcPr>
            <w:tcW w:w="2003" w:type="dxa"/>
            <w:tcMar>
              <w:top w:w="85" w:type="dxa"/>
              <w:left w:w="85" w:type="dxa"/>
              <w:bottom w:w="85" w:type="dxa"/>
            </w:tcMar>
          </w:tcPr>
          <w:p w14:paraId="6F7A5553" w14:textId="77777777" w:rsidR="00AB66A8" w:rsidRPr="00006850" w:rsidRDefault="00AB66A8" w:rsidP="006C6FCD">
            <w:pPr>
              <w:rPr>
                <w:noProof/>
              </w:rPr>
            </w:pPr>
            <w:r>
              <w:rPr>
                <w:noProof/>
              </w:rPr>
              <w:t>COM(2023) 420 final</w:t>
            </w:r>
            <w:r>
              <w:rPr>
                <w:noProof/>
              </w:rPr>
              <w:br/>
              <w:t>2023/0234 (COD)</w:t>
            </w:r>
            <w:r>
              <w:rPr>
                <w:noProof/>
              </w:rPr>
              <w:br/>
              <w:t>5.7.2023</w:t>
            </w:r>
          </w:p>
        </w:tc>
      </w:tr>
      <w:tr w:rsidR="00AB66A8" w:rsidRPr="006C1C34" w14:paraId="43F96923" w14:textId="77777777" w:rsidTr="00C12335">
        <w:trPr>
          <w:jc w:val="center"/>
        </w:trPr>
        <w:tc>
          <w:tcPr>
            <w:tcW w:w="562" w:type="dxa"/>
            <w:tcBorders>
              <w:right w:val="nil"/>
            </w:tcBorders>
            <w:shd w:val="clear" w:color="auto" w:fill="auto"/>
            <w:tcMar>
              <w:top w:w="85" w:type="dxa"/>
              <w:left w:w="85" w:type="dxa"/>
              <w:bottom w:w="85" w:type="dxa"/>
            </w:tcMar>
          </w:tcPr>
          <w:p w14:paraId="799B464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4E3D707" w14:textId="77777777" w:rsidR="00AB66A8" w:rsidRPr="004F2160" w:rsidRDefault="00AB66A8" w:rsidP="005336FA">
            <w:pPr>
              <w:tabs>
                <w:tab w:val="left" w:pos="990"/>
              </w:tabs>
              <w:jc w:val="both"/>
              <w:rPr>
                <w:noProof/>
              </w:rPr>
            </w:pPr>
            <w:r>
              <w:rPr>
                <w:noProof/>
              </w:rPr>
              <w:t>Ehdotus EUROOPAN PARLAMENTIN JA NEUVOSTON ASETUKSEKSI metsänviljelyaineiston tuotannosta ja kaupan pitämisestä, Euroopan parlamentin ja neuvoston asetusten (EU) 2016/2031 ja 2017/625 muuttamisesta sekä neuvoston direktiivin 1999/105/EY kumoamisesta (metsänviljelyaineistoa koskeva asetus)</w:t>
            </w:r>
          </w:p>
        </w:tc>
        <w:tc>
          <w:tcPr>
            <w:tcW w:w="2003" w:type="dxa"/>
            <w:tcMar>
              <w:top w:w="85" w:type="dxa"/>
              <w:left w:w="85" w:type="dxa"/>
              <w:bottom w:w="85" w:type="dxa"/>
            </w:tcMar>
          </w:tcPr>
          <w:p w14:paraId="43BCFB17" w14:textId="77777777" w:rsidR="00AB66A8" w:rsidRPr="000D7296" w:rsidRDefault="00AB66A8" w:rsidP="006C6FCD">
            <w:pPr>
              <w:rPr>
                <w:noProof/>
              </w:rPr>
            </w:pPr>
            <w:r>
              <w:rPr>
                <w:noProof/>
              </w:rPr>
              <w:t>COM(2023) 415 final</w:t>
            </w:r>
            <w:r>
              <w:rPr>
                <w:noProof/>
              </w:rPr>
              <w:br/>
              <w:t>2023/0228 (COD)</w:t>
            </w:r>
            <w:r>
              <w:rPr>
                <w:noProof/>
              </w:rPr>
              <w:br/>
              <w:t>5.7.2023</w:t>
            </w:r>
          </w:p>
        </w:tc>
      </w:tr>
      <w:tr w:rsidR="00AB66A8" w:rsidRPr="006C1C34" w14:paraId="716840AA" w14:textId="77777777" w:rsidTr="00C12335">
        <w:trPr>
          <w:jc w:val="center"/>
        </w:trPr>
        <w:tc>
          <w:tcPr>
            <w:tcW w:w="562" w:type="dxa"/>
            <w:tcBorders>
              <w:right w:val="nil"/>
            </w:tcBorders>
            <w:shd w:val="clear" w:color="auto" w:fill="auto"/>
            <w:tcMar>
              <w:top w:w="85" w:type="dxa"/>
              <w:left w:w="85" w:type="dxa"/>
              <w:bottom w:w="85" w:type="dxa"/>
            </w:tcMar>
          </w:tcPr>
          <w:p w14:paraId="52433E0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8AE817B" w14:textId="77777777" w:rsidR="00AB66A8" w:rsidRPr="00252CC9" w:rsidRDefault="00AB66A8" w:rsidP="005336FA">
            <w:pPr>
              <w:tabs>
                <w:tab w:val="left" w:pos="990"/>
              </w:tabs>
              <w:jc w:val="both"/>
              <w:rPr>
                <w:noProof/>
              </w:rPr>
            </w:pPr>
            <w:r>
              <w:rPr>
                <w:noProof/>
              </w:rPr>
              <w:t>Ehdotus EUROOPAN PARLAMENTIN JA NEUVOSTON ASETUKSEKSI kasvien lisäysaineiston tuotannosta ja kaupan pitämisestä unionissa, Euroopan parlamentin ja neuvoston asetusten (EU) 2016/2031, (EU) 2017/625 ja (EU) 2018/848 muuttamisesta sekä neuvoston direktiivien 66/401/ETY, 66/402/ETY, 68/193/ETY, 2002/53/EY, 2002/54/EY, 2002/55/EY, 2002/56/EY, 2002/57/EY, 2008/72/EY ja 2008/90/EY kumoamisesta (kasvien lisäysaineistoa koskeva asetus)</w:t>
            </w:r>
          </w:p>
        </w:tc>
        <w:tc>
          <w:tcPr>
            <w:tcW w:w="2003" w:type="dxa"/>
            <w:tcMar>
              <w:top w:w="85" w:type="dxa"/>
              <w:left w:w="85" w:type="dxa"/>
              <w:bottom w:w="85" w:type="dxa"/>
            </w:tcMar>
          </w:tcPr>
          <w:p w14:paraId="59AA32B5" w14:textId="77777777" w:rsidR="00AB66A8" w:rsidRPr="000D7296" w:rsidRDefault="00AB66A8" w:rsidP="006C6FCD">
            <w:pPr>
              <w:rPr>
                <w:noProof/>
              </w:rPr>
            </w:pPr>
            <w:r>
              <w:rPr>
                <w:noProof/>
              </w:rPr>
              <w:t>COM(2023) 414 final</w:t>
            </w:r>
            <w:r>
              <w:rPr>
                <w:noProof/>
              </w:rPr>
              <w:br/>
              <w:t>2023/0227 (COD)</w:t>
            </w:r>
            <w:r>
              <w:rPr>
                <w:noProof/>
              </w:rPr>
              <w:br/>
              <w:t>5.7.2023</w:t>
            </w:r>
          </w:p>
        </w:tc>
      </w:tr>
      <w:tr w:rsidR="00AB66A8" w:rsidRPr="006C1C34" w14:paraId="03FEC4E6" w14:textId="77777777" w:rsidTr="00C12335">
        <w:trPr>
          <w:jc w:val="center"/>
        </w:trPr>
        <w:tc>
          <w:tcPr>
            <w:tcW w:w="562" w:type="dxa"/>
            <w:tcBorders>
              <w:right w:val="nil"/>
            </w:tcBorders>
            <w:shd w:val="clear" w:color="auto" w:fill="auto"/>
            <w:tcMar>
              <w:top w:w="85" w:type="dxa"/>
              <w:left w:w="85" w:type="dxa"/>
              <w:bottom w:w="85" w:type="dxa"/>
            </w:tcMar>
          </w:tcPr>
          <w:p w14:paraId="47859DB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0034F1" w14:textId="77777777" w:rsidR="00AB66A8" w:rsidRPr="006C1C34" w:rsidRDefault="00AB66A8" w:rsidP="005336FA">
            <w:pPr>
              <w:jc w:val="both"/>
              <w:rPr>
                <w:noProof/>
              </w:rPr>
            </w:pPr>
            <w:r>
              <w:rPr>
                <w:noProof/>
              </w:rPr>
              <w:t>Ehdotus EUROOPAN PARLAMENTIN JA NEUVOSTON ASETUKSEKSI digitaalisen euron käyttöönotosta</w:t>
            </w:r>
          </w:p>
        </w:tc>
        <w:tc>
          <w:tcPr>
            <w:tcW w:w="2003" w:type="dxa"/>
            <w:tcMar>
              <w:top w:w="85" w:type="dxa"/>
              <w:left w:w="85" w:type="dxa"/>
              <w:bottom w:w="85" w:type="dxa"/>
            </w:tcMar>
          </w:tcPr>
          <w:p w14:paraId="5EFBFBFB" w14:textId="77777777" w:rsidR="00AB66A8" w:rsidRPr="006C1C34" w:rsidRDefault="00AB66A8" w:rsidP="006C6FCD">
            <w:pPr>
              <w:rPr>
                <w:noProof/>
              </w:rPr>
            </w:pPr>
            <w:r>
              <w:rPr>
                <w:noProof/>
              </w:rPr>
              <w:t>COM(2023) 369 final</w:t>
            </w:r>
            <w:r>
              <w:rPr>
                <w:noProof/>
              </w:rPr>
              <w:br/>
              <w:t>2023/0212 (COD)</w:t>
            </w:r>
            <w:r>
              <w:rPr>
                <w:noProof/>
              </w:rPr>
              <w:br/>
              <w:t>28.6.2023</w:t>
            </w:r>
          </w:p>
        </w:tc>
      </w:tr>
      <w:tr w:rsidR="00AB66A8" w:rsidRPr="006C1C34" w14:paraId="56A0DF9F" w14:textId="77777777" w:rsidTr="00C12335">
        <w:trPr>
          <w:jc w:val="center"/>
        </w:trPr>
        <w:tc>
          <w:tcPr>
            <w:tcW w:w="562" w:type="dxa"/>
            <w:tcBorders>
              <w:right w:val="nil"/>
            </w:tcBorders>
            <w:shd w:val="clear" w:color="auto" w:fill="auto"/>
            <w:tcMar>
              <w:top w:w="85" w:type="dxa"/>
              <w:left w:w="85" w:type="dxa"/>
              <w:bottom w:w="85" w:type="dxa"/>
            </w:tcMar>
          </w:tcPr>
          <w:p w14:paraId="5FD4509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F23C089" w14:textId="77777777" w:rsidR="00AB66A8" w:rsidRPr="006C1C34" w:rsidRDefault="00AB66A8" w:rsidP="005336FA">
            <w:pPr>
              <w:jc w:val="both"/>
              <w:rPr>
                <w:noProof/>
              </w:rPr>
            </w:pPr>
            <w:r>
              <w:rPr>
                <w:noProof/>
              </w:rPr>
              <w:t>Ehdotus EUROOPAN PARLAMENTIN JA NEUVOSTON ASETUKSEKSI jäsenvaltioihin, joiden rahayksikkö ei ole euro, sijoittautuneiden maksupalveluntarjoajien digitaaliseen euroon perustuvien palvelujen tarjoamisesta sekä Euroopan parlamentin ja neuvoston asetuksen (EU) 2021/1230 muuttamisesta</w:t>
            </w:r>
          </w:p>
        </w:tc>
        <w:tc>
          <w:tcPr>
            <w:tcW w:w="2003" w:type="dxa"/>
            <w:tcMar>
              <w:top w:w="85" w:type="dxa"/>
              <w:left w:w="85" w:type="dxa"/>
              <w:bottom w:w="85" w:type="dxa"/>
            </w:tcMar>
          </w:tcPr>
          <w:p w14:paraId="499E3D42" w14:textId="77777777" w:rsidR="00AB66A8" w:rsidRPr="006C1C34" w:rsidRDefault="00AB66A8" w:rsidP="006C6FCD">
            <w:pPr>
              <w:rPr>
                <w:noProof/>
              </w:rPr>
            </w:pPr>
            <w:r>
              <w:rPr>
                <w:noProof/>
              </w:rPr>
              <w:t>COM(2023) 368 final</w:t>
            </w:r>
            <w:r>
              <w:rPr>
                <w:noProof/>
              </w:rPr>
              <w:br/>
              <w:t>2023/0211 (COD)</w:t>
            </w:r>
            <w:r>
              <w:rPr>
                <w:noProof/>
              </w:rPr>
              <w:br/>
              <w:t>28.6.2023</w:t>
            </w:r>
          </w:p>
        </w:tc>
      </w:tr>
      <w:tr w:rsidR="00AB66A8" w:rsidRPr="006C1C34" w14:paraId="74E0F2C5" w14:textId="77777777" w:rsidTr="00C12335">
        <w:trPr>
          <w:jc w:val="center"/>
        </w:trPr>
        <w:tc>
          <w:tcPr>
            <w:tcW w:w="562" w:type="dxa"/>
            <w:tcBorders>
              <w:right w:val="nil"/>
            </w:tcBorders>
            <w:shd w:val="clear" w:color="auto" w:fill="auto"/>
            <w:tcMar>
              <w:top w:w="85" w:type="dxa"/>
              <w:left w:w="85" w:type="dxa"/>
              <w:bottom w:w="85" w:type="dxa"/>
            </w:tcMar>
          </w:tcPr>
          <w:p w14:paraId="74AFBE0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5195E79" w14:textId="77777777" w:rsidR="00AB66A8" w:rsidRPr="00FA5888" w:rsidRDefault="00AB66A8" w:rsidP="005336FA">
            <w:pPr>
              <w:jc w:val="both"/>
              <w:rPr>
                <w:noProof/>
              </w:rPr>
            </w:pPr>
            <w:r>
              <w:rPr>
                <w:noProof/>
              </w:rPr>
              <w:t>Ehdotus EUROOPAN PARLAMENTIN JA NEUVOSTON ASETUKSEKSI maksupalveluista sisämarkkinoilla ja asetuksen (EU) N:o 1093/2010 muuttamisesta</w:t>
            </w:r>
          </w:p>
        </w:tc>
        <w:tc>
          <w:tcPr>
            <w:tcW w:w="2003" w:type="dxa"/>
            <w:tcMar>
              <w:top w:w="85" w:type="dxa"/>
              <w:left w:w="85" w:type="dxa"/>
              <w:bottom w:w="85" w:type="dxa"/>
            </w:tcMar>
          </w:tcPr>
          <w:p w14:paraId="0949F24C" w14:textId="77777777" w:rsidR="00AB66A8" w:rsidRPr="00FA5888" w:rsidRDefault="00AB66A8" w:rsidP="006C6FCD">
            <w:pPr>
              <w:rPr>
                <w:noProof/>
              </w:rPr>
            </w:pPr>
            <w:r>
              <w:rPr>
                <w:noProof/>
              </w:rPr>
              <w:t>COM(2023) 367 final</w:t>
            </w:r>
            <w:r>
              <w:rPr>
                <w:noProof/>
              </w:rPr>
              <w:br/>
              <w:t>2023/0210 (COD)</w:t>
            </w:r>
            <w:r>
              <w:rPr>
                <w:noProof/>
              </w:rPr>
              <w:br/>
              <w:t>28.6.2023</w:t>
            </w:r>
          </w:p>
        </w:tc>
      </w:tr>
      <w:tr w:rsidR="00AB66A8" w:rsidRPr="006C1C34" w14:paraId="4D7EA5F1" w14:textId="77777777" w:rsidTr="00C12335">
        <w:trPr>
          <w:jc w:val="center"/>
        </w:trPr>
        <w:tc>
          <w:tcPr>
            <w:tcW w:w="562" w:type="dxa"/>
            <w:tcBorders>
              <w:right w:val="nil"/>
            </w:tcBorders>
            <w:shd w:val="clear" w:color="auto" w:fill="auto"/>
            <w:tcMar>
              <w:top w:w="85" w:type="dxa"/>
              <w:left w:w="85" w:type="dxa"/>
              <w:bottom w:w="85" w:type="dxa"/>
            </w:tcMar>
          </w:tcPr>
          <w:p w14:paraId="74CE735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F2CA41B" w14:textId="77777777" w:rsidR="00AB66A8" w:rsidRPr="00FA5888" w:rsidRDefault="00AB66A8" w:rsidP="005336FA">
            <w:pPr>
              <w:jc w:val="both"/>
              <w:rPr>
                <w:noProof/>
              </w:rPr>
            </w:pPr>
            <w:r>
              <w:rPr>
                <w:noProof/>
              </w:rPr>
              <w:t>Ehdotus EUROOPAN PARLAMENTIN JA NEUVOSTON DIREKTIIVIKSI maksupalveluista ja sähköisen rahan palveluista sisämarkkinoilla, direktiivin 98/26/EY muuttamisesta ja direktiivien (EU) 2015/2366 ja 2009/110/EY kumoamisesta</w:t>
            </w:r>
          </w:p>
        </w:tc>
        <w:tc>
          <w:tcPr>
            <w:tcW w:w="2003" w:type="dxa"/>
            <w:tcMar>
              <w:top w:w="85" w:type="dxa"/>
              <w:left w:w="85" w:type="dxa"/>
              <w:bottom w:w="85" w:type="dxa"/>
            </w:tcMar>
          </w:tcPr>
          <w:p w14:paraId="5EA07A3F" w14:textId="77777777" w:rsidR="00AB66A8" w:rsidRPr="00FA5888" w:rsidRDefault="00AB66A8" w:rsidP="006C6FCD">
            <w:pPr>
              <w:rPr>
                <w:noProof/>
              </w:rPr>
            </w:pPr>
            <w:r>
              <w:rPr>
                <w:noProof/>
              </w:rPr>
              <w:t>COM(2023) 366 final</w:t>
            </w:r>
            <w:r>
              <w:rPr>
                <w:noProof/>
              </w:rPr>
              <w:br/>
              <w:t>2023/0209 (COD)</w:t>
            </w:r>
            <w:r>
              <w:rPr>
                <w:noProof/>
              </w:rPr>
              <w:br/>
              <w:t>28.6.2023</w:t>
            </w:r>
          </w:p>
        </w:tc>
      </w:tr>
      <w:tr w:rsidR="00AB66A8" w:rsidRPr="006C1C34" w14:paraId="694892EF" w14:textId="77777777" w:rsidTr="00C12335">
        <w:trPr>
          <w:jc w:val="center"/>
        </w:trPr>
        <w:tc>
          <w:tcPr>
            <w:tcW w:w="562" w:type="dxa"/>
            <w:tcBorders>
              <w:right w:val="nil"/>
            </w:tcBorders>
            <w:shd w:val="clear" w:color="auto" w:fill="auto"/>
            <w:tcMar>
              <w:top w:w="85" w:type="dxa"/>
              <w:left w:w="85" w:type="dxa"/>
              <w:bottom w:w="85" w:type="dxa"/>
            </w:tcMar>
          </w:tcPr>
          <w:p w14:paraId="0EB0ED5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48DCD77" w14:textId="77777777" w:rsidR="00AB66A8" w:rsidRPr="006C1C34" w:rsidRDefault="00AB66A8" w:rsidP="005336FA">
            <w:pPr>
              <w:jc w:val="both"/>
              <w:rPr>
                <w:bCs/>
                <w:noProof/>
              </w:rPr>
            </w:pPr>
            <w:r>
              <w:rPr>
                <w:noProof/>
              </w:rPr>
              <w:t>Ehdotus EUROOPAN PARLAMENTIN JA NEUVOSTON ASETUKSEKSI euroseteleiden ja -metallirahojen laillisen maksuvälineen asemasta</w:t>
            </w:r>
          </w:p>
        </w:tc>
        <w:tc>
          <w:tcPr>
            <w:tcW w:w="2003" w:type="dxa"/>
            <w:tcMar>
              <w:top w:w="85" w:type="dxa"/>
              <w:left w:w="85" w:type="dxa"/>
              <w:bottom w:w="85" w:type="dxa"/>
            </w:tcMar>
          </w:tcPr>
          <w:p w14:paraId="3F10242C" w14:textId="77777777" w:rsidR="00AB66A8" w:rsidRPr="006C1C34" w:rsidRDefault="00AB66A8" w:rsidP="006C6FCD">
            <w:pPr>
              <w:rPr>
                <w:noProof/>
              </w:rPr>
            </w:pPr>
            <w:r>
              <w:rPr>
                <w:noProof/>
              </w:rPr>
              <w:t>COM(2023) 364 final</w:t>
            </w:r>
            <w:r>
              <w:rPr>
                <w:noProof/>
              </w:rPr>
              <w:br/>
              <w:t>2023/0208 (COD)</w:t>
            </w:r>
            <w:r>
              <w:rPr>
                <w:noProof/>
              </w:rPr>
              <w:br/>
              <w:t>28.6.2023</w:t>
            </w:r>
          </w:p>
        </w:tc>
      </w:tr>
      <w:tr w:rsidR="008828E1" w:rsidRPr="006C1C34" w14:paraId="35149397" w14:textId="77777777" w:rsidTr="00C12335">
        <w:trPr>
          <w:jc w:val="center"/>
        </w:trPr>
        <w:tc>
          <w:tcPr>
            <w:tcW w:w="562" w:type="dxa"/>
            <w:tcBorders>
              <w:right w:val="nil"/>
            </w:tcBorders>
            <w:shd w:val="clear" w:color="auto" w:fill="auto"/>
            <w:tcMar>
              <w:top w:w="85" w:type="dxa"/>
              <w:left w:w="85" w:type="dxa"/>
              <w:bottom w:w="85" w:type="dxa"/>
            </w:tcMar>
          </w:tcPr>
          <w:p w14:paraId="24F8A67F" w14:textId="77777777" w:rsidR="008828E1" w:rsidRPr="006C1C34" w:rsidRDefault="008828E1" w:rsidP="008828E1">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21822B6" w14:textId="2513B328" w:rsidR="008828E1" w:rsidRPr="006C1C34" w:rsidRDefault="008828E1" w:rsidP="005336FA">
            <w:pPr>
              <w:jc w:val="both"/>
              <w:rPr>
                <w:bCs/>
                <w:noProof/>
              </w:rPr>
            </w:pPr>
            <w:r>
              <w:rPr>
                <w:noProof/>
              </w:rPr>
              <w:t>Ehdotus EUROOPAN PARLAMENTIN JA NEUVOSTON ASETUKSEKSI rahoitusdatan saatavuutta koskevasta kehyksestä ja asetusten (EU) N:o 1093/2010, (EU) N:o 1094/2010, (EU) N:o 1095/2010 ja (EU) 2022/2554 muuttamisesta</w:t>
            </w:r>
          </w:p>
        </w:tc>
        <w:tc>
          <w:tcPr>
            <w:tcW w:w="2003" w:type="dxa"/>
            <w:tcMar>
              <w:top w:w="85" w:type="dxa"/>
              <w:left w:w="85" w:type="dxa"/>
              <w:bottom w:w="85" w:type="dxa"/>
            </w:tcMar>
          </w:tcPr>
          <w:p w14:paraId="22F89263" w14:textId="5C293EA0" w:rsidR="008828E1" w:rsidRPr="006C1C34" w:rsidRDefault="008828E1" w:rsidP="008828E1">
            <w:pPr>
              <w:rPr>
                <w:noProof/>
              </w:rPr>
            </w:pPr>
            <w:r>
              <w:rPr>
                <w:noProof/>
              </w:rPr>
              <w:t>COM(2023) 360 final</w:t>
            </w:r>
            <w:r>
              <w:rPr>
                <w:noProof/>
              </w:rPr>
              <w:br/>
              <w:t>2023/0205 (COD)</w:t>
            </w:r>
            <w:r>
              <w:rPr>
                <w:noProof/>
              </w:rPr>
              <w:br/>
              <w:t>28.6.2023</w:t>
            </w:r>
          </w:p>
        </w:tc>
      </w:tr>
      <w:tr w:rsidR="00AB66A8" w:rsidRPr="006C1C34" w14:paraId="3634AE89" w14:textId="77777777" w:rsidTr="00C12335">
        <w:trPr>
          <w:jc w:val="center"/>
        </w:trPr>
        <w:tc>
          <w:tcPr>
            <w:tcW w:w="562" w:type="dxa"/>
            <w:tcBorders>
              <w:right w:val="nil"/>
            </w:tcBorders>
            <w:shd w:val="clear" w:color="auto" w:fill="auto"/>
            <w:tcMar>
              <w:top w:w="85" w:type="dxa"/>
              <w:left w:w="85" w:type="dxa"/>
              <w:bottom w:w="85" w:type="dxa"/>
            </w:tcMar>
          </w:tcPr>
          <w:p w14:paraId="2039CAB2"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6421C968" w14:textId="77777777" w:rsidR="00AB66A8" w:rsidRPr="00756151" w:rsidRDefault="00AB66A8" w:rsidP="005336FA">
            <w:pPr>
              <w:jc w:val="both"/>
              <w:rPr>
                <w:rFonts w:cs="Calibri"/>
                <w:noProof/>
              </w:rPr>
            </w:pPr>
            <w:r>
              <w:rPr>
                <w:noProof/>
              </w:rPr>
              <w:t>Ehdotus EUROOPAN PARLAMENTIN JA NEUVOSTON DIREKTIIVIKSI direktiivien 2009/65/EY, 2009/138/EY, 2011/61/EU, 2014/65/EU ja (EU) 2016/97 muuttamisesta vähittäissijoittajien suojaa koskevien unionin sääntöjen osalta</w:t>
            </w:r>
          </w:p>
        </w:tc>
        <w:tc>
          <w:tcPr>
            <w:tcW w:w="2003" w:type="dxa"/>
            <w:tcMar>
              <w:top w:w="85" w:type="dxa"/>
              <w:left w:w="85" w:type="dxa"/>
              <w:bottom w:w="85" w:type="dxa"/>
            </w:tcMar>
          </w:tcPr>
          <w:p w14:paraId="7F388434" w14:textId="77777777" w:rsidR="00AB66A8" w:rsidRPr="008B0455" w:rsidRDefault="00AB66A8" w:rsidP="006C6FCD">
            <w:pPr>
              <w:rPr>
                <w:rFonts w:cs="Calibri"/>
                <w:bCs/>
                <w:noProof/>
              </w:rPr>
            </w:pPr>
            <w:r>
              <w:rPr>
                <w:noProof/>
              </w:rPr>
              <w:t>COM(2023) 279 final</w:t>
            </w:r>
            <w:r>
              <w:rPr>
                <w:noProof/>
              </w:rPr>
              <w:br/>
              <w:t>2023/0167 (COD)</w:t>
            </w:r>
            <w:r>
              <w:rPr>
                <w:noProof/>
              </w:rPr>
              <w:br/>
              <w:t>24.5.2023</w:t>
            </w:r>
          </w:p>
        </w:tc>
      </w:tr>
      <w:tr w:rsidR="00AB66A8" w:rsidRPr="006C1C34" w14:paraId="1705AD27" w14:textId="77777777" w:rsidTr="00C12335">
        <w:trPr>
          <w:jc w:val="center"/>
        </w:trPr>
        <w:tc>
          <w:tcPr>
            <w:tcW w:w="562" w:type="dxa"/>
            <w:tcBorders>
              <w:right w:val="nil"/>
            </w:tcBorders>
            <w:shd w:val="clear" w:color="auto" w:fill="auto"/>
            <w:tcMar>
              <w:top w:w="85" w:type="dxa"/>
              <w:left w:w="85" w:type="dxa"/>
              <w:bottom w:w="85" w:type="dxa"/>
            </w:tcMar>
          </w:tcPr>
          <w:p w14:paraId="1E188A20"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2E77A4A0" w14:textId="77777777" w:rsidR="00AB66A8" w:rsidRPr="00756151" w:rsidRDefault="00AB66A8" w:rsidP="005336FA">
            <w:pPr>
              <w:jc w:val="both"/>
              <w:rPr>
                <w:rFonts w:cs="Calibri"/>
                <w:noProof/>
              </w:rPr>
            </w:pPr>
            <w:r>
              <w:rPr>
                <w:noProof/>
              </w:rPr>
              <w:t>Ehdotus EUROOPAN PARLAMENTIN JA NEUVOSTON ASETUKSEKSI asetuksen (EU) N:o 1286/2014 muuttamisesta avaintietoasiakirjan nykyaikaistamisen osalta</w:t>
            </w:r>
          </w:p>
        </w:tc>
        <w:tc>
          <w:tcPr>
            <w:tcW w:w="2003" w:type="dxa"/>
            <w:tcMar>
              <w:top w:w="85" w:type="dxa"/>
              <w:left w:w="85" w:type="dxa"/>
              <w:bottom w:w="85" w:type="dxa"/>
            </w:tcMar>
          </w:tcPr>
          <w:p w14:paraId="3EF34E0A" w14:textId="77777777" w:rsidR="00AB66A8" w:rsidRPr="006C1C34" w:rsidRDefault="00AB66A8" w:rsidP="006C6FCD">
            <w:pPr>
              <w:rPr>
                <w:rFonts w:cs="Calibri"/>
                <w:bCs/>
                <w:noProof/>
              </w:rPr>
            </w:pPr>
            <w:r>
              <w:rPr>
                <w:noProof/>
              </w:rPr>
              <w:t>COM(2023) 278 final</w:t>
            </w:r>
            <w:r>
              <w:rPr>
                <w:noProof/>
              </w:rPr>
              <w:br/>
              <w:t>2023/0166 (COD)</w:t>
            </w:r>
            <w:r>
              <w:rPr>
                <w:noProof/>
              </w:rPr>
              <w:br/>
              <w:t>24.5.2023</w:t>
            </w:r>
          </w:p>
        </w:tc>
      </w:tr>
      <w:tr w:rsidR="00AB66A8" w:rsidRPr="006C1C34" w14:paraId="6BB82B0B" w14:textId="77777777" w:rsidTr="00C12335">
        <w:trPr>
          <w:jc w:val="center"/>
        </w:trPr>
        <w:tc>
          <w:tcPr>
            <w:tcW w:w="562" w:type="dxa"/>
            <w:tcBorders>
              <w:right w:val="nil"/>
            </w:tcBorders>
            <w:shd w:val="clear" w:color="auto" w:fill="auto"/>
            <w:tcMar>
              <w:top w:w="85" w:type="dxa"/>
              <w:left w:w="85" w:type="dxa"/>
              <w:bottom w:w="85" w:type="dxa"/>
            </w:tcMar>
          </w:tcPr>
          <w:p w14:paraId="4FD06AA3"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0997D545" w14:textId="77777777" w:rsidR="00AB66A8" w:rsidRPr="003F3A64" w:rsidRDefault="00AB66A8" w:rsidP="005336FA">
            <w:pPr>
              <w:jc w:val="both"/>
              <w:rPr>
                <w:rFonts w:cs="Calibri"/>
                <w:noProof/>
              </w:rPr>
            </w:pPr>
            <w:r>
              <w:rPr>
                <w:noProof/>
              </w:rPr>
              <w:t>Ehdotus EUROOPAN PARLAMENTIN JA NEUVOSTON ASETUKSEKSI Euroopan meriturvallisuusvirastosta ja asetuksen (EY) N:o 1406/2002 kumoamisesta</w:t>
            </w:r>
          </w:p>
        </w:tc>
        <w:tc>
          <w:tcPr>
            <w:tcW w:w="2003" w:type="dxa"/>
            <w:tcMar>
              <w:top w:w="85" w:type="dxa"/>
              <w:left w:w="85" w:type="dxa"/>
              <w:bottom w:w="85" w:type="dxa"/>
            </w:tcMar>
          </w:tcPr>
          <w:p w14:paraId="20DD7AAE" w14:textId="77777777" w:rsidR="00AB66A8" w:rsidRPr="003F3A64" w:rsidRDefault="00AB66A8" w:rsidP="006C6FCD">
            <w:pPr>
              <w:rPr>
                <w:rFonts w:cs="Calibri"/>
                <w:bCs/>
                <w:noProof/>
              </w:rPr>
            </w:pPr>
            <w:r>
              <w:rPr>
                <w:noProof/>
              </w:rPr>
              <w:t>COM(2023) 269 final</w:t>
            </w:r>
            <w:r>
              <w:rPr>
                <w:noProof/>
              </w:rPr>
              <w:br/>
              <w:t>2023/0163 (COD)</w:t>
            </w:r>
            <w:r>
              <w:rPr>
                <w:noProof/>
              </w:rPr>
              <w:br/>
              <w:t>1.6.2023</w:t>
            </w:r>
          </w:p>
        </w:tc>
      </w:tr>
      <w:tr w:rsidR="00AB66A8" w:rsidRPr="006C1C34" w14:paraId="57C3CDAE" w14:textId="77777777" w:rsidTr="00C12335">
        <w:trPr>
          <w:jc w:val="center"/>
        </w:trPr>
        <w:tc>
          <w:tcPr>
            <w:tcW w:w="562" w:type="dxa"/>
            <w:tcBorders>
              <w:right w:val="nil"/>
            </w:tcBorders>
            <w:shd w:val="clear" w:color="auto" w:fill="auto"/>
            <w:tcMar>
              <w:top w:w="85" w:type="dxa"/>
              <w:left w:w="85" w:type="dxa"/>
              <w:bottom w:w="85" w:type="dxa"/>
            </w:tcMar>
          </w:tcPr>
          <w:p w14:paraId="135829ED"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384D3659" w14:textId="77777777" w:rsidR="00AB66A8" w:rsidRPr="00C86868" w:rsidRDefault="00AB66A8" w:rsidP="005336FA">
            <w:pPr>
              <w:jc w:val="both"/>
              <w:rPr>
                <w:rFonts w:cs="Calibri"/>
                <w:noProof/>
              </w:rPr>
            </w:pPr>
            <w:r>
              <w:rPr>
                <w:noProof/>
              </w:rPr>
              <w:t>Ehdotus NEUVOSTON DIREKTIIVIKSI direktiivin 2006/112/EY muuttamisesta maahantuotujen tavaroiden etämyynnin mahdollistavia verovelvollisia koskevien arvonlisäverosääntöjen sekä kolmansilta alueilta tai kolmansista maista tuotujen tavaroiden etämyyntiä koskevan erityisjärjestelmän ja tuonnin arvonlisäveron ilmoittamista ja maksamista koskevien erityisjärjestelyjen soveltamisen osalta</w:t>
            </w:r>
          </w:p>
        </w:tc>
        <w:tc>
          <w:tcPr>
            <w:tcW w:w="2003" w:type="dxa"/>
            <w:tcMar>
              <w:top w:w="85" w:type="dxa"/>
              <w:left w:w="85" w:type="dxa"/>
              <w:bottom w:w="85" w:type="dxa"/>
            </w:tcMar>
          </w:tcPr>
          <w:p w14:paraId="052AD897" w14:textId="77777777" w:rsidR="00AB66A8" w:rsidRPr="006019CB" w:rsidRDefault="00AB66A8" w:rsidP="006C6FCD">
            <w:pPr>
              <w:rPr>
                <w:noProof/>
              </w:rPr>
            </w:pPr>
            <w:r>
              <w:rPr>
                <w:noProof/>
              </w:rPr>
              <w:t>COM(2023) 262 final</w:t>
            </w:r>
            <w:r>
              <w:rPr>
                <w:noProof/>
              </w:rPr>
              <w:br/>
              <w:t>2023/0158 (CNS)</w:t>
            </w:r>
            <w:r>
              <w:rPr>
                <w:noProof/>
              </w:rPr>
              <w:br/>
              <w:t>17.5.2023</w:t>
            </w:r>
          </w:p>
        </w:tc>
      </w:tr>
      <w:tr w:rsidR="00AB66A8" w:rsidRPr="006C1C34" w14:paraId="32D377BC" w14:textId="77777777" w:rsidTr="00C12335">
        <w:trPr>
          <w:jc w:val="center"/>
        </w:trPr>
        <w:tc>
          <w:tcPr>
            <w:tcW w:w="562" w:type="dxa"/>
            <w:tcBorders>
              <w:right w:val="nil"/>
            </w:tcBorders>
            <w:shd w:val="clear" w:color="auto" w:fill="auto"/>
            <w:tcMar>
              <w:top w:w="85" w:type="dxa"/>
              <w:left w:w="85" w:type="dxa"/>
              <w:bottom w:w="85" w:type="dxa"/>
            </w:tcMar>
          </w:tcPr>
          <w:p w14:paraId="0DB6683A"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29C92EA5" w14:textId="77777777" w:rsidR="00AB66A8" w:rsidRPr="005C44AA" w:rsidRDefault="00AB66A8" w:rsidP="005336FA">
            <w:pPr>
              <w:jc w:val="both"/>
              <w:rPr>
                <w:rFonts w:cs="Calibri"/>
                <w:noProof/>
                <w:color w:val="FF0000"/>
              </w:rPr>
            </w:pPr>
            <w:r>
              <w:rPr>
                <w:noProof/>
              </w:rPr>
              <w:t>Ehdotus NEUVOSTON ASETUKSEKSI asetuksen (ETY) N:o 2658/87 muuttamisesta ottamalla käyttöön tavaroiden etämyynnin yksinkertaistetun tullikohtelun ja asetuksen (EY) N:o 1186/2009 muuttamisesta poistamalla tullittomuuden kynnysarvon</w:t>
            </w:r>
          </w:p>
        </w:tc>
        <w:tc>
          <w:tcPr>
            <w:tcW w:w="2003" w:type="dxa"/>
            <w:tcMar>
              <w:top w:w="85" w:type="dxa"/>
              <w:left w:w="85" w:type="dxa"/>
              <w:bottom w:w="85" w:type="dxa"/>
            </w:tcMar>
          </w:tcPr>
          <w:p w14:paraId="260F44E9" w14:textId="77777777" w:rsidR="00AB66A8" w:rsidRPr="006019CB" w:rsidRDefault="00AB66A8" w:rsidP="006C6FCD">
            <w:pPr>
              <w:rPr>
                <w:noProof/>
              </w:rPr>
            </w:pPr>
            <w:r>
              <w:rPr>
                <w:noProof/>
              </w:rPr>
              <w:t>COM(2023) 259 final</w:t>
            </w:r>
            <w:r>
              <w:rPr>
                <w:noProof/>
              </w:rPr>
              <w:br/>
              <w:t>2023/0157 (NLE)</w:t>
            </w:r>
            <w:r>
              <w:rPr>
                <w:noProof/>
              </w:rPr>
              <w:br/>
              <w:t>17.5.2023</w:t>
            </w:r>
          </w:p>
        </w:tc>
      </w:tr>
      <w:tr w:rsidR="00AB66A8" w:rsidRPr="006C1C34" w14:paraId="5FAE061C" w14:textId="77777777" w:rsidTr="00C12335">
        <w:trPr>
          <w:jc w:val="center"/>
        </w:trPr>
        <w:tc>
          <w:tcPr>
            <w:tcW w:w="562" w:type="dxa"/>
            <w:tcBorders>
              <w:right w:val="nil"/>
            </w:tcBorders>
            <w:shd w:val="clear" w:color="auto" w:fill="auto"/>
            <w:tcMar>
              <w:top w:w="85" w:type="dxa"/>
              <w:left w:w="85" w:type="dxa"/>
              <w:bottom w:w="85" w:type="dxa"/>
            </w:tcMar>
          </w:tcPr>
          <w:p w14:paraId="75A54002" w14:textId="77777777" w:rsidR="00AB66A8" w:rsidRPr="006C1C34" w:rsidRDefault="00AB66A8" w:rsidP="005071EE">
            <w:pPr>
              <w:numPr>
                <w:ilvl w:val="0"/>
                <w:numId w:val="6"/>
              </w:numPr>
              <w:ind w:left="425" w:hanging="357"/>
              <w:contextualSpacing/>
              <w:rPr>
                <w:b/>
                <w:noProof/>
              </w:rPr>
            </w:pPr>
          </w:p>
        </w:tc>
        <w:tc>
          <w:tcPr>
            <w:tcW w:w="11464" w:type="dxa"/>
            <w:shd w:val="clear" w:color="auto" w:fill="auto"/>
            <w:tcMar>
              <w:top w:w="85" w:type="dxa"/>
              <w:left w:w="85" w:type="dxa"/>
              <w:bottom w:w="85" w:type="dxa"/>
              <w:right w:w="85" w:type="dxa"/>
            </w:tcMar>
          </w:tcPr>
          <w:p w14:paraId="5F958F53" w14:textId="77777777" w:rsidR="00AB66A8" w:rsidRPr="00530BD8" w:rsidRDefault="00AB66A8" w:rsidP="005336FA">
            <w:pPr>
              <w:jc w:val="both"/>
              <w:rPr>
                <w:noProof/>
              </w:rPr>
            </w:pPr>
            <w:r>
              <w:rPr>
                <w:noProof/>
              </w:rPr>
              <w:t>Ehdotus EUROOPAN PARLAMENTIN JA NEUVOSTON ASETUKSEKSI unionin tullikoodeksista, Euroopan unionin tulliviranomaisen perustamisesta ja asetuksen (EU) N:o 952/2013 kumoamisesta</w:t>
            </w:r>
          </w:p>
        </w:tc>
        <w:tc>
          <w:tcPr>
            <w:tcW w:w="2003" w:type="dxa"/>
            <w:tcMar>
              <w:top w:w="85" w:type="dxa"/>
              <w:left w:w="85" w:type="dxa"/>
              <w:bottom w:w="85" w:type="dxa"/>
            </w:tcMar>
          </w:tcPr>
          <w:p w14:paraId="07A85413" w14:textId="77777777" w:rsidR="00AB66A8" w:rsidRPr="003F3A64" w:rsidRDefault="00AB66A8" w:rsidP="006C6FCD">
            <w:pPr>
              <w:rPr>
                <w:noProof/>
              </w:rPr>
            </w:pPr>
            <w:r>
              <w:rPr>
                <w:noProof/>
              </w:rPr>
              <w:t xml:space="preserve">COM(2023) 258 final </w:t>
            </w:r>
            <w:r>
              <w:rPr>
                <w:noProof/>
              </w:rPr>
              <w:br/>
              <w:t>2023/0156 (COD)</w:t>
            </w:r>
            <w:r>
              <w:rPr>
                <w:noProof/>
              </w:rPr>
              <w:br/>
              <w:t>17.5.2023</w:t>
            </w:r>
          </w:p>
        </w:tc>
      </w:tr>
      <w:tr w:rsidR="00AB66A8" w:rsidRPr="006C1C34" w14:paraId="65EF8F87" w14:textId="77777777" w:rsidTr="00C12335">
        <w:trPr>
          <w:jc w:val="center"/>
        </w:trPr>
        <w:tc>
          <w:tcPr>
            <w:tcW w:w="562" w:type="dxa"/>
            <w:tcBorders>
              <w:right w:val="nil"/>
            </w:tcBorders>
            <w:shd w:val="clear" w:color="auto" w:fill="auto"/>
            <w:tcMar>
              <w:top w:w="85" w:type="dxa"/>
              <w:left w:w="85" w:type="dxa"/>
              <w:bottom w:w="85" w:type="dxa"/>
            </w:tcMar>
          </w:tcPr>
          <w:p w14:paraId="49BC8CC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1715C4C" w14:textId="77777777" w:rsidR="00AB66A8" w:rsidRPr="006C1C34" w:rsidRDefault="00AB66A8" w:rsidP="005336FA">
            <w:pPr>
              <w:jc w:val="both"/>
              <w:rPr>
                <w:rFonts w:cs="Calibri"/>
                <w:noProof/>
              </w:rPr>
            </w:pPr>
            <w:r>
              <w:rPr>
                <w:noProof/>
              </w:rPr>
              <w:t>Ehdotus EUROOPAN PARLAMENTIN JA NEUVOSTON DIREKTIIVIKSI direktiivin 2014/49/EU muuttamisesta talletussuojan soveltamisalan, talletusten vakuusjärjestelmien varojen käytön, rajatylittävän yhteistyön ja avoimuuden osalta</w:t>
            </w:r>
          </w:p>
        </w:tc>
        <w:tc>
          <w:tcPr>
            <w:tcW w:w="2003" w:type="dxa"/>
            <w:tcMar>
              <w:top w:w="85" w:type="dxa"/>
              <w:left w:w="85" w:type="dxa"/>
              <w:bottom w:w="85" w:type="dxa"/>
            </w:tcMar>
          </w:tcPr>
          <w:p w14:paraId="54EEBDAE" w14:textId="77777777" w:rsidR="00AB66A8" w:rsidRPr="006C1C34" w:rsidRDefault="00AB66A8" w:rsidP="006C6FCD">
            <w:pPr>
              <w:rPr>
                <w:noProof/>
              </w:rPr>
            </w:pPr>
            <w:r>
              <w:rPr>
                <w:noProof/>
              </w:rPr>
              <w:t>COM(2023) 228 final</w:t>
            </w:r>
            <w:r>
              <w:rPr>
                <w:noProof/>
              </w:rPr>
              <w:br/>
              <w:t>2023/0115 (COD)</w:t>
            </w:r>
            <w:r>
              <w:rPr>
                <w:noProof/>
              </w:rPr>
              <w:br/>
              <w:t>18.4.2023</w:t>
            </w:r>
          </w:p>
        </w:tc>
      </w:tr>
      <w:tr w:rsidR="00AB66A8" w:rsidRPr="006C1C34" w14:paraId="7DC3D948" w14:textId="77777777" w:rsidTr="00C12335">
        <w:trPr>
          <w:jc w:val="center"/>
        </w:trPr>
        <w:tc>
          <w:tcPr>
            <w:tcW w:w="562" w:type="dxa"/>
            <w:tcBorders>
              <w:right w:val="nil"/>
            </w:tcBorders>
            <w:shd w:val="clear" w:color="auto" w:fill="auto"/>
            <w:tcMar>
              <w:top w:w="85" w:type="dxa"/>
              <w:left w:w="85" w:type="dxa"/>
              <w:bottom w:w="85" w:type="dxa"/>
            </w:tcMar>
          </w:tcPr>
          <w:p w14:paraId="32622DA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B7DF997" w14:textId="77777777" w:rsidR="00AB66A8" w:rsidRPr="006C1C34" w:rsidRDefault="00AB66A8" w:rsidP="005336FA">
            <w:pPr>
              <w:jc w:val="both"/>
              <w:rPr>
                <w:rFonts w:cs="Calibri"/>
                <w:noProof/>
              </w:rPr>
            </w:pPr>
            <w:r>
              <w:rPr>
                <w:noProof/>
                <w:color w:val="000000"/>
              </w:rPr>
              <w:t>Ehdotus EUROOPAN PARLAMENTIN JA NEUVOSTON DIREKTIIVIKSI direktiivin 2014/59/EU muuttamisesta varhaisen tilanteeseen puuttumisen toimenpiteiden, kriisinratkaisuedellytysten ja kriisinratkaisutoimien rahoituksen osalta</w:t>
            </w:r>
          </w:p>
        </w:tc>
        <w:tc>
          <w:tcPr>
            <w:tcW w:w="2003" w:type="dxa"/>
            <w:tcMar>
              <w:top w:w="85" w:type="dxa"/>
              <w:left w:w="85" w:type="dxa"/>
              <w:bottom w:w="85" w:type="dxa"/>
            </w:tcMar>
          </w:tcPr>
          <w:p w14:paraId="2ADD1037" w14:textId="77777777" w:rsidR="00AB66A8" w:rsidRPr="006C1C34" w:rsidRDefault="00AB66A8" w:rsidP="006C6FCD">
            <w:pPr>
              <w:rPr>
                <w:noProof/>
              </w:rPr>
            </w:pPr>
            <w:r>
              <w:rPr>
                <w:noProof/>
              </w:rPr>
              <w:t>COM(2023) 227 final</w:t>
            </w:r>
            <w:r>
              <w:rPr>
                <w:noProof/>
              </w:rPr>
              <w:br/>
              <w:t>2023/0112 (COD)</w:t>
            </w:r>
            <w:r>
              <w:rPr>
                <w:noProof/>
              </w:rPr>
              <w:br/>
              <w:t>18.4.2023</w:t>
            </w:r>
          </w:p>
        </w:tc>
      </w:tr>
      <w:tr w:rsidR="00AB66A8" w:rsidRPr="006C1C34" w14:paraId="2CE6D98F" w14:textId="77777777" w:rsidTr="00C12335">
        <w:trPr>
          <w:jc w:val="center"/>
        </w:trPr>
        <w:tc>
          <w:tcPr>
            <w:tcW w:w="562" w:type="dxa"/>
            <w:tcBorders>
              <w:right w:val="nil"/>
            </w:tcBorders>
            <w:shd w:val="clear" w:color="auto" w:fill="auto"/>
            <w:tcMar>
              <w:top w:w="85" w:type="dxa"/>
              <w:left w:w="85" w:type="dxa"/>
              <w:bottom w:w="85" w:type="dxa"/>
            </w:tcMar>
          </w:tcPr>
          <w:p w14:paraId="5D738E0C"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51D5BF8" w14:textId="77777777" w:rsidR="00AB66A8" w:rsidRPr="006C1C34" w:rsidRDefault="00AB66A8" w:rsidP="005336FA">
            <w:pPr>
              <w:jc w:val="both"/>
              <w:rPr>
                <w:rFonts w:cs="Calibri"/>
                <w:noProof/>
                <w:color w:val="000000"/>
              </w:rPr>
            </w:pPr>
            <w:r>
              <w:rPr>
                <w:noProof/>
              </w:rPr>
              <w:t>Ehdotus EUROOPAN PARLAMENTIN JA NEUVOSTON ASETUKSEKSI asetuksen (EU) N:o 806/2014 muuttamisesta varhaisen tilanteeseen puuttumisen toimenpiteiden, kriisinratkaisuedellytysten ja kriisinratkaisutoimien rahoituksen osalta</w:t>
            </w:r>
          </w:p>
        </w:tc>
        <w:tc>
          <w:tcPr>
            <w:tcW w:w="2003" w:type="dxa"/>
            <w:tcMar>
              <w:top w:w="85" w:type="dxa"/>
              <w:left w:w="85" w:type="dxa"/>
              <w:bottom w:w="85" w:type="dxa"/>
            </w:tcMar>
          </w:tcPr>
          <w:p w14:paraId="425E0B5D" w14:textId="77777777" w:rsidR="00AB66A8" w:rsidRPr="006C1C34" w:rsidRDefault="00AB66A8" w:rsidP="006C6FCD">
            <w:pPr>
              <w:rPr>
                <w:noProof/>
              </w:rPr>
            </w:pPr>
            <w:r>
              <w:rPr>
                <w:noProof/>
              </w:rPr>
              <w:t>COM(2023) 226 final</w:t>
            </w:r>
            <w:r>
              <w:rPr>
                <w:noProof/>
              </w:rPr>
              <w:br/>
              <w:t>2023/0111 (COD)</w:t>
            </w:r>
            <w:r>
              <w:rPr>
                <w:noProof/>
              </w:rPr>
              <w:br/>
              <w:t>18.4.2023</w:t>
            </w:r>
          </w:p>
        </w:tc>
      </w:tr>
      <w:tr w:rsidR="00AB66A8" w:rsidRPr="006C1C34" w14:paraId="61749AB7"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2F35169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2AFADCA" w14:textId="77777777" w:rsidR="00AB66A8" w:rsidRPr="006C1C34" w:rsidRDefault="00AB66A8" w:rsidP="005336FA">
            <w:pPr>
              <w:jc w:val="both"/>
              <w:rPr>
                <w:noProof/>
              </w:rPr>
            </w:pPr>
            <w:r>
              <w:rPr>
                <w:noProof/>
              </w:rPr>
              <w:t>Ehdotus EUROOPAN PARLAMENTIN JA NEUVOSTON ASETUKSEKSI kriisinhallintaan tarkoitetusta pakkolisensoinnista ja asetuksen (EY) N:o 816/2006 muuttamisesta</w:t>
            </w:r>
          </w:p>
        </w:tc>
        <w:tc>
          <w:tcPr>
            <w:tcW w:w="2003" w:type="dxa"/>
            <w:tcBorders>
              <w:bottom w:val="single" w:sz="4" w:space="0" w:color="auto"/>
            </w:tcBorders>
            <w:tcMar>
              <w:top w:w="85" w:type="dxa"/>
              <w:left w:w="85" w:type="dxa"/>
              <w:bottom w:w="85" w:type="dxa"/>
            </w:tcMar>
          </w:tcPr>
          <w:p w14:paraId="48AAF48D" w14:textId="77777777" w:rsidR="00AB66A8" w:rsidRPr="006C1C34" w:rsidRDefault="00AB66A8" w:rsidP="006C6FCD">
            <w:pPr>
              <w:rPr>
                <w:noProof/>
              </w:rPr>
            </w:pPr>
            <w:r>
              <w:rPr>
                <w:noProof/>
              </w:rPr>
              <w:t>COM(2023) 224 final</w:t>
            </w:r>
            <w:r>
              <w:rPr>
                <w:noProof/>
              </w:rPr>
              <w:br/>
              <w:t>2023/0129 (COD)</w:t>
            </w:r>
            <w:r>
              <w:rPr>
                <w:noProof/>
              </w:rPr>
              <w:br/>
              <w:t>27.4.2023</w:t>
            </w:r>
          </w:p>
        </w:tc>
      </w:tr>
      <w:tr w:rsidR="00AB66A8" w:rsidRPr="006C1C34" w14:paraId="0618CF83" w14:textId="77777777" w:rsidTr="00C12335">
        <w:trPr>
          <w:jc w:val="center"/>
        </w:trPr>
        <w:tc>
          <w:tcPr>
            <w:tcW w:w="562" w:type="dxa"/>
            <w:tcBorders>
              <w:bottom w:val="nil"/>
              <w:right w:val="nil"/>
            </w:tcBorders>
            <w:shd w:val="clear" w:color="auto" w:fill="auto"/>
            <w:tcMar>
              <w:top w:w="85" w:type="dxa"/>
              <w:left w:w="85" w:type="dxa"/>
              <w:bottom w:w="85" w:type="dxa"/>
            </w:tcMar>
          </w:tcPr>
          <w:p w14:paraId="516041FC" w14:textId="77777777" w:rsidR="00AB66A8" w:rsidRPr="006C1C3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74D042C6" w14:textId="77777777" w:rsidR="00AB66A8" w:rsidRPr="006C1C34" w:rsidRDefault="00AB66A8" w:rsidP="005336FA">
            <w:pPr>
              <w:jc w:val="both"/>
              <w:rPr>
                <w:noProof/>
              </w:rPr>
            </w:pPr>
            <w:r>
              <w:rPr>
                <w:noProof/>
              </w:rPr>
              <w:t>Ehdotus EUROOPAN PARLAMENTIN JA NEUVOSTON ASETUKSEKSI lääkkeiden lisäsuojatodistuksesta (uudelleenlaadittu)</w:t>
            </w:r>
          </w:p>
        </w:tc>
        <w:tc>
          <w:tcPr>
            <w:tcW w:w="2003" w:type="dxa"/>
            <w:tcBorders>
              <w:bottom w:val="nil"/>
            </w:tcBorders>
            <w:tcMar>
              <w:top w:w="85" w:type="dxa"/>
              <w:left w:w="85" w:type="dxa"/>
              <w:bottom w:w="85" w:type="dxa"/>
            </w:tcMar>
          </w:tcPr>
          <w:p w14:paraId="749EAB26" w14:textId="77777777" w:rsidR="00AB66A8" w:rsidRPr="006C1C34" w:rsidRDefault="00AB66A8" w:rsidP="006C6FCD">
            <w:pPr>
              <w:rPr>
                <w:noProof/>
              </w:rPr>
            </w:pPr>
            <w:r>
              <w:rPr>
                <w:noProof/>
              </w:rPr>
              <w:t>COM(2023) 231 final</w:t>
            </w:r>
            <w:r>
              <w:rPr>
                <w:noProof/>
              </w:rPr>
              <w:br/>
              <w:t>2023/0130 (COD)</w:t>
            </w:r>
            <w:r>
              <w:rPr>
                <w:noProof/>
              </w:rPr>
              <w:br/>
              <w:t>27.4.2023</w:t>
            </w:r>
          </w:p>
        </w:tc>
      </w:tr>
      <w:tr w:rsidR="00AB66A8" w:rsidRPr="006C1C34" w14:paraId="66AA479E"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00DD8E10"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4E9FBB80" w14:textId="77777777" w:rsidR="00AB66A8" w:rsidRPr="00F21D3C" w:rsidRDefault="00AB66A8" w:rsidP="005336FA">
            <w:pPr>
              <w:jc w:val="both"/>
              <w:rPr>
                <w:noProof/>
              </w:rPr>
            </w:pPr>
            <w:r>
              <w:rPr>
                <w:noProof/>
              </w:rPr>
              <w:t>Ehdotus EUROOPAN PARLAMENTIN JA NEUVOSTON ASETUKSEKSI kasvinsuojeluaineiden lisäsuojatodistuksesta (uudelleenlaadittu)</w:t>
            </w:r>
          </w:p>
        </w:tc>
        <w:tc>
          <w:tcPr>
            <w:tcW w:w="2003" w:type="dxa"/>
            <w:tcBorders>
              <w:top w:val="nil"/>
              <w:bottom w:val="nil"/>
            </w:tcBorders>
            <w:tcMar>
              <w:top w:w="85" w:type="dxa"/>
              <w:left w:w="85" w:type="dxa"/>
              <w:bottom w:w="85" w:type="dxa"/>
            </w:tcMar>
          </w:tcPr>
          <w:p w14:paraId="60E90679" w14:textId="77777777" w:rsidR="00AB66A8" w:rsidRPr="00006850" w:rsidRDefault="00AB66A8" w:rsidP="006C6FCD">
            <w:pPr>
              <w:rPr>
                <w:noProof/>
                <w:highlight w:val="lightGray"/>
              </w:rPr>
            </w:pPr>
            <w:r>
              <w:rPr>
                <w:noProof/>
              </w:rPr>
              <w:t>COM(2023) 223 final</w:t>
            </w:r>
            <w:r>
              <w:rPr>
                <w:noProof/>
              </w:rPr>
              <w:br/>
              <w:t>2023/0128 (COD)</w:t>
            </w:r>
            <w:r>
              <w:rPr>
                <w:noProof/>
                <w:highlight w:val="green"/>
              </w:rPr>
              <w:br/>
            </w:r>
            <w:r>
              <w:rPr>
                <w:noProof/>
              </w:rPr>
              <w:t>27.4.2023</w:t>
            </w:r>
          </w:p>
        </w:tc>
      </w:tr>
      <w:tr w:rsidR="00AB66A8" w:rsidRPr="006C1C34" w14:paraId="75A0571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2D8A5550"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2EF79A88" w14:textId="77777777" w:rsidR="00AB66A8" w:rsidRPr="006C1C34" w:rsidRDefault="00AB66A8" w:rsidP="005336FA">
            <w:pPr>
              <w:jc w:val="both"/>
              <w:rPr>
                <w:noProof/>
              </w:rPr>
            </w:pPr>
            <w:r>
              <w:rPr>
                <w:noProof/>
              </w:rPr>
              <w:t>Ehdotus EUROOPAN PARLAMENTIN JA NEUVOSTON ASETUKSEKSI lääkkeiden yhtenäisestä lisäsuojatodistuksesta ja asetuksen (EU) 2017/1001, asetuksen (EY) N:o 1901/2006 ja asetuksen (EU) N:o 608/2013 muuttamisesta</w:t>
            </w:r>
          </w:p>
        </w:tc>
        <w:tc>
          <w:tcPr>
            <w:tcW w:w="2003" w:type="dxa"/>
            <w:tcBorders>
              <w:top w:val="nil"/>
              <w:bottom w:val="nil"/>
            </w:tcBorders>
            <w:tcMar>
              <w:top w:w="85" w:type="dxa"/>
              <w:left w:w="85" w:type="dxa"/>
              <w:bottom w:w="85" w:type="dxa"/>
            </w:tcMar>
          </w:tcPr>
          <w:p w14:paraId="6BF01D48" w14:textId="77777777" w:rsidR="00AB66A8" w:rsidRPr="006C1C34" w:rsidRDefault="00AB66A8" w:rsidP="006C6FCD">
            <w:pPr>
              <w:rPr>
                <w:noProof/>
              </w:rPr>
            </w:pPr>
            <w:r>
              <w:rPr>
                <w:noProof/>
              </w:rPr>
              <w:t>COM(2023) 222 final</w:t>
            </w:r>
            <w:r>
              <w:rPr>
                <w:noProof/>
              </w:rPr>
              <w:br/>
              <w:t>2023/0127 (COD)</w:t>
            </w:r>
            <w:r>
              <w:rPr>
                <w:noProof/>
              </w:rPr>
              <w:br/>
              <w:t>27.4.2023</w:t>
            </w:r>
          </w:p>
        </w:tc>
      </w:tr>
      <w:tr w:rsidR="00AB66A8" w:rsidRPr="006C1C34" w14:paraId="203F2B5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233A7BB4"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15A87A97" w14:textId="77777777" w:rsidR="00AB66A8" w:rsidRPr="006C1C34" w:rsidRDefault="00AB66A8" w:rsidP="005336FA">
            <w:pPr>
              <w:jc w:val="both"/>
              <w:rPr>
                <w:noProof/>
              </w:rPr>
            </w:pPr>
            <w:r>
              <w:rPr>
                <w:noProof/>
              </w:rPr>
              <w:t>Ehdotus EUROOPAN PARLAMENTIN JA NEUVOSTON ASETUKSEKSI kasvinsuojeluaineiden yhtenäisestä lisäsuojatodistuksesta</w:t>
            </w:r>
          </w:p>
        </w:tc>
        <w:tc>
          <w:tcPr>
            <w:tcW w:w="2003" w:type="dxa"/>
            <w:tcBorders>
              <w:top w:val="nil"/>
              <w:bottom w:val="nil"/>
            </w:tcBorders>
            <w:tcMar>
              <w:top w:w="85" w:type="dxa"/>
              <w:left w:w="85" w:type="dxa"/>
              <w:bottom w:w="85" w:type="dxa"/>
            </w:tcMar>
          </w:tcPr>
          <w:p w14:paraId="7B73B04B" w14:textId="77777777" w:rsidR="00AB66A8" w:rsidRPr="006C1C34" w:rsidRDefault="00AB66A8" w:rsidP="006C6FCD">
            <w:pPr>
              <w:rPr>
                <w:noProof/>
              </w:rPr>
            </w:pPr>
            <w:r>
              <w:rPr>
                <w:noProof/>
              </w:rPr>
              <w:t>COM(2023) 221 final</w:t>
            </w:r>
            <w:r>
              <w:rPr>
                <w:noProof/>
              </w:rPr>
              <w:br/>
              <w:t>2023/0126 (COD)</w:t>
            </w:r>
            <w:r>
              <w:rPr>
                <w:noProof/>
                <w:highlight w:val="green"/>
              </w:rPr>
              <w:br/>
            </w:r>
            <w:r>
              <w:rPr>
                <w:noProof/>
              </w:rPr>
              <w:t>27.4.2023</w:t>
            </w:r>
          </w:p>
        </w:tc>
      </w:tr>
      <w:tr w:rsidR="00AB66A8" w:rsidRPr="006C1C34" w:rsidDel="00A52B94" w14:paraId="58C67074" w14:textId="77777777" w:rsidTr="00C12335">
        <w:trPr>
          <w:jc w:val="center"/>
        </w:trPr>
        <w:tc>
          <w:tcPr>
            <w:tcW w:w="562" w:type="dxa"/>
            <w:tcBorders>
              <w:right w:val="nil"/>
            </w:tcBorders>
            <w:shd w:val="clear" w:color="auto" w:fill="auto"/>
            <w:tcMar>
              <w:top w:w="85" w:type="dxa"/>
              <w:left w:w="85" w:type="dxa"/>
              <w:bottom w:w="85" w:type="dxa"/>
            </w:tcMar>
          </w:tcPr>
          <w:p w14:paraId="326EEA25"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64196E19" w14:textId="77777777" w:rsidR="00AB66A8" w:rsidRPr="006C1C34" w:rsidRDefault="00AB66A8" w:rsidP="005336FA">
            <w:pPr>
              <w:jc w:val="both"/>
              <w:rPr>
                <w:bCs/>
                <w:noProof/>
              </w:rPr>
            </w:pPr>
            <w:r>
              <w:rPr>
                <w:noProof/>
              </w:rPr>
              <w:t>Ehdotus EUROOPAN PARLAMENTIN JA NEUVOSTON ASETUKSEKSI pesuaineista ja pinta-aktiivisista aineista, asetuksen (EU) 2019/1020 muuttamisesta ja asetuksen (EY) N:o 648/2004 kumoamisesta</w:t>
            </w:r>
          </w:p>
        </w:tc>
        <w:tc>
          <w:tcPr>
            <w:tcW w:w="2003" w:type="dxa"/>
            <w:tcBorders>
              <w:bottom w:val="nil"/>
            </w:tcBorders>
            <w:tcMar>
              <w:top w:w="85" w:type="dxa"/>
              <w:left w:w="85" w:type="dxa"/>
              <w:bottom w:w="85" w:type="dxa"/>
            </w:tcMar>
          </w:tcPr>
          <w:p w14:paraId="3EA19B0F" w14:textId="77777777" w:rsidR="00AB66A8" w:rsidRPr="006C1C34" w:rsidRDefault="00AB66A8" w:rsidP="006C6FCD">
            <w:pPr>
              <w:rPr>
                <w:bCs/>
                <w:noProof/>
              </w:rPr>
            </w:pPr>
            <w:r>
              <w:rPr>
                <w:noProof/>
              </w:rPr>
              <w:t>COM(2023) 217 final</w:t>
            </w:r>
            <w:r>
              <w:rPr>
                <w:noProof/>
              </w:rPr>
              <w:br/>
              <w:t>2023/0124 (COD)</w:t>
            </w:r>
            <w:r>
              <w:rPr>
                <w:noProof/>
              </w:rPr>
              <w:br/>
              <w:t>28.4.2023</w:t>
            </w:r>
          </w:p>
        </w:tc>
      </w:tr>
      <w:tr w:rsidR="00AB66A8" w:rsidRPr="006C1C34" w:rsidDel="00A52B94" w14:paraId="5F00EC55" w14:textId="77777777" w:rsidTr="00C12335">
        <w:trPr>
          <w:jc w:val="center"/>
        </w:trPr>
        <w:tc>
          <w:tcPr>
            <w:tcW w:w="562" w:type="dxa"/>
            <w:vMerge w:val="restart"/>
            <w:tcBorders>
              <w:right w:val="nil"/>
            </w:tcBorders>
            <w:shd w:val="clear" w:color="auto" w:fill="auto"/>
            <w:tcMar>
              <w:top w:w="85" w:type="dxa"/>
              <w:left w:w="85" w:type="dxa"/>
              <w:bottom w:w="85" w:type="dxa"/>
            </w:tcMar>
          </w:tcPr>
          <w:p w14:paraId="4FD50275"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39CC270F" w14:textId="77777777" w:rsidR="00AB66A8" w:rsidRPr="006C1C34" w:rsidDel="00A52B94" w:rsidRDefault="00AB66A8" w:rsidP="005336FA">
            <w:pPr>
              <w:jc w:val="both"/>
              <w:rPr>
                <w:rFonts w:cs="Calibri"/>
                <w:noProof/>
              </w:rPr>
            </w:pPr>
            <w:r>
              <w:rPr>
                <w:noProof/>
              </w:rPr>
              <w:t>Ehdotus EUROOPAN PARLAMENTIN JA NEUVOSTON ASETUKSEKSI ihmisille tarkoitettuja lääkkeitä koskevista unionin lupa- ja valvontamenettelyistä ja Euroopan lääkevirastoa koskevista säännöistä, asetuksen (EY) N:o 1394/2007 ja asetuksen (EU) N:o 536/2014 muuttamisesta sekä asetuksen (EY) N:o 726/2004, asetuksen (EY) N:o 141/2000 ja asetuksen (EY) N:o 1901/2006 kumoamisesta</w:t>
            </w:r>
          </w:p>
        </w:tc>
        <w:tc>
          <w:tcPr>
            <w:tcW w:w="2003" w:type="dxa"/>
            <w:tcBorders>
              <w:bottom w:val="nil"/>
            </w:tcBorders>
            <w:tcMar>
              <w:top w:w="85" w:type="dxa"/>
              <w:left w:w="85" w:type="dxa"/>
              <w:bottom w:w="85" w:type="dxa"/>
            </w:tcMar>
          </w:tcPr>
          <w:p w14:paraId="68033B25" w14:textId="77777777" w:rsidR="00AB66A8" w:rsidRPr="006C1C34" w:rsidDel="00A52B94" w:rsidRDefault="00AB66A8" w:rsidP="006C6FCD">
            <w:pPr>
              <w:rPr>
                <w:noProof/>
              </w:rPr>
            </w:pPr>
            <w:r>
              <w:rPr>
                <w:noProof/>
              </w:rPr>
              <w:t>COM(2023) 193 final</w:t>
            </w:r>
            <w:r>
              <w:rPr>
                <w:noProof/>
              </w:rPr>
              <w:br/>
              <w:t>2023/0131 (COD)</w:t>
            </w:r>
            <w:r>
              <w:rPr>
                <w:noProof/>
              </w:rPr>
              <w:br/>
              <w:t>26.4.2023</w:t>
            </w:r>
          </w:p>
        </w:tc>
      </w:tr>
      <w:tr w:rsidR="00AB66A8" w:rsidRPr="006C1C34" w:rsidDel="00A52B94" w14:paraId="4218A2ED" w14:textId="77777777" w:rsidTr="00C12335">
        <w:trPr>
          <w:jc w:val="center"/>
        </w:trPr>
        <w:tc>
          <w:tcPr>
            <w:tcW w:w="562" w:type="dxa"/>
            <w:vMerge/>
            <w:tcMar>
              <w:top w:w="85" w:type="dxa"/>
              <w:left w:w="85" w:type="dxa"/>
              <w:bottom w:w="85" w:type="dxa"/>
            </w:tcMar>
          </w:tcPr>
          <w:p w14:paraId="41775651" w14:textId="77777777" w:rsidR="00AB66A8" w:rsidRPr="006C1C34" w:rsidDel="00A52B94" w:rsidRDefault="00AB66A8" w:rsidP="005071EE">
            <w:pPr>
              <w:numPr>
                <w:ilvl w:val="0"/>
                <w:numId w:val="6"/>
              </w:numPr>
              <w:ind w:left="425" w:hanging="357"/>
              <w:contextualSpacing/>
              <w:jc w:val="both"/>
              <w:rPr>
                <w:b/>
                <w:noProof/>
              </w:rPr>
            </w:pPr>
          </w:p>
        </w:tc>
        <w:tc>
          <w:tcPr>
            <w:tcW w:w="11464" w:type="dxa"/>
            <w:tcBorders>
              <w:top w:val="nil"/>
            </w:tcBorders>
            <w:shd w:val="clear" w:color="auto" w:fill="auto"/>
            <w:tcMar>
              <w:top w:w="85" w:type="dxa"/>
              <w:left w:w="85" w:type="dxa"/>
              <w:bottom w:w="85" w:type="dxa"/>
              <w:right w:w="85" w:type="dxa"/>
            </w:tcMar>
          </w:tcPr>
          <w:p w14:paraId="1A372850" w14:textId="77777777" w:rsidR="00AB66A8" w:rsidRPr="006C1C34" w:rsidDel="00A52B94" w:rsidRDefault="00AB66A8" w:rsidP="005336FA">
            <w:pPr>
              <w:jc w:val="both"/>
              <w:rPr>
                <w:rFonts w:cs="Calibri"/>
                <w:noProof/>
              </w:rPr>
            </w:pPr>
            <w:r>
              <w:rPr>
                <w:noProof/>
              </w:rPr>
              <w:t>Ehdotus EUROOPAN PARLAMENTIN JA NEUVOSTON DIREKTIIVIKSI ihmisille tarkoitettuja lääkkeitä koskevista unionin säännöistä sekä direktiivin 2001/83/EY ja direktiivin 2009/35/EY kumoamisesta</w:t>
            </w:r>
          </w:p>
        </w:tc>
        <w:tc>
          <w:tcPr>
            <w:tcW w:w="2003" w:type="dxa"/>
            <w:tcBorders>
              <w:top w:val="nil"/>
            </w:tcBorders>
            <w:tcMar>
              <w:top w:w="85" w:type="dxa"/>
              <w:left w:w="85" w:type="dxa"/>
              <w:bottom w:w="85" w:type="dxa"/>
            </w:tcMar>
          </w:tcPr>
          <w:p w14:paraId="51123218" w14:textId="77777777" w:rsidR="00AB66A8" w:rsidRPr="006C1C34" w:rsidDel="00A52B94" w:rsidRDefault="00AB66A8" w:rsidP="006C6FCD">
            <w:pPr>
              <w:rPr>
                <w:noProof/>
              </w:rPr>
            </w:pPr>
            <w:r>
              <w:rPr>
                <w:noProof/>
              </w:rPr>
              <w:t>COM(2023) 192 final</w:t>
            </w:r>
            <w:r>
              <w:rPr>
                <w:noProof/>
              </w:rPr>
              <w:br/>
              <w:t>2023/0132 (COD)</w:t>
            </w:r>
            <w:r>
              <w:rPr>
                <w:noProof/>
              </w:rPr>
              <w:br/>
              <w:t>26.4.2023</w:t>
            </w:r>
          </w:p>
        </w:tc>
      </w:tr>
      <w:tr w:rsidR="00AB66A8" w:rsidRPr="006C1C34" w14:paraId="72312ACE" w14:textId="77777777" w:rsidTr="00C12335">
        <w:trPr>
          <w:jc w:val="center"/>
        </w:trPr>
        <w:tc>
          <w:tcPr>
            <w:tcW w:w="562" w:type="dxa"/>
            <w:tcBorders>
              <w:right w:val="nil"/>
            </w:tcBorders>
            <w:shd w:val="clear" w:color="auto" w:fill="auto"/>
            <w:tcMar>
              <w:top w:w="85" w:type="dxa"/>
              <w:left w:w="85" w:type="dxa"/>
              <w:bottom w:w="85" w:type="dxa"/>
            </w:tcMar>
          </w:tcPr>
          <w:p w14:paraId="462F40A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DCF34DC" w14:textId="77777777" w:rsidR="00AB66A8" w:rsidRPr="00006850" w:rsidRDefault="00AB66A8" w:rsidP="005336FA">
            <w:pPr>
              <w:jc w:val="both"/>
              <w:rPr>
                <w:noProof/>
              </w:rPr>
            </w:pPr>
            <w:r>
              <w:rPr>
                <w:noProof/>
              </w:rPr>
              <w:t>Ehdotus EUROOPAN PARLAMENTIN JA NEUVOSTON DIREKTIIVIKSI direktiivin 1999/62/EY, neuvoston direktiivin 1999/37/EY ja direktiivin (EU) 2019/520 muuttamisesta perävaunuilla varustettujen raskaiden hyötyajoneuvojen hiilidioksidipäästöluokan osalta</w:t>
            </w:r>
          </w:p>
        </w:tc>
        <w:tc>
          <w:tcPr>
            <w:tcW w:w="2003" w:type="dxa"/>
            <w:tcMar>
              <w:top w:w="85" w:type="dxa"/>
              <w:left w:w="85" w:type="dxa"/>
              <w:bottom w:w="85" w:type="dxa"/>
            </w:tcMar>
          </w:tcPr>
          <w:p w14:paraId="312BA3A1" w14:textId="77777777" w:rsidR="00AB66A8" w:rsidRPr="00006850" w:rsidRDefault="00AB66A8" w:rsidP="006C6FCD">
            <w:pPr>
              <w:rPr>
                <w:rFonts w:cs="Calibri"/>
                <w:bCs/>
                <w:noProof/>
              </w:rPr>
            </w:pPr>
            <w:r>
              <w:rPr>
                <w:noProof/>
              </w:rPr>
              <w:t>COM(2023) 189 final</w:t>
            </w:r>
            <w:r>
              <w:rPr>
                <w:noProof/>
              </w:rPr>
              <w:br/>
              <w:t>2023/0134 (COD)</w:t>
            </w:r>
            <w:r>
              <w:rPr>
                <w:noProof/>
              </w:rPr>
              <w:br/>
              <w:t>4.5.2023</w:t>
            </w:r>
          </w:p>
        </w:tc>
      </w:tr>
      <w:tr w:rsidR="00AB66A8" w:rsidRPr="006C1C34" w14:paraId="07739911" w14:textId="77777777" w:rsidTr="00C12335">
        <w:trPr>
          <w:jc w:val="center"/>
        </w:trPr>
        <w:tc>
          <w:tcPr>
            <w:tcW w:w="562" w:type="dxa"/>
            <w:tcBorders>
              <w:right w:val="nil"/>
            </w:tcBorders>
            <w:shd w:val="clear" w:color="auto" w:fill="auto"/>
            <w:tcMar>
              <w:top w:w="85" w:type="dxa"/>
              <w:left w:w="85" w:type="dxa"/>
              <w:bottom w:w="85" w:type="dxa"/>
            </w:tcMar>
          </w:tcPr>
          <w:p w14:paraId="63442070"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79D4F6A" w14:textId="77777777" w:rsidR="00AB66A8" w:rsidRPr="00006850" w:rsidRDefault="00AB66A8" w:rsidP="005336FA">
            <w:pPr>
              <w:jc w:val="both"/>
              <w:rPr>
                <w:noProof/>
              </w:rPr>
            </w:pPr>
            <w:r>
              <w:rPr>
                <w:noProof/>
              </w:rPr>
              <w:t>Ehdotus EUROOPAN PARLAMENTIN JA NEUVOSTON DIREKTIIVIKSI nimenomaisten ympäristöväitteiden perustelemisesta ja esittämisestä (viherväitteitä koskeva direktiivi)</w:t>
            </w:r>
          </w:p>
        </w:tc>
        <w:tc>
          <w:tcPr>
            <w:tcW w:w="2003" w:type="dxa"/>
            <w:tcMar>
              <w:top w:w="85" w:type="dxa"/>
              <w:left w:w="85" w:type="dxa"/>
              <w:bottom w:w="85" w:type="dxa"/>
            </w:tcMar>
          </w:tcPr>
          <w:p w14:paraId="78FC7078" w14:textId="77777777" w:rsidR="00AB66A8" w:rsidRPr="00006850" w:rsidRDefault="00AB66A8" w:rsidP="006C6FCD">
            <w:pPr>
              <w:rPr>
                <w:rFonts w:cs="Calibri"/>
                <w:bCs/>
                <w:noProof/>
              </w:rPr>
            </w:pPr>
            <w:r>
              <w:rPr>
                <w:noProof/>
              </w:rPr>
              <w:t>COM(2023) 166 final</w:t>
            </w:r>
            <w:r>
              <w:rPr>
                <w:noProof/>
              </w:rPr>
              <w:br/>
              <w:t>2023/0085 (COD)</w:t>
            </w:r>
            <w:r>
              <w:rPr>
                <w:noProof/>
              </w:rPr>
              <w:br/>
              <w:t>22.3.2023</w:t>
            </w:r>
          </w:p>
        </w:tc>
      </w:tr>
      <w:tr w:rsidR="00AB66A8" w:rsidRPr="006C1C34" w14:paraId="499CA233" w14:textId="77777777" w:rsidTr="00C12335">
        <w:trPr>
          <w:jc w:val="center"/>
        </w:trPr>
        <w:tc>
          <w:tcPr>
            <w:tcW w:w="562" w:type="dxa"/>
            <w:tcBorders>
              <w:right w:val="nil"/>
            </w:tcBorders>
            <w:shd w:val="clear" w:color="auto" w:fill="auto"/>
            <w:tcMar>
              <w:top w:w="85" w:type="dxa"/>
              <w:left w:w="85" w:type="dxa"/>
              <w:bottom w:w="85" w:type="dxa"/>
            </w:tcMar>
          </w:tcPr>
          <w:p w14:paraId="78C3E32F"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DEF8341" w14:textId="77777777" w:rsidR="00AB66A8" w:rsidRPr="00006850" w:rsidRDefault="00AB66A8" w:rsidP="005336FA">
            <w:pPr>
              <w:jc w:val="both"/>
              <w:rPr>
                <w:noProof/>
              </w:rPr>
            </w:pPr>
            <w:r>
              <w:rPr>
                <w:noProof/>
              </w:rPr>
              <w:t>Ehdotus EUROOPAN PARLAMENTIN JA NEUVOSTON DIREKTIIVIKSI tiettyjen ajokieltojen koko unionin laajuisesta voimassaolosta</w:t>
            </w:r>
          </w:p>
        </w:tc>
        <w:tc>
          <w:tcPr>
            <w:tcW w:w="2003" w:type="dxa"/>
            <w:tcMar>
              <w:top w:w="85" w:type="dxa"/>
              <w:left w:w="85" w:type="dxa"/>
              <w:bottom w:w="85" w:type="dxa"/>
            </w:tcMar>
          </w:tcPr>
          <w:p w14:paraId="388B0DC9" w14:textId="77777777" w:rsidR="00AB66A8" w:rsidRPr="00006850" w:rsidRDefault="00AB66A8" w:rsidP="006C6FCD">
            <w:pPr>
              <w:rPr>
                <w:rFonts w:cs="Calibri"/>
                <w:bCs/>
                <w:noProof/>
              </w:rPr>
            </w:pPr>
            <w:r>
              <w:rPr>
                <w:noProof/>
              </w:rPr>
              <w:t>COM(2023) 128 final</w:t>
            </w:r>
            <w:r>
              <w:rPr>
                <w:noProof/>
              </w:rPr>
              <w:br/>
              <w:t>2023/0055 (COD)</w:t>
            </w:r>
            <w:r>
              <w:rPr>
                <w:noProof/>
              </w:rPr>
              <w:br/>
              <w:t>1.3.2023</w:t>
            </w:r>
          </w:p>
        </w:tc>
      </w:tr>
      <w:tr w:rsidR="00AB66A8" w:rsidRPr="006C1C34" w14:paraId="25013330" w14:textId="77777777" w:rsidTr="00C12335">
        <w:trPr>
          <w:jc w:val="center"/>
        </w:trPr>
        <w:tc>
          <w:tcPr>
            <w:tcW w:w="562" w:type="dxa"/>
            <w:tcBorders>
              <w:right w:val="nil"/>
            </w:tcBorders>
            <w:shd w:val="clear" w:color="auto" w:fill="auto"/>
            <w:tcMar>
              <w:top w:w="85" w:type="dxa"/>
              <w:left w:w="85" w:type="dxa"/>
              <w:bottom w:w="85" w:type="dxa"/>
            </w:tcMar>
          </w:tcPr>
          <w:p w14:paraId="190751A0"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8D32B76" w14:textId="77777777" w:rsidR="00AB66A8" w:rsidRPr="00006850" w:rsidRDefault="00AB66A8" w:rsidP="005336FA">
            <w:pPr>
              <w:jc w:val="both"/>
              <w:rPr>
                <w:noProof/>
              </w:rPr>
            </w:pPr>
            <w:r>
              <w:rPr>
                <w:noProof/>
              </w:rPr>
              <w:t>Ehdotus EUROOPAN PARLAMENTIN JA NEUVOSTON DIREKTIIVIKSI ajokorteista, Euroopan parlamentin ja neuvoston direktiivin (EU) 2022/2561 ja Euroopan parlamentin ja neuvoston asetuksen (EU) 2018/1724 muuttamisesta sekä Euroopan parlamentin ja neuvoston direktiivin 2006/126/EY ja komission asetuksen (EU) N:o 383/2012 kumoamisesta</w:t>
            </w:r>
          </w:p>
        </w:tc>
        <w:tc>
          <w:tcPr>
            <w:tcW w:w="2003" w:type="dxa"/>
            <w:tcMar>
              <w:top w:w="85" w:type="dxa"/>
              <w:left w:w="85" w:type="dxa"/>
              <w:bottom w:w="85" w:type="dxa"/>
            </w:tcMar>
          </w:tcPr>
          <w:p w14:paraId="68371A84" w14:textId="77777777" w:rsidR="00AB66A8" w:rsidRPr="00006850" w:rsidRDefault="00AB66A8" w:rsidP="006C6FCD">
            <w:pPr>
              <w:rPr>
                <w:rFonts w:cs="Calibri"/>
                <w:bCs/>
                <w:noProof/>
              </w:rPr>
            </w:pPr>
            <w:r>
              <w:rPr>
                <w:noProof/>
              </w:rPr>
              <w:t>COM(2023) 127 final</w:t>
            </w:r>
            <w:r>
              <w:rPr>
                <w:noProof/>
              </w:rPr>
              <w:br/>
              <w:t>2023/0053 (COD)</w:t>
            </w:r>
            <w:r>
              <w:rPr>
                <w:noProof/>
              </w:rPr>
              <w:br/>
              <w:t>1.3.2023</w:t>
            </w:r>
          </w:p>
        </w:tc>
      </w:tr>
      <w:tr w:rsidR="00AB66A8" w:rsidRPr="006C1C34" w14:paraId="054CA40B" w14:textId="77777777" w:rsidTr="00C12335">
        <w:trPr>
          <w:jc w:val="center"/>
        </w:trPr>
        <w:tc>
          <w:tcPr>
            <w:tcW w:w="562" w:type="dxa"/>
            <w:tcBorders>
              <w:right w:val="nil"/>
            </w:tcBorders>
            <w:shd w:val="clear" w:color="auto" w:fill="auto"/>
            <w:tcMar>
              <w:top w:w="85" w:type="dxa"/>
              <w:left w:w="85" w:type="dxa"/>
              <w:bottom w:w="85" w:type="dxa"/>
            </w:tcMar>
          </w:tcPr>
          <w:p w14:paraId="3A158E3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7FE4672" w14:textId="77777777" w:rsidR="00AB66A8" w:rsidRPr="006C1C34" w:rsidRDefault="00AB66A8" w:rsidP="005336FA">
            <w:pPr>
              <w:jc w:val="both"/>
              <w:rPr>
                <w:noProof/>
              </w:rPr>
            </w:pPr>
            <w:r>
              <w:rPr>
                <w:noProof/>
              </w:rPr>
              <w:t>Ehdotus NEUVOSTON PÄÄTÖKSEKSI Uuden-Seelannin osallistumista unionin ohjelmiin koskevan Euroopan unionin ja Uuden-Seelannin välisen sopimuksen tekemisestä</w:t>
            </w:r>
          </w:p>
        </w:tc>
        <w:tc>
          <w:tcPr>
            <w:tcW w:w="2003" w:type="dxa"/>
            <w:tcMar>
              <w:top w:w="85" w:type="dxa"/>
              <w:left w:w="85" w:type="dxa"/>
              <w:bottom w:w="85" w:type="dxa"/>
            </w:tcMar>
          </w:tcPr>
          <w:p w14:paraId="20E17B87" w14:textId="77777777" w:rsidR="00AB66A8" w:rsidRPr="006C1C34" w:rsidRDefault="00AB66A8" w:rsidP="006C6FCD">
            <w:pPr>
              <w:rPr>
                <w:rFonts w:cs="Calibri"/>
                <w:bCs/>
                <w:noProof/>
              </w:rPr>
            </w:pPr>
            <w:r>
              <w:rPr>
                <w:noProof/>
              </w:rPr>
              <w:t>COM(2023) 113 final</w:t>
            </w:r>
            <w:r>
              <w:rPr>
                <w:noProof/>
              </w:rPr>
              <w:br/>
              <w:t>2023/0059 (NLE)</w:t>
            </w:r>
            <w:r>
              <w:rPr>
                <w:noProof/>
              </w:rPr>
              <w:br/>
              <w:t>7.3.2023</w:t>
            </w:r>
          </w:p>
        </w:tc>
      </w:tr>
      <w:tr w:rsidR="00AB66A8" w:rsidRPr="006C1C34" w14:paraId="02D30FA7" w14:textId="77777777" w:rsidTr="00C12335">
        <w:trPr>
          <w:jc w:val="center"/>
        </w:trPr>
        <w:tc>
          <w:tcPr>
            <w:tcW w:w="562" w:type="dxa"/>
            <w:tcBorders>
              <w:right w:val="nil"/>
            </w:tcBorders>
            <w:shd w:val="clear" w:color="auto" w:fill="auto"/>
            <w:tcMar>
              <w:top w:w="85" w:type="dxa"/>
              <w:left w:w="85" w:type="dxa"/>
              <w:bottom w:w="85" w:type="dxa"/>
            </w:tcMar>
          </w:tcPr>
          <w:p w14:paraId="791E322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676877E" w14:textId="77777777" w:rsidR="00AB66A8" w:rsidRPr="006C1C34" w:rsidRDefault="00AB66A8" w:rsidP="005336FA">
            <w:pPr>
              <w:jc w:val="both"/>
              <w:rPr>
                <w:noProof/>
              </w:rPr>
            </w:pPr>
            <w:r>
              <w:rPr>
                <w:noProof/>
              </w:rPr>
              <w:t>Ehdotus EUROOPAN PARLAMENTIN JA NEUVOSTON DIREKTIIVIKSI maksukyvyttömyyslainsäädännön tiettyjen näkökohtien yhdenmukaistamisesta</w:t>
            </w:r>
          </w:p>
        </w:tc>
        <w:tc>
          <w:tcPr>
            <w:tcW w:w="2003" w:type="dxa"/>
            <w:tcMar>
              <w:top w:w="85" w:type="dxa"/>
              <w:left w:w="85" w:type="dxa"/>
              <w:bottom w:w="85" w:type="dxa"/>
            </w:tcMar>
          </w:tcPr>
          <w:p w14:paraId="5C389C5A" w14:textId="77777777" w:rsidR="00AB66A8" w:rsidRPr="006C1C34" w:rsidRDefault="00AB66A8" w:rsidP="006C6FCD">
            <w:pPr>
              <w:rPr>
                <w:rFonts w:cs="Calibri"/>
                <w:bCs/>
                <w:noProof/>
              </w:rPr>
            </w:pPr>
            <w:r>
              <w:rPr>
                <w:noProof/>
              </w:rPr>
              <w:t>COM(2022) 702 final</w:t>
            </w:r>
            <w:r>
              <w:rPr>
                <w:noProof/>
              </w:rPr>
              <w:br/>
              <w:t>2022/0408 (COD)</w:t>
            </w:r>
            <w:r>
              <w:rPr>
                <w:noProof/>
              </w:rPr>
              <w:br/>
              <w:t>7.12.2022</w:t>
            </w:r>
          </w:p>
        </w:tc>
      </w:tr>
      <w:tr w:rsidR="00AB66A8" w:rsidRPr="006C1C34" w14:paraId="387E86F9" w14:textId="77777777" w:rsidTr="00C12335">
        <w:trPr>
          <w:jc w:val="center"/>
        </w:trPr>
        <w:tc>
          <w:tcPr>
            <w:tcW w:w="562" w:type="dxa"/>
            <w:tcBorders>
              <w:right w:val="nil"/>
            </w:tcBorders>
            <w:shd w:val="clear" w:color="auto" w:fill="auto"/>
            <w:tcMar>
              <w:top w:w="85" w:type="dxa"/>
              <w:left w:w="85" w:type="dxa"/>
              <w:bottom w:w="85" w:type="dxa"/>
            </w:tcMar>
          </w:tcPr>
          <w:p w14:paraId="1D4F0CCB"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CAA881B" w14:textId="77777777" w:rsidR="00AB66A8" w:rsidRPr="006531F7" w:rsidRDefault="00AB66A8" w:rsidP="005336FA">
            <w:pPr>
              <w:jc w:val="both"/>
              <w:rPr>
                <w:bCs/>
                <w:noProof/>
              </w:rPr>
            </w:pPr>
            <w:r>
              <w:rPr>
                <w:noProof/>
              </w:rPr>
              <w:t>Ehdotus NEUVOSTON DIREKTIIVIKSI vieraan ja oman pääoman ehtoisen rahoituksen verokohtelua tasavertaistavaa vähennystä ja korkojen vähennyskelpoisuuden rajoittamista yhteisöverotuksessa koskevien sääntöjen vahvistamisesta</w:t>
            </w:r>
          </w:p>
        </w:tc>
        <w:tc>
          <w:tcPr>
            <w:tcW w:w="2003" w:type="dxa"/>
            <w:tcMar>
              <w:top w:w="85" w:type="dxa"/>
              <w:left w:w="85" w:type="dxa"/>
              <w:bottom w:w="85" w:type="dxa"/>
            </w:tcMar>
          </w:tcPr>
          <w:p w14:paraId="35347523" w14:textId="77777777" w:rsidR="00AB66A8" w:rsidRPr="00AA1F35" w:rsidRDefault="00AB66A8" w:rsidP="006C6FCD">
            <w:pPr>
              <w:rPr>
                <w:bCs/>
                <w:noProof/>
              </w:rPr>
            </w:pPr>
            <w:r>
              <w:rPr>
                <w:noProof/>
              </w:rPr>
              <w:t>COM(2022) 216 final</w:t>
            </w:r>
            <w:r>
              <w:rPr>
                <w:noProof/>
              </w:rPr>
              <w:br/>
              <w:t>2022/0154 (CNS)</w:t>
            </w:r>
            <w:r>
              <w:rPr>
                <w:noProof/>
              </w:rPr>
              <w:br/>
              <w:t xml:space="preserve">11.5.2022 </w:t>
            </w:r>
          </w:p>
        </w:tc>
      </w:tr>
      <w:tr w:rsidR="00AB66A8" w:rsidRPr="006C1C34" w14:paraId="0C672A1F" w14:textId="77777777" w:rsidTr="00C12335">
        <w:trPr>
          <w:jc w:val="center"/>
        </w:trPr>
        <w:tc>
          <w:tcPr>
            <w:tcW w:w="562" w:type="dxa"/>
            <w:tcBorders>
              <w:right w:val="nil"/>
            </w:tcBorders>
            <w:shd w:val="clear" w:color="auto" w:fill="auto"/>
            <w:tcMar>
              <w:top w:w="85" w:type="dxa"/>
              <w:left w:w="85" w:type="dxa"/>
              <w:bottom w:w="85" w:type="dxa"/>
            </w:tcMar>
          </w:tcPr>
          <w:p w14:paraId="690CCE5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B545E7C" w14:textId="77777777" w:rsidR="00AB66A8" w:rsidRPr="006C1C34" w:rsidRDefault="00AB66A8" w:rsidP="005336FA">
            <w:pPr>
              <w:jc w:val="both"/>
              <w:rPr>
                <w:noProof/>
              </w:rPr>
            </w:pPr>
            <w:r>
              <w:rPr>
                <w:noProof/>
              </w:rPr>
              <w:t>Ehdotus NEUVOSTON PÄÄTÖKSEKSI Färsaarten osallistumista unionin ohjelmiin koskevan sopimuksen tekemisestä Euroopan unionin ja Färsaarten hallituksen välillä</w:t>
            </w:r>
          </w:p>
        </w:tc>
        <w:tc>
          <w:tcPr>
            <w:tcW w:w="2003" w:type="dxa"/>
            <w:tcMar>
              <w:top w:w="85" w:type="dxa"/>
              <w:left w:w="85" w:type="dxa"/>
              <w:bottom w:w="85" w:type="dxa"/>
            </w:tcMar>
          </w:tcPr>
          <w:p w14:paraId="5EB97916" w14:textId="77777777" w:rsidR="00AB66A8" w:rsidRPr="006C1C34" w:rsidRDefault="00AB66A8" w:rsidP="006C6FCD">
            <w:pPr>
              <w:rPr>
                <w:noProof/>
              </w:rPr>
            </w:pPr>
            <w:r>
              <w:rPr>
                <w:noProof/>
              </w:rPr>
              <w:t>COM(2022) 65 final</w:t>
            </w:r>
            <w:r>
              <w:rPr>
                <w:noProof/>
              </w:rPr>
              <w:br/>
              <w:t>2022/0045 (NLE)</w:t>
            </w:r>
            <w:r>
              <w:rPr>
                <w:noProof/>
              </w:rPr>
              <w:br/>
              <w:t>24.2.2022</w:t>
            </w:r>
          </w:p>
        </w:tc>
      </w:tr>
      <w:tr w:rsidR="004301FB" w:rsidRPr="006C1C34" w14:paraId="2FC24FBD" w14:textId="77777777" w:rsidTr="00C12335">
        <w:trPr>
          <w:jc w:val="center"/>
        </w:trPr>
        <w:tc>
          <w:tcPr>
            <w:tcW w:w="562" w:type="dxa"/>
            <w:tcBorders>
              <w:right w:val="nil"/>
            </w:tcBorders>
            <w:shd w:val="clear" w:color="auto" w:fill="auto"/>
            <w:tcMar>
              <w:top w:w="85" w:type="dxa"/>
              <w:left w:w="85" w:type="dxa"/>
              <w:bottom w:w="85" w:type="dxa"/>
            </w:tcMar>
          </w:tcPr>
          <w:p w14:paraId="65F9590A" w14:textId="77777777" w:rsidR="004301FB" w:rsidRPr="006C1C34" w:rsidRDefault="004301FB" w:rsidP="004301FB">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9D9B1FF" w14:textId="2EBCDD62" w:rsidR="004301FB" w:rsidRPr="00117EFD" w:rsidRDefault="004301FB" w:rsidP="004301FB">
            <w:pPr>
              <w:jc w:val="both"/>
              <w:rPr>
                <w:noProof/>
              </w:rPr>
            </w:pPr>
            <w:r>
              <w:rPr>
                <w:noProof/>
              </w:rPr>
              <w:t>Ehdotus NEUVOSTON DIREKTIIVIKSI kuoriyhtiöiden verotustarkoituksiin tapahtuvan väärinkäytön estämistä koskevista säännöistä ja direktiivin 2011/16/EU muuttamisesta</w:t>
            </w:r>
          </w:p>
        </w:tc>
        <w:tc>
          <w:tcPr>
            <w:tcW w:w="2003" w:type="dxa"/>
            <w:tcMar>
              <w:top w:w="85" w:type="dxa"/>
              <w:left w:w="85" w:type="dxa"/>
              <w:bottom w:w="85" w:type="dxa"/>
            </w:tcMar>
          </w:tcPr>
          <w:p w14:paraId="1F8E438E" w14:textId="1E85B3DF" w:rsidR="004301FB" w:rsidRPr="00BB4F8E" w:rsidRDefault="004301FB" w:rsidP="004301FB">
            <w:pPr>
              <w:rPr>
                <w:noProof/>
              </w:rPr>
            </w:pPr>
            <w:r>
              <w:rPr>
                <w:noProof/>
              </w:rPr>
              <w:t>COM(2021) 565 final</w:t>
            </w:r>
            <w:r>
              <w:rPr>
                <w:noProof/>
              </w:rPr>
              <w:br/>
              <w:t>2021/0434 (CNS)</w:t>
            </w:r>
            <w:r>
              <w:rPr>
                <w:noProof/>
              </w:rPr>
              <w:br/>
              <w:t>22.12.2021</w:t>
            </w:r>
          </w:p>
        </w:tc>
      </w:tr>
      <w:tr w:rsidR="00AB66A8" w:rsidRPr="001F6E1F" w14:paraId="0B00D50D" w14:textId="77777777" w:rsidTr="00C12335">
        <w:trPr>
          <w:jc w:val="center"/>
        </w:trPr>
        <w:tc>
          <w:tcPr>
            <w:tcW w:w="562" w:type="dxa"/>
            <w:tcBorders>
              <w:right w:val="nil"/>
            </w:tcBorders>
            <w:shd w:val="clear" w:color="auto" w:fill="auto"/>
            <w:tcMar>
              <w:top w:w="85" w:type="dxa"/>
              <w:left w:w="85" w:type="dxa"/>
              <w:bottom w:w="85" w:type="dxa"/>
            </w:tcMar>
          </w:tcPr>
          <w:p w14:paraId="020DF301" w14:textId="77777777" w:rsidR="00AB66A8" w:rsidRPr="001F6E1F"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3026C2" w14:textId="77777777" w:rsidR="00AB66A8" w:rsidRPr="001F6E1F" w:rsidRDefault="00AB66A8" w:rsidP="005336FA">
            <w:pPr>
              <w:jc w:val="both"/>
              <w:rPr>
                <w:noProof/>
              </w:rPr>
            </w:pPr>
            <w:r>
              <w:rPr>
                <w:noProof/>
              </w:rPr>
              <w:t>Ehdotus NEUVOSTON DIREKTIIVIKSI energiatuotteiden ja sähkön verotusta koskevan unionin kehyksen uudistamisesta (uudelleenlaadittu)</w:t>
            </w:r>
          </w:p>
        </w:tc>
        <w:tc>
          <w:tcPr>
            <w:tcW w:w="2003" w:type="dxa"/>
            <w:tcMar>
              <w:top w:w="85" w:type="dxa"/>
              <w:left w:w="85" w:type="dxa"/>
              <w:bottom w:w="85" w:type="dxa"/>
            </w:tcMar>
          </w:tcPr>
          <w:p w14:paraId="0E4BBF91" w14:textId="77777777" w:rsidR="00AB66A8" w:rsidRPr="001F6E1F" w:rsidRDefault="00AB66A8" w:rsidP="006C6FCD">
            <w:pPr>
              <w:rPr>
                <w:noProof/>
              </w:rPr>
            </w:pPr>
            <w:r>
              <w:rPr>
                <w:noProof/>
              </w:rPr>
              <w:t>COM(2021) 563 final</w:t>
            </w:r>
            <w:r>
              <w:rPr>
                <w:noProof/>
              </w:rPr>
              <w:br/>
              <w:t>2021/0213 (CNS)</w:t>
            </w:r>
            <w:r>
              <w:rPr>
                <w:noProof/>
              </w:rPr>
              <w:br/>
              <w:t>14.7.2021</w:t>
            </w:r>
          </w:p>
        </w:tc>
      </w:tr>
      <w:tr w:rsidR="00AB66A8" w:rsidRPr="006C1C34" w14:paraId="29317FBA"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39FA101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94911CF" w14:textId="77777777" w:rsidR="00AB66A8" w:rsidRPr="00D80ED0" w:rsidRDefault="00AB66A8" w:rsidP="005336FA">
            <w:pPr>
              <w:jc w:val="both"/>
              <w:rPr>
                <w:noProof/>
              </w:rPr>
            </w:pPr>
            <w:r>
              <w:rPr>
                <w:noProof/>
              </w:rPr>
              <w:t>Ehdotus NEUVOSTON DIREKTIIVIKSI direktiivin 2006/112/EY muuttamisesta siltä osin kuin on kyse täytäntöönpanovallan siirtämisestä komissiolle mainitun direktiivin tietyissä säännöksissä käytettävien ilmaisujen merkityksen määrittelemiseksi</w:t>
            </w:r>
          </w:p>
        </w:tc>
        <w:tc>
          <w:tcPr>
            <w:tcW w:w="2003" w:type="dxa"/>
            <w:tcBorders>
              <w:bottom w:val="single" w:sz="4" w:space="0" w:color="auto"/>
            </w:tcBorders>
            <w:tcMar>
              <w:top w:w="85" w:type="dxa"/>
              <w:left w:w="85" w:type="dxa"/>
              <w:bottom w:w="85" w:type="dxa"/>
            </w:tcMar>
          </w:tcPr>
          <w:p w14:paraId="133D13E9" w14:textId="77777777" w:rsidR="00AB66A8" w:rsidRPr="003F7C3B" w:rsidRDefault="00AB66A8" w:rsidP="006C6FCD">
            <w:pPr>
              <w:rPr>
                <w:noProof/>
                <w:color w:val="FF0000"/>
              </w:rPr>
            </w:pPr>
            <w:r>
              <w:rPr>
                <w:noProof/>
              </w:rPr>
              <w:t>COM(2020)749 final</w:t>
            </w:r>
            <w:r>
              <w:rPr>
                <w:noProof/>
              </w:rPr>
              <w:br/>
              <w:t>2020/0331 (CNS)</w:t>
            </w:r>
            <w:r>
              <w:rPr>
                <w:noProof/>
              </w:rPr>
              <w:br/>
              <w:t>18.12.2020</w:t>
            </w:r>
          </w:p>
        </w:tc>
      </w:tr>
      <w:tr w:rsidR="00A83E15" w:rsidRPr="006C1C34" w14:paraId="4F3E0BD9"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618BFF7" w14:textId="77777777" w:rsidR="00A83E15" w:rsidRPr="006C1C34" w:rsidRDefault="00A83E15" w:rsidP="00A83E15">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E893C39" w14:textId="2DC740AA" w:rsidR="00A83E15" w:rsidRPr="00E348D3" w:rsidRDefault="00A83E15" w:rsidP="00A83E15">
            <w:pPr>
              <w:jc w:val="both"/>
              <w:rPr>
                <w:bCs/>
                <w:noProof/>
              </w:rPr>
            </w:pPr>
            <w:r>
              <w:rPr>
                <w:noProof/>
              </w:rPr>
              <w:t>Ehdotus EUROOPAN PARLAMENTIN JA NEUVOSTON DIREKTIIVIKSI vuodenajoittaisesta kellonajan siirrosta luopumisesta ja direktiivin 2000/84/EY kumoamisesta</w:t>
            </w:r>
          </w:p>
        </w:tc>
        <w:tc>
          <w:tcPr>
            <w:tcW w:w="2003" w:type="dxa"/>
            <w:tcBorders>
              <w:bottom w:val="single" w:sz="4" w:space="0" w:color="auto"/>
            </w:tcBorders>
            <w:tcMar>
              <w:top w:w="85" w:type="dxa"/>
              <w:left w:w="85" w:type="dxa"/>
              <w:bottom w:w="85" w:type="dxa"/>
            </w:tcMar>
          </w:tcPr>
          <w:p w14:paraId="31D83A37" w14:textId="50087AA5" w:rsidR="00A83E15" w:rsidRPr="00474844" w:rsidRDefault="00A83E15" w:rsidP="00A83E15">
            <w:pPr>
              <w:rPr>
                <w:bCs/>
                <w:noProof/>
              </w:rPr>
            </w:pPr>
            <w:r>
              <w:rPr>
                <w:noProof/>
              </w:rPr>
              <w:t>COM(2018) 639 final</w:t>
            </w:r>
            <w:r>
              <w:rPr>
                <w:noProof/>
              </w:rPr>
              <w:br/>
              <w:t>2018/0332 (COD)</w:t>
            </w:r>
            <w:r>
              <w:rPr>
                <w:noProof/>
              </w:rPr>
              <w:br/>
              <w:t>12.9.2018</w:t>
            </w:r>
          </w:p>
        </w:tc>
      </w:tr>
      <w:tr w:rsidR="00514CCD" w:rsidRPr="006C1C34" w14:paraId="65C15647"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A7EEDA1" w14:textId="77777777" w:rsidR="00514CCD" w:rsidRPr="006C1C34" w:rsidRDefault="00514CCD" w:rsidP="00514CCD">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26F0EE9" w14:textId="23B0752A" w:rsidR="00514CCD" w:rsidRPr="00E348D3" w:rsidRDefault="00514CCD" w:rsidP="00624A8E">
            <w:pPr>
              <w:jc w:val="both"/>
              <w:rPr>
                <w:bCs/>
                <w:noProof/>
              </w:rPr>
            </w:pPr>
            <w:r>
              <w:rPr>
                <w:noProof/>
              </w:rPr>
              <w:t>Ehdotus NEUVOSTON DIREKTIIVIKSI tiettyjen digitaalisten palvelujen tarjoamisesta saatavista tuloista kannettavaa digitaalisten palvelujen veroa koskevasta yhteisestä järjestelmästä</w:t>
            </w:r>
          </w:p>
        </w:tc>
        <w:tc>
          <w:tcPr>
            <w:tcW w:w="2003" w:type="dxa"/>
            <w:tcBorders>
              <w:bottom w:val="single" w:sz="4" w:space="0" w:color="auto"/>
            </w:tcBorders>
            <w:tcMar>
              <w:top w:w="85" w:type="dxa"/>
              <w:left w:w="85" w:type="dxa"/>
              <w:bottom w:w="85" w:type="dxa"/>
            </w:tcMar>
          </w:tcPr>
          <w:p w14:paraId="799BB6D1" w14:textId="438B91CB" w:rsidR="00514CCD" w:rsidRPr="00474844" w:rsidRDefault="00514CCD" w:rsidP="00514CCD">
            <w:pPr>
              <w:rPr>
                <w:bCs/>
                <w:noProof/>
              </w:rPr>
            </w:pPr>
            <w:r>
              <w:rPr>
                <w:noProof/>
              </w:rPr>
              <w:t xml:space="preserve">COM(2018) 148 final </w:t>
            </w:r>
            <w:r>
              <w:rPr>
                <w:noProof/>
              </w:rPr>
              <w:br/>
              <w:t xml:space="preserve">2018/0073 (CNS) </w:t>
            </w:r>
            <w:r>
              <w:rPr>
                <w:noProof/>
              </w:rPr>
              <w:br/>
              <w:t>21.3.2018</w:t>
            </w:r>
          </w:p>
        </w:tc>
      </w:tr>
      <w:tr w:rsidR="00514CCD" w:rsidRPr="006C1C34" w14:paraId="28313AA3"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24104B8C" w14:textId="77777777" w:rsidR="00514CCD" w:rsidRPr="006C1C34" w:rsidRDefault="00514CCD" w:rsidP="00514CCD">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02EF774" w14:textId="5C64E1CD" w:rsidR="00514CCD" w:rsidRPr="00E348D3" w:rsidRDefault="00514CCD" w:rsidP="00624A8E">
            <w:pPr>
              <w:jc w:val="both"/>
              <w:rPr>
                <w:bCs/>
                <w:noProof/>
              </w:rPr>
            </w:pPr>
            <w:r>
              <w:rPr>
                <w:noProof/>
              </w:rPr>
              <w:t>Ehdotus NEUVOSTON DIREKTIIVIKSI merkittävän digitaalisen läsnäolon yhteisöverotusta koskevien sääntöjen vahvistamisesta</w:t>
            </w:r>
          </w:p>
        </w:tc>
        <w:tc>
          <w:tcPr>
            <w:tcW w:w="2003" w:type="dxa"/>
            <w:tcBorders>
              <w:bottom w:val="single" w:sz="4" w:space="0" w:color="auto"/>
            </w:tcBorders>
            <w:tcMar>
              <w:top w:w="85" w:type="dxa"/>
              <w:left w:w="85" w:type="dxa"/>
              <w:bottom w:w="85" w:type="dxa"/>
            </w:tcMar>
          </w:tcPr>
          <w:p w14:paraId="44D7DC74" w14:textId="6E733900" w:rsidR="00514CCD" w:rsidRPr="00474844" w:rsidRDefault="00514CCD" w:rsidP="00514CCD">
            <w:pPr>
              <w:rPr>
                <w:bCs/>
                <w:noProof/>
              </w:rPr>
            </w:pPr>
            <w:r>
              <w:rPr>
                <w:noProof/>
              </w:rPr>
              <w:t>COM(2015) final</w:t>
            </w:r>
            <w:r>
              <w:rPr>
                <w:noProof/>
              </w:rPr>
              <w:br/>
              <w:t>2018/0072 (CNS)</w:t>
            </w:r>
            <w:r>
              <w:rPr>
                <w:noProof/>
              </w:rPr>
              <w:br/>
              <w:t>21.3.2018</w:t>
            </w:r>
          </w:p>
        </w:tc>
      </w:tr>
      <w:tr w:rsidR="008B6CB4" w:rsidRPr="006C1C34" w14:paraId="2D7085C0"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404724B" w14:textId="77777777" w:rsidR="008B6CB4" w:rsidRPr="006C1C34" w:rsidRDefault="008B6CB4" w:rsidP="008B6CB4">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9A1928A" w14:textId="2605F7A0" w:rsidR="008B6CB4" w:rsidRPr="00E348D3" w:rsidRDefault="008B6CB4" w:rsidP="00624A8E">
            <w:pPr>
              <w:jc w:val="both"/>
              <w:rPr>
                <w:bCs/>
                <w:noProof/>
              </w:rPr>
            </w:pPr>
            <w:r>
              <w:rPr>
                <w:noProof/>
              </w:rPr>
              <w:t>Ehdotus EUROOPAN PARLAMENTIN JA NEUVOSTON ASETUKSEKSI asetuksen (EU) N:o 806/2014 muuttamisesta eurooppalaisen talletussuojajärjestelmän perustamiseksi</w:t>
            </w:r>
          </w:p>
        </w:tc>
        <w:tc>
          <w:tcPr>
            <w:tcW w:w="2003" w:type="dxa"/>
            <w:tcBorders>
              <w:bottom w:val="single" w:sz="4" w:space="0" w:color="auto"/>
            </w:tcBorders>
            <w:tcMar>
              <w:top w:w="85" w:type="dxa"/>
              <w:left w:w="85" w:type="dxa"/>
              <w:bottom w:w="85" w:type="dxa"/>
            </w:tcMar>
          </w:tcPr>
          <w:p w14:paraId="467FBC88" w14:textId="4E7DA4B2" w:rsidR="008B6CB4" w:rsidRPr="00474844" w:rsidRDefault="008B6CB4" w:rsidP="008B6CB4">
            <w:pPr>
              <w:rPr>
                <w:bCs/>
                <w:noProof/>
              </w:rPr>
            </w:pPr>
            <w:r>
              <w:rPr>
                <w:noProof/>
              </w:rPr>
              <w:t>COM(2015) 586 final</w:t>
            </w:r>
            <w:r>
              <w:rPr>
                <w:noProof/>
              </w:rPr>
              <w:br/>
              <w:t xml:space="preserve">2015/0270 (COD) </w:t>
            </w:r>
            <w:r>
              <w:rPr>
                <w:noProof/>
              </w:rPr>
              <w:br/>
              <w:t>24.11.2015</w:t>
            </w:r>
          </w:p>
        </w:tc>
      </w:tr>
      <w:tr w:rsidR="00181AB1" w:rsidRPr="006C1C34" w14:paraId="3A9B9511"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591C3669" w14:textId="77777777" w:rsidR="00181AB1" w:rsidRPr="006C1C34" w:rsidRDefault="00181AB1" w:rsidP="00181AB1">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2A604B1A" w14:textId="22D16D01" w:rsidR="00181AB1" w:rsidRPr="00A2515D" w:rsidRDefault="00181AB1" w:rsidP="00624A8E">
            <w:pPr>
              <w:jc w:val="both"/>
              <w:rPr>
                <w:noProof/>
              </w:rPr>
            </w:pPr>
            <w:r>
              <w:rPr>
                <w:noProof/>
              </w:rPr>
              <w:t>Ehdotus EUROOPAN PARLAMENTIN JA NEUVOSTON ASETUKSEKSI matkustajille heidän lennolle pääsynsä epäämisen sekä lentojen peruuttamisen tai pitkäaikaisen viivästymisen johdosta annettavaa korvausta ja apua koskevista yhteisistä säännöistä annetun asetuksen (EY) N:o 261/2004 ja matkustajien ja heidän matkatavaroidensa ilmakuljetusta koskevasta lentoliikenteen harjoittajien korvausvastuusta annetun asetuksen (EY) N:o 2027/97 muuttamisesta</w:t>
            </w:r>
          </w:p>
        </w:tc>
        <w:tc>
          <w:tcPr>
            <w:tcW w:w="2003" w:type="dxa"/>
            <w:tcBorders>
              <w:bottom w:val="single" w:sz="4" w:space="0" w:color="auto"/>
            </w:tcBorders>
            <w:tcMar>
              <w:top w:w="85" w:type="dxa"/>
              <w:left w:w="85" w:type="dxa"/>
              <w:bottom w:w="85" w:type="dxa"/>
            </w:tcMar>
          </w:tcPr>
          <w:p w14:paraId="4B2DE449" w14:textId="574F7370" w:rsidR="00181AB1" w:rsidRDefault="00181AB1" w:rsidP="00181AB1">
            <w:pPr>
              <w:rPr>
                <w:noProof/>
              </w:rPr>
            </w:pPr>
            <w:r>
              <w:rPr>
                <w:noProof/>
              </w:rPr>
              <w:t>COM(2013) 130 final</w:t>
            </w:r>
            <w:r>
              <w:rPr>
                <w:noProof/>
              </w:rPr>
              <w:br/>
              <w:t xml:space="preserve">2013/0072 (COD) </w:t>
            </w:r>
            <w:r>
              <w:rPr>
                <w:noProof/>
              </w:rPr>
              <w:br/>
              <w:t>13.3.2013</w:t>
            </w:r>
          </w:p>
        </w:tc>
      </w:tr>
      <w:tr w:rsidR="005D0252" w:rsidRPr="006C1C34" w14:paraId="63379BDD" w14:textId="77777777" w:rsidTr="00C12335">
        <w:trPr>
          <w:jc w:val="center"/>
        </w:trPr>
        <w:tc>
          <w:tcPr>
            <w:tcW w:w="562" w:type="dxa"/>
            <w:tcBorders>
              <w:bottom w:val="single" w:sz="4" w:space="0" w:color="auto"/>
              <w:right w:val="nil"/>
            </w:tcBorders>
            <w:shd w:val="clear" w:color="auto" w:fill="auto"/>
            <w:tcMar>
              <w:top w:w="85" w:type="dxa"/>
              <w:left w:w="85" w:type="dxa"/>
              <w:bottom w:w="85" w:type="dxa"/>
            </w:tcMar>
          </w:tcPr>
          <w:p w14:paraId="43D9752E" w14:textId="77777777" w:rsidR="005D0252" w:rsidRPr="006C1C34" w:rsidRDefault="005D0252" w:rsidP="005D0252">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871421A" w14:textId="130C9B99" w:rsidR="005D0252" w:rsidRPr="003E46FA" w:rsidRDefault="005D0252" w:rsidP="005D0252">
            <w:pPr>
              <w:jc w:val="both"/>
              <w:rPr>
                <w:noProof/>
              </w:rPr>
            </w:pPr>
            <w:r>
              <w:rPr>
                <w:noProof/>
              </w:rPr>
              <w:t>Ehdotus NEUVOSTON DIREKTIIVIKSI tiiviimmän yhteistyön toteuttamisesta finanssitransaktioveron alalla</w:t>
            </w:r>
          </w:p>
        </w:tc>
        <w:tc>
          <w:tcPr>
            <w:tcW w:w="2003" w:type="dxa"/>
            <w:tcBorders>
              <w:bottom w:val="single" w:sz="4" w:space="0" w:color="auto"/>
            </w:tcBorders>
            <w:tcMar>
              <w:top w:w="85" w:type="dxa"/>
              <w:left w:w="85" w:type="dxa"/>
              <w:bottom w:w="85" w:type="dxa"/>
            </w:tcMar>
          </w:tcPr>
          <w:p w14:paraId="7C01917E" w14:textId="65B9F513" w:rsidR="005D0252" w:rsidRPr="007F6CD9" w:rsidRDefault="005D0252" w:rsidP="005D0252">
            <w:pPr>
              <w:rPr>
                <w:noProof/>
              </w:rPr>
            </w:pPr>
            <w:r>
              <w:rPr>
                <w:noProof/>
              </w:rPr>
              <w:t>COM(2013) 71 final</w:t>
            </w:r>
            <w:r>
              <w:rPr>
                <w:noProof/>
              </w:rPr>
              <w:br/>
              <w:t>2013/0045 (CNS)</w:t>
            </w:r>
            <w:r>
              <w:rPr>
                <w:noProof/>
              </w:rPr>
              <w:br/>
              <w:t>14.2.2013</w:t>
            </w:r>
          </w:p>
        </w:tc>
      </w:tr>
      <w:tr w:rsidR="00AB66A8" w:rsidRPr="006C1C34" w14:paraId="4B460923" w14:textId="77777777" w:rsidTr="00FF69A3">
        <w:trPr>
          <w:trHeight w:val="346"/>
          <w:jc w:val="center"/>
        </w:trPr>
        <w:tc>
          <w:tcPr>
            <w:tcW w:w="14029" w:type="dxa"/>
            <w:gridSpan w:val="3"/>
            <w:shd w:val="clear" w:color="auto" w:fill="006666"/>
            <w:tcMar>
              <w:top w:w="85" w:type="dxa"/>
              <w:left w:w="85" w:type="dxa"/>
              <w:bottom w:w="85" w:type="dxa"/>
              <w:right w:w="85" w:type="dxa"/>
            </w:tcMar>
          </w:tcPr>
          <w:p w14:paraId="54D6B0B6" w14:textId="77777777" w:rsidR="00AB66A8" w:rsidRPr="006C1C34" w:rsidRDefault="00AB66A8" w:rsidP="00C45575">
            <w:pPr>
              <w:keepNext/>
              <w:keepLines/>
              <w:spacing w:before="60" w:after="60"/>
              <w:ind w:left="357" w:hanging="357"/>
              <w:jc w:val="both"/>
              <w:rPr>
                <w:b/>
                <w:bCs/>
                <w:noProof/>
                <w:color w:val="FFFFFF"/>
              </w:rPr>
            </w:pPr>
            <w:r>
              <w:rPr>
                <w:b/>
                <w:noProof/>
                <w:color w:val="FFFFFF" w:themeColor="background1"/>
              </w:rPr>
              <w:t>Euroopan puolustuksen ja turvallisuuden uusi aikakausi</w:t>
            </w:r>
          </w:p>
        </w:tc>
      </w:tr>
      <w:tr w:rsidR="00AB66A8" w:rsidRPr="006C1C34" w14:paraId="5AE65A23" w14:textId="77777777" w:rsidTr="00C12335">
        <w:trPr>
          <w:trHeight w:val="20"/>
          <w:jc w:val="center"/>
        </w:trPr>
        <w:tc>
          <w:tcPr>
            <w:tcW w:w="562" w:type="dxa"/>
            <w:tcBorders>
              <w:right w:val="nil"/>
            </w:tcBorders>
            <w:shd w:val="clear" w:color="auto" w:fill="auto"/>
            <w:tcMar>
              <w:top w:w="85" w:type="dxa"/>
              <w:left w:w="85" w:type="dxa"/>
              <w:bottom w:w="85" w:type="dxa"/>
            </w:tcMar>
          </w:tcPr>
          <w:p w14:paraId="58D96771"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7625130" w14:textId="77777777" w:rsidR="00AB66A8" w:rsidRPr="005B5451" w:rsidRDefault="00AB66A8" w:rsidP="00081129">
            <w:pPr>
              <w:jc w:val="both"/>
              <w:rPr>
                <w:noProof/>
              </w:rPr>
            </w:pPr>
            <w:r>
              <w:rPr>
                <w:noProof/>
              </w:rPr>
              <w:t>Ehdotus EUROOPAN PARLAMENTIN JA NEUVOSTON ASETUKSEKSI matkustustietojen sähköistä toimittamista koskevan sovelluksen (”EU:n digitaalinen matkustussovellus”) käyttöönotosta sekä Euroopan parlamentin ja neuvoston asetusten (EU) 2016/399 ja (EU) 2018/1726 sekä neuvoston asetuksen (EY) N:o 2252/2004 muuttamisesta digitaalisen matkustustunnisteen käytön osalta</w:t>
            </w:r>
          </w:p>
        </w:tc>
        <w:tc>
          <w:tcPr>
            <w:tcW w:w="2003" w:type="dxa"/>
            <w:tcMar>
              <w:top w:w="85" w:type="dxa"/>
              <w:left w:w="85" w:type="dxa"/>
              <w:bottom w:w="85" w:type="dxa"/>
            </w:tcMar>
          </w:tcPr>
          <w:p w14:paraId="01D170F0" w14:textId="77777777" w:rsidR="00AB66A8" w:rsidRPr="000C4051" w:rsidRDefault="00AB66A8" w:rsidP="006C6FCD">
            <w:pPr>
              <w:rPr>
                <w:noProof/>
              </w:rPr>
            </w:pPr>
            <w:r>
              <w:rPr>
                <w:noProof/>
              </w:rPr>
              <w:t>COM(2024) 670 final</w:t>
            </w:r>
            <w:r>
              <w:rPr>
                <w:noProof/>
              </w:rPr>
              <w:br/>
              <w:t>2024/0670 (COD)</w:t>
            </w:r>
            <w:r>
              <w:rPr>
                <w:noProof/>
              </w:rPr>
              <w:br/>
              <w:t>8.10.2024</w:t>
            </w:r>
          </w:p>
        </w:tc>
      </w:tr>
      <w:tr w:rsidR="00AB66A8" w:rsidRPr="006C1C34" w14:paraId="2F29D257" w14:textId="77777777" w:rsidTr="00C12335">
        <w:trPr>
          <w:trHeight w:val="20"/>
          <w:jc w:val="center"/>
        </w:trPr>
        <w:tc>
          <w:tcPr>
            <w:tcW w:w="562" w:type="dxa"/>
            <w:tcBorders>
              <w:right w:val="nil"/>
            </w:tcBorders>
            <w:shd w:val="clear" w:color="auto" w:fill="auto"/>
            <w:tcMar>
              <w:top w:w="85" w:type="dxa"/>
              <w:left w:w="85" w:type="dxa"/>
              <w:bottom w:w="85" w:type="dxa"/>
            </w:tcMar>
          </w:tcPr>
          <w:p w14:paraId="521CDE56"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388A701F" w14:textId="77777777" w:rsidR="00AB66A8" w:rsidRPr="005B5451" w:rsidRDefault="00AB66A8" w:rsidP="00081129">
            <w:pPr>
              <w:jc w:val="both"/>
              <w:rPr>
                <w:noProof/>
              </w:rPr>
            </w:pPr>
            <w:r>
              <w:rPr>
                <w:noProof/>
              </w:rPr>
              <w:t>Ehdotus EUROOPAN PARLAMENTIN JA NEUVOSTON ASETUKSEKSI tilapäisestä poikkeamisesta asetuksen (EU) 2017/2226 ja asetuksen (EU) 2016/399 tietyistä säännöksistä rajanylitystietojärjestelmän asteittaisen käyttöönoton osalta</w:t>
            </w:r>
          </w:p>
        </w:tc>
        <w:tc>
          <w:tcPr>
            <w:tcW w:w="2003" w:type="dxa"/>
            <w:tcMar>
              <w:top w:w="85" w:type="dxa"/>
              <w:left w:w="85" w:type="dxa"/>
              <w:bottom w:w="85" w:type="dxa"/>
            </w:tcMar>
          </w:tcPr>
          <w:p w14:paraId="31FC17CD" w14:textId="77777777" w:rsidR="00AB66A8" w:rsidRPr="000C4051" w:rsidRDefault="00AB66A8" w:rsidP="006C6FCD">
            <w:pPr>
              <w:rPr>
                <w:noProof/>
              </w:rPr>
            </w:pPr>
            <w:r>
              <w:rPr>
                <w:noProof/>
              </w:rPr>
              <w:t>COM(2024) 567 final</w:t>
            </w:r>
            <w:r>
              <w:rPr>
                <w:noProof/>
              </w:rPr>
              <w:br/>
              <w:t>2024/0315 (COD)</w:t>
            </w:r>
            <w:r>
              <w:rPr>
                <w:noProof/>
              </w:rPr>
              <w:br/>
              <w:t>4.12.2024</w:t>
            </w:r>
          </w:p>
        </w:tc>
      </w:tr>
      <w:tr w:rsidR="00AB66A8" w:rsidRPr="006C1C34" w14:paraId="7FDE400A" w14:textId="77777777" w:rsidTr="00C12335">
        <w:trPr>
          <w:trHeight w:val="20"/>
          <w:jc w:val="center"/>
        </w:trPr>
        <w:tc>
          <w:tcPr>
            <w:tcW w:w="562" w:type="dxa"/>
            <w:tcBorders>
              <w:right w:val="nil"/>
            </w:tcBorders>
            <w:shd w:val="clear" w:color="auto" w:fill="auto"/>
            <w:tcMar>
              <w:top w:w="85" w:type="dxa"/>
              <w:left w:w="85" w:type="dxa"/>
              <w:bottom w:w="85" w:type="dxa"/>
            </w:tcMar>
          </w:tcPr>
          <w:p w14:paraId="7277164A"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D9F080C" w14:textId="77777777" w:rsidR="00AB66A8" w:rsidRPr="000C4051" w:rsidRDefault="00AB66A8" w:rsidP="00081129">
            <w:pPr>
              <w:jc w:val="both"/>
              <w:rPr>
                <w:noProof/>
              </w:rPr>
            </w:pPr>
            <w:r>
              <w:rPr>
                <w:noProof/>
              </w:rPr>
              <w:t>Ehdotus EUROOPAN PARLAMENTIN JA NEUVOSTON ASETUKSEKSI Euroopan puolustusteollisuusohjelman (EDIP) ja puolustustarvikkeiden oikea-aikaisen saatavuuden ja toimituksen varmistamista koskevan toimenpidekehyksen perustamisesta</w:t>
            </w:r>
          </w:p>
        </w:tc>
        <w:tc>
          <w:tcPr>
            <w:tcW w:w="2003" w:type="dxa"/>
            <w:tcMar>
              <w:top w:w="85" w:type="dxa"/>
              <w:left w:w="85" w:type="dxa"/>
              <w:bottom w:w="85" w:type="dxa"/>
            </w:tcMar>
          </w:tcPr>
          <w:p w14:paraId="3904953E" w14:textId="77777777" w:rsidR="00AB66A8" w:rsidRDefault="00AB66A8" w:rsidP="006C6FCD">
            <w:pPr>
              <w:rPr>
                <w:noProof/>
              </w:rPr>
            </w:pPr>
            <w:r>
              <w:rPr>
                <w:noProof/>
              </w:rPr>
              <w:t>COM(2024) 150 final</w:t>
            </w:r>
            <w:r>
              <w:rPr>
                <w:noProof/>
              </w:rPr>
              <w:br/>
              <w:t>2024/0061 (COD)</w:t>
            </w:r>
            <w:r>
              <w:rPr>
                <w:noProof/>
              </w:rPr>
              <w:br/>
              <w:t>5.3.2024</w:t>
            </w:r>
          </w:p>
        </w:tc>
      </w:tr>
      <w:tr w:rsidR="00AB66A8" w:rsidRPr="006C1C34" w14:paraId="1C7E0951" w14:textId="77777777" w:rsidTr="00C12335">
        <w:trPr>
          <w:trHeight w:val="20"/>
          <w:jc w:val="center"/>
        </w:trPr>
        <w:tc>
          <w:tcPr>
            <w:tcW w:w="562" w:type="dxa"/>
            <w:tcBorders>
              <w:right w:val="nil"/>
            </w:tcBorders>
            <w:shd w:val="clear" w:color="auto" w:fill="auto"/>
            <w:tcMar>
              <w:top w:w="85" w:type="dxa"/>
              <w:left w:w="85" w:type="dxa"/>
              <w:bottom w:w="85" w:type="dxa"/>
            </w:tcMar>
          </w:tcPr>
          <w:p w14:paraId="0C4BBBA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06A4DBB" w14:textId="77777777" w:rsidR="00AB66A8" w:rsidRPr="000C4051" w:rsidRDefault="00AB66A8" w:rsidP="00081129">
            <w:pPr>
              <w:jc w:val="both"/>
              <w:rPr>
                <w:noProof/>
              </w:rPr>
            </w:pPr>
            <w:r>
              <w:rPr>
                <w:noProof/>
              </w:rPr>
              <w:t>Ehdotus EUROOPAN PARLAMENTIN JA NEUVOSTON DIREKTIIVIKSI lapsiin kohdistuvan seksuaaliväkivallan ja seksuaalisen riiston sekä lapsiin kohdistuvaa seksuaaliväkivaltaa todistavan materiaalin torjumisesta ja neuvoston puitepäätöksen 2004/68/YOS korvaamisesta (uudelleenlaadittu teksti)</w:t>
            </w:r>
          </w:p>
        </w:tc>
        <w:tc>
          <w:tcPr>
            <w:tcW w:w="2003" w:type="dxa"/>
            <w:tcMar>
              <w:top w:w="85" w:type="dxa"/>
              <w:left w:w="85" w:type="dxa"/>
              <w:bottom w:w="85" w:type="dxa"/>
            </w:tcMar>
          </w:tcPr>
          <w:p w14:paraId="1934DFE5" w14:textId="77777777" w:rsidR="00AB66A8" w:rsidRPr="000C4051" w:rsidRDefault="00AB66A8" w:rsidP="006C6FCD">
            <w:pPr>
              <w:rPr>
                <w:noProof/>
              </w:rPr>
            </w:pPr>
            <w:r>
              <w:rPr>
                <w:noProof/>
              </w:rPr>
              <w:t>COM(2024) 60 final</w:t>
            </w:r>
            <w:r>
              <w:rPr>
                <w:noProof/>
              </w:rPr>
              <w:br/>
              <w:t>2024/0035 (COD)</w:t>
            </w:r>
            <w:r>
              <w:rPr>
                <w:noProof/>
              </w:rPr>
              <w:br/>
              <w:t>6.2.2024</w:t>
            </w:r>
          </w:p>
        </w:tc>
      </w:tr>
      <w:tr w:rsidR="00AB66A8" w:rsidRPr="006C1C34" w14:paraId="7D00E06B" w14:textId="77777777" w:rsidTr="00C12335">
        <w:trPr>
          <w:trHeight w:val="20"/>
          <w:jc w:val="center"/>
        </w:trPr>
        <w:tc>
          <w:tcPr>
            <w:tcW w:w="562" w:type="dxa"/>
            <w:tcBorders>
              <w:right w:val="nil"/>
            </w:tcBorders>
            <w:shd w:val="clear" w:color="auto" w:fill="auto"/>
            <w:tcMar>
              <w:top w:w="85" w:type="dxa"/>
              <w:left w:w="85" w:type="dxa"/>
              <w:bottom w:w="85" w:type="dxa"/>
            </w:tcMar>
          </w:tcPr>
          <w:p w14:paraId="2A3839F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A13EABB" w14:textId="77777777" w:rsidR="00AB66A8" w:rsidRPr="000C4051" w:rsidRDefault="00AB66A8" w:rsidP="00081129">
            <w:pPr>
              <w:jc w:val="both"/>
              <w:rPr>
                <w:noProof/>
              </w:rPr>
            </w:pPr>
            <w:r>
              <w:rPr>
                <w:noProof/>
              </w:rPr>
              <w:t>Ehdotus EUROOPAN PARLAMENTIN JA NEUVOSTON DIREKTIIVIKSI vähimmäissäännöistä laittomassa maahantulossa unioniin, kauttakulussa unionin kautta ja unionin alueella oleskelussa avustamisen ehkäisemiseksi ja torjumiseksi sekä neuvoston direktiivin 2002/90/EY ja neuvoston puitepäätöksen 2002/946/YOS korvaamisesta</w:t>
            </w:r>
          </w:p>
        </w:tc>
        <w:tc>
          <w:tcPr>
            <w:tcW w:w="2003" w:type="dxa"/>
            <w:tcMar>
              <w:top w:w="85" w:type="dxa"/>
              <w:left w:w="85" w:type="dxa"/>
              <w:bottom w:w="85" w:type="dxa"/>
            </w:tcMar>
          </w:tcPr>
          <w:p w14:paraId="7920DE66" w14:textId="77777777" w:rsidR="00AB66A8" w:rsidRPr="000C4051" w:rsidRDefault="00AB66A8" w:rsidP="006C6FCD">
            <w:pPr>
              <w:rPr>
                <w:noProof/>
              </w:rPr>
            </w:pPr>
            <w:r>
              <w:rPr>
                <w:noProof/>
              </w:rPr>
              <w:t>COM(2023) 755 final</w:t>
            </w:r>
            <w:r>
              <w:rPr>
                <w:noProof/>
              </w:rPr>
              <w:br/>
              <w:t>2023/0439 (COD)</w:t>
            </w:r>
            <w:r>
              <w:rPr>
                <w:noProof/>
              </w:rPr>
              <w:br/>
              <w:t>28.11.2023</w:t>
            </w:r>
          </w:p>
        </w:tc>
      </w:tr>
      <w:tr w:rsidR="00AB66A8" w:rsidRPr="006C1C34" w14:paraId="18C7589E" w14:textId="77777777" w:rsidTr="00C12335">
        <w:trPr>
          <w:trHeight w:val="20"/>
          <w:jc w:val="center"/>
        </w:trPr>
        <w:tc>
          <w:tcPr>
            <w:tcW w:w="562" w:type="dxa"/>
            <w:tcBorders>
              <w:right w:val="nil"/>
            </w:tcBorders>
            <w:shd w:val="clear" w:color="auto" w:fill="auto"/>
            <w:tcMar>
              <w:top w:w="85" w:type="dxa"/>
              <w:left w:w="85" w:type="dxa"/>
              <w:bottom w:w="85" w:type="dxa"/>
            </w:tcMar>
          </w:tcPr>
          <w:p w14:paraId="25AE6255"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vAlign w:val="bottom"/>
          </w:tcPr>
          <w:p w14:paraId="2DFF1B4A" w14:textId="77777777" w:rsidR="00AB66A8" w:rsidRPr="000C4051" w:rsidRDefault="00AB66A8" w:rsidP="00081129">
            <w:pPr>
              <w:jc w:val="both"/>
              <w:rPr>
                <w:noProof/>
              </w:rPr>
            </w:pPr>
            <w:r>
              <w:rPr>
                <w:noProof/>
              </w:rPr>
              <w:t>Ehdotus EUROOPAN PARLAMENTIN JA NEUVOSTON ASETUKSEKSI muuttajien salakuljetuksen ja ihmiskaupan ehkäisemiseen, havaitsemiseen ja tutkimiseen liittyvän poliisiyhteistyön tehostamisesta ja tällaisten rikosten ehkäisemiseen ja torjuntaan annettavan Europolin tuen tehostamisesta sekä asetuksen (EU) 2016/794 muuttamisesta</w:t>
            </w:r>
          </w:p>
        </w:tc>
        <w:tc>
          <w:tcPr>
            <w:tcW w:w="2003" w:type="dxa"/>
            <w:tcMar>
              <w:top w:w="85" w:type="dxa"/>
              <w:left w:w="85" w:type="dxa"/>
              <w:bottom w:w="85" w:type="dxa"/>
            </w:tcMar>
            <w:vAlign w:val="bottom"/>
          </w:tcPr>
          <w:p w14:paraId="2EC6B981" w14:textId="77777777" w:rsidR="00AB66A8" w:rsidRPr="000C4051" w:rsidRDefault="00AB66A8" w:rsidP="006C6FCD">
            <w:pPr>
              <w:rPr>
                <w:noProof/>
              </w:rPr>
            </w:pPr>
            <w:r>
              <w:rPr>
                <w:noProof/>
              </w:rPr>
              <w:t>COM(2023) 754 final</w:t>
            </w:r>
            <w:r>
              <w:rPr>
                <w:noProof/>
              </w:rPr>
              <w:br/>
              <w:t>2023/0438 (COD)</w:t>
            </w:r>
            <w:r>
              <w:rPr>
                <w:noProof/>
              </w:rPr>
              <w:br/>
              <w:t>28.11.2023</w:t>
            </w:r>
          </w:p>
        </w:tc>
      </w:tr>
      <w:tr w:rsidR="00AB66A8" w:rsidRPr="006C1C34" w14:paraId="6FBD9E09" w14:textId="77777777" w:rsidTr="00C12335">
        <w:trPr>
          <w:trHeight w:val="20"/>
          <w:jc w:val="center"/>
        </w:trPr>
        <w:tc>
          <w:tcPr>
            <w:tcW w:w="562" w:type="dxa"/>
            <w:tcBorders>
              <w:right w:val="nil"/>
            </w:tcBorders>
            <w:shd w:val="clear" w:color="auto" w:fill="auto"/>
            <w:tcMar>
              <w:top w:w="85" w:type="dxa"/>
              <w:left w:w="85" w:type="dxa"/>
              <w:bottom w:w="85" w:type="dxa"/>
            </w:tcMar>
          </w:tcPr>
          <w:p w14:paraId="329F553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5948163" w14:textId="77777777" w:rsidR="00AB66A8" w:rsidRPr="000C4051" w:rsidRDefault="00AB66A8" w:rsidP="00081129">
            <w:pPr>
              <w:jc w:val="both"/>
              <w:rPr>
                <w:noProof/>
              </w:rPr>
            </w:pPr>
            <w:r>
              <w:rPr>
                <w:noProof/>
              </w:rPr>
              <w:t>Ehdotus EUROOPAN PARLAMENTIN JA NEUVOSTON ASETUKSEKSI EU:N OSAAJARESERVIN PERUSTAMISESTA</w:t>
            </w:r>
          </w:p>
        </w:tc>
        <w:tc>
          <w:tcPr>
            <w:tcW w:w="2003" w:type="dxa"/>
            <w:tcMar>
              <w:top w:w="85" w:type="dxa"/>
              <w:left w:w="85" w:type="dxa"/>
              <w:bottom w:w="85" w:type="dxa"/>
            </w:tcMar>
          </w:tcPr>
          <w:p w14:paraId="4D34701B" w14:textId="77777777" w:rsidR="00AB66A8" w:rsidRPr="000C4051" w:rsidRDefault="00AB66A8" w:rsidP="006C6FCD">
            <w:pPr>
              <w:rPr>
                <w:noProof/>
              </w:rPr>
            </w:pPr>
            <w:r>
              <w:rPr>
                <w:noProof/>
              </w:rPr>
              <w:t>COM(2023) 716 final</w:t>
            </w:r>
            <w:r>
              <w:rPr>
                <w:noProof/>
              </w:rPr>
              <w:br/>
              <w:t>2023/0404 (COD)</w:t>
            </w:r>
            <w:r>
              <w:rPr>
                <w:noProof/>
              </w:rPr>
              <w:br/>
              <w:t>15.11.2023</w:t>
            </w:r>
          </w:p>
        </w:tc>
      </w:tr>
      <w:tr w:rsidR="00AB66A8" w:rsidRPr="006C1C34" w14:paraId="7BFC5254" w14:textId="77777777" w:rsidTr="00C12335">
        <w:trPr>
          <w:trHeight w:val="20"/>
          <w:jc w:val="center"/>
        </w:trPr>
        <w:tc>
          <w:tcPr>
            <w:tcW w:w="562" w:type="dxa"/>
            <w:tcBorders>
              <w:right w:val="nil"/>
            </w:tcBorders>
            <w:shd w:val="clear" w:color="auto" w:fill="auto"/>
            <w:tcMar>
              <w:top w:w="85" w:type="dxa"/>
              <w:left w:w="85" w:type="dxa"/>
              <w:bottom w:w="85" w:type="dxa"/>
            </w:tcMar>
          </w:tcPr>
          <w:p w14:paraId="5864C47E"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CD2EE1E" w14:textId="77777777" w:rsidR="00AB66A8" w:rsidRPr="006C1C34" w:rsidRDefault="00AB66A8" w:rsidP="00081129">
            <w:pPr>
              <w:jc w:val="both"/>
              <w:rPr>
                <w:noProof/>
              </w:rPr>
            </w:pPr>
            <w:r>
              <w:rPr>
                <w:noProof/>
              </w:rPr>
              <w:t>Ehdotus EUROOPAN PARLAMENTIN JA NEUVOSTON ASETUKSEKSI asetuksen (EU) 2018/1806 muuttamisesta keskeyttämismekanismin tarkistamisen osalta</w:t>
            </w:r>
          </w:p>
        </w:tc>
        <w:tc>
          <w:tcPr>
            <w:tcW w:w="2003" w:type="dxa"/>
            <w:tcMar>
              <w:top w:w="85" w:type="dxa"/>
              <w:left w:w="85" w:type="dxa"/>
              <w:bottom w:w="85" w:type="dxa"/>
            </w:tcMar>
          </w:tcPr>
          <w:p w14:paraId="3305AE4B" w14:textId="77777777" w:rsidR="00AB66A8" w:rsidRPr="006C1C34" w:rsidRDefault="00AB66A8" w:rsidP="006C6FCD">
            <w:pPr>
              <w:rPr>
                <w:noProof/>
              </w:rPr>
            </w:pPr>
            <w:r>
              <w:rPr>
                <w:noProof/>
              </w:rPr>
              <w:t>COM(2023) 642 final</w:t>
            </w:r>
            <w:r>
              <w:rPr>
                <w:noProof/>
              </w:rPr>
              <w:br/>
              <w:t>2023/0371 (COD)</w:t>
            </w:r>
            <w:r>
              <w:rPr>
                <w:noProof/>
              </w:rPr>
              <w:br/>
              <w:t>18.10.2023</w:t>
            </w:r>
          </w:p>
        </w:tc>
      </w:tr>
      <w:tr w:rsidR="00AB66A8" w:rsidRPr="006C1C34" w14:paraId="6A0DFB7C" w14:textId="77777777" w:rsidTr="00C12335">
        <w:trPr>
          <w:trHeight w:val="20"/>
          <w:jc w:val="center"/>
        </w:trPr>
        <w:tc>
          <w:tcPr>
            <w:tcW w:w="562" w:type="dxa"/>
            <w:tcBorders>
              <w:right w:val="nil"/>
            </w:tcBorders>
            <w:shd w:val="clear" w:color="auto" w:fill="auto"/>
            <w:tcMar>
              <w:top w:w="85" w:type="dxa"/>
              <w:left w:w="85" w:type="dxa"/>
              <w:bottom w:w="85" w:type="dxa"/>
            </w:tcMar>
          </w:tcPr>
          <w:p w14:paraId="19EF4D9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C81457F" w14:textId="77777777" w:rsidR="00AB66A8" w:rsidRPr="00CE7E10" w:rsidRDefault="00AB66A8" w:rsidP="00081129">
            <w:pPr>
              <w:jc w:val="both"/>
              <w:rPr>
                <w:noProof/>
                <w:highlight w:val="green"/>
              </w:rPr>
            </w:pPr>
            <w:r>
              <w:rPr>
                <w:noProof/>
              </w:rPr>
              <w:t>Ehdotus EUROOPAN PARLAMENTIN JA NEUVOSTON DIREKTIIVIKSI korruption torjunnasta sekä neuvoston puitepäätöksen 2003/568/YOS ja sellaisen lahjonnan torjumisesta, jossa on osallisina Euroopan yhteisöjen virkamiehiä tai Euroopan unionin jäsenvaltioiden virkamiehiä, tehdyn yleissopimuksen korvaamisesta sekä Euroopan parlamentin ja neuvoston direktiivin (EU) 2017/1371 muuttamisesta</w:t>
            </w:r>
          </w:p>
        </w:tc>
        <w:tc>
          <w:tcPr>
            <w:tcW w:w="2003" w:type="dxa"/>
            <w:tcMar>
              <w:top w:w="85" w:type="dxa"/>
              <w:left w:w="85" w:type="dxa"/>
              <w:bottom w:w="85" w:type="dxa"/>
            </w:tcMar>
          </w:tcPr>
          <w:p w14:paraId="5653DB39" w14:textId="77777777" w:rsidR="00AB66A8" w:rsidRPr="00CE7E10" w:rsidRDefault="00AB66A8" w:rsidP="006C6FCD">
            <w:pPr>
              <w:rPr>
                <w:noProof/>
                <w:highlight w:val="green"/>
              </w:rPr>
            </w:pPr>
            <w:r>
              <w:rPr>
                <w:noProof/>
              </w:rPr>
              <w:t>COM(2023) 234 final</w:t>
            </w:r>
            <w:r>
              <w:rPr>
                <w:noProof/>
              </w:rPr>
              <w:br/>
              <w:t>2023/0135 (COD)</w:t>
            </w:r>
            <w:r>
              <w:rPr>
                <w:noProof/>
              </w:rPr>
              <w:br/>
              <w:t>3.5.2023</w:t>
            </w:r>
          </w:p>
        </w:tc>
      </w:tr>
      <w:tr w:rsidR="00AB66A8" w:rsidRPr="006C1C34" w14:paraId="68CEA51C" w14:textId="77777777" w:rsidTr="00C12335">
        <w:trPr>
          <w:trHeight w:val="20"/>
          <w:jc w:val="center"/>
        </w:trPr>
        <w:tc>
          <w:tcPr>
            <w:tcW w:w="562" w:type="dxa"/>
            <w:tcBorders>
              <w:right w:val="nil"/>
            </w:tcBorders>
            <w:shd w:val="clear" w:color="auto" w:fill="auto"/>
            <w:tcMar>
              <w:top w:w="85" w:type="dxa"/>
              <w:left w:w="85" w:type="dxa"/>
              <w:bottom w:w="85" w:type="dxa"/>
            </w:tcMar>
          </w:tcPr>
          <w:p w14:paraId="3575C5D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232FA36" w14:textId="77777777" w:rsidR="00AB66A8" w:rsidRPr="000C4051" w:rsidRDefault="00AB66A8" w:rsidP="00081129">
            <w:pPr>
              <w:jc w:val="both"/>
              <w:rPr>
                <w:noProof/>
              </w:rPr>
            </w:pPr>
            <w:r>
              <w:rPr>
                <w:noProof/>
              </w:rPr>
              <w:t>Ehdotus EUROOPAN PARLAMENTIN JA NEUVOSTON DIREKTIIVIKSI pitkään oleskelleiden kolmansien maiden kansalaisten asemasta (uudelleenlaadittu teksti)</w:t>
            </w:r>
          </w:p>
        </w:tc>
        <w:tc>
          <w:tcPr>
            <w:tcW w:w="2003" w:type="dxa"/>
            <w:tcMar>
              <w:top w:w="85" w:type="dxa"/>
              <w:left w:w="85" w:type="dxa"/>
              <w:bottom w:w="85" w:type="dxa"/>
            </w:tcMar>
          </w:tcPr>
          <w:p w14:paraId="78B592D3" w14:textId="77777777" w:rsidR="00AB66A8" w:rsidRPr="000C4051" w:rsidRDefault="00AB66A8" w:rsidP="006C6FCD">
            <w:pPr>
              <w:rPr>
                <w:noProof/>
              </w:rPr>
            </w:pPr>
            <w:r>
              <w:rPr>
                <w:noProof/>
              </w:rPr>
              <w:t>COM(2022) 650 final</w:t>
            </w:r>
            <w:r>
              <w:rPr>
                <w:noProof/>
              </w:rPr>
              <w:br/>
              <w:t>2022/0134 (COD)</w:t>
            </w:r>
            <w:r>
              <w:rPr>
                <w:noProof/>
              </w:rPr>
              <w:br/>
              <w:t>27.4.2022</w:t>
            </w:r>
          </w:p>
        </w:tc>
      </w:tr>
      <w:tr w:rsidR="00AB66A8" w:rsidRPr="006C1C34" w14:paraId="10F6645E" w14:textId="77777777" w:rsidTr="00C12335">
        <w:trPr>
          <w:trHeight w:val="20"/>
          <w:jc w:val="center"/>
        </w:trPr>
        <w:tc>
          <w:tcPr>
            <w:tcW w:w="562" w:type="dxa"/>
            <w:tcBorders>
              <w:right w:val="nil"/>
            </w:tcBorders>
            <w:shd w:val="clear" w:color="auto" w:fill="auto"/>
            <w:tcMar>
              <w:top w:w="85" w:type="dxa"/>
              <w:left w:w="85" w:type="dxa"/>
              <w:bottom w:w="85" w:type="dxa"/>
            </w:tcMar>
          </w:tcPr>
          <w:p w14:paraId="5AA108B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ED79996" w14:textId="77777777" w:rsidR="00AB66A8" w:rsidRPr="006C1C34" w:rsidRDefault="00AB66A8" w:rsidP="00081129">
            <w:pPr>
              <w:jc w:val="both"/>
              <w:rPr>
                <w:noProof/>
              </w:rPr>
            </w:pPr>
            <w:r>
              <w:rPr>
                <w:noProof/>
              </w:rPr>
              <w:t>Ehdotus EUROOPAN PARLAMENTIN JA NEUVOSTON ASETUKSEKSI lapsiin kohdistuvan seksuaaliväkivallan ehkäisyä ja torjuntaa koskevista säännöistä</w:t>
            </w:r>
          </w:p>
        </w:tc>
        <w:tc>
          <w:tcPr>
            <w:tcW w:w="2003" w:type="dxa"/>
            <w:tcMar>
              <w:top w:w="85" w:type="dxa"/>
              <w:left w:w="85" w:type="dxa"/>
              <w:bottom w:w="85" w:type="dxa"/>
            </w:tcMar>
          </w:tcPr>
          <w:p w14:paraId="602BF22C" w14:textId="77777777" w:rsidR="00AB66A8" w:rsidRPr="006C1C34" w:rsidRDefault="00AB66A8" w:rsidP="006C6FCD">
            <w:pPr>
              <w:rPr>
                <w:noProof/>
              </w:rPr>
            </w:pPr>
            <w:r>
              <w:rPr>
                <w:noProof/>
              </w:rPr>
              <w:t>COM(2022) 209 final</w:t>
            </w:r>
            <w:r>
              <w:rPr>
                <w:noProof/>
              </w:rPr>
              <w:br/>
              <w:t>2022/0155 (COD)</w:t>
            </w:r>
            <w:r>
              <w:rPr>
                <w:noProof/>
              </w:rPr>
              <w:br/>
              <w:t>11.5.2022</w:t>
            </w:r>
          </w:p>
        </w:tc>
      </w:tr>
      <w:tr w:rsidR="00AB66A8" w:rsidRPr="006C1C34" w14:paraId="37E71307" w14:textId="77777777" w:rsidTr="00C12335">
        <w:trPr>
          <w:trHeight w:val="20"/>
          <w:jc w:val="center"/>
        </w:trPr>
        <w:tc>
          <w:tcPr>
            <w:tcW w:w="562" w:type="dxa"/>
            <w:tcBorders>
              <w:right w:val="nil"/>
            </w:tcBorders>
            <w:shd w:val="clear" w:color="auto" w:fill="auto"/>
            <w:tcMar>
              <w:top w:w="85" w:type="dxa"/>
              <w:left w:w="85" w:type="dxa"/>
              <w:bottom w:w="85" w:type="dxa"/>
            </w:tcMar>
          </w:tcPr>
          <w:p w14:paraId="57753094"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45D59414" w14:textId="77777777" w:rsidR="00AB66A8" w:rsidRPr="006C1C34" w:rsidRDefault="00AB66A8" w:rsidP="00081129">
            <w:pPr>
              <w:jc w:val="both"/>
              <w:rPr>
                <w:noProof/>
              </w:rPr>
            </w:pPr>
            <w:r>
              <w:rPr>
                <w:noProof/>
              </w:rPr>
              <w:t>Ehdotus EUROOPAN PARLAMENTIN JA NEUVOSTON ASETUKSEKSI luettelon vahvistamisesta kolmansista maista, joiden kansalaisilla on oltava viisumi ulkorajoja ylittäessään, ja niistä kolmansista maista, joiden kansalaisia tämä vaatimus ei koske, annetun asetuksen (EU) 2018/1806 muuttamisesta (Kuwait, Qatar)</w:t>
            </w:r>
          </w:p>
        </w:tc>
        <w:tc>
          <w:tcPr>
            <w:tcW w:w="2003" w:type="dxa"/>
            <w:tcMar>
              <w:top w:w="85" w:type="dxa"/>
              <w:left w:w="85" w:type="dxa"/>
              <w:bottom w:w="85" w:type="dxa"/>
            </w:tcMar>
          </w:tcPr>
          <w:p w14:paraId="2D9E95D7" w14:textId="77777777" w:rsidR="00AB66A8" w:rsidRPr="006C1C34" w:rsidRDefault="00AB66A8" w:rsidP="006C6FCD">
            <w:pPr>
              <w:rPr>
                <w:noProof/>
              </w:rPr>
            </w:pPr>
            <w:r>
              <w:rPr>
                <w:noProof/>
              </w:rPr>
              <w:t>COM(2022) 189 final</w:t>
            </w:r>
            <w:r>
              <w:rPr>
                <w:noProof/>
              </w:rPr>
              <w:br/>
              <w:t>2022/0135 (COD)</w:t>
            </w:r>
            <w:r>
              <w:rPr>
                <w:noProof/>
              </w:rPr>
              <w:br/>
              <w:t>27.4.2022</w:t>
            </w:r>
          </w:p>
        </w:tc>
      </w:tr>
      <w:tr w:rsidR="00AB66A8" w:rsidRPr="006C1C34" w14:paraId="492DE113" w14:textId="77777777" w:rsidTr="00C12335">
        <w:trPr>
          <w:trHeight w:val="20"/>
          <w:jc w:val="center"/>
        </w:trPr>
        <w:tc>
          <w:tcPr>
            <w:tcW w:w="562" w:type="dxa"/>
            <w:tcBorders>
              <w:right w:val="nil"/>
            </w:tcBorders>
            <w:shd w:val="clear" w:color="auto" w:fill="auto"/>
            <w:tcMar>
              <w:top w:w="85" w:type="dxa"/>
              <w:left w:w="85" w:type="dxa"/>
              <w:bottom w:w="85" w:type="dxa"/>
            </w:tcMar>
          </w:tcPr>
          <w:p w14:paraId="36D1B6AE"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265A0176" w14:textId="77777777" w:rsidR="00AB66A8" w:rsidRPr="004E2DEE" w:rsidRDefault="00AB66A8" w:rsidP="006041A8">
            <w:pPr>
              <w:jc w:val="both"/>
              <w:rPr>
                <w:noProof/>
                <w:color w:val="FF0000"/>
              </w:rPr>
            </w:pPr>
            <w:r>
              <w:rPr>
                <w:noProof/>
              </w:rPr>
              <w:t>Ehdotus EUROOPAN PARLAMENTIN JA NEUVOSTON ASETUKSEKSI tietoturvallisuudesta unionin toimielimissä, elimissä ja laitoksissa</w:t>
            </w:r>
          </w:p>
        </w:tc>
        <w:tc>
          <w:tcPr>
            <w:tcW w:w="2003" w:type="dxa"/>
            <w:tcMar>
              <w:top w:w="85" w:type="dxa"/>
              <w:left w:w="85" w:type="dxa"/>
              <w:bottom w:w="85" w:type="dxa"/>
            </w:tcMar>
          </w:tcPr>
          <w:p w14:paraId="65F6D3F2" w14:textId="77777777" w:rsidR="00AB66A8" w:rsidRPr="00CD32D0" w:rsidRDefault="00AB66A8" w:rsidP="006C6FCD">
            <w:pPr>
              <w:rPr>
                <w:noProof/>
              </w:rPr>
            </w:pPr>
            <w:r>
              <w:rPr>
                <w:noProof/>
              </w:rPr>
              <w:t>COM(2022) 119 final</w:t>
            </w:r>
            <w:r>
              <w:rPr>
                <w:noProof/>
              </w:rPr>
              <w:br/>
              <w:t>2022/0084 (COD)</w:t>
            </w:r>
            <w:r>
              <w:rPr>
                <w:noProof/>
              </w:rPr>
              <w:br/>
              <w:t>22.3.2022</w:t>
            </w:r>
          </w:p>
        </w:tc>
      </w:tr>
      <w:tr w:rsidR="00AB66A8" w:rsidRPr="006C1C34" w14:paraId="22F9A722" w14:textId="77777777" w:rsidTr="00C12335">
        <w:trPr>
          <w:trHeight w:val="20"/>
          <w:jc w:val="center"/>
        </w:trPr>
        <w:tc>
          <w:tcPr>
            <w:tcW w:w="562" w:type="dxa"/>
            <w:tcBorders>
              <w:right w:val="nil"/>
            </w:tcBorders>
            <w:shd w:val="clear" w:color="auto" w:fill="auto"/>
            <w:tcMar>
              <w:top w:w="85" w:type="dxa"/>
              <w:left w:w="85" w:type="dxa"/>
              <w:bottom w:w="85" w:type="dxa"/>
            </w:tcMar>
          </w:tcPr>
          <w:p w14:paraId="002080E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9FDE014" w14:textId="77777777" w:rsidR="00AB66A8" w:rsidRPr="00C3324C" w:rsidRDefault="00AB66A8" w:rsidP="00081129">
            <w:pPr>
              <w:jc w:val="both"/>
              <w:rPr>
                <w:noProof/>
              </w:rPr>
            </w:pPr>
            <w:r>
              <w:rPr>
                <w:noProof/>
              </w:rPr>
              <w:t>Ehdotus EUROOPAN PARLAMENTIN JA NEUVOSTON ASETUKSEKSI Euroopan unionin alueelle suuntautuvan laittoman maahantulon yhteydessä ihmiskauppaa tai maahanmuuttajien salakuljetusta helpottavien tai harjoittavien liikenteenharjoittajien vastaisista toimenpiteistä</w:t>
            </w:r>
          </w:p>
        </w:tc>
        <w:tc>
          <w:tcPr>
            <w:tcW w:w="2003" w:type="dxa"/>
            <w:tcMar>
              <w:top w:w="85" w:type="dxa"/>
              <w:left w:w="85" w:type="dxa"/>
              <w:bottom w:w="85" w:type="dxa"/>
            </w:tcMar>
          </w:tcPr>
          <w:p w14:paraId="1B8A4805" w14:textId="77777777" w:rsidR="00AB66A8" w:rsidRPr="001A7457" w:rsidRDefault="00AB66A8" w:rsidP="006C6FCD">
            <w:pPr>
              <w:rPr>
                <w:noProof/>
              </w:rPr>
            </w:pPr>
            <w:r>
              <w:rPr>
                <w:noProof/>
                <w:color w:val="000000"/>
              </w:rPr>
              <w:t>COM(2021) 753 final</w:t>
            </w:r>
            <w:r>
              <w:rPr>
                <w:noProof/>
                <w:color w:val="000000"/>
              </w:rPr>
              <w:br/>
              <w:t>2021/0387 (COD)</w:t>
            </w:r>
            <w:r>
              <w:rPr>
                <w:noProof/>
                <w:color w:val="000000"/>
              </w:rPr>
              <w:br/>
              <w:t>23.11.2021</w:t>
            </w:r>
          </w:p>
        </w:tc>
      </w:tr>
      <w:tr w:rsidR="006009A2" w:rsidRPr="006C1C34" w14:paraId="5C0DA317" w14:textId="77777777" w:rsidTr="00C12335">
        <w:trPr>
          <w:trHeight w:val="20"/>
          <w:jc w:val="center"/>
        </w:trPr>
        <w:tc>
          <w:tcPr>
            <w:tcW w:w="562" w:type="dxa"/>
            <w:tcBorders>
              <w:right w:val="nil"/>
            </w:tcBorders>
            <w:shd w:val="clear" w:color="auto" w:fill="auto"/>
            <w:tcMar>
              <w:top w:w="85" w:type="dxa"/>
              <w:left w:w="85" w:type="dxa"/>
              <w:bottom w:w="85" w:type="dxa"/>
            </w:tcMar>
          </w:tcPr>
          <w:p w14:paraId="486F2E63" w14:textId="77777777" w:rsidR="006009A2" w:rsidRPr="006C1C34" w:rsidRDefault="006009A2" w:rsidP="006009A2">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C5376A9" w14:textId="79D8557C" w:rsidR="006009A2" w:rsidRPr="00C355B0" w:rsidRDefault="006009A2" w:rsidP="00081129">
            <w:pPr>
              <w:jc w:val="both"/>
              <w:rPr>
                <w:noProof/>
              </w:rPr>
            </w:pPr>
            <w:r>
              <w:rPr>
                <w:noProof/>
              </w:rPr>
              <w:t>Ehdotus EUROOPAN PARLAMENTIN JA NEUVOSTON ASETUKSEKSI luettelon vahvistamisesta kolmansista maista, joiden kansalaisilla on oltava viisumi ulkorajoja ylittäessään, ja niistä kolmansista maista, joiden kansalaisia tämä vaatimus ei koske, annetun asetuksen (EY) N:o 539/2001 muuttamisesta (Turkki)</w:t>
            </w:r>
          </w:p>
        </w:tc>
        <w:tc>
          <w:tcPr>
            <w:tcW w:w="2003" w:type="dxa"/>
            <w:tcMar>
              <w:top w:w="85" w:type="dxa"/>
              <w:left w:w="85" w:type="dxa"/>
              <w:bottom w:w="85" w:type="dxa"/>
            </w:tcMar>
          </w:tcPr>
          <w:p w14:paraId="58FC2469" w14:textId="7B5462D7" w:rsidR="006009A2" w:rsidRPr="00C355B0" w:rsidRDefault="006009A2" w:rsidP="006009A2">
            <w:pPr>
              <w:rPr>
                <w:noProof/>
                <w:color w:val="000000"/>
              </w:rPr>
            </w:pPr>
            <w:r>
              <w:rPr>
                <w:noProof/>
              </w:rPr>
              <w:t>COM(2016) 279 final</w:t>
            </w:r>
            <w:r>
              <w:rPr>
                <w:noProof/>
              </w:rPr>
              <w:br/>
              <w:t>2016/0141 (COD)</w:t>
            </w:r>
            <w:r>
              <w:rPr>
                <w:noProof/>
              </w:rPr>
              <w:br/>
              <w:t>4.5.2016</w:t>
            </w:r>
          </w:p>
        </w:tc>
      </w:tr>
      <w:tr w:rsidR="00AB66A8" w:rsidRPr="006C1C34" w14:paraId="1CCE9CE1" w14:textId="77777777" w:rsidTr="00FF69A3">
        <w:trPr>
          <w:trHeight w:val="346"/>
          <w:jc w:val="center"/>
        </w:trPr>
        <w:tc>
          <w:tcPr>
            <w:tcW w:w="14029" w:type="dxa"/>
            <w:gridSpan w:val="3"/>
            <w:tcBorders>
              <w:bottom w:val="single" w:sz="4" w:space="0" w:color="auto"/>
            </w:tcBorders>
            <w:shd w:val="clear" w:color="auto" w:fill="FF7900"/>
            <w:tcMar>
              <w:top w:w="85" w:type="dxa"/>
              <w:left w:w="85" w:type="dxa"/>
              <w:bottom w:w="85" w:type="dxa"/>
              <w:right w:w="85" w:type="dxa"/>
            </w:tcMar>
          </w:tcPr>
          <w:p w14:paraId="0021693B" w14:textId="77777777" w:rsidR="00AB66A8" w:rsidRPr="006C1C34" w:rsidRDefault="00AB66A8" w:rsidP="00081129">
            <w:pPr>
              <w:spacing w:before="60" w:after="60"/>
              <w:ind w:left="357" w:hanging="357"/>
              <w:jc w:val="both"/>
              <w:rPr>
                <w:b/>
                <w:bCs/>
                <w:noProof/>
                <w:color w:val="FFFFFF"/>
              </w:rPr>
            </w:pPr>
            <w:r>
              <w:rPr>
                <w:b/>
                <w:noProof/>
                <w:color w:val="FFFFFF" w:themeColor="background1"/>
              </w:rPr>
              <w:t>Ihmisten tukeminen ja yhteiskuntiemme ja sosiaalisen mallimme vahvistaminen</w:t>
            </w:r>
          </w:p>
        </w:tc>
      </w:tr>
      <w:tr w:rsidR="00AB66A8" w:rsidRPr="006C1C34" w14:paraId="001AC9B5" w14:textId="77777777" w:rsidTr="00C12335">
        <w:trPr>
          <w:trHeight w:val="20"/>
          <w:jc w:val="center"/>
        </w:trPr>
        <w:tc>
          <w:tcPr>
            <w:tcW w:w="562" w:type="dxa"/>
            <w:tcBorders>
              <w:top w:val="single" w:sz="4" w:space="0" w:color="auto"/>
              <w:bottom w:val="single" w:sz="4" w:space="0" w:color="auto"/>
              <w:right w:val="nil"/>
            </w:tcBorders>
            <w:shd w:val="clear" w:color="auto" w:fill="auto"/>
            <w:tcMar>
              <w:top w:w="85" w:type="dxa"/>
              <w:left w:w="85" w:type="dxa"/>
              <w:bottom w:w="85" w:type="dxa"/>
            </w:tcMar>
          </w:tcPr>
          <w:p w14:paraId="2F0D7026"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1943966" w14:textId="77777777" w:rsidR="00AB66A8" w:rsidRPr="00B831DE" w:rsidRDefault="00AB66A8" w:rsidP="00081129">
            <w:pPr>
              <w:jc w:val="both"/>
              <w:rPr>
                <w:noProof/>
              </w:rPr>
            </w:pPr>
            <w:r>
              <w:rPr>
                <w:noProof/>
              </w:rPr>
              <w:t>Ehdotus EUROOPAN PARLAMENTIN JA NEUVOSTON PÄÄTÖKSEKSI työttömiksi jääneitä työntekijöitä tukevan Euroopan globalisaatiorahaston varojen käyttöönotosta Belgian hakemuksen johdosta – EGF/2024/002 BE/Limburg machinery and paper</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1E6ABE7F" w14:textId="77777777" w:rsidR="00AB66A8" w:rsidRPr="00B831DE" w:rsidRDefault="00AB66A8" w:rsidP="006C6FCD">
            <w:pPr>
              <w:rPr>
                <w:noProof/>
              </w:rPr>
            </w:pPr>
            <w:r>
              <w:rPr>
                <w:noProof/>
              </w:rPr>
              <w:t>COM(2024) 370 final</w:t>
            </w:r>
            <w:r>
              <w:rPr>
                <w:noProof/>
              </w:rPr>
              <w:br/>
              <w:t>2024/0286 (BUD)</w:t>
            </w:r>
            <w:r>
              <w:rPr>
                <w:noProof/>
              </w:rPr>
              <w:br/>
              <w:t>5.11.2024</w:t>
            </w:r>
          </w:p>
        </w:tc>
      </w:tr>
      <w:tr w:rsidR="00576073" w:rsidRPr="006C1C34" w14:paraId="368E8860" w14:textId="77777777" w:rsidTr="00C12335">
        <w:trPr>
          <w:trHeight w:val="20"/>
          <w:jc w:val="center"/>
        </w:trPr>
        <w:tc>
          <w:tcPr>
            <w:tcW w:w="562" w:type="dxa"/>
            <w:tcBorders>
              <w:top w:val="single" w:sz="4" w:space="0" w:color="auto"/>
              <w:bottom w:val="single" w:sz="4" w:space="0" w:color="auto"/>
              <w:right w:val="nil"/>
            </w:tcBorders>
            <w:shd w:val="clear" w:color="auto" w:fill="auto"/>
            <w:tcMar>
              <w:top w:w="85" w:type="dxa"/>
              <w:left w:w="85" w:type="dxa"/>
              <w:bottom w:w="85" w:type="dxa"/>
            </w:tcMar>
          </w:tcPr>
          <w:p w14:paraId="77F17987" w14:textId="77777777" w:rsidR="00576073" w:rsidRPr="006C1C34" w:rsidRDefault="00576073"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5D029E1" w14:textId="57472AD3" w:rsidR="00576073" w:rsidRPr="00214397" w:rsidRDefault="00CA2C9C" w:rsidP="00081129">
            <w:pPr>
              <w:jc w:val="both"/>
              <w:rPr>
                <w:noProof/>
              </w:rPr>
            </w:pPr>
            <w:r>
              <w:rPr>
                <w:noProof/>
              </w:rPr>
              <w:t>Ehdotus EUROOPAN PARLAMENTIN JA NEUVOSTON DIREKTIIVIKSI harjoittelijoiden työehtojen parantamisesta ja täytäntöönpanemisesta sekä harjoitteluiksi naamioitujen varsinaisten työsuhteiden torjumisesta (harjoitteludirektiivi)</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1DE35DB4" w14:textId="5E988BB9" w:rsidR="00576073" w:rsidRPr="001F152A" w:rsidRDefault="00576073" w:rsidP="006C6FCD">
            <w:pPr>
              <w:rPr>
                <w:noProof/>
              </w:rPr>
            </w:pPr>
            <w:r>
              <w:rPr>
                <w:noProof/>
              </w:rPr>
              <w:t>COM(2024) 132 final</w:t>
            </w:r>
            <w:r>
              <w:rPr>
                <w:noProof/>
              </w:rPr>
              <w:br/>
              <w:t>2024/0068 (COD)</w:t>
            </w:r>
            <w:r>
              <w:rPr>
                <w:noProof/>
              </w:rPr>
              <w:br/>
              <w:t>20.3.2024</w:t>
            </w:r>
          </w:p>
        </w:tc>
      </w:tr>
      <w:tr w:rsidR="00AB66A8" w:rsidRPr="006C1C34" w14:paraId="02354DE6"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1EB8E7BE"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369F2656" w14:textId="77777777" w:rsidR="00AB66A8" w:rsidRPr="00214397" w:rsidRDefault="00AB66A8" w:rsidP="00081129">
            <w:pPr>
              <w:jc w:val="both"/>
              <w:rPr>
                <w:noProof/>
              </w:rPr>
            </w:pPr>
            <w:r>
              <w:rPr>
                <w:noProof/>
              </w:rPr>
              <w:t>Ehdotus EUROOPAN PARLAMENTIN JA NEUVOSTON DIREKTIIVIKSI direktiivin 2009/38/EY muuttamisesta siltä osin kuin on kyse eurooppalaisten yritysneuvostojen perustamisesta ja toiminnasta sekä ylikansallista tiedottamista ja kuulemista koskevien oikeuksien tehokkaasta täytäntöönpanosta</w:t>
            </w:r>
          </w:p>
        </w:tc>
        <w:tc>
          <w:tcPr>
            <w:tcW w:w="2003" w:type="dxa"/>
            <w:tcBorders>
              <w:top w:val="single" w:sz="4" w:space="0" w:color="auto"/>
              <w:left w:val="single" w:sz="4" w:space="0" w:color="auto"/>
              <w:bottom w:val="nil"/>
            </w:tcBorders>
            <w:tcMar>
              <w:top w:w="85" w:type="dxa"/>
              <w:left w:w="85" w:type="dxa"/>
              <w:bottom w:w="85" w:type="dxa"/>
            </w:tcMar>
          </w:tcPr>
          <w:p w14:paraId="128E8FF4" w14:textId="77777777" w:rsidR="00AB66A8" w:rsidRPr="001F152A" w:rsidRDefault="00AB66A8" w:rsidP="006C6FCD">
            <w:pPr>
              <w:rPr>
                <w:noProof/>
              </w:rPr>
            </w:pPr>
            <w:r>
              <w:rPr>
                <w:noProof/>
              </w:rPr>
              <w:t>COM(2024) 14 final</w:t>
            </w:r>
            <w:r>
              <w:rPr>
                <w:noProof/>
              </w:rPr>
              <w:br/>
              <w:t>2024/0006 (COD)</w:t>
            </w:r>
            <w:r>
              <w:rPr>
                <w:noProof/>
              </w:rPr>
              <w:br/>
              <w:t>24.1.2024</w:t>
            </w:r>
          </w:p>
        </w:tc>
      </w:tr>
      <w:tr w:rsidR="00AB66A8" w:rsidRPr="006C1C34" w14:paraId="7C2598A9"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51FA2441"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44DB832" w14:textId="77777777" w:rsidR="00AB66A8" w:rsidRPr="00CE7E10" w:rsidRDefault="00AB66A8" w:rsidP="00081129">
            <w:pPr>
              <w:jc w:val="both"/>
              <w:rPr>
                <w:noProof/>
              </w:rPr>
            </w:pPr>
            <w:r>
              <w:rPr>
                <w:noProof/>
              </w:rPr>
              <w:t>Ehdotus NEUVOSTON DIREKTIIVIKSI yhteensovittamis- ja yhteistyötoimenpiteistä edustusta vailla oleville unionin kansalaisille kolmansissa maissa annettavan konsuliviranomaisten suojelun helpottamiseksi annetun direktiivin (EU) 2015/637 ja EU:n tilapäisen matkustusasiakirjan laatimisesta annetun direktiivin (EU) 2019/997 muuttamisesta</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34A013D5" w14:textId="77777777" w:rsidR="00AB66A8" w:rsidRPr="00CE7E10" w:rsidRDefault="00AB66A8" w:rsidP="006C6FCD">
            <w:pPr>
              <w:rPr>
                <w:noProof/>
              </w:rPr>
            </w:pPr>
            <w:r>
              <w:rPr>
                <w:noProof/>
              </w:rPr>
              <w:t>COM(2023) 930 final</w:t>
            </w:r>
            <w:r>
              <w:rPr>
                <w:noProof/>
              </w:rPr>
              <w:br/>
              <w:t>2023/0441 (CNS)</w:t>
            </w:r>
            <w:r>
              <w:rPr>
                <w:noProof/>
              </w:rPr>
              <w:br/>
              <w:t>6.12.2023</w:t>
            </w:r>
          </w:p>
        </w:tc>
      </w:tr>
      <w:tr w:rsidR="00AB66A8" w:rsidRPr="006C1C34" w14:paraId="32AB4700"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495E73C5"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78C2774" w14:textId="77777777" w:rsidR="00AB66A8" w:rsidRPr="00CE7E10" w:rsidRDefault="00AB66A8" w:rsidP="00081129">
            <w:pPr>
              <w:jc w:val="both"/>
              <w:rPr>
                <w:noProof/>
              </w:rPr>
            </w:pPr>
            <w:r>
              <w:rPr>
                <w:noProof/>
              </w:rPr>
              <w:t>Ehdotus EUROOPAN PARLAMENTIN JA NEUVOSTON DIREKTIIVIKSI direktiivin (EU) 2015/2302 muuttamisesta matkustajien suojelun tehostamiseksi sekä direktiivin tiettyjen näkökohtien yksinkertaistamiseksi ja selventämiseksi</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66D273A4" w14:textId="77777777" w:rsidR="00AB66A8" w:rsidRPr="00CE7E10" w:rsidRDefault="00AB66A8" w:rsidP="006C6FCD">
            <w:pPr>
              <w:rPr>
                <w:noProof/>
              </w:rPr>
            </w:pPr>
            <w:r>
              <w:rPr>
                <w:noProof/>
              </w:rPr>
              <w:t>COM(2023) 905 final</w:t>
            </w:r>
            <w:r>
              <w:rPr>
                <w:noProof/>
              </w:rPr>
              <w:br/>
              <w:t>2023/0435 (COD)</w:t>
            </w:r>
            <w:r>
              <w:rPr>
                <w:noProof/>
              </w:rPr>
              <w:br/>
              <w:t>29.11.2023</w:t>
            </w:r>
          </w:p>
        </w:tc>
      </w:tr>
      <w:tr w:rsidR="00AB66A8" w:rsidRPr="0009755C" w14:paraId="16E4AA70"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6FCF9E78" w14:textId="77777777" w:rsidR="00AB66A8" w:rsidRPr="0009755C"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0AFF48C6" w14:textId="77777777" w:rsidR="00AB66A8" w:rsidRPr="0009755C" w:rsidRDefault="00AB66A8" w:rsidP="00081129">
            <w:pPr>
              <w:jc w:val="both"/>
              <w:rPr>
                <w:noProof/>
              </w:rPr>
            </w:pPr>
            <w:r>
              <w:rPr>
                <w:noProof/>
              </w:rPr>
              <w:t>Ehdotus EUROOPAN PARLAMENTIN JA NEUVOSTON DIREKTIIVIKSI työntekijöiden suojelemisesta syöpäsairauden vaaraa aiheuttaville tekijöille, perimän muutoksia aiheuttaville aineille tai lisääntymiselle vaarallisille aineille altistumiseen työssä liittyviltä vaaroilta (kuudes neuvoston direktiivin 89/391/ETY 16 artiklan 1 kohdassa tarkoitettu erityisdirektiivi) (kodifikaatio)</w:t>
            </w:r>
          </w:p>
        </w:tc>
        <w:tc>
          <w:tcPr>
            <w:tcW w:w="2003" w:type="dxa"/>
            <w:tcBorders>
              <w:top w:val="single" w:sz="4" w:space="0" w:color="auto"/>
              <w:left w:val="single" w:sz="4" w:space="0" w:color="auto"/>
              <w:bottom w:val="nil"/>
            </w:tcBorders>
            <w:tcMar>
              <w:top w:w="85" w:type="dxa"/>
              <w:left w:w="85" w:type="dxa"/>
              <w:bottom w:w="85" w:type="dxa"/>
            </w:tcMar>
          </w:tcPr>
          <w:p w14:paraId="7E978C0C" w14:textId="77777777" w:rsidR="00AB66A8" w:rsidRPr="0009755C" w:rsidRDefault="00AB66A8" w:rsidP="006C6FCD">
            <w:pPr>
              <w:rPr>
                <w:noProof/>
              </w:rPr>
            </w:pPr>
            <w:r>
              <w:rPr>
                <w:noProof/>
              </w:rPr>
              <w:t>COM(2023) 738 final</w:t>
            </w:r>
            <w:r>
              <w:rPr>
                <w:noProof/>
              </w:rPr>
              <w:br/>
              <w:t>2023/0421 (COD)</w:t>
            </w:r>
            <w:r>
              <w:rPr>
                <w:noProof/>
              </w:rPr>
              <w:br/>
              <w:t>27.11.2023</w:t>
            </w:r>
          </w:p>
        </w:tc>
      </w:tr>
      <w:tr w:rsidR="00AB66A8" w:rsidRPr="006C1C34" w14:paraId="5088E48F"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5D6B4AC0"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781F8D33" w14:textId="77777777" w:rsidR="00AB66A8" w:rsidRPr="00C80EB6" w:rsidRDefault="00AB66A8" w:rsidP="00081129">
            <w:pPr>
              <w:jc w:val="both"/>
              <w:rPr>
                <w:noProof/>
              </w:rPr>
            </w:pPr>
            <w:r>
              <w:rPr>
                <w:noProof/>
              </w:rPr>
              <w:t>Ehdotus EUROOPAN PARLAMENTIN JA NEUVOSTON DIREKTIIVIKSI kuluttajariitojen vaihtoehtoisesta riidanratkaisusta annetun direktiivin 2013/11/EU sekä direktiivien (EU) 2015/2302, (EU) 2019/2161 ja (EU) 2020/1828 muuttamisesta</w:t>
            </w:r>
          </w:p>
        </w:tc>
        <w:tc>
          <w:tcPr>
            <w:tcW w:w="2003" w:type="dxa"/>
            <w:tcBorders>
              <w:top w:val="single" w:sz="4" w:space="0" w:color="auto"/>
              <w:left w:val="single" w:sz="4" w:space="0" w:color="auto"/>
              <w:bottom w:val="nil"/>
            </w:tcBorders>
            <w:tcMar>
              <w:top w:w="85" w:type="dxa"/>
              <w:left w:w="85" w:type="dxa"/>
              <w:bottom w:w="85" w:type="dxa"/>
            </w:tcMar>
          </w:tcPr>
          <w:p w14:paraId="6D78DB7B" w14:textId="77777777" w:rsidR="00AB66A8" w:rsidRDefault="00AB66A8" w:rsidP="006C6FCD">
            <w:pPr>
              <w:rPr>
                <w:bCs/>
                <w:noProof/>
                <w:color w:val="FF0000"/>
              </w:rPr>
            </w:pPr>
            <w:r>
              <w:rPr>
                <w:noProof/>
              </w:rPr>
              <w:t>COM(2023) 649 final</w:t>
            </w:r>
            <w:r>
              <w:rPr>
                <w:noProof/>
              </w:rPr>
              <w:br/>
              <w:t>2023/0376 (COD)</w:t>
            </w:r>
            <w:r>
              <w:rPr>
                <w:noProof/>
              </w:rPr>
              <w:br/>
              <w:t>17.10.2023</w:t>
            </w:r>
          </w:p>
        </w:tc>
      </w:tr>
      <w:tr w:rsidR="00AB66A8" w:rsidRPr="006C1C34" w14:paraId="3721DF94" w14:textId="77777777" w:rsidTr="00C12335">
        <w:trPr>
          <w:trHeight w:val="20"/>
          <w:jc w:val="center"/>
        </w:trPr>
        <w:tc>
          <w:tcPr>
            <w:tcW w:w="562" w:type="dxa"/>
            <w:tcBorders>
              <w:top w:val="single" w:sz="4" w:space="0" w:color="auto"/>
              <w:right w:val="nil"/>
            </w:tcBorders>
            <w:shd w:val="clear" w:color="auto" w:fill="auto"/>
            <w:tcMar>
              <w:top w:w="85" w:type="dxa"/>
              <w:left w:w="85" w:type="dxa"/>
              <w:bottom w:w="85" w:type="dxa"/>
            </w:tcMar>
          </w:tcPr>
          <w:p w14:paraId="2EB52AED"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right w:val="single" w:sz="4" w:space="0" w:color="auto"/>
            </w:tcBorders>
            <w:shd w:val="clear" w:color="auto" w:fill="auto"/>
            <w:tcMar>
              <w:top w:w="85" w:type="dxa"/>
              <w:left w:w="85" w:type="dxa"/>
              <w:bottom w:w="85" w:type="dxa"/>
              <w:right w:w="85" w:type="dxa"/>
            </w:tcMar>
          </w:tcPr>
          <w:p w14:paraId="773C8BEE" w14:textId="77777777" w:rsidR="00AB66A8" w:rsidRPr="00091301" w:rsidRDefault="00AB66A8" w:rsidP="00081129">
            <w:pPr>
              <w:jc w:val="both"/>
              <w:rPr>
                <w:noProof/>
              </w:rPr>
            </w:pPr>
            <w:r>
              <w:rPr>
                <w:noProof/>
              </w:rPr>
              <w:t>Ehdotus EUROOPAN PARLAMENTIN JA NEUVOSTON ASETUKSEKSI asetusten (EU) N:o 1024/2012 ja (EU) 2018/1724 muuttamisesta tiettyjen direktiivissä (EU) XXXX/XXXX säädettyjen vaatimusten osalta</w:t>
            </w:r>
          </w:p>
        </w:tc>
        <w:tc>
          <w:tcPr>
            <w:tcW w:w="2003" w:type="dxa"/>
            <w:tcBorders>
              <w:top w:val="single" w:sz="4" w:space="0" w:color="auto"/>
              <w:left w:val="single" w:sz="4" w:space="0" w:color="auto"/>
              <w:bottom w:val="nil"/>
            </w:tcBorders>
            <w:tcMar>
              <w:top w:w="85" w:type="dxa"/>
              <w:left w:w="85" w:type="dxa"/>
              <w:bottom w:w="85" w:type="dxa"/>
            </w:tcMar>
          </w:tcPr>
          <w:p w14:paraId="68D10E63" w14:textId="77777777" w:rsidR="00AB66A8" w:rsidRPr="00345A44" w:rsidRDefault="00AB66A8" w:rsidP="006C6FCD">
            <w:pPr>
              <w:rPr>
                <w:noProof/>
              </w:rPr>
            </w:pPr>
            <w:r>
              <w:rPr>
                <w:noProof/>
              </w:rPr>
              <w:t>COM(2023) 636 final</w:t>
            </w:r>
            <w:r>
              <w:rPr>
                <w:noProof/>
              </w:rPr>
              <w:br/>
              <w:t>2023/0462 (COD)</w:t>
            </w:r>
            <w:r>
              <w:rPr>
                <w:noProof/>
              </w:rPr>
              <w:br/>
              <w:t>12.12.2023</w:t>
            </w:r>
          </w:p>
        </w:tc>
      </w:tr>
      <w:tr w:rsidR="00AB66A8" w:rsidRPr="006C1C34" w14:paraId="125E14D1"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298B1505"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57B23C01" w14:textId="77777777" w:rsidR="00AB66A8" w:rsidRPr="00F472C2" w:rsidRDefault="00AB66A8" w:rsidP="00081129">
            <w:pPr>
              <w:jc w:val="both"/>
              <w:rPr>
                <w:noProof/>
              </w:rPr>
            </w:pPr>
            <w:r>
              <w:rPr>
                <w:noProof/>
                <w:color w:val="000000"/>
              </w:rPr>
              <w:t>Ehdotus EUROOPAN PARLAMENTIN JA NEUVOSTON ASETUKSEKSI Euroopan väestö- ja asuntotilastoista, asetuksen (EY) N:o 862/2007 muuttamisesta ja asetusten (EY) N:o 763/2008 ja (EU) N:o 1260/2013 kumoamisesta</w:t>
            </w:r>
          </w:p>
        </w:tc>
        <w:tc>
          <w:tcPr>
            <w:tcW w:w="2003" w:type="dxa"/>
            <w:tcBorders>
              <w:left w:val="single" w:sz="4" w:space="0" w:color="auto"/>
              <w:bottom w:val="single" w:sz="4" w:space="0" w:color="auto"/>
            </w:tcBorders>
            <w:shd w:val="clear" w:color="auto" w:fill="auto"/>
            <w:tcMar>
              <w:top w:w="85" w:type="dxa"/>
              <w:left w:w="85" w:type="dxa"/>
              <w:bottom w:w="85" w:type="dxa"/>
            </w:tcMar>
          </w:tcPr>
          <w:p w14:paraId="6BB4CE5F" w14:textId="77777777" w:rsidR="00AB66A8" w:rsidRPr="00F472C2" w:rsidRDefault="00AB66A8" w:rsidP="006C6FCD">
            <w:pPr>
              <w:rPr>
                <w:noProof/>
              </w:rPr>
            </w:pPr>
            <w:r>
              <w:rPr>
                <w:noProof/>
              </w:rPr>
              <w:t>COM(2023) 31 final</w:t>
            </w:r>
            <w:r>
              <w:rPr>
                <w:noProof/>
              </w:rPr>
              <w:br/>
              <w:t>2023/0008 (COD)</w:t>
            </w:r>
            <w:r>
              <w:rPr>
                <w:noProof/>
              </w:rPr>
              <w:br/>
              <w:t>20.1.2023</w:t>
            </w:r>
          </w:p>
        </w:tc>
      </w:tr>
      <w:tr w:rsidR="00AB66A8" w:rsidRPr="006C1C34" w14:paraId="0FED15A3"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3E51449B"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4EC1CE5E" w14:textId="0553D443" w:rsidR="00E3557D" w:rsidRPr="00C80EB6" w:rsidRDefault="00AB66A8" w:rsidP="00081129">
            <w:pPr>
              <w:jc w:val="both"/>
              <w:rPr>
                <w:noProof/>
              </w:rPr>
            </w:pPr>
            <w:r>
              <w:rPr>
                <w:noProof/>
              </w:rPr>
              <w:t>Ehdotus NEUVOSTON ASETUKSEKSI toimivallasta, sovellettavasta laista, päätösten tunnustamisesta ja virallisten asiakirjojen hyväksymisestä vanhemmuusasioissa sekä eurooppalaisen vanhemmuustodistuksen käyttöönotosta</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C16C0BD" w14:textId="77777777" w:rsidR="00AB66A8" w:rsidRPr="00C80EB6" w:rsidRDefault="00AB66A8" w:rsidP="006C6FCD">
            <w:pPr>
              <w:rPr>
                <w:noProof/>
              </w:rPr>
            </w:pPr>
            <w:r>
              <w:rPr>
                <w:noProof/>
              </w:rPr>
              <w:t>COM(2022) 695 final</w:t>
            </w:r>
            <w:r>
              <w:rPr>
                <w:noProof/>
              </w:rPr>
              <w:br/>
              <w:t>2022/0402 (CNS)</w:t>
            </w:r>
            <w:r>
              <w:rPr>
                <w:noProof/>
              </w:rPr>
              <w:br/>
              <w:t>7.12.2022</w:t>
            </w:r>
          </w:p>
        </w:tc>
      </w:tr>
      <w:tr w:rsidR="00246285" w:rsidRPr="006C1C34" w14:paraId="32CCF56E"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1853C614" w14:textId="77777777" w:rsidR="00246285" w:rsidRPr="006C1C34" w:rsidRDefault="00246285" w:rsidP="00246285">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60E2A28A" w14:textId="068EF960" w:rsidR="00246285" w:rsidRPr="00724F26" w:rsidRDefault="00246285" w:rsidP="00246285">
            <w:pPr>
              <w:jc w:val="both"/>
              <w:rPr>
                <w:noProof/>
              </w:rPr>
            </w:pPr>
            <w:r>
              <w:rPr>
                <w:noProof/>
              </w:rPr>
              <w:t>Ehdotus EUROOPAN PARLAMENTIN JA NEUVOSTON ASETUKSEKSI sosiaaliturvajärjestelmien yhteensovittamisesta annetun asetuksen (EY) N:o 883/2004 ja asetuksen (EY) N:o 883/2004 täytäntöönpanomenettelystä annetun asetuksen (EY) N:o 987/2009 muuttamisesta</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1826797" w14:textId="36019BD6" w:rsidR="00246285" w:rsidRPr="00CB2D22" w:rsidRDefault="00246285" w:rsidP="00246285">
            <w:pPr>
              <w:rPr>
                <w:noProof/>
              </w:rPr>
            </w:pPr>
            <w:r>
              <w:rPr>
                <w:noProof/>
              </w:rPr>
              <w:t>COM(2016) 815 final</w:t>
            </w:r>
            <w:r>
              <w:rPr>
                <w:noProof/>
              </w:rPr>
              <w:br/>
              <w:t>2016/0397 (COD)</w:t>
            </w:r>
            <w:r>
              <w:rPr>
                <w:noProof/>
              </w:rPr>
              <w:br/>
              <w:t>13.12.2016</w:t>
            </w:r>
          </w:p>
        </w:tc>
      </w:tr>
      <w:tr w:rsidR="006009A2" w:rsidRPr="006C1C34" w14:paraId="0E074424"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3BCBD3EA" w14:textId="77777777" w:rsidR="006009A2" w:rsidRPr="006C1C34" w:rsidRDefault="006009A2"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158D838A" w14:textId="74EE7ACE" w:rsidR="006009A2" w:rsidRPr="00724F26" w:rsidRDefault="00D30D18" w:rsidP="00081129">
            <w:pPr>
              <w:jc w:val="both"/>
              <w:rPr>
                <w:noProof/>
              </w:rPr>
            </w:pPr>
            <w:r>
              <w:rPr>
                <w:noProof/>
              </w:rPr>
              <w:t>Ehdotus NEUVOSTON ASETUKSEKSI liittymisasiakirjan pöytäkirjassa nro 10 olevan 2 artiklan mukaisesta järjestelystä annetun asetuksen (EY) N:o 866/2004 muuttamisesta maataloustuotteiden ja elintarvikkeiden laatujärjestelmien soveltamisalaan kuuluvien tuotteiden osalta</w:t>
            </w:r>
          </w:p>
        </w:tc>
        <w:tc>
          <w:tcPr>
            <w:tcW w:w="2003" w:type="dxa"/>
            <w:tcBorders>
              <w:left w:val="single" w:sz="4" w:space="0" w:color="auto"/>
              <w:bottom w:val="single" w:sz="4" w:space="0" w:color="auto"/>
            </w:tcBorders>
            <w:shd w:val="clear" w:color="auto" w:fill="auto"/>
            <w:tcMar>
              <w:top w:w="85" w:type="dxa"/>
              <w:left w:w="85" w:type="dxa"/>
              <w:bottom w:w="85" w:type="dxa"/>
            </w:tcMar>
          </w:tcPr>
          <w:p w14:paraId="70FBFC34" w14:textId="7BEA36BB" w:rsidR="006009A2" w:rsidRPr="00CB2D22" w:rsidRDefault="00D30D18" w:rsidP="006C6FCD">
            <w:pPr>
              <w:rPr>
                <w:noProof/>
              </w:rPr>
            </w:pPr>
            <w:r>
              <w:rPr>
                <w:noProof/>
              </w:rPr>
              <w:t>COM(2015) 380 final</w:t>
            </w:r>
            <w:r>
              <w:rPr>
                <w:noProof/>
              </w:rPr>
              <w:br/>
              <w:t>2015/0165 (NLE)</w:t>
            </w:r>
            <w:r>
              <w:rPr>
                <w:noProof/>
              </w:rPr>
              <w:br/>
              <w:t>28.7.2015</w:t>
            </w:r>
          </w:p>
        </w:tc>
      </w:tr>
      <w:tr w:rsidR="006009A2" w:rsidRPr="006C1C34" w14:paraId="00A187D0" w14:textId="77777777" w:rsidTr="00C12335">
        <w:trPr>
          <w:trHeight w:val="20"/>
          <w:jc w:val="center"/>
        </w:trPr>
        <w:tc>
          <w:tcPr>
            <w:tcW w:w="562" w:type="dxa"/>
            <w:tcBorders>
              <w:bottom w:val="single" w:sz="4" w:space="0" w:color="auto"/>
              <w:right w:val="nil"/>
            </w:tcBorders>
            <w:shd w:val="clear" w:color="auto" w:fill="auto"/>
            <w:tcMar>
              <w:top w:w="85" w:type="dxa"/>
              <w:left w:w="85" w:type="dxa"/>
              <w:bottom w:w="85" w:type="dxa"/>
            </w:tcMar>
          </w:tcPr>
          <w:p w14:paraId="412128CC" w14:textId="77777777" w:rsidR="006009A2" w:rsidRPr="006C1C34" w:rsidRDefault="006009A2" w:rsidP="005071EE">
            <w:pPr>
              <w:numPr>
                <w:ilvl w:val="0"/>
                <w:numId w:val="6"/>
              </w:numPr>
              <w:ind w:left="425" w:hanging="357"/>
              <w:contextualSpacing/>
              <w:jc w:val="both"/>
              <w:rPr>
                <w:b/>
                <w:noProof/>
              </w:rPr>
            </w:pPr>
          </w:p>
        </w:tc>
        <w:tc>
          <w:tcPr>
            <w:tcW w:w="11464" w:type="dxa"/>
            <w:tcBorders>
              <w:bottom w:val="single" w:sz="4" w:space="0" w:color="auto"/>
              <w:right w:val="single" w:sz="4" w:space="0" w:color="auto"/>
            </w:tcBorders>
            <w:shd w:val="clear" w:color="auto" w:fill="auto"/>
            <w:tcMar>
              <w:top w:w="85" w:type="dxa"/>
              <w:left w:w="85" w:type="dxa"/>
              <w:bottom w:w="85" w:type="dxa"/>
              <w:right w:w="85" w:type="dxa"/>
            </w:tcMar>
          </w:tcPr>
          <w:p w14:paraId="3026EC45" w14:textId="6342948D" w:rsidR="006009A2" w:rsidRPr="00724F26" w:rsidRDefault="00D30D18" w:rsidP="00081129">
            <w:pPr>
              <w:jc w:val="both"/>
              <w:rPr>
                <w:noProof/>
              </w:rPr>
            </w:pPr>
            <w:r>
              <w:rPr>
                <w:noProof/>
              </w:rPr>
              <w:t>Ehdotus neuvoston asetukseksi Kyproksen tasavallan hallituksen tosiasialliseen hallintaan kuulumattomien Kyproksen tasavallan alueiden kanssa käytävän kaupan erityisedellytyksistä</w:t>
            </w:r>
          </w:p>
        </w:tc>
        <w:tc>
          <w:tcPr>
            <w:tcW w:w="2003" w:type="dxa"/>
            <w:tcBorders>
              <w:left w:val="single" w:sz="4" w:space="0" w:color="auto"/>
              <w:bottom w:val="single" w:sz="4" w:space="0" w:color="auto"/>
            </w:tcBorders>
            <w:shd w:val="clear" w:color="auto" w:fill="auto"/>
            <w:tcMar>
              <w:top w:w="85" w:type="dxa"/>
              <w:left w:w="85" w:type="dxa"/>
              <w:bottom w:w="85" w:type="dxa"/>
            </w:tcMar>
          </w:tcPr>
          <w:p w14:paraId="6042E03E" w14:textId="0C49BF5D" w:rsidR="006009A2" w:rsidRPr="00CB2D22" w:rsidRDefault="00D30D18" w:rsidP="006C6FCD">
            <w:pPr>
              <w:rPr>
                <w:noProof/>
              </w:rPr>
            </w:pPr>
            <w:r>
              <w:rPr>
                <w:noProof/>
              </w:rPr>
              <w:t>COM(2004) 466 final</w:t>
            </w:r>
            <w:r>
              <w:rPr>
                <w:noProof/>
              </w:rPr>
              <w:br/>
              <w:t>2004/0148 (COD)</w:t>
            </w:r>
            <w:r>
              <w:rPr>
                <w:noProof/>
              </w:rPr>
              <w:br/>
              <w:t>7.7.2004</w:t>
            </w:r>
          </w:p>
        </w:tc>
      </w:tr>
      <w:tr w:rsidR="00AB66A8" w:rsidRPr="006C1C34" w14:paraId="252EA0EF" w14:textId="77777777" w:rsidTr="00043CE7">
        <w:trPr>
          <w:jc w:val="center"/>
        </w:trPr>
        <w:tc>
          <w:tcPr>
            <w:tcW w:w="14029" w:type="dxa"/>
            <w:gridSpan w:val="3"/>
            <w:shd w:val="clear" w:color="auto" w:fill="B07442"/>
            <w:tcMar>
              <w:top w:w="85" w:type="dxa"/>
              <w:left w:w="85" w:type="dxa"/>
              <w:bottom w:w="85" w:type="dxa"/>
              <w:right w:w="85" w:type="dxa"/>
            </w:tcMar>
          </w:tcPr>
          <w:p w14:paraId="1DF0425D" w14:textId="77777777" w:rsidR="00AB66A8" w:rsidRPr="006C1C34" w:rsidRDefault="00AB66A8" w:rsidP="006041A8">
            <w:pPr>
              <w:spacing w:before="60" w:after="60"/>
              <w:ind w:left="357" w:hanging="357"/>
              <w:jc w:val="both"/>
              <w:rPr>
                <w:b/>
                <w:bCs/>
                <w:noProof/>
                <w:color w:val="FFFFFF"/>
              </w:rPr>
            </w:pPr>
            <w:r>
              <w:rPr>
                <w:b/>
                <w:noProof/>
                <w:color w:val="FFFFFF" w:themeColor="background1"/>
              </w:rPr>
              <w:t>Elämänlaadun turvaaminen: elintarviketurva, vesi ja luonto</w:t>
            </w:r>
          </w:p>
        </w:tc>
      </w:tr>
      <w:tr w:rsidR="00AB66A8" w:rsidRPr="006C1C34" w14:paraId="1351E07B" w14:textId="77777777" w:rsidTr="00C12335">
        <w:trPr>
          <w:jc w:val="center"/>
        </w:trPr>
        <w:tc>
          <w:tcPr>
            <w:tcW w:w="562" w:type="dxa"/>
          </w:tcPr>
          <w:p w14:paraId="08E0BEAE"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30FFC21F" w14:textId="77777777" w:rsidR="00AB66A8" w:rsidRPr="00D36AE4" w:rsidRDefault="00AB66A8" w:rsidP="00081129">
            <w:pPr>
              <w:jc w:val="both"/>
              <w:rPr>
                <w:noProof/>
              </w:rPr>
            </w:pPr>
            <w:r>
              <w:rPr>
                <w:noProof/>
              </w:rPr>
              <w:t>Ehdotus EUROOPAN PARLAMENTIN JA NEUVOSTON ASETUKSEKSI asetusten (EU) N:o 1308/2013, (EU) 2021/2115 ja (EU) 2021/2116 muuttamisesta viljelijöiden aseman vahvistamiseksi elintarvikeketjussa</w:t>
            </w:r>
          </w:p>
        </w:tc>
        <w:tc>
          <w:tcPr>
            <w:tcW w:w="2003" w:type="dxa"/>
          </w:tcPr>
          <w:p w14:paraId="5EC6FFD8" w14:textId="77777777" w:rsidR="00AB66A8" w:rsidRPr="002F5835" w:rsidRDefault="00AB66A8" w:rsidP="006C6FCD">
            <w:pPr>
              <w:rPr>
                <w:noProof/>
              </w:rPr>
            </w:pPr>
            <w:r>
              <w:rPr>
                <w:noProof/>
              </w:rPr>
              <w:t>COM(2024) 577 final</w:t>
            </w:r>
            <w:r>
              <w:rPr>
                <w:noProof/>
              </w:rPr>
              <w:br/>
              <w:t>2024/0319 (COD)</w:t>
            </w:r>
            <w:r>
              <w:rPr>
                <w:noProof/>
              </w:rPr>
              <w:br/>
              <w:t>10.12.2024</w:t>
            </w:r>
          </w:p>
        </w:tc>
      </w:tr>
      <w:tr w:rsidR="00AB66A8" w:rsidRPr="006C1C34" w14:paraId="181F2FA8" w14:textId="77777777" w:rsidTr="00C12335">
        <w:trPr>
          <w:jc w:val="center"/>
        </w:trPr>
        <w:tc>
          <w:tcPr>
            <w:tcW w:w="562" w:type="dxa"/>
          </w:tcPr>
          <w:p w14:paraId="471D8E73"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53EE9B5B" w14:textId="77777777" w:rsidR="00AB66A8" w:rsidRPr="00D36AE4" w:rsidRDefault="00AB66A8" w:rsidP="00081129">
            <w:pPr>
              <w:jc w:val="both"/>
              <w:rPr>
                <w:noProof/>
              </w:rPr>
            </w:pPr>
            <w:r>
              <w:rPr>
                <w:noProof/>
              </w:rPr>
              <w:t>Ehdotus EUROOPAN PARLAMENTIN JA NEUVOSTON ASETUKSEKSI hyvän kauppatavan vastaisista käytännöistä yritysten välisissä suhteissa maataloustuote- ja elintarvikeketjussa annetun direktiivin (EU) 2019/633 täytäntöönpanosta vastaavien valvontaviranomaisten yhteistyöstä</w:t>
            </w:r>
          </w:p>
        </w:tc>
        <w:tc>
          <w:tcPr>
            <w:tcW w:w="2003" w:type="dxa"/>
          </w:tcPr>
          <w:p w14:paraId="03CADA23" w14:textId="5C2254D7" w:rsidR="00AB66A8" w:rsidRPr="002F5835" w:rsidRDefault="00AB66A8" w:rsidP="006C6FCD">
            <w:pPr>
              <w:rPr>
                <w:noProof/>
              </w:rPr>
            </w:pPr>
            <w:r>
              <w:rPr>
                <w:noProof/>
              </w:rPr>
              <w:t>COM(2024) 576 final</w:t>
            </w:r>
            <w:r>
              <w:rPr>
                <w:noProof/>
              </w:rPr>
              <w:br/>
              <w:t>2024/0318 (COD)</w:t>
            </w:r>
            <w:r>
              <w:rPr>
                <w:noProof/>
              </w:rPr>
              <w:br/>
              <w:t>10.12.2024</w:t>
            </w:r>
          </w:p>
        </w:tc>
      </w:tr>
      <w:tr w:rsidR="00AB66A8" w:rsidRPr="006C1C34" w14:paraId="061708E7" w14:textId="77777777" w:rsidTr="00C12335">
        <w:trPr>
          <w:jc w:val="center"/>
        </w:trPr>
        <w:tc>
          <w:tcPr>
            <w:tcW w:w="562" w:type="dxa"/>
          </w:tcPr>
          <w:p w14:paraId="7F7409AF"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21A46D9F" w14:textId="77777777" w:rsidR="00AB66A8" w:rsidRPr="00CE7E10" w:rsidRDefault="00AB66A8" w:rsidP="00081129">
            <w:pPr>
              <w:jc w:val="both"/>
              <w:rPr>
                <w:noProof/>
              </w:rPr>
            </w:pPr>
            <w:r>
              <w:rPr>
                <w:noProof/>
              </w:rPr>
              <w:t>Ehdotus EUROOPAN PARLAMENTIN JA NEUVOSTON ASETUKSEKSI tietyistä kalakantojen säilyttämiseksi toteutettavista kestämättömän kalastuksen salliviin maihin liittyvistä toimenpiteistä annetun asetuksen (EU) N:o 1026/2012 muuttamisesta</w:t>
            </w:r>
          </w:p>
        </w:tc>
        <w:tc>
          <w:tcPr>
            <w:tcW w:w="2003" w:type="dxa"/>
          </w:tcPr>
          <w:p w14:paraId="3C0E27BB" w14:textId="77777777" w:rsidR="00AB66A8" w:rsidRPr="00CE7E10" w:rsidRDefault="00AB66A8" w:rsidP="006C6FCD">
            <w:pPr>
              <w:rPr>
                <w:noProof/>
              </w:rPr>
            </w:pPr>
            <w:r>
              <w:rPr>
                <w:noProof/>
              </w:rPr>
              <w:t>COM(2024) 407 final</w:t>
            </w:r>
            <w:r>
              <w:rPr>
                <w:noProof/>
              </w:rPr>
              <w:br/>
              <w:t>2024/0224 (COD)</w:t>
            </w:r>
            <w:r>
              <w:rPr>
                <w:noProof/>
              </w:rPr>
              <w:br/>
              <w:t>13.9.2024</w:t>
            </w:r>
          </w:p>
        </w:tc>
      </w:tr>
      <w:tr w:rsidR="00AB66A8" w:rsidRPr="006C1C34" w14:paraId="0484BC20" w14:textId="77777777" w:rsidTr="00C12335">
        <w:trPr>
          <w:jc w:val="center"/>
        </w:trPr>
        <w:tc>
          <w:tcPr>
            <w:tcW w:w="562" w:type="dxa"/>
          </w:tcPr>
          <w:p w14:paraId="3CBD42D6"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43B9D911" w14:textId="77777777" w:rsidR="00AB66A8" w:rsidRPr="00210349" w:rsidRDefault="00AB66A8" w:rsidP="00081129">
            <w:pPr>
              <w:jc w:val="both"/>
              <w:rPr>
                <w:noProof/>
              </w:rPr>
            </w:pPr>
            <w:r>
              <w:rPr>
                <w:noProof/>
              </w:rPr>
              <w:t>Ehdotus EUROOPAN PARLAMENTIN JA NEUVOSTON ASETUKSEKSI eräistä kalastusta koskevista säännöksistä GFCM:n (Välimeren yleisen kalastuskomission) sopimusalueella 4 päivänä lokakuuta 2023 annetun Euroopan parlamentin ja neuvoston asetuksen (EU) 2023/2124 muuttamisesta</w:t>
            </w:r>
          </w:p>
        </w:tc>
        <w:tc>
          <w:tcPr>
            <w:tcW w:w="2003" w:type="dxa"/>
          </w:tcPr>
          <w:p w14:paraId="4BC94C66" w14:textId="77777777" w:rsidR="00AB66A8" w:rsidRPr="007A2DDB" w:rsidRDefault="00AB66A8" w:rsidP="006C6FCD">
            <w:pPr>
              <w:rPr>
                <w:noProof/>
              </w:rPr>
            </w:pPr>
            <w:r>
              <w:rPr>
                <w:noProof/>
              </w:rPr>
              <w:t>COM(2024) 183 final</w:t>
            </w:r>
            <w:r>
              <w:rPr>
                <w:noProof/>
              </w:rPr>
              <w:br/>
              <w:t>2024/0098 (COD)</w:t>
            </w:r>
            <w:r>
              <w:rPr>
                <w:noProof/>
              </w:rPr>
              <w:br/>
              <w:t>30.4.2024</w:t>
            </w:r>
          </w:p>
        </w:tc>
      </w:tr>
      <w:tr w:rsidR="00AB66A8" w:rsidRPr="006C1C34" w14:paraId="0B632A01" w14:textId="77777777" w:rsidTr="00C12335">
        <w:trPr>
          <w:jc w:val="center"/>
        </w:trPr>
        <w:tc>
          <w:tcPr>
            <w:tcW w:w="562" w:type="dxa"/>
          </w:tcPr>
          <w:p w14:paraId="7331CDA5"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58AB31B8" w14:textId="77777777" w:rsidR="00AB66A8" w:rsidRPr="006C1C34" w:rsidRDefault="00AB66A8" w:rsidP="00081129">
            <w:pPr>
              <w:jc w:val="both"/>
              <w:rPr>
                <w:noProof/>
              </w:rPr>
            </w:pPr>
            <w:r>
              <w:rPr>
                <w:noProof/>
              </w:rPr>
              <w:t>Ehdotus EUROOPAN PARLAMENTIN JA NEUVOSTON ASETUKSEKSI seurantakehyksestä selviytymiskykyisiä Euroopan metsiä varten</w:t>
            </w:r>
          </w:p>
        </w:tc>
        <w:tc>
          <w:tcPr>
            <w:tcW w:w="2003" w:type="dxa"/>
          </w:tcPr>
          <w:p w14:paraId="3A9F4692" w14:textId="77777777" w:rsidR="00AB66A8" w:rsidRPr="006C1C34" w:rsidRDefault="00AB66A8" w:rsidP="006C6FCD">
            <w:pPr>
              <w:rPr>
                <w:noProof/>
              </w:rPr>
            </w:pPr>
            <w:r>
              <w:rPr>
                <w:noProof/>
              </w:rPr>
              <w:t>COM(2023) 728 final</w:t>
            </w:r>
            <w:r>
              <w:rPr>
                <w:noProof/>
              </w:rPr>
              <w:br/>
              <w:t>2023/0413 (COD)</w:t>
            </w:r>
            <w:r>
              <w:rPr>
                <w:noProof/>
              </w:rPr>
              <w:br/>
              <w:t>22.11.2023</w:t>
            </w:r>
          </w:p>
        </w:tc>
      </w:tr>
      <w:tr w:rsidR="00AB66A8" w:rsidRPr="006C1C34" w14:paraId="59C7D3EC" w14:textId="77777777" w:rsidTr="00C12335">
        <w:trPr>
          <w:jc w:val="center"/>
        </w:trPr>
        <w:tc>
          <w:tcPr>
            <w:tcW w:w="562" w:type="dxa"/>
            <w:shd w:val="clear" w:color="auto" w:fill="auto"/>
          </w:tcPr>
          <w:p w14:paraId="764F2F7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6DCF6E5" w14:textId="77777777" w:rsidR="00AB66A8" w:rsidRPr="002821A8" w:rsidRDefault="00AB66A8" w:rsidP="00081129">
            <w:pPr>
              <w:jc w:val="both"/>
              <w:rPr>
                <w:noProof/>
              </w:rPr>
            </w:pPr>
            <w:r>
              <w:rPr>
                <w:noProof/>
              </w:rPr>
              <w:t>Ehdotus EUROOPAN PARLAMENTIN JA NEUVOSTON PÄÄTÖKSEKSI pysyvän metsäkomitean perustamisesta tehdyn neuvoston päätöksen 89/367/ETY muuttamisesta</w:t>
            </w:r>
          </w:p>
        </w:tc>
        <w:tc>
          <w:tcPr>
            <w:tcW w:w="2003" w:type="dxa"/>
            <w:shd w:val="clear" w:color="auto" w:fill="auto"/>
          </w:tcPr>
          <w:p w14:paraId="75F88308" w14:textId="77777777" w:rsidR="00AB66A8" w:rsidRPr="00E876A4" w:rsidRDefault="00AB66A8" w:rsidP="006C6FCD">
            <w:pPr>
              <w:rPr>
                <w:noProof/>
              </w:rPr>
            </w:pPr>
            <w:r>
              <w:rPr>
                <w:noProof/>
              </w:rPr>
              <w:t>COM(2023) 727 final</w:t>
            </w:r>
            <w:r>
              <w:rPr>
                <w:noProof/>
              </w:rPr>
              <w:br/>
              <w:t>2023/0410 (COD)</w:t>
            </w:r>
            <w:r>
              <w:rPr>
                <w:noProof/>
              </w:rPr>
              <w:br/>
              <w:t>22.11.2023</w:t>
            </w:r>
          </w:p>
        </w:tc>
      </w:tr>
      <w:tr w:rsidR="00AB66A8" w:rsidRPr="006C1C34" w14:paraId="2B28694E" w14:textId="77777777" w:rsidTr="00C12335">
        <w:trPr>
          <w:jc w:val="center"/>
        </w:trPr>
        <w:tc>
          <w:tcPr>
            <w:tcW w:w="562" w:type="dxa"/>
          </w:tcPr>
          <w:p w14:paraId="6219F50D"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18DAD847" w14:textId="77777777" w:rsidR="00AB66A8" w:rsidRPr="00E876A4" w:rsidRDefault="00AB66A8" w:rsidP="00081129">
            <w:pPr>
              <w:jc w:val="both"/>
              <w:rPr>
                <w:noProof/>
              </w:rPr>
            </w:pPr>
            <w:r>
              <w:rPr>
                <w:noProof/>
              </w:rPr>
              <w:t>Ehdotus EUROOPAN PARLAMENTIN JA NEUVOSTON DIREKTIIVIKSI maaperän seurannasta ja kestokyvystä (maaperän seurantaa koskeva laki)</w:t>
            </w:r>
          </w:p>
        </w:tc>
        <w:tc>
          <w:tcPr>
            <w:tcW w:w="2003" w:type="dxa"/>
          </w:tcPr>
          <w:p w14:paraId="1EA7EC7E" w14:textId="77777777" w:rsidR="00AB66A8" w:rsidRPr="00E876A4" w:rsidRDefault="00AB66A8" w:rsidP="006C6FCD">
            <w:pPr>
              <w:rPr>
                <w:noProof/>
              </w:rPr>
            </w:pPr>
            <w:r>
              <w:rPr>
                <w:noProof/>
              </w:rPr>
              <w:t>COM(2023) 416 final</w:t>
            </w:r>
            <w:r>
              <w:rPr>
                <w:noProof/>
              </w:rPr>
              <w:br/>
              <w:t>2023/0232 (COD)</w:t>
            </w:r>
            <w:r>
              <w:rPr>
                <w:noProof/>
              </w:rPr>
              <w:br/>
              <w:t>5.7.2023</w:t>
            </w:r>
          </w:p>
        </w:tc>
      </w:tr>
      <w:tr w:rsidR="00AB66A8" w:rsidRPr="006C1C34" w14:paraId="2C9D7166" w14:textId="77777777" w:rsidTr="00C12335">
        <w:trPr>
          <w:jc w:val="center"/>
        </w:trPr>
        <w:tc>
          <w:tcPr>
            <w:tcW w:w="562" w:type="dxa"/>
          </w:tcPr>
          <w:p w14:paraId="485C8C68" w14:textId="77777777" w:rsidR="00AB66A8" w:rsidRPr="006C1C34" w:rsidRDefault="00AB66A8" w:rsidP="005071EE">
            <w:pPr>
              <w:numPr>
                <w:ilvl w:val="0"/>
                <w:numId w:val="6"/>
              </w:numPr>
              <w:ind w:left="425" w:hanging="357"/>
              <w:contextualSpacing/>
              <w:jc w:val="both"/>
              <w:rPr>
                <w:b/>
                <w:noProof/>
              </w:rPr>
            </w:pPr>
          </w:p>
        </w:tc>
        <w:tc>
          <w:tcPr>
            <w:tcW w:w="11464" w:type="dxa"/>
            <w:tcMar>
              <w:top w:w="85" w:type="dxa"/>
              <w:left w:w="85" w:type="dxa"/>
              <w:bottom w:w="85" w:type="dxa"/>
              <w:right w:w="85" w:type="dxa"/>
            </w:tcMar>
          </w:tcPr>
          <w:p w14:paraId="21835F07" w14:textId="77777777" w:rsidR="00AB66A8" w:rsidRPr="00C3634B" w:rsidRDefault="00AB66A8" w:rsidP="00081129">
            <w:pPr>
              <w:jc w:val="both"/>
              <w:rPr>
                <w:noProof/>
              </w:rPr>
            </w:pPr>
            <w:r>
              <w:rPr>
                <w:noProof/>
              </w:rPr>
              <w:t>Ehdotus EUROOPAN PARLAMENTIN JA NEUVOSTON ASETUKSEKSI tietyillä uusilla genomitekniikoilla tuotetuista kasveista ja niistä peräisin olevista elintarvikkeista ja rehuista sekä asetuksen (EU) 2017/625 muuttamisesta</w:t>
            </w:r>
          </w:p>
        </w:tc>
        <w:tc>
          <w:tcPr>
            <w:tcW w:w="2003" w:type="dxa"/>
          </w:tcPr>
          <w:p w14:paraId="47E162F0" w14:textId="77777777" w:rsidR="00AB66A8" w:rsidRPr="00C3634B" w:rsidRDefault="00AB66A8" w:rsidP="006C6FCD">
            <w:pPr>
              <w:rPr>
                <w:noProof/>
              </w:rPr>
            </w:pPr>
            <w:r>
              <w:rPr>
                <w:noProof/>
              </w:rPr>
              <w:t>COM(2023) 411 final</w:t>
            </w:r>
            <w:r>
              <w:rPr>
                <w:noProof/>
              </w:rPr>
              <w:br/>
              <w:t>2023/0226 (COD)</w:t>
            </w:r>
            <w:r>
              <w:rPr>
                <w:noProof/>
              </w:rPr>
              <w:br/>
              <w:t>5.7.2023</w:t>
            </w:r>
          </w:p>
        </w:tc>
      </w:tr>
      <w:tr w:rsidR="00AB66A8" w:rsidRPr="006C1C34" w14:paraId="22B002C8" w14:textId="77777777" w:rsidTr="00C12335">
        <w:trPr>
          <w:jc w:val="center"/>
        </w:trPr>
        <w:tc>
          <w:tcPr>
            <w:tcW w:w="562" w:type="dxa"/>
            <w:tcBorders>
              <w:bottom w:val="single" w:sz="4" w:space="0" w:color="auto"/>
            </w:tcBorders>
          </w:tcPr>
          <w:p w14:paraId="2F141239"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tcMar>
              <w:top w:w="85" w:type="dxa"/>
              <w:left w:w="85" w:type="dxa"/>
              <w:bottom w:w="85" w:type="dxa"/>
              <w:right w:w="85" w:type="dxa"/>
            </w:tcMar>
          </w:tcPr>
          <w:p w14:paraId="300BE914" w14:textId="77777777" w:rsidR="00AB66A8" w:rsidRPr="00C3634B" w:rsidRDefault="00AB66A8" w:rsidP="00081129">
            <w:pPr>
              <w:jc w:val="both"/>
              <w:rPr>
                <w:noProof/>
              </w:rPr>
            </w:pPr>
            <w:r>
              <w:rPr>
                <w:noProof/>
              </w:rPr>
              <w:t>Ehdotus EUROOPAN PARLAMENTIN JA NEUVOSTON DIREKTIIVIKSI yhteisön vesipolitiikan puitteista annetun direktiivin 2000/60/EY, pohjaveden suojelusta pilaantumiselta ja huononemiselta annetun direktiivin 2006/118/EY ja ympäristönlaatunormeista vesipolitiikan alalla annetun direktiivin 2008/105/EY muuttamisesta</w:t>
            </w:r>
          </w:p>
        </w:tc>
        <w:tc>
          <w:tcPr>
            <w:tcW w:w="2003" w:type="dxa"/>
            <w:tcBorders>
              <w:bottom w:val="single" w:sz="4" w:space="0" w:color="auto"/>
            </w:tcBorders>
          </w:tcPr>
          <w:p w14:paraId="53F96BF9" w14:textId="77777777" w:rsidR="00AB66A8" w:rsidRPr="00C3634B" w:rsidRDefault="00AB66A8" w:rsidP="006C6FCD">
            <w:pPr>
              <w:rPr>
                <w:noProof/>
              </w:rPr>
            </w:pPr>
            <w:r>
              <w:rPr>
                <w:noProof/>
              </w:rPr>
              <w:t>COM(2022) 540 final</w:t>
            </w:r>
            <w:r>
              <w:rPr>
                <w:noProof/>
              </w:rPr>
              <w:br/>
              <w:t>2022/0344 (COD)</w:t>
            </w:r>
            <w:r>
              <w:rPr>
                <w:noProof/>
              </w:rPr>
              <w:br/>
              <w:t>26.10.2022</w:t>
            </w:r>
          </w:p>
        </w:tc>
      </w:tr>
      <w:tr w:rsidR="00AB66A8" w:rsidRPr="006C1C34" w14:paraId="7AAEF90E" w14:textId="77777777" w:rsidTr="00FF69A3">
        <w:trPr>
          <w:jc w:val="center"/>
        </w:trPr>
        <w:tc>
          <w:tcPr>
            <w:tcW w:w="14029" w:type="dxa"/>
            <w:gridSpan w:val="3"/>
            <w:shd w:val="clear" w:color="auto" w:fill="6400D8"/>
            <w:tcMar>
              <w:top w:w="85" w:type="dxa"/>
              <w:left w:w="85" w:type="dxa"/>
              <w:bottom w:w="85" w:type="dxa"/>
              <w:right w:w="85" w:type="dxa"/>
            </w:tcMar>
          </w:tcPr>
          <w:p w14:paraId="55676588" w14:textId="77777777" w:rsidR="00AB66A8" w:rsidRPr="006C1C34" w:rsidRDefault="00AB66A8" w:rsidP="006041A8">
            <w:pPr>
              <w:spacing w:before="60" w:after="60"/>
              <w:ind w:left="357" w:hanging="357"/>
              <w:jc w:val="both"/>
              <w:rPr>
                <w:b/>
                <w:bCs/>
                <w:noProof/>
                <w:color w:val="FFFFFF"/>
              </w:rPr>
            </w:pPr>
            <w:r>
              <w:rPr>
                <w:noProof/>
              </w:rPr>
              <w:br w:type="page"/>
            </w:r>
            <w:r>
              <w:rPr>
                <w:b/>
                <w:noProof/>
                <w:color w:val="FFFFFF" w:themeColor="background1"/>
              </w:rPr>
              <w:t>Demokratian suojeleminen ja arvojemme vaaliminen</w:t>
            </w:r>
          </w:p>
        </w:tc>
      </w:tr>
      <w:tr w:rsidR="00AB66A8" w:rsidRPr="006C1C34" w14:paraId="1546CD20" w14:textId="77777777" w:rsidTr="00C12335">
        <w:trPr>
          <w:jc w:val="center"/>
        </w:trPr>
        <w:tc>
          <w:tcPr>
            <w:tcW w:w="562" w:type="dxa"/>
            <w:tcBorders>
              <w:right w:val="nil"/>
            </w:tcBorders>
            <w:shd w:val="clear" w:color="auto" w:fill="auto"/>
            <w:tcMar>
              <w:top w:w="85" w:type="dxa"/>
              <w:left w:w="85" w:type="dxa"/>
              <w:bottom w:w="85" w:type="dxa"/>
            </w:tcMar>
          </w:tcPr>
          <w:p w14:paraId="2595887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4A048B7" w14:textId="77777777" w:rsidR="00AB66A8" w:rsidRPr="00CE7E10" w:rsidRDefault="00AB66A8" w:rsidP="00081129">
            <w:pPr>
              <w:jc w:val="both"/>
              <w:rPr>
                <w:noProof/>
              </w:rPr>
            </w:pPr>
            <w:r>
              <w:rPr>
                <w:noProof/>
              </w:rPr>
              <w:t>Ehdotus NEUVOSTON ASETUKSEKSI henkilökorttiin perustuvan digitaalisen matkustustunnisteen myöntämisestä ja sitä koskevista teknisistä standardeista</w:t>
            </w:r>
          </w:p>
        </w:tc>
        <w:tc>
          <w:tcPr>
            <w:tcW w:w="2003" w:type="dxa"/>
            <w:tcMar>
              <w:top w:w="85" w:type="dxa"/>
              <w:left w:w="85" w:type="dxa"/>
              <w:bottom w:w="85" w:type="dxa"/>
            </w:tcMar>
          </w:tcPr>
          <w:p w14:paraId="44128360" w14:textId="77777777" w:rsidR="00AB66A8" w:rsidRPr="00CE7E10" w:rsidRDefault="00AB66A8" w:rsidP="006C6FCD">
            <w:pPr>
              <w:rPr>
                <w:noProof/>
              </w:rPr>
            </w:pPr>
            <w:r>
              <w:rPr>
                <w:noProof/>
              </w:rPr>
              <w:t>COM(2024) 671 final</w:t>
            </w:r>
            <w:r>
              <w:rPr>
                <w:noProof/>
              </w:rPr>
              <w:br/>
              <w:t>2024/0248 (CNS)</w:t>
            </w:r>
            <w:r>
              <w:rPr>
                <w:noProof/>
              </w:rPr>
              <w:br/>
              <w:t>8.10.2024</w:t>
            </w:r>
          </w:p>
        </w:tc>
      </w:tr>
      <w:tr w:rsidR="00AB66A8" w:rsidRPr="006C1C34" w14:paraId="316BBFA1" w14:textId="77777777" w:rsidTr="00C12335">
        <w:trPr>
          <w:jc w:val="center"/>
        </w:trPr>
        <w:tc>
          <w:tcPr>
            <w:tcW w:w="562" w:type="dxa"/>
            <w:tcBorders>
              <w:right w:val="nil"/>
            </w:tcBorders>
            <w:shd w:val="clear" w:color="auto" w:fill="auto"/>
            <w:tcMar>
              <w:top w:w="85" w:type="dxa"/>
              <w:left w:w="85" w:type="dxa"/>
              <w:bottom w:w="85" w:type="dxa"/>
            </w:tcMar>
          </w:tcPr>
          <w:p w14:paraId="5837F088"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75137C2D" w14:textId="77777777" w:rsidR="00AB66A8" w:rsidRPr="00CE7E10" w:rsidRDefault="00AB66A8" w:rsidP="00081129">
            <w:pPr>
              <w:jc w:val="both"/>
              <w:rPr>
                <w:noProof/>
              </w:rPr>
            </w:pPr>
            <w:r>
              <w:rPr>
                <w:noProof/>
              </w:rPr>
              <w:t>Ehdotus NEUVOSTON ASETUKSEKSI unionin kansalaisten henkilökorttien sekä oikeuttaan vapaaseen liikkuvuuteen käyttäville unionin kansalaisille ja heidän perheenjäsenilleen myönnettävien oleskeluasiakirjojen turvallisuuden lisäämisestä</w:t>
            </w:r>
          </w:p>
        </w:tc>
        <w:tc>
          <w:tcPr>
            <w:tcW w:w="2003" w:type="dxa"/>
            <w:tcMar>
              <w:top w:w="85" w:type="dxa"/>
              <w:left w:w="85" w:type="dxa"/>
              <w:bottom w:w="85" w:type="dxa"/>
            </w:tcMar>
          </w:tcPr>
          <w:p w14:paraId="078FC456" w14:textId="77777777" w:rsidR="00AB66A8" w:rsidRPr="00CE7E10" w:rsidRDefault="00AB66A8" w:rsidP="006C6FCD">
            <w:pPr>
              <w:rPr>
                <w:noProof/>
              </w:rPr>
            </w:pPr>
            <w:r>
              <w:rPr>
                <w:noProof/>
              </w:rPr>
              <w:t>COM(2024) 316 final</w:t>
            </w:r>
            <w:r>
              <w:rPr>
                <w:noProof/>
              </w:rPr>
              <w:br/>
              <w:t>2024/0187 (CNS)</w:t>
            </w:r>
            <w:r>
              <w:rPr>
                <w:noProof/>
              </w:rPr>
              <w:br/>
              <w:t>23.7.2024</w:t>
            </w:r>
          </w:p>
        </w:tc>
      </w:tr>
      <w:tr w:rsidR="00AB66A8" w:rsidRPr="006C1C34" w14:paraId="75E8544D" w14:textId="77777777" w:rsidTr="00C12335">
        <w:trPr>
          <w:jc w:val="center"/>
        </w:trPr>
        <w:tc>
          <w:tcPr>
            <w:tcW w:w="562" w:type="dxa"/>
            <w:tcBorders>
              <w:right w:val="nil"/>
            </w:tcBorders>
            <w:shd w:val="clear" w:color="auto" w:fill="auto"/>
            <w:tcMar>
              <w:top w:w="85" w:type="dxa"/>
              <w:left w:w="85" w:type="dxa"/>
              <w:bottom w:w="85" w:type="dxa"/>
            </w:tcMar>
          </w:tcPr>
          <w:p w14:paraId="0DA359A9"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EB35786" w14:textId="77777777" w:rsidR="00AB66A8" w:rsidRPr="00422C0F" w:rsidRDefault="00AB66A8" w:rsidP="00081129">
            <w:pPr>
              <w:jc w:val="both"/>
              <w:rPr>
                <w:noProof/>
              </w:rPr>
            </w:pPr>
            <w:r>
              <w:rPr>
                <w:noProof/>
              </w:rPr>
              <w:t>Ehdotus EUROOPAN PARLAMENTIN JA NEUVOSTON DIREKTIIVIKSI yhdenmukaisten avoimuusvaatimusten vahvistamisesta sisämarkkinoilla kolmansien maiden puolesta toteutettavaa edunvalvontaa varten ja direktiivin (EU) 2019/1937 muuttamisesta</w:t>
            </w:r>
          </w:p>
        </w:tc>
        <w:tc>
          <w:tcPr>
            <w:tcW w:w="2003" w:type="dxa"/>
            <w:tcMar>
              <w:top w:w="85" w:type="dxa"/>
              <w:left w:w="85" w:type="dxa"/>
              <w:bottom w:w="85" w:type="dxa"/>
            </w:tcMar>
          </w:tcPr>
          <w:p w14:paraId="5131932F" w14:textId="77777777" w:rsidR="00AB66A8" w:rsidRPr="00422C0F" w:rsidRDefault="00AB66A8" w:rsidP="006C6FCD">
            <w:pPr>
              <w:rPr>
                <w:noProof/>
              </w:rPr>
            </w:pPr>
            <w:r>
              <w:rPr>
                <w:noProof/>
              </w:rPr>
              <w:t>COM(2023) 637 final</w:t>
            </w:r>
            <w:r>
              <w:rPr>
                <w:noProof/>
              </w:rPr>
              <w:br/>
              <w:t>2023/0463 (COD)</w:t>
            </w:r>
            <w:r>
              <w:rPr>
                <w:noProof/>
              </w:rPr>
              <w:br/>
              <w:t>12.12.2023</w:t>
            </w:r>
          </w:p>
        </w:tc>
      </w:tr>
      <w:tr w:rsidR="00AB66A8" w:rsidRPr="006C1C34" w14:paraId="7EB35BB7" w14:textId="77777777" w:rsidTr="00C12335">
        <w:trPr>
          <w:jc w:val="center"/>
        </w:trPr>
        <w:tc>
          <w:tcPr>
            <w:tcW w:w="562" w:type="dxa"/>
            <w:tcBorders>
              <w:right w:val="nil"/>
            </w:tcBorders>
            <w:shd w:val="clear" w:color="auto" w:fill="auto"/>
            <w:tcMar>
              <w:top w:w="85" w:type="dxa"/>
              <w:left w:w="85" w:type="dxa"/>
              <w:bottom w:w="85" w:type="dxa"/>
            </w:tcMar>
          </w:tcPr>
          <w:p w14:paraId="6CF71331"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5DA83D81" w14:textId="77777777" w:rsidR="00AB66A8" w:rsidRPr="00CE7E10" w:rsidRDefault="00AB66A8" w:rsidP="00081129">
            <w:pPr>
              <w:jc w:val="both"/>
              <w:rPr>
                <w:noProof/>
              </w:rPr>
            </w:pPr>
            <w:r>
              <w:rPr>
                <w:noProof/>
              </w:rPr>
              <w:t>Ehdotus EUROOPAN PARLAMENTIN JA NEUVOSTON DIREKTIIVIKSI rikoksen uhrien oikeuksia, tukea ja suojelua koskevista vähimmäisvaatimuksista sekä neuvoston puitepäätöksen 2001/220/YOS korvaamisesta annetun direktiivin 2012/29/EU muuttamisesta</w:t>
            </w:r>
          </w:p>
        </w:tc>
        <w:tc>
          <w:tcPr>
            <w:tcW w:w="2003" w:type="dxa"/>
            <w:tcMar>
              <w:top w:w="85" w:type="dxa"/>
              <w:left w:w="85" w:type="dxa"/>
              <w:bottom w:w="85" w:type="dxa"/>
            </w:tcMar>
          </w:tcPr>
          <w:p w14:paraId="1A4C5DB3" w14:textId="77777777" w:rsidR="00AB66A8" w:rsidRPr="00CE7E10" w:rsidRDefault="00AB66A8" w:rsidP="006C6FCD">
            <w:pPr>
              <w:rPr>
                <w:noProof/>
              </w:rPr>
            </w:pPr>
            <w:r>
              <w:rPr>
                <w:noProof/>
              </w:rPr>
              <w:t>COM(2023) 424 final</w:t>
            </w:r>
            <w:r>
              <w:rPr>
                <w:noProof/>
              </w:rPr>
              <w:br/>
              <w:t>2023/0250 (COD)</w:t>
            </w:r>
            <w:r>
              <w:rPr>
                <w:noProof/>
              </w:rPr>
              <w:br/>
              <w:t>11.7.2023</w:t>
            </w:r>
          </w:p>
        </w:tc>
      </w:tr>
      <w:tr w:rsidR="00AB66A8" w:rsidRPr="006C1C34" w14:paraId="2504A90E" w14:textId="77777777" w:rsidTr="00C12335">
        <w:trPr>
          <w:jc w:val="center"/>
        </w:trPr>
        <w:tc>
          <w:tcPr>
            <w:tcW w:w="562" w:type="dxa"/>
            <w:tcBorders>
              <w:right w:val="nil"/>
            </w:tcBorders>
            <w:shd w:val="clear" w:color="auto" w:fill="auto"/>
            <w:tcMar>
              <w:top w:w="85" w:type="dxa"/>
              <w:left w:w="85" w:type="dxa"/>
              <w:bottom w:w="85" w:type="dxa"/>
            </w:tcMar>
          </w:tcPr>
          <w:p w14:paraId="41D26475"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F64A26A" w14:textId="77777777" w:rsidR="00AB66A8" w:rsidRPr="006C1C34" w:rsidRDefault="00AB66A8" w:rsidP="00081129">
            <w:pPr>
              <w:jc w:val="both"/>
              <w:rPr>
                <w:noProof/>
              </w:rPr>
            </w:pPr>
            <w:r>
              <w:rPr>
                <w:noProof/>
              </w:rPr>
              <w:t>Ehdotus EUROOPAN PARLAMENTIN JA NEUVOSTON ASETUKSEKSI asetuksen (EU) 2016/679 täytäntöönpanoa koskevista täydentävistä menettelysäännöistä</w:t>
            </w:r>
          </w:p>
        </w:tc>
        <w:tc>
          <w:tcPr>
            <w:tcW w:w="2003" w:type="dxa"/>
            <w:tcMar>
              <w:top w:w="85" w:type="dxa"/>
              <w:left w:w="85" w:type="dxa"/>
              <w:bottom w:w="85" w:type="dxa"/>
            </w:tcMar>
          </w:tcPr>
          <w:p w14:paraId="12B7820B" w14:textId="77777777" w:rsidR="00AB66A8" w:rsidRPr="006C1C34" w:rsidRDefault="00AB66A8" w:rsidP="006C6FCD">
            <w:pPr>
              <w:rPr>
                <w:noProof/>
              </w:rPr>
            </w:pPr>
            <w:r>
              <w:rPr>
                <w:noProof/>
              </w:rPr>
              <w:t>COM(2023) 348 final</w:t>
            </w:r>
            <w:r>
              <w:rPr>
                <w:noProof/>
              </w:rPr>
              <w:br/>
              <w:t>2023/0202 (COD)</w:t>
            </w:r>
            <w:r>
              <w:rPr>
                <w:noProof/>
              </w:rPr>
              <w:br/>
              <w:t>4.7.2023</w:t>
            </w:r>
          </w:p>
        </w:tc>
      </w:tr>
      <w:tr w:rsidR="00AB66A8" w:rsidRPr="006C1C34" w14:paraId="28F8ADC1" w14:textId="77777777" w:rsidTr="00C12335">
        <w:trPr>
          <w:jc w:val="center"/>
        </w:trPr>
        <w:tc>
          <w:tcPr>
            <w:tcW w:w="562" w:type="dxa"/>
            <w:tcBorders>
              <w:right w:val="nil"/>
            </w:tcBorders>
            <w:shd w:val="clear" w:color="auto" w:fill="auto"/>
            <w:tcMar>
              <w:top w:w="85" w:type="dxa"/>
              <w:left w:w="85" w:type="dxa"/>
              <w:bottom w:w="85" w:type="dxa"/>
            </w:tcMar>
          </w:tcPr>
          <w:p w14:paraId="3ED63562"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3ACACC64" w14:textId="77777777" w:rsidR="00AB66A8" w:rsidRPr="00006850" w:rsidRDefault="00AB66A8" w:rsidP="00081129">
            <w:pPr>
              <w:jc w:val="both"/>
              <w:rPr>
                <w:noProof/>
              </w:rPr>
            </w:pPr>
            <w:r>
              <w:rPr>
                <w:noProof/>
              </w:rPr>
              <w:t>Ehdotus EUROOPAN PARLAMENTIN JA NEUVOSTON ASETUKSEKSI toimivallasta, sovellettavasta laista, toimenpiteiden tunnustamisesta ja täytäntöönpanosta sekä yhteistyöstä aikuisten suojeluun liittyvissä asioissa</w:t>
            </w:r>
          </w:p>
        </w:tc>
        <w:tc>
          <w:tcPr>
            <w:tcW w:w="2003" w:type="dxa"/>
            <w:tcMar>
              <w:top w:w="85" w:type="dxa"/>
              <w:left w:w="85" w:type="dxa"/>
              <w:bottom w:w="85" w:type="dxa"/>
            </w:tcMar>
          </w:tcPr>
          <w:p w14:paraId="110FDF5D" w14:textId="77777777" w:rsidR="00AB66A8" w:rsidRPr="00006850" w:rsidRDefault="00AB66A8" w:rsidP="006C6FCD">
            <w:pPr>
              <w:rPr>
                <w:noProof/>
              </w:rPr>
            </w:pPr>
            <w:r>
              <w:rPr>
                <w:noProof/>
              </w:rPr>
              <w:t>COM(2023) 280 final</w:t>
            </w:r>
            <w:r>
              <w:rPr>
                <w:noProof/>
              </w:rPr>
              <w:br/>
              <w:t>2023/0169 (COD)</w:t>
            </w:r>
            <w:r>
              <w:rPr>
                <w:noProof/>
              </w:rPr>
              <w:br/>
              <w:t>31.1.2023</w:t>
            </w:r>
          </w:p>
        </w:tc>
      </w:tr>
      <w:tr w:rsidR="00AB66A8" w:rsidRPr="006C1C34" w14:paraId="66ED214C" w14:textId="77777777" w:rsidTr="00C12335">
        <w:trPr>
          <w:jc w:val="center"/>
        </w:trPr>
        <w:tc>
          <w:tcPr>
            <w:tcW w:w="562" w:type="dxa"/>
            <w:tcBorders>
              <w:right w:val="nil"/>
            </w:tcBorders>
            <w:shd w:val="clear" w:color="auto" w:fill="auto"/>
            <w:tcMar>
              <w:top w:w="85" w:type="dxa"/>
              <w:left w:w="85" w:type="dxa"/>
              <w:bottom w:w="85" w:type="dxa"/>
            </w:tcMar>
          </w:tcPr>
          <w:p w14:paraId="672E9D14"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24CEB8D" w14:textId="77777777" w:rsidR="00AB66A8" w:rsidRPr="00006850" w:rsidRDefault="00AB66A8" w:rsidP="00081129">
            <w:pPr>
              <w:jc w:val="both"/>
              <w:rPr>
                <w:bCs/>
                <w:noProof/>
              </w:rPr>
            </w:pPr>
            <w:r>
              <w:rPr>
                <w:noProof/>
              </w:rPr>
              <w:t xml:space="preserve">Osallistavampi ja suojelevampi Eurooppa: EU-rikosten luettelon laajentaminen kattamaan vihapuheen ja viharikokset </w:t>
            </w:r>
          </w:p>
        </w:tc>
        <w:tc>
          <w:tcPr>
            <w:tcW w:w="2003" w:type="dxa"/>
            <w:tcMar>
              <w:top w:w="85" w:type="dxa"/>
              <w:left w:w="85" w:type="dxa"/>
              <w:bottom w:w="85" w:type="dxa"/>
            </w:tcMar>
          </w:tcPr>
          <w:p w14:paraId="5BF5272F" w14:textId="77777777" w:rsidR="00AB66A8" w:rsidRPr="00006850" w:rsidRDefault="00AB66A8" w:rsidP="006C6FCD">
            <w:pPr>
              <w:rPr>
                <w:bCs/>
                <w:noProof/>
              </w:rPr>
            </w:pPr>
            <w:r>
              <w:rPr>
                <w:noProof/>
              </w:rPr>
              <w:t>COM(2021) 777 final</w:t>
            </w:r>
            <w:r>
              <w:rPr>
                <w:noProof/>
              </w:rPr>
              <w:br/>
              <w:t>9.12.2021</w:t>
            </w:r>
          </w:p>
        </w:tc>
      </w:tr>
      <w:tr w:rsidR="00AB66A8" w:rsidRPr="006C1C34" w14:paraId="61CCCE97" w14:textId="77777777" w:rsidTr="00C12335">
        <w:trPr>
          <w:jc w:val="center"/>
        </w:trPr>
        <w:tc>
          <w:tcPr>
            <w:tcW w:w="562" w:type="dxa"/>
            <w:tcBorders>
              <w:right w:val="nil"/>
            </w:tcBorders>
            <w:shd w:val="clear" w:color="auto" w:fill="auto"/>
            <w:tcMar>
              <w:top w:w="85" w:type="dxa"/>
              <w:left w:w="85" w:type="dxa"/>
              <w:bottom w:w="85" w:type="dxa"/>
            </w:tcMar>
          </w:tcPr>
          <w:p w14:paraId="32234EAE"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0F8E3C89" w14:textId="77777777" w:rsidR="00AB66A8" w:rsidRPr="003D769A" w:rsidRDefault="00AB66A8" w:rsidP="00081129">
            <w:pPr>
              <w:jc w:val="both"/>
              <w:rPr>
                <w:noProof/>
              </w:rPr>
            </w:pPr>
            <w:r>
              <w:rPr>
                <w:noProof/>
              </w:rPr>
              <w:t>Ehdotus EUROOPAN PARLAMENTIN JA NEUVOSTON ASETUKSEKSI Euroopan tason poliittisten puolueiden ja Euroopan tason poliittisten säätiöiden perussäännöstä ja rahoituksesta (uudelleenlaadittu)</w:t>
            </w:r>
          </w:p>
        </w:tc>
        <w:tc>
          <w:tcPr>
            <w:tcW w:w="2003" w:type="dxa"/>
            <w:tcMar>
              <w:top w:w="85" w:type="dxa"/>
              <w:left w:w="85" w:type="dxa"/>
              <w:bottom w:w="85" w:type="dxa"/>
            </w:tcMar>
          </w:tcPr>
          <w:p w14:paraId="5EB506A5" w14:textId="77777777" w:rsidR="00AB66A8" w:rsidRPr="003D769A" w:rsidRDefault="00AB66A8" w:rsidP="006C6FCD">
            <w:pPr>
              <w:rPr>
                <w:bCs/>
                <w:noProof/>
              </w:rPr>
            </w:pPr>
            <w:r>
              <w:rPr>
                <w:noProof/>
              </w:rPr>
              <w:t>COM(2021) 734 final</w:t>
            </w:r>
            <w:r>
              <w:rPr>
                <w:noProof/>
              </w:rPr>
              <w:br/>
              <w:t>2021/0375 (COD)</w:t>
            </w:r>
            <w:r>
              <w:rPr>
                <w:noProof/>
              </w:rPr>
              <w:br/>
              <w:t>25.11.2021</w:t>
            </w:r>
          </w:p>
        </w:tc>
      </w:tr>
      <w:tr w:rsidR="00AB66A8" w:rsidRPr="006C1C34" w14:paraId="24E5D727" w14:textId="77777777" w:rsidTr="00C12335">
        <w:trPr>
          <w:jc w:val="center"/>
        </w:trPr>
        <w:tc>
          <w:tcPr>
            <w:tcW w:w="562" w:type="dxa"/>
            <w:tcBorders>
              <w:right w:val="nil"/>
            </w:tcBorders>
            <w:shd w:val="clear" w:color="auto" w:fill="auto"/>
            <w:tcMar>
              <w:top w:w="85" w:type="dxa"/>
              <w:left w:w="85" w:type="dxa"/>
              <w:bottom w:w="85" w:type="dxa"/>
            </w:tcMar>
          </w:tcPr>
          <w:p w14:paraId="091E7138"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6FEA1635" w14:textId="77777777" w:rsidR="00AB66A8" w:rsidRPr="003D769A" w:rsidRDefault="00AB66A8" w:rsidP="00081129">
            <w:pPr>
              <w:jc w:val="both"/>
              <w:rPr>
                <w:noProof/>
              </w:rPr>
            </w:pPr>
            <w:r>
              <w:rPr>
                <w:noProof/>
              </w:rPr>
              <w:t>Ehdotus NEUVOSTON DIREKTIIVIKSI niiden unionin kansalaisten kunnallista äänioikeutta ja vaalikelpoisuutta koskevista yksityiskohtaisista säännöistä, jotka asuvat jäsenvaltiossa, jonka kansalaisia he eivät ole (uudelleenlaadittu)</w:t>
            </w:r>
          </w:p>
        </w:tc>
        <w:tc>
          <w:tcPr>
            <w:tcW w:w="2003" w:type="dxa"/>
            <w:tcMar>
              <w:top w:w="85" w:type="dxa"/>
              <w:left w:w="85" w:type="dxa"/>
              <w:bottom w:w="85" w:type="dxa"/>
            </w:tcMar>
          </w:tcPr>
          <w:p w14:paraId="0262D72F" w14:textId="77777777" w:rsidR="00AB66A8" w:rsidRPr="003D769A" w:rsidRDefault="00AB66A8" w:rsidP="006C6FCD">
            <w:pPr>
              <w:rPr>
                <w:bCs/>
                <w:noProof/>
              </w:rPr>
            </w:pPr>
            <w:r>
              <w:rPr>
                <w:noProof/>
              </w:rPr>
              <w:t>COM(2021) 733 final</w:t>
            </w:r>
            <w:r>
              <w:rPr>
                <w:noProof/>
              </w:rPr>
              <w:br/>
              <w:t>2021/0373 (CNS)</w:t>
            </w:r>
            <w:r>
              <w:rPr>
                <w:noProof/>
              </w:rPr>
              <w:br/>
              <w:t>25.11.2021</w:t>
            </w:r>
          </w:p>
        </w:tc>
      </w:tr>
      <w:tr w:rsidR="00AB66A8" w:rsidRPr="006C1C34" w14:paraId="54F8B670" w14:textId="77777777" w:rsidTr="00C12335">
        <w:trPr>
          <w:jc w:val="center"/>
        </w:trPr>
        <w:tc>
          <w:tcPr>
            <w:tcW w:w="562" w:type="dxa"/>
            <w:tcBorders>
              <w:right w:val="nil"/>
            </w:tcBorders>
            <w:shd w:val="clear" w:color="auto" w:fill="auto"/>
            <w:tcMar>
              <w:top w:w="85" w:type="dxa"/>
              <w:left w:w="85" w:type="dxa"/>
              <w:bottom w:w="85" w:type="dxa"/>
            </w:tcMar>
          </w:tcPr>
          <w:p w14:paraId="207BCC0A" w14:textId="77777777" w:rsidR="00AB66A8" w:rsidRPr="006C1C34" w:rsidRDefault="00AB66A8" w:rsidP="005071EE">
            <w:pPr>
              <w:numPr>
                <w:ilvl w:val="0"/>
                <w:numId w:val="6"/>
              </w:numPr>
              <w:ind w:left="425" w:hanging="357"/>
              <w:contextualSpacing/>
              <w:jc w:val="both"/>
              <w:rPr>
                <w:b/>
                <w:noProof/>
              </w:rPr>
            </w:pPr>
          </w:p>
        </w:tc>
        <w:tc>
          <w:tcPr>
            <w:tcW w:w="11464" w:type="dxa"/>
            <w:tcBorders>
              <w:bottom w:val="single" w:sz="4" w:space="0" w:color="auto"/>
            </w:tcBorders>
            <w:shd w:val="clear" w:color="auto" w:fill="auto"/>
            <w:tcMar>
              <w:top w:w="85" w:type="dxa"/>
              <w:left w:w="85" w:type="dxa"/>
              <w:bottom w:w="85" w:type="dxa"/>
              <w:right w:w="85" w:type="dxa"/>
            </w:tcMar>
          </w:tcPr>
          <w:p w14:paraId="484F5015" w14:textId="77777777" w:rsidR="00AB66A8" w:rsidRPr="003D769A" w:rsidRDefault="00AB66A8" w:rsidP="00081129">
            <w:pPr>
              <w:jc w:val="both"/>
              <w:rPr>
                <w:noProof/>
              </w:rPr>
            </w:pPr>
            <w:r>
              <w:rPr>
                <w:noProof/>
              </w:rPr>
              <w:t>Ehdotus NEUVOSTON DIREKTIIVIKSI niille unionin kansalaisille, jotka asuvat jäsenvaltiossa, mutta eivät ole sen kansalaisia, Euroopan parlamentin vaaleissa kuuluvaa äänioikeutta ja vaalikelpoisuutta koskevista yksityiskohtaisista säännöistä (uudelleenlaadittu)</w:t>
            </w:r>
          </w:p>
        </w:tc>
        <w:tc>
          <w:tcPr>
            <w:tcW w:w="2003" w:type="dxa"/>
            <w:tcMar>
              <w:top w:w="85" w:type="dxa"/>
              <w:left w:w="85" w:type="dxa"/>
              <w:bottom w:w="85" w:type="dxa"/>
            </w:tcMar>
          </w:tcPr>
          <w:p w14:paraId="25C0152A" w14:textId="77777777" w:rsidR="00AB66A8" w:rsidRPr="003D769A" w:rsidRDefault="00AB66A8" w:rsidP="006C6FCD">
            <w:pPr>
              <w:rPr>
                <w:bCs/>
                <w:noProof/>
              </w:rPr>
            </w:pPr>
            <w:r>
              <w:rPr>
                <w:noProof/>
              </w:rPr>
              <w:t>COM(2021) 732 final</w:t>
            </w:r>
            <w:r>
              <w:rPr>
                <w:noProof/>
              </w:rPr>
              <w:br/>
              <w:t>2021/0372 (CNS)</w:t>
            </w:r>
            <w:r>
              <w:rPr>
                <w:noProof/>
              </w:rPr>
              <w:br/>
              <w:t>25.11.2021</w:t>
            </w:r>
          </w:p>
        </w:tc>
      </w:tr>
      <w:tr w:rsidR="00AB66A8" w:rsidRPr="006C1C34" w14:paraId="73AE9BC2" w14:textId="77777777" w:rsidTr="00FF69A3">
        <w:trPr>
          <w:jc w:val="center"/>
        </w:trPr>
        <w:tc>
          <w:tcPr>
            <w:tcW w:w="14029" w:type="dxa"/>
            <w:gridSpan w:val="3"/>
            <w:shd w:val="clear" w:color="auto" w:fill="000083"/>
            <w:tcMar>
              <w:top w:w="85" w:type="dxa"/>
              <w:left w:w="85" w:type="dxa"/>
              <w:bottom w:w="85" w:type="dxa"/>
              <w:right w:w="85" w:type="dxa"/>
            </w:tcMar>
          </w:tcPr>
          <w:p w14:paraId="5DB7EA91" w14:textId="77777777" w:rsidR="00AB66A8" w:rsidRPr="006C1C34" w:rsidRDefault="00AB66A8" w:rsidP="00081129">
            <w:pPr>
              <w:spacing w:before="60" w:after="60"/>
              <w:ind w:left="357" w:hanging="357"/>
              <w:jc w:val="both"/>
              <w:rPr>
                <w:b/>
                <w:bCs/>
                <w:noProof/>
                <w:color w:val="FFFFFF"/>
              </w:rPr>
            </w:pPr>
            <w:r>
              <w:rPr>
                <w:noProof/>
              </w:rPr>
              <w:br w:type="page"/>
            </w:r>
            <w:r>
              <w:rPr>
                <w:b/>
                <w:noProof/>
                <w:color w:val="FFFFFF" w:themeColor="background1"/>
              </w:rPr>
              <w:t>Globaali Eurooppa: vaikutusvaltaa ja kumppanuuksia</w:t>
            </w:r>
          </w:p>
        </w:tc>
      </w:tr>
      <w:tr w:rsidR="00AB66A8" w:rsidRPr="006C1C34" w14:paraId="12E7304C" w14:textId="77777777" w:rsidTr="00C12335">
        <w:trPr>
          <w:jc w:val="center"/>
        </w:trPr>
        <w:tc>
          <w:tcPr>
            <w:tcW w:w="562" w:type="dxa"/>
            <w:tcBorders>
              <w:right w:val="nil"/>
            </w:tcBorders>
            <w:shd w:val="clear" w:color="auto" w:fill="auto"/>
            <w:tcMar>
              <w:top w:w="85" w:type="dxa"/>
              <w:left w:w="85" w:type="dxa"/>
              <w:bottom w:w="85" w:type="dxa"/>
            </w:tcMar>
          </w:tcPr>
          <w:p w14:paraId="0C9A4E93"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6C522DD" w14:textId="77777777" w:rsidR="00AB66A8" w:rsidRPr="00F72E0D" w:rsidRDefault="00AB66A8" w:rsidP="00081129">
            <w:pPr>
              <w:jc w:val="both"/>
              <w:rPr>
                <w:bCs/>
                <w:noProof/>
              </w:rPr>
            </w:pPr>
            <w:r>
              <w:rPr>
                <w:noProof/>
              </w:rPr>
              <w:t>Ehdotus EUROOPAN PARLAMENTIN JA NEUVOSTON ASETUKSEKSI Moldovan tasavallan uudistus- ja kasvutukivälineen perustamisesta</w:t>
            </w:r>
          </w:p>
        </w:tc>
        <w:tc>
          <w:tcPr>
            <w:tcW w:w="2003" w:type="dxa"/>
            <w:tcMar>
              <w:top w:w="85" w:type="dxa"/>
              <w:left w:w="85" w:type="dxa"/>
              <w:bottom w:w="85" w:type="dxa"/>
            </w:tcMar>
          </w:tcPr>
          <w:p w14:paraId="23D73A60" w14:textId="77777777" w:rsidR="00AB66A8" w:rsidRPr="008679E9" w:rsidRDefault="00AB66A8" w:rsidP="006C6FCD">
            <w:pPr>
              <w:rPr>
                <w:noProof/>
              </w:rPr>
            </w:pPr>
            <w:r>
              <w:rPr>
                <w:noProof/>
              </w:rPr>
              <w:t>COM(2024) 469 final</w:t>
            </w:r>
            <w:r>
              <w:rPr>
                <w:noProof/>
              </w:rPr>
              <w:br/>
              <w:t>2024/0258 (COD)</w:t>
            </w:r>
            <w:r>
              <w:rPr>
                <w:noProof/>
              </w:rPr>
              <w:br/>
              <w:t>9.10.2024</w:t>
            </w:r>
          </w:p>
        </w:tc>
      </w:tr>
      <w:tr w:rsidR="00AB66A8" w:rsidRPr="006C1C34" w14:paraId="7721A349" w14:textId="77777777" w:rsidTr="00C12335">
        <w:trPr>
          <w:jc w:val="center"/>
        </w:trPr>
        <w:tc>
          <w:tcPr>
            <w:tcW w:w="562" w:type="dxa"/>
            <w:tcBorders>
              <w:right w:val="nil"/>
            </w:tcBorders>
            <w:shd w:val="clear" w:color="auto" w:fill="auto"/>
            <w:tcMar>
              <w:top w:w="85" w:type="dxa"/>
              <w:left w:w="85" w:type="dxa"/>
              <w:bottom w:w="85" w:type="dxa"/>
            </w:tcMar>
          </w:tcPr>
          <w:p w14:paraId="4A3488A9"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C6B85F2" w14:textId="77777777" w:rsidR="00AB66A8" w:rsidRPr="006C1C34" w:rsidRDefault="00AB66A8" w:rsidP="00081129">
            <w:pPr>
              <w:jc w:val="both"/>
              <w:rPr>
                <w:noProof/>
              </w:rPr>
            </w:pPr>
            <w:r>
              <w:rPr>
                <w:noProof/>
              </w:rPr>
              <w:t>Ehdotus EUROOPAN PARLAMENTIN JA NEUVOSTON PÄÄTÖKSEKSI makrotaloudellisen rahoitusavun myöntämisestä Egyptin arabitasavallalle</w:t>
            </w:r>
          </w:p>
        </w:tc>
        <w:tc>
          <w:tcPr>
            <w:tcW w:w="2003" w:type="dxa"/>
            <w:tcMar>
              <w:top w:w="85" w:type="dxa"/>
              <w:left w:w="85" w:type="dxa"/>
              <w:bottom w:w="85" w:type="dxa"/>
            </w:tcMar>
          </w:tcPr>
          <w:p w14:paraId="23FE8ADA" w14:textId="77777777" w:rsidR="00AB66A8" w:rsidRPr="006C1C34" w:rsidRDefault="00AB66A8" w:rsidP="006C6FCD">
            <w:pPr>
              <w:rPr>
                <w:noProof/>
              </w:rPr>
            </w:pPr>
            <w:r>
              <w:rPr>
                <w:noProof/>
              </w:rPr>
              <w:t>COM(2024) 461 final</w:t>
            </w:r>
            <w:r>
              <w:rPr>
                <w:noProof/>
              </w:rPr>
              <w:br/>
              <w:t>2024/0071 (COD)</w:t>
            </w:r>
            <w:r>
              <w:rPr>
                <w:noProof/>
              </w:rPr>
              <w:br/>
              <w:t>15.3.2024</w:t>
            </w:r>
          </w:p>
        </w:tc>
      </w:tr>
      <w:tr w:rsidR="00AB66A8" w:rsidRPr="006C1C34" w14:paraId="5F383BBE" w14:textId="77777777" w:rsidTr="00C12335">
        <w:trPr>
          <w:jc w:val="center"/>
        </w:trPr>
        <w:tc>
          <w:tcPr>
            <w:tcW w:w="562" w:type="dxa"/>
            <w:tcBorders>
              <w:right w:val="nil"/>
            </w:tcBorders>
            <w:shd w:val="clear" w:color="auto" w:fill="auto"/>
            <w:tcMar>
              <w:top w:w="85" w:type="dxa"/>
              <w:left w:w="85" w:type="dxa"/>
              <w:bottom w:w="85" w:type="dxa"/>
            </w:tcMar>
          </w:tcPr>
          <w:p w14:paraId="60821C6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7A88A967" w14:textId="77777777" w:rsidR="00AB66A8" w:rsidRPr="00277F59" w:rsidRDefault="00AB66A8" w:rsidP="00081129">
            <w:pPr>
              <w:jc w:val="both"/>
              <w:rPr>
                <w:noProof/>
              </w:rPr>
            </w:pPr>
            <w:r>
              <w:rPr>
                <w:noProof/>
              </w:rPr>
              <w:t>Ehdotus EUROOPAN PARLAMENTIN JA NEUVOSTON PÄÄTÖKSEKSI makrotaloudellisen rahoitusavun myöntämisestä Jordanian hašemiittiselle kuningaskunnalle</w:t>
            </w:r>
          </w:p>
        </w:tc>
        <w:tc>
          <w:tcPr>
            <w:tcW w:w="2003" w:type="dxa"/>
            <w:tcMar>
              <w:top w:w="85" w:type="dxa"/>
              <w:left w:w="85" w:type="dxa"/>
              <w:bottom w:w="85" w:type="dxa"/>
            </w:tcMar>
          </w:tcPr>
          <w:p w14:paraId="67D7DCA3" w14:textId="77777777" w:rsidR="00AB66A8" w:rsidRDefault="00AB66A8" w:rsidP="006C6FCD">
            <w:pPr>
              <w:rPr>
                <w:noProof/>
              </w:rPr>
            </w:pPr>
            <w:r>
              <w:rPr>
                <w:noProof/>
              </w:rPr>
              <w:t>COM(2024) 159 final</w:t>
            </w:r>
            <w:r>
              <w:rPr>
                <w:noProof/>
              </w:rPr>
              <w:br/>
              <w:t>2024/0086 (COD)</w:t>
            </w:r>
            <w:r>
              <w:rPr>
                <w:noProof/>
              </w:rPr>
              <w:br/>
              <w:t>8.4.2024</w:t>
            </w:r>
          </w:p>
        </w:tc>
      </w:tr>
      <w:tr w:rsidR="00AB66A8" w:rsidRPr="006C1C34" w14:paraId="336235EF" w14:textId="77777777" w:rsidTr="00C12335">
        <w:trPr>
          <w:jc w:val="center"/>
        </w:trPr>
        <w:tc>
          <w:tcPr>
            <w:tcW w:w="562" w:type="dxa"/>
            <w:tcBorders>
              <w:right w:val="nil"/>
            </w:tcBorders>
            <w:shd w:val="clear" w:color="auto" w:fill="auto"/>
            <w:tcMar>
              <w:top w:w="85" w:type="dxa"/>
              <w:left w:w="85" w:type="dxa"/>
              <w:bottom w:w="85" w:type="dxa"/>
            </w:tcMar>
          </w:tcPr>
          <w:p w14:paraId="0B58E2C2"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6BFFF42E" w14:textId="77777777" w:rsidR="00AB66A8" w:rsidRPr="00277F59" w:rsidRDefault="00AB66A8" w:rsidP="00081129">
            <w:pPr>
              <w:jc w:val="both"/>
              <w:rPr>
                <w:noProof/>
              </w:rPr>
            </w:pPr>
            <w:r>
              <w:rPr>
                <w:noProof/>
              </w:rPr>
              <w:t>Ehdotus EUROOPAN PARLAMENTIN JA NEUVOSTON PÄÄTÖKSEKSI kolmansissa maissa siemenviljelmillä tehtyjen viljelystarkastusten vastaavuudesta ja kolmansissa maissa tuotettujen siementen vastaavuudesta (kodifikaatio)</w:t>
            </w:r>
          </w:p>
        </w:tc>
        <w:tc>
          <w:tcPr>
            <w:tcW w:w="2003" w:type="dxa"/>
            <w:tcMar>
              <w:top w:w="85" w:type="dxa"/>
              <w:left w:w="85" w:type="dxa"/>
              <w:bottom w:w="85" w:type="dxa"/>
            </w:tcMar>
          </w:tcPr>
          <w:p w14:paraId="55478265" w14:textId="77777777" w:rsidR="00AB66A8" w:rsidRDefault="00AB66A8" w:rsidP="006C6FCD">
            <w:pPr>
              <w:rPr>
                <w:noProof/>
              </w:rPr>
            </w:pPr>
            <w:r>
              <w:rPr>
                <w:noProof/>
              </w:rPr>
              <w:t>COM(2024) 53 final</w:t>
            </w:r>
            <w:r>
              <w:rPr>
                <w:noProof/>
              </w:rPr>
              <w:br/>
              <w:t>2024/0030 (COD)</w:t>
            </w:r>
            <w:r>
              <w:rPr>
                <w:noProof/>
              </w:rPr>
              <w:br/>
              <w:t>6.2.2024</w:t>
            </w:r>
          </w:p>
        </w:tc>
      </w:tr>
      <w:tr w:rsidR="00AB66A8" w:rsidRPr="006C1C34" w14:paraId="376CD0C7" w14:textId="77777777" w:rsidTr="00C12335">
        <w:trPr>
          <w:jc w:val="center"/>
        </w:trPr>
        <w:tc>
          <w:tcPr>
            <w:tcW w:w="562" w:type="dxa"/>
            <w:tcBorders>
              <w:right w:val="nil"/>
            </w:tcBorders>
            <w:shd w:val="clear" w:color="auto" w:fill="auto"/>
            <w:tcMar>
              <w:top w:w="85" w:type="dxa"/>
              <w:left w:w="85" w:type="dxa"/>
              <w:bottom w:w="85" w:type="dxa"/>
            </w:tcMar>
          </w:tcPr>
          <w:p w14:paraId="59BBD21D"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15787688" w14:textId="77777777" w:rsidR="00AB66A8" w:rsidRPr="00C3634B" w:rsidRDefault="00AB66A8" w:rsidP="00081129">
            <w:pPr>
              <w:jc w:val="both"/>
              <w:rPr>
                <w:bCs/>
                <w:noProof/>
              </w:rPr>
            </w:pPr>
            <w:r>
              <w:rPr>
                <w:noProof/>
              </w:rPr>
              <w:t>Ehdotus EUROOPAN PARLAMENTIN JA NEUVOSTON ASETUKSEKSI ulkomaisten sijoitusten seurannasta unionissa ja Euroopan parlamentin ja neuvoston asetuksen (EU) 2019/452 kumoamisesta</w:t>
            </w:r>
          </w:p>
        </w:tc>
        <w:tc>
          <w:tcPr>
            <w:tcW w:w="2003" w:type="dxa"/>
            <w:tcMar>
              <w:top w:w="85" w:type="dxa"/>
              <w:left w:w="85" w:type="dxa"/>
              <w:bottom w:w="85" w:type="dxa"/>
            </w:tcMar>
          </w:tcPr>
          <w:p w14:paraId="49680AA2" w14:textId="77777777" w:rsidR="00AB66A8" w:rsidRPr="00C3634B" w:rsidRDefault="00AB66A8" w:rsidP="006C6FCD">
            <w:pPr>
              <w:rPr>
                <w:bCs/>
                <w:noProof/>
              </w:rPr>
            </w:pPr>
            <w:r>
              <w:rPr>
                <w:noProof/>
              </w:rPr>
              <w:t>COM(2024) 23 final</w:t>
            </w:r>
            <w:r>
              <w:rPr>
                <w:noProof/>
              </w:rPr>
              <w:br/>
              <w:t>2024/0017 (COD)</w:t>
            </w:r>
            <w:r>
              <w:rPr>
                <w:noProof/>
              </w:rPr>
              <w:br/>
              <w:t>24.1.2024</w:t>
            </w:r>
          </w:p>
        </w:tc>
      </w:tr>
      <w:tr w:rsidR="00AB66A8" w:rsidRPr="006C1C34" w14:paraId="4732A193" w14:textId="77777777" w:rsidTr="00C12335">
        <w:trPr>
          <w:jc w:val="center"/>
        </w:trPr>
        <w:tc>
          <w:tcPr>
            <w:tcW w:w="562" w:type="dxa"/>
            <w:tcBorders>
              <w:right w:val="nil"/>
            </w:tcBorders>
            <w:shd w:val="clear" w:color="auto" w:fill="auto"/>
            <w:tcMar>
              <w:top w:w="85" w:type="dxa"/>
              <w:left w:w="85" w:type="dxa"/>
              <w:bottom w:w="85" w:type="dxa"/>
            </w:tcMar>
          </w:tcPr>
          <w:p w14:paraId="649239A8"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58BADA4A" w14:textId="77777777" w:rsidR="00AB66A8" w:rsidRPr="006C1C34" w:rsidRDefault="00AB66A8" w:rsidP="00081129">
            <w:pPr>
              <w:jc w:val="both"/>
              <w:rPr>
                <w:noProof/>
              </w:rPr>
            </w:pPr>
            <w:r>
              <w:rPr>
                <w:noProof/>
              </w:rPr>
              <w:t>Ehdotus EUROOPAN PARLAMENTIN JA NEUVOSTON ASETUKSEKSI yleisen tullietuusjärjestelmän soveltamisesta ja Euroopan parlamentin ja neuvoston asetuksen (EU) N:o 978/2012 kumoamisesta</w:t>
            </w:r>
          </w:p>
        </w:tc>
        <w:tc>
          <w:tcPr>
            <w:tcW w:w="2003" w:type="dxa"/>
            <w:tcMar>
              <w:top w:w="85" w:type="dxa"/>
              <w:left w:w="85" w:type="dxa"/>
              <w:bottom w:w="85" w:type="dxa"/>
            </w:tcMar>
          </w:tcPr>
          <w:p w14:paraId="1355372E" w14:textId="77777777" w:rsidR="00AB66A8" w:rsidRPr="006C1C34" w:rsidRDefault="00AB66A8" w:rsidP="006C6FCD">
            <w:pPr>
              <w:rPr>
                <w:noProof/>
              </w:rPr>
            </w:pPr>
            <w:r>
              <w:rPr>
                <w:noProof/>
              </w:rPr>
              <w:t>COM(2021) 579 final</w:t>
            </w:r>
            <w:r>
              <w:rPr>
                <w:noProof/>
              </w:rPr>
              <w:br/>
              <w:t>2021/0297 (COD)</w:t>
            </w:r>
            <w:r>
              <w:rPr>
                <w:noProof/>
              </w:rPr>
              <w:br/>
              <w:t>22.9.2021</w:t>
            </w:r>
          </w:p>
        </w:tc>
      </w:tr>
      <w:tr w:rsidR="00AB66A8" w:rsidRPr="006C1C34" w14:paraId="107B2F9B" w14:textId="77777777" w:rsidTr="00C12335">
        <w:trPr>
          <w:jc w:val="center"/>
        </w:trPr>
        <w:tc>
          <w:tcPr>
            <w:tcW w:w="562" w:type="dxa"/>
            <w:tcBorders>
              <w:right w:val="nil"/>
            </w:tcBorders>
            <w:shd w:val="clear" w:color="auto" w:fill="auto"/>
            <w:tcMar>
              <w:top w:w="85" w:type="dxa"/>
              <w:left w:w="85" w:type="dxa"/>
              <w:bottom w:w="85" w:type="dxa"/>
            </w:tcMar>
          </w:tcPr>
          <w:p w14:paraId="7C6D5147" w14:textId="77777777" w:rsidR="00AB66A8" w:rsidRPr="006C1C34" w:rsidRDefault="00AB66A8" w:rsidP="005071EE">
            <w:pPr>
              <w:numPr>
                <w:ilvl w:val="0"/>
                <w:numId w:val="6"/>
              </w:numPr>
              <w:ind w:left="425" w:hanging="357"/>
              <w:contextualSpacing/>
              <w:jc w:val="both"/>
              <w:rPr>
                <w:b/>
                <w:noProof/>
              </w:rPr>
            </w:pPr>
          </w:p>
        </w:tc>
        <w:tc>
          <w:tcPr>
            <w:tcW w:w="11464" w:type="dxa"/>
            <w:shd w:val="clear" w:color="auto" w:fill="auto"/>
            <w:tcMar>
              <w:top w:w="85" w:type="dxa"/>
              <w:left w:w="85" w:type="dxa"/>
              <w:bottom w:w="85" w:type="dxa"/>
              <w:right w:w="85" w:type="dxa"/>
            </w:tcMar>
          </w:tcPr>
          <w:p w14:paraId="08D3F893" w14:textId="77777777" w:rsidR="00AB66A8" w:rsidRPr="006C1C34" w:rsidRDefault="00AB66A8" w:rsidP="00081129">
            <w:pPr>
              <w:jc w:val="both"/>
              <w:rPr>
                <w:bCs/>
                <w:noProof/>
              </w:rPr>
            </w:pPr>
            <w:r>
              <w:rPr>
                <w:noProof/>
              </w:rPr>
              <w:t>Ehdotus EUROOPAN PARLAMENTIN JA NEUVOSTON ASETUKSEKSI raakatimanttien kansainväliseen kauppaan sovellettavasta Kimberleyn prosessin sertifiointijärjestelmästä (uudelleenlaadittu teksti)</w:t>
            </w:r>
          </w:p>
        </w:tc>
        <w:tc>
          <w:tcPr>
            <w:tcW w:w="2003" w:type="dxa"/>
            <w:tcMar>
              <w:top w:w="85" w:type="dxa"/>
              <w:left w:w="85" w:type="dxa"/>
              <w:bottom w:w="85" w:type="dxa"/>
            </w:tcMar>
          </w:tcPr>
          <w:p w14:paraId="46F3C28B" w14:textId="77777777" w:rsidR="00AB66A8" w:rsidRPr="00EA4DC6" w:rsidRDefault="00AB66A8" w:rsidP="006C6FCD">
            <w:pPr>
              <w:rPr>
                <w:bCs/>
                <w:noProof/>
              </w:rPr>
            </w:pPr>
            <w:r>
              <w:rPr>
                <w:noProof/>
              </w:rPr>
              <w:t>COM(2021) 115 final</w:t>
            </w:r>
            <w:r>
              <w:rPr>
                <w:noProof/>
              </w:rPr>
              <w:br/>
              <w:t>2021/0060 (COD)</w:t>
            </w:r>
            <w:r>
              <w:rPr>
                <w:noProof/>
              </w:rPr>
              <w:br/>
              <w:t>12.3.2021</w:t>
            </w:r>
          </w:p>
        </w:tc>
      </w:tr>
      <w:tr w:rsidR="00AB66A8" w:rsidRPr="006C1C34" w14:paraId="4226D5CB" w14:textId="77777777" w:rsidTr="00FF69A3">
        <w:trPr>
          <w:jc w:val="center"/>
        </w:trPr>
        <w:tc>
          <w:tcPr>
            <w:tcW w:w="14029" w:type="dxa"/>
            <w:gridSpan w:val="3"/>
            <w:tcBorders>
              <w:bottom w:val="single" w:sz="4" w:space="0" w:color="auto"/>
            </w:tcBorders>
            <w:shd w:val="clear" w:color="auto" w:fill="0EC6D6"/>
            <w:tcMar>
              <w:top w:w="85" w:type="dxa"/>
              <w:left w:w="85" w:type="dxa"/>
              <w:bottom w:w="85" w:type="dxa"/>
              <w:right w:w="85" w:type="dxa"/>
            </w:tcMar>
          </w:tcPr>
          <w:p w14:paraId="60DE105E" w14:textId="77777777" w:rsidR="00AB66A8" w:rsidRPr="006C1C34" w:rsidRDefault="00AB66A8" w:rsidP="00DC3189">
            <w:pPr>
              <w:spacing w:before="60" w:after="60"/>
              <w:ind w:left="357" w:hanging="357"/>
              <w:jc w:val="both"/>
              <w:rPr>
                <w:b/>
                <w:bCs/>
                <w:noProof/>
                <w:color w:val="FFFFFF"/>
              </w:rPr>
            </w:pPr>
            <w:r>
              <w:rPr>
                <w:noProof/>
              </w:rPr>
              <w:br w:type="page"/>
            </w:r>
            <w:r>
              <w:rPr>
                <w:b/>
                <w:noProof/>
                <w:color w:val="FFFFFF" w:themeColor="background1"/>
              </w:rPr>
              <w:t>Tuloksiin yhdessä ja unioni valmiiksi tulevaisuuteen</w:t>
            </w:r>
          </w:p>
        </w:tc>
      </w:tr>
      <w:tr w:rsidR="00AB66A8" w:rsidRPr="006C1C34" w14:paraId="69986228" w14:textId="77777777" w:rsidTr="00C12335">
        <w:trPr>
          <w:jc w:val="center"/>
        </w:trPr>
        <w:tc>
          <w:tcPr>
            <w:tcW w:w="562" w:type="dxa"/>
            <w:tcBorders>
              <w:top w:val="single" w:sz="4" w:space="0" w:color="auto"/>
              <w:bottom w:val="nil"/>
              <w:right w:val="nil"/>
            </w:tcBorders>
            <w:shd w:val="clear" w:color="auto" w:fill="auto"/>
            <w:tcMar>
              <w:top w:w="85" w:type="dxa"/>
              <w:left w:w="85" w:type="dxa"/>
              <w:bottom w:w="85" w:type="dxa"/>
            </w:tcMar>
          </w:tcPr>
          <w:p w14:paraId="63065CE8"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tcBorders>
            <w:shd w:val="clear" w:color="auto" w:fill="auto"/>
            <w:tcMar>
              <w:top w:w="85" w:type="dxa"/>
              <w:left w:w="85" w:type="dxa"/>
              <w:bottom w:w="85" w:type="dxa"/>
              <w:right w:w="85" w:type="dxa"/>
            </w:tcMar>
          </w:tcPr>
          <w:p w14:paraId="06271A9C" w14:textId="77777777" w:rsidR="00AB66A8" w:rsidRPr="00CE7E10" w:rsidRDefault="00AB66A8" w:rsidP="00DC3189">
            <w:pPr>
              <w:jc w:val="both"/>
              <w:rPr>
                <w:bCs/>
                <w:noProof/>
                <w:highlight w:val="lightGray"/>
              </w:rPr>
            </w:pPr>
            <w:r>
              <w:rPr>
                <w:noProof/>
              </w:rPr>
              <w:t>Ehdotus NEUVOSTON ASETUKSEKSI huhtikuun 30 päivänä 2021 annetun asetuksen (EU, Euratom) 2021/768 muuttamisesta Euroopan unionin uusia omia varoja koskevien täytäntöönpanotoimenpiteiden osalta</w:t>
            </w:r>
          </w:p>
        </w:tc>
        <w:tc>
          <w:tcPr>
            <w:tcW w:w="2003" w:type="dxa"/>
            <w:tcBorders>
              <w:top w:val="single" w:sz="4" w:space="0" w:color="auto"/>
              <w:bottom w:val="nil"/>
            </w:tcBorders>
            <w:tcMar>
              <w:top w:w="85" w:type="dxa"/>
              <w:left w:w="85" w:type="dxa"/>
              <w:bottom w:w="85" w:type="dxa"/>
            </w:tcMar>
          </w:tcPr>
          <w:p w14:paraId="25347C7C" w14:textId="77777777" w:rsidR="00AB66A8" w:rsidRPr="00CE7E10" w:rsidRDefault="00AB66A8" w:rsidP="006C6FCD">
            <w:pPr>
              <w:rPr>
                <w:noProof/>
                <w:highlight w:val="lightGray"/>
              </w:rPr>
            </w:pPr>
            <w:r>
              <w:rPr>
                <w:noProof/>
              </w:rPr>
              <w:t>COM(2022) 102 final</w:t>
            </w:r>
            <w:r>
              <w:rPr>
                <w:noProof/>
              </w:rPr>
              <w:br/>
              <w:t>2022/0072 (APP)</w:t>
            </w:r>
            <w:r>
              <w:rPr>
                <w:noProof/>
              </w:rPr>
              <w:br/>
              <w:t>14.3.2022</w:t>
            </w:r>
          </w:p>
        </w:tc>
      </w:tr>
      <w:tr w:rsidR="00AB66A8" w:rsidRPr="006C1C34" w14:paraId="39CC5741" w14:textId="77777777" w:rsidTr="00C12335">
        <w:trPr>
          <w:jc w:val="center"/>
        </w:trPr>
        <w:tc>
          <w:tcPr>
            <w:tcW w:w="562" w:type="dxa"/>
            <w:tcBorders>
              <w:top w:val="nil"/>
              <w:bottom w:val="single" w:sz="4" w:space="0" w:color="auto"/>
              <w:right w:val="nil"/>
            </w:tcBorders>
            <w:shd w:val="clear" w:color="auto" w:fill="auto"/>
            <w:tcMar>
              <w:top w:w="85" w:type="dxa"/>
              <w:left w:w="85" w:type="dxa"/>
              <w:bottom w:w="85" w:type="dxa"/>
            </w:tcMar>
          </w:tcPr>
          <w:p w14:paraId="15FA92D1" w14:textId="77777777" w:rsidR="00AB66A8" w:rsidRPr="006C1C34" w:rsidRDefault="00AB66A8" w:rsidP="006C6FCD">
            <w:pPr>
              <w:ind w:left="425" w:hanging="357"/>
              <w:contextualSpacing/>
              <w:rPr>
                <w:b/>
                <w:noProof/>
              </w:rPr>
            </w:pPr>
          </w:p>
        </w:tc>
        <w:tc>
          <w:tcPr>
            <w:tcW w:w="11464" w:type="dxa"/>
            <w:tcBorders>
              <w:top w:val="nil"/>
              <w:bottom w:val="single" w:sz="4" w:space="0" w:color="auto"/>
            </w:tcBorders>
            <w:shd w:val="clear" w:color="auto" w:fill="auto"/>
            <w:tcMar>
              <w:top w:w="85" w:type="dxa"/>
              <w:left w:w="85" w:type="dxa"/>
              <w:bottom w:w="85" w:type="dxa"/>
              <w:right w:w="85" w:type="dxa"/>
            </w:tcMar>
          </w:tcPr>
          <w:p w14:paraId="48DF202F" w14:textId="77777777" w:rsidR="00AB66A8" w:rsidRPr="00D506A5" w:rsidRDefault="00AB66A8" w:rsidP="00DC3189">
            <w:pPr>
              <w:jc w:val="both"/>
              <w:rPr>
                <w:noProof/>
              </w:rPr>
            </w:pPr>
            <w:r>
              <w:rPr>
                <w:noProof/>
              </w:rPr>
              <w:t>Muutettu ehdotus NEUVOSTON ASETUKSEKSI huhtikuun 30 päivänä 2021 annetun asetuksen (EU, Euratom) 2021/768 muuttamisesta Euroopan unionin uusia omia varoja koskevien täytäntöönpanotoimenpiteiden osalta</w:t>
            </w:r>
          </w:p>
        </w:tc>
        <w:tc>
          <w:tcPr>
            <w:tcW w:w="2003" w:type="dxa"/>
            <w:tcBorders>
              <w:top w:val="nil"/>
              <w:bottom w:val="single" w:sz="4" w:space="0" w:color="auto"/>
            </w:tcBorders>
            <w:tcMar>
              <w:top w:w="85" w:type="dxa"/>
              <w:left w:w="85" w:type="dxa"/>
              <w:bottom w:w="85" w:type="dxa"/>
            </w:tcMar>
          </w:tcPr>
          <w:p w14:paraId="32E2971F" w14:textId="6C4D478D" w:rsidR="00AB66A8" w:rsidRDefault="00AB66A8" w:rsidP="006C6FCD">
            <w:pPr>
              <w:rPr>
                <w:noProof/>
              </w:rPr>
            </w:pPr>
            <w:r>
              <w:rPr>
                <w:noProof/>
              </w:rPr>
              <w:t>Muutettu asiakirjalla COM(2023) 332 final</w:t>
            </w:r>
            <w:r>
              <w:rPr>
                <w:noProof/>
              </w:rPr>
              <w:br/>
              <w:t>20.6.2023</w:t>
            </w:r>
          </w:p>
        </w:tc>
      </w:tr>
      <w:tr w:rsidR="00AB66A8" w:rsidRPr="006C1C34" w14:paraId="4CCD3BD9" w14:textId="77777777" w:rsidTr="00C12335">
        <w:trPr>
          <w:jc w:val="center"/>
        </w:trPr>
        <w:tc>
          <w:tcPr>
            <w:tcW w:w="562" w:type="dxa"/>
            <w:tcBorders>
              <w:top w:val="single" w:sz="4" w:space="0" w:color="auto"/>
              <w:bottom w:val="nil"/>
              <w:right w:val="nil"/>
            </w:tcBorders>
            <w:shd w:val="clear" w:color="auto" w:fill="auto"/>
            <w:tcMar>
              <w:top w:w="85" w:type="dxa"/>
              <w:left w:w="85" w:type="dxa"/>
              <w:bottom w:w="85" w:type="dxa"/>
            </w:tcMar>
          </w:tcPr>
          <w:p w14:paraId="6F3C2E07" w14:textId="77777777" w:rsidR="00AB66A8" w:rsidRPr="006C1C34" w:rsidRDefault="00AB66A8" w:rsidP="005071EE">
            <w:pPr>
              <w:numPr>
                <w:ilvl w:val="0"/>
                <w:numId w:val="6"/>
              </w:numPr>
              <w:ind w:left="425" w:hanging="357"/>
              <w:contextualSpacing/>
              <w:jc w:val="both"/>
              <w:rPr>
                <w:b/>
                <w:noProof/>
              </w:rPr>
            </w:pPr>
          </w:p>
        </w:tc>
        <w:tc>
          <w:tcPr>
            <w:tcW w:w="11464" w:type="dxa"/>
            <w:tcBorders>
              <w:top w:val="single" w:sz="4" w:space="0" w:color="auto"/>
              <w:bottom w:val="nil"/>
            </w:tcBorders>
            <w:shd w:val="clear" w:color="auto" w:fill="auto"/>
            <w:tcMar>
              <w:top w:w="85" w:type="dxa"/>
              <w:left w:w="85" w:type="dxa"/>
              <w:bottom w:w="85" w:type="dxa"/>
              <w:right w:w="85" w:type="dxa"/>
            </w:tcMar>
          </w:tcPr>
          <w:p w14:paraId="72BEC571" w14:textId="77777777" w:rsidR="00AB66A8" w:rsidRPr="009E521F" w:rsidRDefault="00AB66A8" w:rsidP="00DC3189">
            <w:pPr>
              <w:jc w:val="both"/>
              <w:rPr>
                <w:bCs/>
                <w:noProof/>
              </w:rPr>
            </w:pPr>
            <w:r>
              <w:rPr>
                <w:noProof/>
              </w:rPr>
              <w:t>Ehdotus NEUVOSTON ASETUKSEKSI päästökauppajärjestelmään, hiilirajamekanismiin ja voittojen uudelleenkohdentamiseen perustuvien omien varojen käyttöön asettamisessa sovellettavista menetelmistä ja menettelystä sekä käteisvarojen saamiseksi toteutettavista toimenpiteistä</w:t>
            </w:r>
          </w:p>
        </w:tc>
        <w:tc>
          <w:tcPr>
            <w:tcW w:w="2003" w:type="dxa"/>
            <w:tcBorders>
              <w:top w:val="single" w:sz="4" w:space="0" w:color="auto"/>
              <w:bottom w:val="nil"/>
            </w:tcBorders>
            <w:tcMar>
              <w:top w:w="85" w:type="dxa"/>
              <w:left w:w="85" w:type="dxa"/>
              <w:bottom w:w="85" w:type="dxa"/>
            </w:tcMar>
          </w:tcPr>
          <w:p w14:paraId="1BA9667B" w14:textId="77777777" w:rsidR="00AB66A8" w:rsidRPr="009E521F" w:rsidRDefault="00AB66A8" w:rsidP="006C6FCD">
            <w:pPr>
              <w:rPr>
                <w:noProof/>
              </w:rPr>
            </w:pPr>
            <w:r>
              <w:rPr>
                <w:noProof/>
              </w:rPr>
              <w:t>COM(2022) 101 final</w:t>
            </w:r>
            <w:r>
              <w:rPr>
                <w:noProof/>
              </w:rPr>
              <w:br/>
              <w:t>2022/0071 (NLE)</w:t>
            </w:r>
            <w:r>
              <w:rPr>
                <w:noProof/>
              </w:rPr>
              <w:br/>
              <w:t>14.3.2022</w:t>
            </w:r>
          </w:p>
        </w:tc>
      </w:tr>
      <w:tr w:rsidR="00AB66A8" w:rsidRPr="006C1C34" w14:paraId="5DDF3C9A" w14:textId="77777777" w:rsidTr="00C12335">
        <w:trPr>
          <w:jc w:val="center"/>
        </w:trPr>
        <w:tc>
          <w:tcPr>
            <w:tcW w:w="562" w:type="dxa"/>
            <w:tcBorders>
              <w:top w:val="nil"/>
              <w:bottom w:val="nil"/>
              <w:right w:val="nil"/>
            </w:tcBorders>
            <w:shd w:val="clear" w:color="auto" w:fill="auto"/>
            <w:tcMar>
              <w:top w:w="85" w:type="dxa"/>
              <w:left w:w="85" w:type="dxa"/>
              <w:bottom w:w="85" w:type="dxa"/>
            </w:tcMar>
          </w:tcPr>
          <w:p w14:paraId="787DD263" w14:textId="77777777" w:rsidR="00AB66A8" w:rsidRPr="006C1C34" w:rsidRDefault="00AB66A8" w:rsidP="006C6FCD">
            <w:pPr>
              <w:ind w:left="425" w:hanging="357"/>
              <w:contextualSpacing/>
              <w:rPr>
                <w:b/>
                <w:noProof/>
              </w:rPr>
            </w:pPr>
          </w:p>
        </w:tc>
        <w:tc>
          <w:tcPr>
            <w:tcW w:w="11464" w:type="dxa"/>
            <w:tcBorders>
              <w:top w:val="nil"/>
              <w:bottom w:val="nil"/>
            </w:tcBorders>
            <w:shd w:val="clear" w:color="auto" w:fill="auto"/>
            <w:tcMar>
              <w:top w:w="85" w:type="dxa"/>
              <w:left w:w="85" w:type="dxa"/>
              <w:bottom w:w="85" w:type="dxa"/>
              <w:right w:w="85" w:type="dxa"/>
            </w:tcMar>
          </w:tcPr>
          <w:p w14:paraId="0DFD2903" w14:textId="77777777" w:rsidR="00AB66A8" w:rsidRPr="00826914" w:rsidRDefault="00AB66A8" w:rsidP="00DC3189">
            <w:pPr>
              <w:jc w:val="both"/>
              <w:rPr>
                <w:noProof/>
              </w:rPr>
            </w:pPr>
            <w:r>
              <w:rPr>
                <w:noProof/>
              </w:rPr>
              <w:t>Muutettu ehdotus NEUVOSTON ASETUKSEKSI päästökauppajärjestelmään, hiilirajamekanismiin ja voittojen uudelleenkohdentamiseen perustuvien omien varojen ja yritysten voittoihin perustuvien tilastopohjaisten omien varojen käyttöön asettamisessa sovellettavista menetelmistä ja menettelystä sekä käteisvarojen saamiseksi toteutettavista toimenpiteistä</w:t>
            </w:r>
          </w:p>
        </w:tc>
        <w:tc>
          <w:tcPr>
            <w:tcW w:w="2003" w:type="dxa"/>
            <w:tcBorders>
              <w:top w:val="nil"/>
              <w:bottom w:val="nil"/>
            </w:tcBorders>
            <w:tcMar>
              <w:top w:w="85" w:type="dxa"/>
              <w:left w:w="85" w:type="dxa"/>
              <w:bottom w:w="85" w:type="dxa"/>
            </w:tcMar>
          </w:tcPr>
          <w:p w14:paraId="441B141C" w14:textId="77777777" w:rsidR="00AB66A8" w:rsidRPr="00947590" w:rsidRDefault="00AB66A8" w:rsidP="006C6FCD">
            <w:pPr>
              <w:rPr>
                <w:noProof/>
              </w:rPr>
            </w:pPr>
            <w:r>
              <w:rPr>
                <w:noProof/>
              </w:rPr>
              <w:t>Muutettu asiakirjalla COM(2023) 333 final</w:t>
            </w:r>
            <w:r>
              <w:rPr>
                <w:noProof/>
              </w:rPr>
              <w:br/>
              <w:t>20.6.2023</w:t>
            </w:r>
          </w:p>
        </w:tc>
      </w:tr>
      <w:tr w:rsidR="003D41EE" w:rsidRPr="006C1C34" w14:paraId="4EED4DB2" w14:textId="77777777" w:rsidTr="00C12335">
        <w:trPr>
          <w:jc w:val="center"/>
        </w:trPr>
        <w:tc>
          <w:tcPr>
            <w:tcW w:w="562" w:type="dxa"/>
            <w:tcBorders>
              <w:bottom w:val="nil"/>
              <w:right w:val="nil"/>
            </w:tcBorders>
            <w:shd w:val="clear" w:color="auto" w:fill="auto"/>
            <w:tcMar>
              <w:top w:w="85" w:type="dxa"/>
              <w:left w:w="85" w:type="dxa"/>
              <w:bottom w:w="85" w:type="dxa"/>
            </w:tcMar>
          </w:tcPr>
          <w:p w14:paraId="5C307660" w14:textId="77777777" w:rsidR="003D41EE" w:rsidRPr="006C1C34" w:rsidRDefault="003D41EE" w:rsidP="005071EE">
            <w:pPr>
              <w:numPr>
                <w:ilvl w:val="0"/>
                <w:numId w:val="6"/>
              </w:numPr>
              <w:ind w:left="425" w:hanging="357"/>
              <w:contextualSpacing/>
              <w:jc w:val="both"/>
              <w:rPr>
                <w:b/>
                <w:noProof/>
              </w:rPr>
            </w:pPr>
          </w:p>
        </w:tc>
        <w:tc>
          <w:tcPr>
            <w:tcW w:w="11464" w:type="dxa"/>
            <w:tcBorders>
              <w:bottom w:val="nil"/>
            </w:tcBorders>
            <w:shd w:val="clear" w:color="auto" w:fill="auto"/>
            <w:tcMar>
              <w:top w:w="85" w:type="dxa"/>
              <w:left w:w="85" w:type="dxa"/>
              <w:bottom w:w="85" w:type="dxa"/>
              <w:right w:w="85" w:type="dxa"/>
            </w:tcMar>
          </w:tcPr>
          <w:p w14:paraId="4A3A334A" w14:textId="77A85C9A" w:rsidR="003D41EE" w:rsidRPr="009E521F" w:rsidRDefault="0041000C" w:rsidP="00DC3189">
            <w:pPr>
              <w:jc w:val="both"/>
              <w:rPr>
                <w:bCs/>
                <w:noProof/>
              </w:rPr>
            </w:pPr>
            <w:r>
              <w:rPr>
                <w:noProof/>
              </w:rPr>
              <w:t>Ehdotus NEUVOSTON PÄÄTÖKSEKSI Euroopan unionin omien varojen järjestelmästä annetun päätöksen (EU, Euratom) 2020/2053 muuttamisesta</w:t>
            </w:r>
          </w:p>
        </w:tc>
        <w:tc>
          <w:tcPr>
            <w:tcW w:w="2003" w:type="dxa"/>
            <w:tcBorders>
              <w:bottom w:val="nil"/>
            </w:tcBorders>
            <w:tcMar>
              <w:top w:w="85" w:type="dxa"/>
              <w:left w:w="85" w:type="dxa"/>
              <w:bottom w:w="85" w:type="dxa"/>
            </w:tcMar>
          </w:tcPr>
          <w:p w14:paraId="35CE85BC" w14:textId="3183FE7E" w:rsidR="003D41EE" w:rsidRPr="009E521F" w:rsidRDefault="0041000C" w:rsidP="006C6FCD">
            <w:pPr>
              <w:rPr>
                <w:noProof/>
              </w:rPr>
            </w:pPr>
            <w:r>
              <w:rPr>
                <w:noProof/>
              </w:rPr>
              <w:t>COM(2021) 570 final</w:t>
            </w:r>
            <w:r>
              <w:rPr>
                <w:noProof/>
              </w:rPr>
              <w:br/>
              <w:t>2021/0430 (CNS)</w:t>
            </w:r>
            <w:r>
              <w:rPr>
                <w:noProof/>
              </w:rPr>
              <w:br/>
              <w:t>22.12.2021</w:t>
            </w:r>
          </w:p>
        </w:tc>
      </w:tr>
      <w:tr w:rsidR="00AB66A8" w:rsidRPr="006C1C34" w14:paraId="6B0D20AC" w14:textId="77777777" w:rsidTr="00C12335">
        <w:trPr>
          <w:jc w:val="center"/>
        </w:trPr>
        <w:tc>
          <w:tcPr>
            <w:tcW w:w="562" w:type="dxa"/>
            <w:tcBorders>
              <w:top w:val="nil"/>
              <w:bottom w:val="single" w:sz="4" w:space="0" w:color="auto"/>
              <w:right w:val="nil"/>
            </w:tcBorders>
            <w:shd w:val="clear" w:color="auto" w:fill="auto"/>
            <w:tcMar>
              <w:top w:w="85" w:type="dxa"/>
              <w:left w:w="85" w:type="dxa"/>
              <w:bottom w:w="85" w:type="dxa"/>
            </w:tcMar>
          </w:tcPr>
          <w:p w14:paraId="296F8B04" w14:textId="77777777" w:rsidR="00AB66A8" w:rsidRPr="006C1C34" w:rsidRDefault="00AB66A8" w:rsidP="006C6FCD">
            <w:pPr>
              <w:ind w:left="283"/>
              <w:contextualSpacing/>
              <w:rPr>
                <w:b/>
                <w:noProof/>
              </w:rPr>
            </w:pPr>
          </w:p>
        </w:tc>
        <w:tc>
          <w:tcPr>
            <w:tcW w:w="11464" w:type="dxa"/>
            <w:tcBorders>
              <w:top w:val="nil"/>
              <w:bottom w:val="single" w:sz="4" w:space="0" w:color="auto"/>
            </w:tcBorders>
            <w:shd w:val="clear" w:color="auto" w:fill="auto"/>
            <w:tcMar>
              <w:top w:w="85" w:type="dxa"/>
              <w:left w:w="85" w:type="dxa"/>
              <w:bottom w:w="85" w:type="dxa"/>
              <w:right w:w="85" w:type="dxa"/>
            </w:tcMar>
          </w:tcPr>
          <w:p w14:paraId="3734E089" w14:textId="77777777" w:rsidR="00AB66A8" w:rsidRPr="009E521F" w:rsidRDefault="00AB66A8" w:rsidP="00DC3189">
            <w:pPr>
              <w:jc w:val="both"/>
              <w:rPr>
                <w:bCs/>
                <w:noProof/>
              </w:rPr>
            </w:pPr>
            <w:r>
              <w:rPr>
                <w:noProof/>
              </w:rPr>
              <w:t>Muutettu ehdotus NEUVOSTON PÄÄTÖKSEKSI Euroopan unionin omien varojen järjestelmästä annetun päätöksen (EU, Euratom) 2020/2053 muuttamisesta</w:t>
            </w:r>
          </w:p>
        </w:tc>
        <w:tc>
          <w:tcPr>
            <w:tcW w:w="2003" w:type="dxa"/>
            <w:tcBorders>
              <w:top w:val="nil"/>
              <w:bottom w:val="single" w:sz="4" w:space="0" w:color="auto"/>
            </w:tcBorders>
            <w:tcMar>
              <w:top w:w="85" w:type="dxa"/>
              <w:left w:w="85" w:type="dxa"/>
              <w:bottom w:w="85" w:type="dxa"/>
            </w:tcMar>
          </w:tcPr>
          <w:p w14:paraId="0296B792" w14:textId="77777777" w:rsidR="00AB66A8" w:rsidRPr="009E521F" w:rsidRDefault="00AB66A8" w:rsidP="006C6FCD">
            <w:pPr>
              <w:rPr>
                <w:noProof/>
              </w:rPr>
            </w:pPr>
            <w:r>
              <w:rPr>
                <w:noProof/>
              </w:rPr>
              <w:t>Muutettu asiakirjalla COM(2023) 331 final</w:t>
            </w:r>
            <w:r>
              <w:rPr>
                <w:noProof/>
              </w:rPr>
              <w:br/>
              <w:t>20.6.2023</w:t>
            </w:r>
          </w:p>
        </w:tc>
      </w:tr>
    </w:tbl>
    <w:p w14:paraId="6FBDCCB6" w14:textId="77777777" w:rsidR="001D790B" w:rsidRDefault="001D790B" w:rsidP="00EC1C82">
      <w:pPr>
        <w:jc w:val="center"/>
        <w:rPr>
          <w:rFonts w:ascii="Times New Roman" w:eastAsia="Times New Roman" w:hAnsi="Times New Roman" w:cs="Times New Roman"/>
          <w:b/>
          <w:bCs/>
          <w:noProof/>
          <w:sz w:val="28"/>
          <w:szCs w:val="28"/>
          <w:u w:val="single"/>
          <w:lang w:val="en-GB" w:eastAsia="en-GB"/>
        </w:rPr>
      </w:pPr>
    </w:p>
    <w:p w14:paraId="01752456" w14:textId="78897B0D" w:rsidR="001D790B" w:rsidRDefault="001D790B">
      <w:pPr>
        <w:rPr>
          <w:rFonts w:ascii="Times New Roman" w:eastAsia="Times New Roman" w:hAnsi="Times New Roman" w:cs="Times New Roman"/>
          <w:b/>
          <w:bCs/>
          <w:noProof/>
          <w:sz w:val="28"/>
          <w:szCs w:val="28"/>
          <w:u w:val="single"/>
          <w:lang w:val="en-GB" w:eastAsia="en-GB"/>
        </w:rPr>
      </w:pPr>
    </w:p>
    <w:p w14:paraId="75A43DAD" w14:textId="77777777" w:rsidR="005857DA" w:rsidRDefault="005857DA">
      <w:pPr>
        <w:rPr>
          <w:rFonts w:ascii="Times New Roman" w:eastAsia="Times New Roman" w:hAnsi="Times New Roman" w:cs="Times New Roman"/>
          <w:b/>
          <w:bCs/>
          <w:noProof/>
          <w:sz w:val="28"/>
          <w:szCs w:val="28"/>
          <w:u w:val="single"/>
        </w:rPr>
      </w:pPr>
      <w:r>
        <w:rPr>
          <w:noProof/>
        </w:rPr>
        <w:br w:type="page"/>
      </w:r>
    </w:p>
    <w:p w14:paraId="52858B5C" w14:textId="24F8BE2B" w:rsidR="00804D14" w:rsidRDefault="007927AA" w:rsidP="00EC1C82">
      <w:pPr>
        <w:jc w:val="center"/>
        <w:rPr>
          <w:rFonts w:ascii="Times New Roman" w:eastAsia="Times New Roman" w:hAnsi="Times New Roman" w:cs="Times New Roman"/>
          <w:b/>
          <w:bCs/>
          <w:noProof/>
          <w:sz w:val="28"/>
          <w:szCs w:val="28"/>
          <w:u w:val="single"/>
        </w:rPr>
      </w:pPr>
      <w:r>
        <w:rPr>
          <w:rFonts w:ascii="Times New Roman" w:hAnsi="Times New Roman"/>
          <w:b/>
          <w:noProof/>
          <w:sz w:val="28"/>
          <w:u w:val="single"/>
        </w:rPr>
        <w:t>Liite IV: Peruutettavat ehdotukset</w:t>
      </w:r>
      <w:r w:rsidR="00BE2853" w:rsidRPr="00224E00">
        <w:rPr>
          <w:rFonts w:ascii="Times New Roman" w:eastAsia="Times New Roman" w:hAnsi="Times New Roman" w:cs="Times New Roman"/>
          <w:noProof/>
          <w:vertAlign w:val="superscript"/>
          <w:lang w:val="en-GB" w:eastAsia="en-GB"/>
        </w:rPr>
        <w:footnoteReference w:id="3"/>
      </w:r>
    </w:p>
    <w:p w14:paraId="1AF8F774" w14:textId="77777777" w:rsidR="008A414A" w:rsidRDefault="008A414A" w:rsidP="00EC1C82">
      <w:pPr>
        <w:jc w:val="center"/>
        <w:rPr>
          <w:rFonts w:ascii="Times New Roman" w:eastAsia="Times New Roman" w:hAnsi="Times New Roman" w:cs="Times New Roman"/>
          <w:b/>
          <w:bCs/>
          <w:noProof/>
          <w:sz w:val="28"/>
          <w:szCs w:val="28"/>
          <w:u w:val="single"/>
          <w:lang w:val="en-GB" w:eastAsia="en-GB"/>
        </w:rPr>
      </w:pPr>
    </w:p>
    <w:tbl>
      <w:tblPr>
        <w:tblStyle w:val="TableGrid"/>
        <w:tblW w:w="14034" w:type="dxa"/>
        <w:tblInd w:w="-572" w:type="dxa"/>
        <w:tblLayout w:type="fixed"/>
        <w:tblCellMar>
          <w:top w:w="57" w:type="dxa"/>
          <w:left w:w="85" w:type="dxa"/>
          <w:bottom w:w="57" w:type="dxa"/>
          <w:right w:w="85" w:type="dxa"/>
        </w:tblCellMar>
        <w:tblLook w:val="04A0" w:firstRow="1" w:lastRow="0" w:firstColumn="1" w:lastColumn="0" w:noHBand="0" w:noVBand="1"/>
      </w:tblPr>
      <w:tblGrid>
        <w:gridCol w:w="567"/>
        <w:gridCol w:w="2177"/>
        <w:gridCol w:w="6622"/>
        <w:gridCol w:w="4668"/>
      </w:tblGrid>
      <w:tr w:rsidR="00157B8E" w:rsidRPr="007716D3" w14:paraId="20C9F6AD" w14:textId="77777777" w:rsidTr="002E78DB">
        <w:trPr>
          <w:cantSplit/>
          <w:tblHeader/>
        </w:trPr>
        <w:tc>
          <w:tcPr>
            <w:tcW w:w="567"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14:paraId="6B9BE1DF" w14:textId="77777777" w:rsidR="008A414A" w:rsidRPr="007716D3" w:rsidRDefault="008A414A" w:rsidP="00DE18E1">
            <w:pPr>
              <w:spacing w:before="60" w:after="60"/>
              <w:jc w:val="both"/>
              <w:rPr>
                <w:b/>
                <w:bCs/>
                <w:noProof/>
              </w:rPr>
            </w:pPr>
            <w:r>
              <w:rPr>
                <w:b/>
                <w:noProof/>
              </w:rPr>
              <w:t>Nro</w:t>
            </w:r>
          </w:p>
        </w:tc>
        <w:tc>
          <w:tcPr>
            <w:tcW w:w="217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56350AB1" w14:textId="77777777" w:rsidR="008A414A" w:rsidRPr="007716D3" w:rsidRDefault="008A414A" w:rsidP="00DE18E1">
            <w:pPr>
              <w:spacing w:before="60" w:after="60"/>
              <w:jc w:val="center"/>
              <w:rPr>
                <w:b/>
                <w:bCs/>
                <w:noProof/>
              </w:rPr>
            </w:pPr>
            <w:r>
              <w:rPr>
                <w:b/>
                <w:noProof/>
              </w:rPr>
              <w:t>Viitteet</w:t>
            </w:r>
          </w:p>
        </w:tc>
        <w:tc>
          <w:tcPr>
            <w:tcW w:w="6622"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4BE80AAE" w14:textId="77777777" w:rsidR="008A414A" w:rsidRPr="007716D3" w:rsidRDefault="008A414A" w:rsidP="00DE18E1">
            <w:pPr>
              <w:spacing w:before="60" w:after="60"/>
              <w:jc w:val="center"/>
              <w:rPr>
                <w:b/>
                <w:bCs/>
                <w:noProof/>
              </w:rPr>
            </w:pPr>
            <w:r>
              <w:rPr>
                <w:b/>
                <w:noProof/>
              </w:rPr>
              <w:t>Nimi</w:t>
            </w:r>
          </w:p>
        </w:tc>
        <w:tc>
          <w:tcPr>
            <w:tcW w:w="4668"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14:paraId="1FEEA202" w14:textId="77777777" w:rsidR="008A414A" w:rsidRPr="007716D3" w:rsidRDefault="008A414A" w:rsidP="00DE18E1">
            <w:pPr>
              <w:spacing w:before="60" w:after="60"/>
              <w:jc w:val="center"/>
              <w:rPr>
                <w:b/>
                <w:bCs/>
                <w:noProof/>
              </w:rPr>
            </w:pPr>
            <w:r>
              <w:rPr>
                <w:b/>
                <w:noProof/>
              </w:rPr>
              <w:t>Peruutuksen syyt</w:t>
            </w:r>
          </w:p>
        </w:tc>
      </w:tr>
      <w:tr w:rsidR="008C139E" w:rsidRPr="007716D3" w14:paraId="1BBA7228" w14:textId="77777777" w:rsidTr="002E78DB">
        <w:trPr>
          <w:cantSplit/>
        </w:trPr>
        <w:tc>
          <w:tcPr>
            <w:tcW w:w="14034" w:type="dxa"/>
            <w:gridSpan w:val="4"/>
            <w:shd w:val="clear" w:color="auto" w:fill="0046FF"/>
            <w:tcMar>
              <w:top w:w="85" w:type="dxa"/>
              <w:bottom w:w="85" w:type="dxa"/>
              <w:right w:w="108" w:type="dxa"/>
            </w:tcMar>
          </w:tcPr>
          <w:p w14:paraId="7F091D6A" w14:textId="77777777" w:rsidR="008A414A" w:rsidRPr="007716D3" w:rsidRDefault="008A414A" w:rsidP="00DE18E1">
            <w:pPr>
              <w:spacing w:before="60" w:after="60"/>
              <w:jc w:val="both"/>
              <w:rPr>
                <w:noProof/>
              </w:rPr>
            </w:pPr>
            <w:r>
              <w:rPr>
                <w:b/>
                <w:noProof/>
                <w:color w:val="FFFFFF"/>
              </w:rPr>
              <w:t>Uusi suunnitelma Euroopan kestävän vaurauden ja kilpailukyvyn varmistamiseksi</w:t>
            </w:r>
          </w:p>
        </w:tc>
      </w:tr>
      <w:tr w:rsidR="008C139E" w:rsidRPr="007716D3" w14:paraId="34BAA5D2" w14:textId="77777777" w:rsidTr="002E78DB">
        <w:trPr>
          <w:cantSplit/>
        </w:trPr>
        <w:tc>
          <w:tcPr>
            <w:tcW w:w="567" w:type="dxa"/>
            <w:tcBorders>
              <w:right w:val="nil"/>
            </w:tcBorders>
            <w:shd w:val="clear" w:color="auto" w:fill="auto"/>
            <w:tcMar>
              <w:top w:w="85" w:type="dxa"/>
              <w:bottom w:w="85" w:type="dxa"/>
              <w:right w:w="108" w:type="dxa"/>
            </w:tcMar>
          </w:tcPr>
          <w:p w14:paraId="5ABA2BBE"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332CEF3E" w14:textId="77777777" w:rsidR="008A414A" w:rsidRPr="007F6CD9" w:rsidRDefault="008A414A" w:rsidP="00903CD5">
            <w:pPr>
              <w:rPr>
                <w:noProof/>
              </w:rPr>
            </w:pPr>
            <w:r>
              <w:rPr>
                <w:noProof/>
              </w:rPr>
              <w:t>COM(2011) 714 final</w:t>
            </w:r>
            <w:r>
              <w:rPr>
                <w:noProof/>
              </w:rPr>
              <w:br/>
              <w:t>2011/0314 (CNS)</w:t>
            </w:r>
          </w:p>
        </w:tc>
        <w:tc>
          <w:tcPr>
            <w:tcW w:w="6622" w:type="dxa"/>
            <w:shd w:val="clear" w:color="auto" w:fill="auto"/>
            <w:tcMar>
              <w:top w:w="85" w:type="dxa"/>
              <w:bottom w:w="85" w:type="dxa"/>
              <w:right w:w="108" w:type="dxa"/>
            </w:tcMar>
          </w:tcPr>
          <w:p w14:paraId="5DE2E17B" w14:textId="77777777" w:rsidR="008A414A" w:rsidRPr="007F6CD9" w:rsidRDefault="008A414A" w:rsidP="00903CD5">
            <w:pPr>
              <w:jc w:val="both"/>
              <w:rPr>
                <w:noProof/>
              </w:rPr>
            </w:pPr>
            <w:r>
              <w:rPr>
                <w:noProof/>
              </w:rPr>
              <w:t>Ehdotus NEUVOSTON DIREKTIIVIKSI eri jäsenvaltioissa sijaitsevien lähiyhtiöiden välisiin korko- ja rojaltimaksuihin sovellettavasta yhteisestä verotusjärjestelmästä</w:t>
            </w:r>
          </w:p>
        </w:tc>
        <w:tc>
          <w:tcPr>
            <w:tcW w:w="4668" w:type="dxa"/>
            <w:tcMar>
              <w:top w:w="85" w:type="dxa"/>
              <w:bottom w:w="85" w:type="dxa"/>
              <w:right w:w="108" w:type="dxa"/>
            </w:tcMar>
          </w:tcPr>
          <w:p w14:paraId="63F12238" w14:textId="3AB53F4E" w:rsidR="008A414A" w:rsidRDefault="008A414A" w:rsidP="00903CD5">
            <w:pPr>
              <w:jc w:val="both"/>
              <w:rPr>
                <w:noProof/>
              </w:rPr>
            </w:pPr>
            <w:r>
              <w:rPr>
                <w:noProof/>
              </w:rPr>
              <w:t>Vanhentunut – ehdotuksen soveltamisala on osittain sama kuin direktiivillä, jolla pannaan täytäntöön OECD:n pilariin 2 sisältyvä yhtiöverotuksen vähimmäistaso. Jäljellä olevia ongelmia, joita ehdotuksella oli tarkoitus ratkaista, käsitellään tulevassa omnibus-säädöksessä osana yksinkertaistamisprosessia.</w:t>
            </w:r>
          </w:p>
        </w:tc>
      </w:tr>
      <w:tr w:rsidR="008C139E" w:rsidRPr="007716D3" w14:paraId="762A0139" w14:textId="77777777" w:rsidTr="002E78DB">
        <w:trPr>
          <w:cantSplit/>
        </w:trPr>
        <w:tc>
          <w:tcPr>
            <w:tcW w:w="567" w:type="dxa"/>
            <w:tcBorders>
              <w:right w:val="nil"/>
            </w:tcBorders>
            <w:shd w:val="clear" w:color="auto" w:fill="auto"/>
            <w:tcMar>
              <w:top w:w="85" w:type="dxa"/>
              <w:bottom w:w="85" w:type="dxa"/>
              <w:right w:w="108" w:type="dxa"/>
            </w:tcMar>
          </w:tcPr>
          <w:p w14:paraId="77783D35"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AD104E0" w14:textId="77777777" w:rsidR="008A414A" w:rsidRPr="007716D3" w:rsidRDefault="008A414A" w:rsidP="00903CD5">
            <w:pPr>
              <w:rPr>
                <w:noProof/>
              </w:rPr>
            </w:pPr>
            <w:r>
              <w:rPr>
                <w:noProof/>
              </w:rPr>
              <w:t>COM(2011) 827 final</w:t>
            </w:r>
            <w:r>
              <w:rPr>
                <w:noProof/>
              </w:rPr>
              <w:br/>
              <w:t>2011/0391 (COD)</w:t>
            </w:r>
          </w:p>
        </w:tc>
        <w:tc>
          <w:tcPr>
            <w:tcW w:w="6622" w:type="dxa"/>
            <w:shd w:val="clear" w:color="auto" w:fill="auto"/>
            <w:tcMar>
              <w:top w:w="85" w:type="dxa"/>
              <w:bottom w:w="85" w:type="dxa"/>
              <w:right w:w="108" w:type="dxa"/>
            </w:tcMar>
          </w:tcPr>
          <w:p w14:paraId="7BA17318" w14:textId="2BBF23AF" w:rsidR="008A414A" w:rsidRPr="007716D3" w:rsidRDefault="008A414A" w:rsidP="00903CD5">
            <w:pPr>
              <w:jc w:val="both"/>
              <w:rPr>
                <w:noProof/>
              </w:rPr>
            </w:pPr>
            <w:r>
              <w:rPr>
                <w:noProof/>
              </w:rPr>
              <w:t>Ehdotus EUROOPAN PARLAMENTIN JA NEUVOSTON ASETUKSEKSI lähtö- ja saapumisaikojen jakamista Euroopan unionin lentoasemilla koskevista yhteisistä säännöistä</w:t>
            </w:r>
          </w:p>
        </w:tc>
        <w:tc>
          <w:tcPr>
            <w:tcW w:w="4668" w:type="dxa"/>
            <w:tcMar>
              <w:top w:w="85" w:type="dxa"/>
              <w:bottom w:w="85" w:type="dxa"/>
              <w:right w:w="108" w:type="dxa"/>
            </w:tcMar>
          </w:tcPr>
          <w:p w14:paraId="7BC95760" w14:textId="77777777" w:rsidR="008A414A" w:rsidRPr="007716D3" w:rsidRDefault="008A414A" w:rsidP="00903CD5">
            <w:pPr>
              <w:jc w:val="both"/>
              <w:rPr>
                <w:noProof/>
              </w:rPr>
            </w:pPr>
            <w:r>
              <w:rPr>
                <w:noProof/>
              </w:rPr>
              <w:t>Vanhentunut – ehdotus on nyttemmin vanhentunut. Komissio on käynnistänyt toimivuustarkastuksen ja päättää havaintojensa perusteella jatkotoimista.</w:t>
            </w:r>
          </w:p>
        </w:tc>
      </w:tr>
      <w:tr w:rsidR="008C139E" w:rsidRPr="007716D3" w14:paraId="491EFF2A" w14:textId="77777777" w:rsidTr="002E78DB">
        <w:trPr>
          <w:cantSplit/>
        </w:trPr>
        <w:tc>
          <w:tcPr>
            <w:tcW w:w="567" w:type="dxa"/>
            <w:tcBorders>
              <w:right w:val="nil"/>
            </w:tcBorders>
            <w:shd w:val="clear" w:color="auto" w:fill="auto"/>
            <w:tcMar>
              <w:top w:w="85" w:type="dxa"/>
              <w:bottom w:w="85" w:type="dxa"/>
              <w:right w:w="108" w:type="dxa"/>
            </w:tcMar>
          </w:tcPr>
          <w:p w14:paraId="447DD195"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9DE0DEF" w14:textId="77777777" w:rsidR="008A414A" w:rsidRPr="007716D3" w:rsidRDefault="008A414A" w:rsidP="00903CD5">
            <w:pPr>
              <w:rPr>
                <w:noProof/>
              </w:rPr>
            </w:pPr>
            <w:r>
              <w:rPr>
                <w:noProof/>
              </w:rPr>
              <w:t>COM(2012) 336 final</w:t>
            </w:r>
            <w:r>
              <w:rPr>
                <w:noProof/>
              </w:rPr>
              <w:br/>
              <w:t>2012/0164 (APP)</w:t>
            </w:r>
          </w:p>
        </w:tc>
        <w:tc>
          <w:tcPr>
            <w:tcW w:w="6622" w:type="dxa"/>
            <w:shd w:val="clear" w:color="auto" w:fill="auto"/>
            <w:tcMar>
              <w:top w:w="85" w:type="dxa"/>
              <w:bottom w:w="85" w:type="dxa"/>
              <w:right w:w="108" w:type="dxa"/>
            </w:tcMar>
          </w:tcPr>
          <w:p w14:paraId="46C94445" w14:textId="26060B79" w:rsidR="008A414A" w:rsidRPr="007716D3" w:rsidRDefault="008A414A" w:rsidP="00903CD5">
            <w:pPr>
              <w:jc w:val="both"/>
              <w:rPr>
                <w:noProof/>
              </w:rPr>
            </w:pPr>
            <w:r>
              <w:rPr>
                <w:noProof/>
              </w:rPr>
              <w:t>Ehdotus NEUVOSTON ASETUKSEKSI järjestelystä rahoitustuen myöntämiseksi jäsenvaltioille, joiden rahayksikkö ei ole euro</w:t>
            </w:r>
          </w:p>
        </w:tc>
        <w:tc>
          <w:tcPr>
            <w:tcW w:w="4668" w:type="dxa"/>
            <w:tcMar>
              <w:top w:w="85" w:type="dxa"/>
              <w:bottom w:w="85" w:type="dxa"/>
              <w:right w:w="108" w:type="dxa"/>
            </w:tcMar>
          </w:tcPr>
          <w:p w14:paraId="324CD89E" w14:textId="77777777" w:rsidR="008A414A" w:rsidRPr="007716D3" w:rsidRDefault="008A414A" w:rsidP="00903CD5">
            <w:pPr>
              <w:jc w:val="both"/>
              <w:rPr>
                <w:noProof/>
              </w:rPr>
            </w:pPr>
            <w:r>
              <w:rPr>
                <w:noProof/>
              </w:rPr>
              <w:t>Vanhentunut – ehdotus on päivitettävä muun muassa maksutasejärjestelyn rahoitussääntöjen osalta, ja siinä on otettava huomioon viimeaikaisista kriiseistä saadut kokemukset sekä vuoden 2009 jälkeen toteutunut institutionaalinen, taloudellinen ja rahoitussektorin kehitys ja sen mahdolliset vaikutukset järjestelyn muotoiluun ja täytäntöönpanoon 27. maaliskuuta 2024 annettujen neuvoston päätelmien mukaisesti.</w:t>
            </w:r>
          </w:p>
        </w:tc>
      </w:tr>
      <w:tr w:rsidR="008C139E" w:rsidRPr="007716D3" w14:paraId="5ED0930C" w14:textId="77777777" w:rsidTr="002E78DB">
        <w:trPr>
          <w:cantSplit/>
          <w:trHeight w:val="1041"/>
        </w:trPr>
        <w:tc>
          <w:tcPr>
            <w:tcW w:w="567" w:type="dxa"/>
            <w:tcBorders>
              <w:right w:val="nil"/>
            </w:tcBorders>
            <w:shd w:val="clear" w:color="auto" w:fill="auto"/>
            <w:tcMar>
              <w:top w:w="85" w:type="dxa"/>
              <w:bottom w:w="85" w:type="dxa"/>
              <w:right w:w="108" w:type="dxa"/>
            </w:tcMar>
          </w:tcPr>
          <w:p w14:paraId="6D0D32EC" w14:textId="77777777" w:rsidR="00F023AA" w:rsidRPr="0017125B" w:rsidRDefault="00F023AA" w:rsidP="00F023AA">
            <w:pPr>
              <w:numPr>
                <w:ilvl w:val="0"/>
                <w:numId w:val="2"/>
              </w:numPr>
              <w:ind w:left="426"/>
              <w:contextualSpacing/>
              <w:jc w:val="both"/>
              <w:rPr>
                <w:noProof/>
              </w:rPr>
            </w:pPr>
          </w:p>
        </w:tc>
        <w:tc>
          <w:tcPr>
            <w:tcW w:w="2177" w:type="dxa"/>
            <w:tcMar>
              <w:top w:w="85" w:type="dxa"/>
              <w:bottom w:w="85" w:type="dxa"/>
              <w:right w:w="108" w:type="dxa"/>
            </w:tcMar>
          </w:tcPr>
          <w:p w14:paraId="2E677C06" w14:textId="7D0A1941" w:rsidR="00F023AA" w:rsidRPr="007716D3" w:rsidRDefault="00F023AA" w:rsidP="00F023AA">
            <w:pPr>
              <w:rPr>
                <w:noProof/>
              </w:rPr>
            </w:pPr>
            <w:r>
              <w:rPr>
                <w:noProof/>
              </w:rPr>
              <w:t>COM(2015) 603 final</w:t>
            </w:r>
            <w:r>
              <w:rPr>
                <w:noProof/>
              </w:rPr>
              <w:br/>
              <w:t>2015/0250 (NLE)</w:t>
            </w:r>
          </w:p>
        </w:tc>
        <w:tc>
          <w:tcPr>
            <w:tcW w:w="6622" w:type="dxa"/>
            <w:shd w:val="clear" w:color="auto" w:fill="auto"/>
            <w:tcMar>
              <w:top w:w="85" w:type="dxa"/>
              <w:bottom w:w="85" w:type="dxa"/>
              <w:right w:w="108" w:type="dxa"/>
            </w:tcMar>
          </w:tcPr>
          <w:p w14:paraId="530DC86C" w14:textId="0777CDA6" w:rsidR="00F023AA" w:rsidRPr="007716D3" w:rsidRDefault="00F023AA" w:rsidP="00F023AA">
            <w:pPr>
              <w:jc w:val="both"/>
              <w:rPr>
                <w:noProof/>
              </w:rPr>
            </w:pPr>
            <w:r>
              <w:rPr>
                <w:noProof/>
              </w:rPr>
              <w:t>Ehdotus NEUVOSTON PÄÄTÖKSEKSI toimenpiteistä euroalueen yhtenäisen edustuksen asteittaiseksi aikaansaamiseksi Kansainvälisessä valuuttarahastossa</w:t>
            </w:r>
          </w:p>
        </w:tc>
        <w:tc>
          <w:tcPr>
            <w:tcW w:w="4668" w:type="dxa"/>
            <w:tcMar>
              <w:top w:w="85" w:type="dxa"/>
              <w:bottom w:w="85" w:type="dxa"/>
              <w:right w:w="108" w:type="dxa"/>
            </w:tcMar>
          </w:tcPr>
          <w:p w14:paraId="52CEB3B2" w14:textId="1A1916AC" w:rsidR="00F023AA" w:rsidRPr="007716D3" w:rsidRDefault="00F023AA" w:rsidP="00F023AA">
            <w:pPr>
              <w:jc w:val="both"/>
              <w:rPr>
                <w:noProof/>
              </w:rPr>
            </w:pPr>
            <w:r>
              <w:rPr>
                <w:noProof/>
              </w:rPr>
              <w:t>Yhteisymmärrystä ei näköpiirissä – Euroopan taloudellista ja rahoituksellista suvereniteettia koskevien keskustelujen yhteydessä komissio arvioi, tulisiko esittää uusi ehdotus vai valita toisenlainen tulokulma.</w:t>
            </w:r>
          </w:p>
        </w:tc>
      </w:tr>
      <w:tr w:rsidR="008C139E" w:rsidRPr="007716D3" w14:paraId="4FFE0894" w14:textId="77777777" w:rsidTr="002E78DB">
        <w:trPr>
          <w:cantSplit/>
        </w:trPr>
        <w:tc>
          <w:tcPr>
            <w:tcW w:w="567" w:type="dxa"/>
            <w:tcBorders>
              <w:right w:val="nil"/>
            </w:tcBorders>
            <w:shd w:val="clear" w:color="auto" w:fill="auto"/>
            <w:tcMar>
              <w:top w:w="85" w:type="dxa"/>
              <w:bottom w:w="85" w:type="dxa"/>
              <w:right w:w="108" w:type="dxa"/>
            </w:tcMar>
          </w:tcPr>
          <w:p w14:paraId="1E0C21F3"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27F205F" w14:textId="77777777" w:rsidR="008A414A" w:rsidRPr="007716D3" w:rsidRDefault="008A414A" w:rsidP="00903CD5">
            <w:pPr>
              <w:rPr>
                <w:noProof/>
              </w:rPr>
            </w:pPr>
            <w:r>
              <w:rPr>
                <w:noProof/>
              </w:rPr>
              <w:t>COM(2017) 276 final</w:t>
            </w:r>
            <w:r>
              <w:rPr>
                <w:noProof/>
              </w:rPr>
              <w:br/>
              <w:t>2017/0115 (CNS)</w:t>
            </w:r>
          </w:p>
        </w:tc>
        <w:tc>
          <w:tcPr>
            <w:tcW w:w="6622" w:type="dxa"/>
            <w:shd w:val="clear" w:color="auto" w:fill="auto"/>
            <w:tcMar>
              <w:top w:w="85" w:type="dxa"/>
              <w:bottom w:w="85" w:type="dxa"/>
              <w:right w:w="108" w:type="dxa"/>
            </w:tcMar>
          </w:tcPr>
          <w:p w14:paraId="7209C615" w14:textId="77777777" w:rsidR="008A414A" w:rsidRPr="007716D3" w:rsidRDefault="008A414A" w:rsidP="00903CD5">
            <w:pPr>
              <w:jc w:val="both"/>
              <w:rPr>
                <w:noProof/>
              </w:rPr>
            </w:pPr>
            <w:r>
              <w:rPr>
                <w:noProof/>
              </w:rPr>
              <w:t>Ehdotus NEUVOSTON DIREKTIIVIKSI verojen ja maksujen kantamisesta raskailta tavaraliikenteen ajoneuvoilta tiettyjen infrastruktuurien käytöstä annetun direktiivin 1999/62/EY muuttamisesta tiettyjen ajoneuvoveroa koskevien säännösten osalta</w:t>
            </w:r>
          </w:p>
        </w:tc>
        <w:tc>
          <w:tcPr>
            <w:tcW w:w="4668" w:type="dxa"/>
            <w:tcMar>
              <w:top w:w="85" w:type="dxa"/>
              <w:bottom w:w="85" w:type="dxa"/>
              <w:right w:w="108" w:type="dxa"/>
            </w:tcMar>
          </w:tcPr>
          <w:p w14:paraId="7C011135" w14:textId="77777777" w:rsidR="008A414A" w:rsidRPr="007716D3" w:rsidRDefault="008A414A" w:rsidP="00903CD5">
            <w:pPr>
              <w:jc w:val="both"/>
              <w:rPr>
                <w:noProof/>
              </w:rPr>
            </w:pPr>
            <w:r>
              <w:rPr>
                <w:noProof/>
              </w:rPr>
              <w:t>Yhteisymmärrystä ei näköpiirissä – ehdotus on jumiutunut eikä ole näköpiirissä, että siitä voitaisiin sopia.</w:t>
            </w:r>
          </w:p>
        </w:tc>
      </w:tr>
      <w:tr w:rsidR="008C139E" w:rsidRPr="007716D3" w14:paraId="648179E1" w14:textId="77777777" w:rsidTr="002E78DB">
        <w:trPr>
          <w:cantSplit/>
        </w:trPr>
        <w:tc>
          <w:tcPr>
            <w:tcW w:w="567" w:type="dxa"/>
            <w:tcBorders>
              <w:right w:val="nil"/>
            </w:tcBorders>
            <w:shd w:val="clear" w:color="auto" w:fill="auto"/>
            <w:tcMar>
              <w:top w:w="85" w:type="dxa"/>
              <w:bottom w:w="85" w:type="dxa"/>
              <w:right w:w="108" w:type="dxa"/>
            </w:tcMar>
          </w:tcPr>
          <w:p w14:paraId="5F9BE603"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7AD3EF88" w14:textId="77777777" w:rsidR="008A414A" w:rsidRPr="007716D3" w:rsidRDefault="008A414A" w:rsidP="00903CD5">
            <w:pPr>
              <w:rPr>
                <w:noProof/>
              </w:rPr>
            </w:pPr>
            <w:r>
              <w:rPr>
                <w:noProof/>
              </w:rPr>
              <w:t>COM(2017) 647 final</w:t>
            </w:r>
            <w:r>
              <w:rPr>
                <w:noProof/>
              </w:rPr>
              <w:br/>
              <w:t>2017/0288 (COD)</w:t>
            </w:r>
          </w:p>
        </w:tc>
        <w:tc>
          <w:tcPr>
            <w:tcW w:w="6622" w:type="dxa"/>
            <w:shd w:val="clear" w:color="auto" w:fill="auto"/>
            <w:tcMar>
              <w:top w:w="85" w:type="dxa"/>
              <w:bottom w:w="85" w:type="dxa"/>
              <w:right w:w="108" w:type="dxa"/>
            </w:tcMar>
          </w:tcPr>
          <w:p w14:paraId="2F992A92" w14:textId="77777777" w:rsidR="008A414A" w:rsidRPr="007716D3" w:rsidRDefault="008A414A" w:rsidP="00903CD5">
            <w:pPr>
              <w:jc w:val="both"/>
              <w:rPr>
                <w:noProof/>
              </w:rPr>
            </w:pPr>
            <w:r>
              <w:rPr>
                <w:noProof/>
              </w:rPr>
              <w:t>Ehdotus EUROOPAN PARLAMENTIN JA NEUVOSTON ASETUKSEKSI kansainvälisen linja-autoliikenteen markkinoille pääsyä koskevista yhteisistä säännöistä annetun asetuksen (EY) N:o 1073/2009 muuttamisesta</w:t>
            </w:r>
          </w:p>
        </w:tc>
        <w:tc>
          <w:tcPr>
            <w:tcW w:w="4668" w:type="dxa"/>
            <w:tcMar>
              <w:top w:w="85" w:type="dxa"/>
              <w:bottom w:w="85" w:type="dxa"/>
              <w:right w:w="108" w:type="dxa"/>
            </w:tcMar>
          </w:tcPr>
          <w:p w14:paraId="2202E7C0" w14:textId="77777777" w:rsidR="008A414A" w:rsidRPr="007716D3" w:rsidRDefault="008A414A" w:rsidP="00903CD5">
            <w:pPr>
              <w:jc w:val="both"/>
              <w:rPr>
                <w:noProof/>
              </w:rPr>
            </w:pPr>
            <w:r>
              <w:rPr>
                <w:noProof/>
              </w:rPr>
              <w:t>Yhteisymmärrystä ei näköpiirissä – ehdotusta ei ole otettu neuvostossa käsittelyyn, ja se on nyttemmin vanhentunut.</w:t>
            </w:r>
          </w:p>
        </w:tc>
      </w:tr>
      <w:tr w:rsidR="008C139E" w:rsidRPr="007716D3" w14:paraId="039DDEAA" w14:textId="77777777" w:rsidTr="002E78DB">
        <w:trPr>
          <w:cantSplit/>
          <w:trHeight w:val="938"/>
        </w:trPr>
        <w:tc>
          <w:tcPr>
            <w:tcW w:w="567" w:type="dxa"/>
            <w:tcBorders>
              <w:right w:val="nil"/>
            </w:tcBorders>
            <w:shd w:val="clear" w:color="auto" w:fill="auto"/>
            <w:tcMar>
              <w:top w:w="85" w:type="dxa"/>
              <w:bottom w:w="85" w:type="dxa"/>
              <w:right w:w="108" w:type="dxa"/>
            </w:tcMar>
          </w:tcPr>
          <w:p w14:paraId="562D915E"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D2E9AD1" w14:textId="77777777" w:rsidR="008A414A" w:rsidRPr="007716D3" w:rsidRDefault="008A414A" w:rsidP="00903CD5">
            <w:pPr>
              <w:rPr>
                <w:noProof/>
              </w:rPr>
            </w:pPr>
            <w:r>
              <w:rPr>
                <w:noProof/>
              </w:rPr>
              <w:t>COM(2017) 827 final</w:t>
            </w:r>
            <w:r>
              <w:rPr>
                <w:noProof/>
              </w:rPr>
              <w:br/>
              <w:t>2017/0333 (APP)</w:t>
            </w:r>
          </w:p>
        </w:tc>
        <w:tc>
          <w:tcPr>
            <w:tcW w:w="6622" w:type="dxa"/>
            <w:shd w:val="clear" w:color="auto" w:fill="auto"/>
            <w:tcMar>
              <w:top w:w="85" w:type="dxa"/>
              <w:bottom w:w="85" w:type="dxa"/>
              <w:right w:w="108" w:type="dxa"/>
            </w:tcMar>
          </w:tcPr>
          <w:p w14:paraId="6FF60B54" w14:textId="77777777" w:rsidR="008A414A" w:rsidRPr="007716D3" w:rsidRDefault="008A414A" w:rsidP="00903CD5">
            <w:pPr>
              <w:jc w:val="both"/>
              <w:rPr>
                <w:noProof/>
              </w:rPr>
            </w:pPr>
            <w:r>
              <w:rPr>
                <w:noProof/>
              </w:rPr>
              <w:t>Ehdotus NEUVOSTON ASETUKSEKSI Euroopan valuuttarahaston perustamisesta</w:t>
            </w:r>
          </w:p>
        </w:tc>
        <w:tc>
          <w:tcPr>
            <w:tcW w:w="4668" w:type="dxa"/>
            <w:tcMar>
              <w:top w:w="85" w:type="dxa"/>
              <w:bottom w:w="85" w:type="dxa"/>
              <w:right w:w="108" w:type="dxa"/>
            </w:tcMar>
          </w:tcPr>
          <w:p w14:paraId="4D1D99B0" w14:textId="77777777" w:rsidR="008A414A" w:rsidRPr="007716D3" w:rsidRDefault="008A414A" w:rsidP="00903CD5">
            <w:pPr>
              <w:jc w:val="both"/>
              <w:rPr>
                <w:noProof/>
              </w:rPr>
            </w:pPr>
            <w:r>
              <w:rPr>
                <w:noProof/>
              </w:rPr>
              <w:t xml:space="preserve">Yhteisymmärrystä ei näköpiirissä – monet aloitteessa ehdotetuista muutoksista on sisällytetty Euroopan vakausmekanismista tehdyn sopimuksen erilliseen tarkistukseen. </w:t>
            </w:r>
          </w:p>
        </w:tc>
      </w:tr>
      <w:tr w:rsidR="008C139E" w:rsidRPr="007716D3" w14:paraId="213FEF67" w14:textId="77777777" w:rsidTr="002E78DB">
        <w:trPr>
          <w:cantSplit/>
          <w:trHeight w:val="401"/>
        </w:trPr>
        <w:tc>
          <w:tcPr>
            <w:tcW w:w="567" w:type="dxa"/>
            <w:tcBorders>
              <w:right w:val="nil"/>
            </w:tcBorders>
            <w:shd w:val="clear" w:color="auto" w:fill="auto"/>
            <w:tcMar>
              <w:top w:w="85" w:type="dxa"/>
              <w:bottom w:w="85" w:type="dxa"/>
              <w:right w:w="108" w:type="dxa"/>
            </w:tcMar>
          </w:tcPr>
          <w:p w14:paraId="5A73DE8C"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A2D82F1" w14:textId="77777777" w:rsidR="008A414A" w:rsidRPr="007716D3" w:rsidRDefault="008A414A" w:rsidP="00903CD5">
            <w:pPr>
              <w:rPr>
                <w:noProof/>
              </w:rPr>
            </w:pPr>
            <w:r>
              <w:rPr>
                <w:noProof/>
              </w:rPr>
              <w:t>COM(2018) 135 final</w:t>
            </w:r>
            <w:r>
              <w:rPr>
                <w:noProof/>
              </w:rPr>
              <w:br/>
              <w:t>2018/0063B (COD)</w:t>
            </w:r>
          </w:p>
        </w:tc>
        <w:tc>
          <w:tcPr>
            <w:tcW w:w="6622" w:type="dxa"/>
            <w:shd w:val="clear" w:color="auto" w:fill="auto"/>
            <w:tcMar>
              <w:top w:w="85" w:type="dxa"/>
              <w:bottom w:w="85" w:type="dxa"/>
              <w:right w:w="108" w:type="dxa"/>
            </w:tcMar>
          </w:tcPr>
          <w:p w14:paraId="2F05287A" w14:textId="77777777" w:rsidR="008A414A" w:rsidRPr="007716D3" w:rsidRDefault="008A414A" w:rsidP="00903CD5">
            <w:pPr>
              <w:jc w:val="both"/>
              <w:rPr>
                <w:noProof/>
              </w:rPr>
            </w:pPr>
            <w:r>
              <w:rPr>
                <w:noProof/>
              </w:rPr>
              <w:t>Ehdotus EUROOPAN PARLAMENTIN JA NEUVOSTON DIREKTIIVIKSI luotonhallinnoijista, luotonostajista ja vakuuksien realisoimisesta</w:t>
            </w:r>
          </w:p>
        </w:tc>
        <w:tc>
          <w:tcPr>
            <w:tcW w:w="4668" w:type="dxa"/>
            <w:tcMar>
              <w:top w:w="85" w:type="dxa"/>
              <w:bottom w:w="85" w:type="dxa"/>
              <w:right w:w="108" w:type="dxa"/>
            </w:tcMar>
          </w:tcPr>
          <w:p w14:paraId="73EE8A63" w14:textId="77777777" w:rsidR="008A414A" w:rsidRPr="007716D3" w:rsidRDefault="008A414A" w:rsidP="00903CD5">
            <w:pPr>
              <w:jc w:val="both"/>
              <w:rPr>
                <w:noProof/>
              </w:rPr>
            </w:pPr>
            <w:r>
              <w:rPr>
                <w:noProof/>
              </w:rPr>
              <w:t>Yhteisymmärrystä ei näköpiirissä – ehdotus on jumiutunut, ja sen eteneminen on epätodennäköistä.</w:t>
            </w:r>
          </w:p>
        </w:tc>
      </w:tr>
      <w:tr w:rsidR="008C139E" w:rsidRPr="007716D3" w14:paraId="24E334E8" w14:textId="77777777" w:rsidTr="002E78DB">
        <w:trPr>
          <w:cantSplit/>
          <w:trHeight w:val="493"/>
        </w:trPr>
        <w:tc>
          <w:tcPr>
            <w:tcW w:w="567" w:type="dxa"/>
            <w:tcBorders>
              <w:right w:val="nil"/>
            </w:tcBorders>
            <w:shd w:val="clear" w:color="auto" w:fill="auto"/>
            <w:tcMar>
              <w:top w:w="85" w:type="dxa"/>
              <w:bottom w:w="85" w:type="dxa"/>
              <w:right w:w="108" w:type="dxa"/>
            </w:tcMar>
          </w:tcPr>
          <w:p w14:paraId="10669FC8" w14:textId="77777777" w:rsidR="00A56760" w:rsidRPr="0017125B"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4C0C85E9" w14:textId="498CD0C8" w:rsidR="00A56760" w:rsidRPr="007F6CD9" w:rsidRDefault="00A56760" w:rsidP="00A56760">
            <w:pPr>
              <w:rPr>
                <w:noProof/>
              </w:rPr>
            </w:pPr>
            <w:r>
              <w:rPr>
                <w:noProof/>
              </w:rPr>
              <w:t xml:space="preserve">COM(2018) 329 final </w:t>
            </w:r>
            <w:r>
              <w:rPr>
                <w:noProof/>
              </w:rPr>
              <w:br/>
              <w:t>2018/0164 (CNS)</w:t>
            </w:r>
          </w:p>
        </w:tc>
        <w:tc>
          <w:tcPr>
            <w:tcW w:w="6622" w:type="dxa"/>
            <w:shd w:val="clear" w:color="auto" w:fill="auto"/>
            <w:tcMar>
              <w:top w:w="85" w:type="dxa"/>
              <w:bottom w:w="85" w:type="dxa"/>
              <w:right w:w="108" w:type="dxa"/>
            </w:tcMar>
          </w:tcPr>
          <w:p w14:paraId="177A15B6" w14:textId="3A32765A" w:rsidR="00A56760" w:rsidRPr="00420869" w:rsidRDefault="00A56760" w:rsidP="00A56760">
            <w:pPr>
              <w:jc w:val="both"/>
              <w:rPr>
                <w:noProof/>
              </w:rPr>
            </w:pPr>
            <w:r>
              <w:rPr>
                <w:noProof/>
              </w:rPr>
              <w:t>Ehdotus NEUVOSTON DIREKTIIVIKSI direktiivin 2006/112/EY muuttamisesta jäsenvaltioiden välisen kaupan verotuksessa sovellettavan lopullisen arvonlisäverojärjestelmän toimintaa koskevien yksityiskohtaisten teknisten toimenpiteiden käyttöönoton osalta</w:t>
            </w:r>
          </w:p>
        </w:tc>
        <w:tc>
          <w:tcPr>
            <w:tcW w:w="4668" w:type="dxa"/>
            <w:tcMar>
              <w:top w:w="85" w:type="dxa"/>
              <w:bottom w:w="85" w:type="dxa"/>
              <w:right w:w="108" w:type="dxa"/>
            </w:tcMar>
          </w:tcPr>
          <w:p w14:paraId="419FA755" w14:textId="3CF3318A" w:rsidR="00A56760" w:rsidRDefault="00A56760" w:rsidP="00A56760">
            <w:pPr>
              <w:jc w:val="both"/>
              <w:rPr>
                <w:noProof/>
              </w:rPr>
            </w:pPr>
            <w:r>
              <w:rPr>
                <w:noProof/>
              </w:rPr>
              <w:t>Yhteisymmärrystä ei näköpiirissä – käsittely on ollut keskeytyneenä vuodesta 2019, ja eteneminen on epätodennäköistä.</w:t>
            </w:r>
          </w:p>
        </w:tc>
      </w:tr>
      <w:tr w:rsidR="008C139E" w:rsidRPr="007716D3" w14:paraId="35AB6BDD" w14:textId="77777777" w:rsidTr="002E78DB">
        <w:trPr>
          <w:cantSplit/>
          <w:trHeight w:val="420"/>
        </w:trPr>
        <w:tc>
          <w:tcPr>
            <w:tcW w:w="567" w:type="dxa"/>
            <w:tcBorders>
              <w:right w:val="nil"/>
            </w:tcBorders>
            <w:shd w:val="clear" w:color="auto" w:fill="auto"/>
            <w:tcMar>
              <w:top w:w="85" w:type="dxa"/>
              <w:bottom w:w="85" w:type="dxa"/>
              <w:right w:w="108" w:type="dxa"/>
            </w:tcMar>
          </w:tcPr>
          <w:p w14:paraId="03D52BA0"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23F758E4" w14:textId="77777777" w:rsidR="008A414A" w:rsidRPr="007F6CD9" w:rsidRDefault="008A414A" w:rsidP="00903CD5">
            <w:pPr>
              <w:rPr>
                <w:noProof/>
              </w:rPr>
            </w:pPr>
            <w:r>
              <w:rPr>
                <w:noProof/>
              </w:rPr>
              <w:t xml:space="preserve">COM(2018) 339 final </w:t>
            </w:r>
            <w:r>
              <w:rPr>
                <w:noProof/>
              </w:rPr>
              <w:br/>
              <w:t>2018/0171 (COD)</w:t>
            </w:r>
          </w:p>
        </w:tc>
        <w:tc>
          <w:tcPr>
            <w:tcW w:w="6622" w:type="dxa"/>
            <w:shd w:val="clear" w:color="auto" w:fill="auto"/>
            <w:tcMar>
              <w:top w:w="85" w:type="dxa"/>
              <w:bottom w:w="85" w:type="dxa"/>
              <w:right w:w="108" w:type="dxa"/>
            </w:tcMar>
          </w:tcPr>
          <w:p w14:paraId="6319EC68" w14:textId="77777777" w:rsidR="008A414A" w:rsidRPr="00420869" w:rsidRDefault="008A414A" w:rsidP="00903CD5">
            <w:pPr>
              <w:jc w:val="both"/>
              <w:rPr>
                <w:noProof/>
              </w:rPr>
            </w:pPr>
            <w:r>
              <w:rPr>
                <w:noProof/>
              </w:rPr>
              <w:t>Ehdotus EUROOPAN PARLAMENTIN JA NEUVOSTON ASETUKSEKSI valtionvelkakirjavakuudellisista arvopapereista</w:t>
            </w:r>
          </w:p>
        </w:tc>
        <w:tc>
          <w:tcPr>
            <w:tcW w:w="4668" w:type="dxa"/>
            <w:tcMar>
              <w:top w:w="85" w:type="dxa"/>
              <w:bottom w:w="85" w:type="dxa"/>
              <w:right w:w="108" w:type="dxa"/>
            </w:tcMar>
          </w:tcPr>
          <w:p w14:paraId="748F39DB" w14:textId="77777777" w:rsidR="008A414A" w:rsidRDefault="008A414A" w:rsidP="00903CD5">
            <w:pPr>
              <w:jc w:val="both"/>
              <w:rPr>
                <w:noProof/>
              </w:rPr>
            </w:pPr>
            <w:r>
              <w:rPr>
                <w:noProof/>
              </w:rPr>
              <w:t>Yhteisymmärrystä ei näköpiirissä – ehdotus on jumiutunut, ja sen eteneminen on epätodennäköistä.</w:t>
            </w:r>
          </w:p>
        </w:tc>
      </w:tr>
      <w:tr w:rsidR="008C139E" w:rsidRPr="007716D3" w14:paraId="144729D7" w14:textId="77777777" w:rsidTr="002E78DB">
        <w:trPr>
          <w:cantSplit/>
          <w:trHeight w:val="1041"/>
        </w:trPr>
        <w:tc>
          <w:tcPr>
            <w:tcW w:w="567" w:type="dxa"/>
            <w:tcBorders>
              <w:right w:val="nil"/>
            </w:tcBorders>
            <w:shd w:val="clear" w:color="auto" w:fill="auto"/>
            <w:tcMar>
              <w:top w:w="85" w:type="dxa"/>
              <w:bottom w:w="85" w:type="dxa"/>
              <w:right w:w="108" w:type="dxa"/>
            </w:tcMar>
          </w:tcPr>
          <w:p w14:paraId="0C55C6F1"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51BDD43B" w14:textId="77777777" w:rsidR="008A414A" w:rsidRPr="007F6CD9" w:rsidRDefault="008A414A" w:rsidP="00903CD5">
            <w:pPr>
              <w:rPr>
                <w:noProof/>
              </w:rPr>
            </w:pPr>
            <w:r>
              <w:rPr>
                <w:noProof/>
              </w:rPr>
              <w:t>COM(2018) 387 final</w:t>
            </w:r>
            <w:r>
              <w:rPr>
                <w:noProof/>
              </w:rPr>
              <w:br/>
              <w:t>2018/0212 (COD)</w:t>
            </w:r>
          </w:p>
        </w:tc>
        <w:tc>
          <w:tcPr>
            <w:tcW w:w="6622" w:type="dxa"/>
            <w:shd w:val="clear" w:color="auto" w:fill="auto"/>
            <w:tcMar>
              <w:top w:w="85" w:type="dxa"/>
              <w:bottom w:w="85" w:type="dxa"/>
              <w:right w:w="108" w:type="dxa"/>
            </w:tcMar>
          </w:tcPr>
          <w:p w14:paraId="2AE7C36E" w14:textId="2062E2E0" w:rsidR="008A414A" w:rsidRPr="007F6CD9" w:rsidRDefault="008A414A" w:rsidP="00903CD5">
            <w:pPr>
              <w:jc w:val="both"/>
              <w:rPr>
                <w:noProof/>
              </w:rPr>
            </w:pPr>
            <w:r>
              <w:rPr>
                <w:noProof/>
              </w:rPr>
              <w:t>Ehdotus EUROOPAN PARLAMENTIN JA NEUVOSTON ASETUKSEKSI Euroopan investointien vakautusjärjestelyn perustamisesta</w:t>
            </w:r>
          </w:p>
        </w:tc>
        <w:tc>
          <w:tcPr>
            <w:tcW w:w="4668" w:type="dxa"/>
            <w:tcMar>
              <w:top w:w="85" w:type="dxa"/>
              <w:bottom w:w="85" w:type="dxa"/>
              <w:right w:w="108" w:type="dxa"/>
            </w:tcMar>
          </w:tcPr>
          <w:p w14:paraId="1841181F" w14:textId="77777777" w:rsidR="008A414A" w:rsidRPr="007716D3" w:rsidRDefault="008A414A" w:rsidP="00903CD5">
            <w:pPr>
              <w:jc w:val="both"/>
              <w:rPr>
                <w:noProof/>
              </w:rPr>
            </w:pPr>
            <w:r>
              <w:rPr>
                <w:noProof/>
              </w:rPr>
              <w:t xml:space="preserve">Yhteisymmärrystä ei näköpiirissä – Ehdotus vanhentui, kun Next Generation EU -väline ja elpymis- ja palautumistukiväline tulivat voimaan ja ns. lähentymistä ja kilpailukykyä edistävä talousarvioväline (BICC) helmikuussa 2021 peruttiin. </w:t>
            </w:r>
          </w:p>
        </w:tc>
      </w:tr>
      <w:tr w:rsidR="008C139E" w:rsidRPr="007716D3" w14:paraId="7A160869" w14:textId="77777777" w:rsidTr="002E78DB">
        <w:trPr>
          <w:cantSplit/>
        </w:trPr>
        <w:tc>
          <w:tcPr>
            <w:tcW w:w="567" w:type="dxa"/>
            <w:tcBorders>
              <w:right w:val="nil"/>
            </w:tcBorders>
            <w:shd w:val="clear" w:color="auto" w:fill="auto"/>
            <w:tcMar>
              <w:top w:w="85" w:type="dxa"/>
              <w:bottom w:w="85" w:type="dxa"/>
              <w:right w:w="108" w:type="dxa"/>
            </w:tcMar>
          </w:tcPr>
          <w:p w14:paraId="42B5AE72"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4EF22926" w14:textId="77777777" w:rsidR="008A414A" w:rsidRPr="007716D3" w:rsidRDefault="008A414A" w:rsidP="00903CD5">
            <w:pPr>
              <w:rPr>
                <w:noProof/>
              </w:rPr>
            </w:pPr>
            <w:r>
              <w:rPr>
                <w:noProof/>
              </w:rPr>
              <w:t>COM(2019) 38 final</w:t>
            </w:r>
            <w:r>
              <w:rPr>
                <w:noProof/>
              </w:rPr>
              <w:br/>
              <w:t>2019/0017 (COD)</w:t>
            </w:r>
          </w:p>
        </w:tc>
        <w:tc>
          <w:tcPr>
            <w:tcW w:w="6622" w:type="dxa"/>
            <w:shd w:val="clear" w:color="auto" w:fill="auto"/>
            <w:tcMar>
              <w:top w:w="85" w:type="dxa"/>
              <w:bottom w:w="85" w:type="dxa"/>
              <w:right w:w="108" w:type="dxa"/>
            </w:tcMar>
          </w:tcPr>
          <w:p w14:paraId="3B217990" w14:textId="77777777" w:rsidR="008A414A" w:rsidRPr="007716D3" w:rsidRDefault="008A414A" w:rsidP="00903CD5">
            <w:pPr>
              <w:jc w:val="both"/>
              <w:rPr>
                <w:noProof/>
              </w:rPr>
            </w:pPr>
            <w:r>
              <w:rPr>
                <w:noProof/>
              </w:rPr>
              <w:t>Ehdotus EUROOPAN PARLAMENTIN JA NEUVOSTON ASETUKSEKSI asetuksen (EU) 2015/757 muuttamisesta alusten polttoöljynkulutusta koskevien tietojen maailmanlaajuisen tiedonkeruujärjestelmän huomioon ottamiseksi</w:t>
            </w:r>
          </w:p>
        </w:tc>
        <w:tc>
          <w:tcPr>
            <w:tcW w:w="4668" w:type="dxa"/>
            <w:tcMar>
              <w:top w:w="85" w:type="dxa"/>
              <w:bottom w:w="85" w:type="dxa"/>
              <w:right w:w="108" w:type="dxa"/>
            </w:tcMar>
          </w:tcPr>
          <w:p w14:paraId="0E414C3A" w14:textId="77777777" w:rsidR="008A414A" w:rsidRPr="007716D3" w:rsidRDefault="008A414A" w:rsidP="00903CD5">
            <w:pPr>
              <w:jc w:val="both"/>
              <w:rPr>
                <w:noProof/>
              </w:rPr>
            </w:pPr>
            <w:r>
              <w:rPr>
                <w:noProof/>
              </w:rPr>
              <w:t>Vanhentunut – ehdotukseen sisältyvät muutokset on sisällytetty EU:n päästökauppajärjestelmän viimeisimpään tarkistukseen, joka hyväksyttiin vuonna 2023.</w:t>
            </w:r>
          </w:p>
        </w:tc>
      </w:tr>
      <w:tr w:rsidR="008C139E" w:rsidRPr="007716D3" w14:paraId="534A7D81" w14:textId="77777777" w:rsidTr="002E78DB">
        <w:trPr>
          <w:cantSplit/>
        </w:trPr>
        <w:tc>
          <w:tcPr>
            <w:tcW w:w="567" w:type="dxa"/>
            <w:tcBorders>
              <w:right w:val="nil"/>
            </w:tcBorders>
            <w:shd w:val="clear" w:color="auto" w:fill="auto"/>
            <w:tcMar>
              <w:top w:w="85" w:type="dxa"/>
              <w:bottom w:w="85" w:type="dxa"/>
              <w:right w:w="108" w:type="dxa"/>
            </w:tcMar>
          </w:tcPr>
          <w:p w14:paraId="3A4D9EF4"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4ED7C564" w14:textId="77777777" w:rsidR="008A414A" w:rsidRPr="007716D3" w:rsidRDefault="008A414A" w:rsidP="00903CD5">
            <w:pPr>
              <w:rPr>
                <w:noProof/>
              </w:rPr>
            </w:pPr>
            <w:bookmarkStart w:id="3" w:name="_Hlk182497928"/>
            <w:r>
              <w:rPr>
                <w:noProof/>
              </w:rPr>
              <w:t xml:space="preserve">COM(2020) 49 final </w:t>
            </w:r>
            <w:r>
              <w:rPr>
                <w:noProof/>
              </w:rPr>
              <w:br/>
              <w:t>2020/0022 (CNS)</w:t>
            </w:r>
            <w:bookmarkEnd w:id="3"/>
          </w:p>
        </w:tc>
        <w:tc>
          <w:tcPr>
            <w:tcW w:w="6622" w:type="dxa"/>
            <w:shd w:val="clear" w:color="auto" w:fill="auto"/>
            <w:tcMar>
              <w:top w:w="85" w:type="dxa"/>
              <w:bottom w:w="85" w:type="dxa"/>
              <w:right w:w="108" w:type="dxa"/>
            </w:tcMar>
          </w:tcPr>
          <w:p w14:paraId="4441D4A1" w14:textId="35EF5864" w:rsidR="008A414A" w:rsidRPr="007716D3" w:rsidRDefault="008A414A" w:rsidP="00903CD5">
            <w:pPr>
              <w:jc w:val="both"/>
              <w:rPr>
                <w:noProof/>
              </w:rPr>
            </w:pPr>
            <w:r>
              <w:rPr>
                <w:noProof/>
              </w:rPr>
              <w:t>Ehdotus NEUVOSTON DIREKTIIVIKSI hallinnollisesta yhteistyöstä verotuksen alalla (kodifikaatio)</w:t>
            </w:r>
          </w:p>
        </w:tc>
        <w:tc>
          <w:tcPr>
            <w:tcW w:w="4668" w:type="dxa"/>
            <w:tcMar>
              <w:top w:w="85" w:type="dxa"/>
              <w:bottom w:w="85" w:type="dxa"/>
              <w:right w:w="108" w:type="dxa"/>
            </w:tcMar>
          </w:tcPr>
          <w:p w14:paraId="2C8707FF" w14:textId="77777777" w:rsidR="008A414A" w:rsidRPr="007716D3" w:rsidRDefault="008A414A" w:rsidP="00903CD5">
            <w:pPr>
              <w:jc w:val="both"/>
              <w:rPr>
                <w:noProof/>
              </w:rPr>
            </w:pPr>
            <w:bookmarkStart w:id="4" w:name="_Hlk182497968"/>
            <w:r>
              <w:rPr>
                <w:noProof/>
              </w:rPr>
              <w:t>Vanhentunut – sen jälkeen, kun ehdotus hyväksyttiin vuonna 2020, on hyväksytty useita merkittäviä muutoksia, joiden vuoksi tämä kodifiointiehdotus on vanhentunut. Komissio aikoo tehdä uuden kodifiointiehdotuksen.</w:t>
            </w:r>
            <w:bookmarkEnd w:id="4"/>
          </w:p>
        </w:tc>
      </w:tr>
      <w:tr w:rsidR="008C139E" w:rsidRPr="007716D3" w14:paraId="69167857" w14:textId="77777777" w:rsidTr="002E78DB">
        <w:trPr>
          <w:cantSplit/>
        </w:trPr>
        <w:tc>
          <w:tcPr>
            <w:tcW w:w="567" w:type="dxa"/>
            <w:tcBorders>
              <w:right w:val="nil"/>
            </w:tcBorders>
            <w:shd w:val="clear" w:color="auto" w:fill="auto"/>
            <w:tcMar>
              <w:top w:w="85" w:type="dxa"/>
              <w:bottom w:w="85" w:type="dxa"/>
              <w:right w:w="108" w:type="dxa"/>
            </w:tcMar>
          </w:tcPr>
          <w:p w14:paraId="1DB16995" w14:textId="77777777" w:rsidR="008A414A" w:rsidRPr="007716D3" w:rsidRDefault="008A414A" w:rsidP="00903CD5">
            <w:pPr>
              <w:numPr>
                <w:ilvl w:val="0"/>
                <w:numId w:val="2"/>
              </w:numPr>
              <w:ind w:left="426"/>
              <w:contextualSpacing/>
              <w:jc w:val="both"/>
              <w:rPr>
                <w:noProof/>
                <w:lang w:val="en-IE"/>
              </w:rPr>
            </w:pPr>
          </w:p>
        </w:tc>
        <w:tc>
          <w:tcPr>
            <w:tcW w:w="2177" w:type="dxa"/>
            <w:tcMar>
              <w:top w:w="85" w:type="dxa"/>
              <w:bottom w:w="85" w:type="dxa"/>
              <w:right w:w="108" w:type="dxa"/>
            </w:tcMar>
          </w:tcPr>
          <w:p w14:paraId="3A2C3A8B" w14:textId="77777777" w:rsidR="008A414A" w:rsidRPr="007716D3" w:rsidRDefault="008A414A" w:rsidP="00903CD5">
            <w:pPr>
              <w:rPr>
                <w:noProof/>
              </w:rPr>
            </w:pPr>
            <w:r>
              <w:rPr>
                <w:noProof/>
              </w:rPr>
              <w:t>COM(2020) 577 final</w:t>
            </w:r>
            <w:r>
              <w:rPr>
                <w:noProof/>
              </w:rPr>
              <w:br/>
              <w:t>2020/0264 (COD)</w:t>
            </w:r>
          </w:p>
        </w:tc>
        <w:tc>
          <w:tcPr>
            <w:tcW w:w="6622" w:type="dxa"/>
            <w:shd w:val="clear" w:color="auto" w:fill="auto"/>
            <w:tcMar>
              <w:top w:w="85" w:type="dxa"/>
              <w:bottom w:w="85" w:type="dxa"/>
              <w:right w:w="108" w:type="dxa"/>
            </w:tcMar>
          </w:tcPr>
          <w:p w14:paraId="4DCEAFED" w14:textId="77777777" w:rsidR="008A414A" w:rsidRPr="007716D3" w:rsidRDefault="008A414A" w:rsidP="00903CD5">
            <w:pPr>
              <w:jc w:val="both"/>
              <w:rPr>
                <w:noProof/>
              </w:rPr>
            </w:pPr>
            <w:r>
              <w:rPr>
                <w:noProof/>
              </w:rPr>
              <w:t>Ehdotus EUROOPAN PARLAMENTIN JA NEUVOSTON ASETUKSEKSI asetuksen (EU) 2018/1139 muuttamisesta siltä osin kuin on kyse Euroopan unionin lentoturvallisuusviraston valmiudesta toimia yhtenäisen eurooppalaisen ilmatilan suorituskyvyn tarkastuselimenä</w:t>
            </w:r>
          </w:p>
        </w:tc>
        <w:tc>
          <w:tcPr>
            <w:tcW w:w="4668" w:type="dxa"/>
            <w:tcMar>
              <w:top w:w="85" w:type="dxa"/>
              <w:bottom w:w="85" w:type="dxa"/>
              <w:right w:w="108" w:type="dxa"/>
            </w:tcMar>
          </w:tcPr>
          <w:p w14:paraId="0D3FF13D" w14:textId="77777777" w:rsidR="008A414A" w:rsidRPr="007716D3" w:rsidRDefault="008A414A" w:rsidP="00903CD5">
            <w:pPr>
              <w:tabs>
                <w:tab w:val="left" w:pos="2980"/>
              </w:tabs>
              <w:jc w:val="both"/>
              <w:rPr>
                <w:noProof/>
              </w:rPr>
            </w:pPr>
            <w:r>
              <w:rPr>
                <w:noProof/>
              </w:rPr>
              <w:t>Vanhentunut – ehdotukseen sisältyvät muutokset on sisällytetty yhtenäistä eurooppalaista ilmatilaa koskevaan asetukseen (SES II+).</w:t>
            </w:r>
          </w:p>
        </w:tc>
      </w:tr>
      <w:tr w:rsidR="008C139E" w:rsidRPr="007716D3" w14:paraId="2E0E1ED4" w14:textId="77777777" w:rsidTr="002E78DB">
        <w:trPr>
          <w:cantSplit/>
        </w:trPr>
        <w:tc>
          <w:tcPr>
            <w:tcW w:w="567" w:type="dxa"/>
            <w:tcBorders>
              <w:right w:val="nil"/>
            </w:tcBorders>
            <w:shd w:val="clear" w:color="auto" w:fill="auto"/>
            <w:tcMar>
              <w:top w:w="85" w:type="dxa"/>
              <w:bottom w:w="85" w:type="dxa"/>
              <w:right w:w="108" w:type="dxa"/>
            </w:tcMar>
          </w:tcPr>
          <w:p w14:paraId="1E1390E0"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6FA9B119" w14:textId="77777777" w:rsidR="008A414A" w:rsidRPr="007716D3" w:rsidRDefault="008A414A" w:rsidP="00903CD5">
            <w:pPr>
              <w:rPr>
                <w:noProof/>
              </w:rPr>
            </w:pPr>
            <w:bookmarkStart w:id="5" w:name="_Hlk182498614"/>
            <w:r>
              <w:rPr>
                <w:noProof/>
              </w:rPr>
              <w:t>COM(2021) 769 final</w:t>
            </w:r>
            <w:r>
              <w:rPr>
                <w:noProof/>
              </w:rPr>
              <w:br/>
              <w:t>2021/0400 (COD)</w:t>
            </w:r>
            <w:bookmarkEnd w:id="5"/>
          </w:p>
        </w:tc>
        <w:tc>
          <w:tcPr>
            <w:tcW w:w="6622" w:type="dxa"/>
            <w:shd w:val="clear" w:color="auto" w:fill="auto"/>
            <w:tcMar>
              <w:top w:w="85" w:type="dxa"/>
              <w:bottom w:w="85" w:type="dxa"/>
              <w:right w:w="108" w:type="dxa"/>
            </w:tcMar>
          </w:tcPr>
          <w:p w14:paraId="6B374EE4" w14:textId="1A6FFB83" w:rsidR="008A414A" w:rsidRPr="007716D3" w:rsidRDefault="008A414A" w:rsidP="00903CD5">
            <w:pPr>
              <w:jc w:val="both"/>
              <w:rPr>
                <w:noProof/>
              </w:rPr>
            </w:pPr>
            <w:r>
              <w:rPr>
                <w:noProof/>
              </w:rPr>
              <w:t>Ehdotus EUROOPAN PARLAMENTIN JA NEUVOSTON DIREKTIIVIKSI tiettyjen unionissa liikkuvien tieliikenteen ajoneuvojen suurimmista kansallisessa ja kansainvälisessä liikenteessä sallituista mitoista ja suurimmista kansainvälisessä liikenteessä sallituista painoista (kodifikaatio)</w:t>
            </w:r>
          </w:p>
        </w:tc>
        <w:tc>
          <w:tcPr>
            <w:tcW w:w="4668" w:type="dxa"/>
            <w:tcMar>
              <w:top w:w="85" w:type="dxa"/>
              <w:bottom w:w="85" w:type="dxa"/>
              <w:right w:w="108" w:type="dxa"/>
            </w:tcMar>
          </w:tcPr>
          <w:p w14:paraId="43DA702C" w14:textId="77777777" w:rsidR="008A414A" w:rsidRPr="007716D3" w:rsidRDefault="008A414A" w:rsidP="00903CD5">
            <w:pPr>
              <w:jc w:val="both"/>
              <w:rPr>
                <w:noProof/>
                <w:highlight w:val="yellow"/>
              </w:rPr>
            </w:pPr>
            <w:r>
              <w:rPr>
                <w:noProof/>
              </w:rPr>
              <w:t>Vanhentunut – sen jälkeen, kun ehdotus hyväksyttiin vuonna 2021, komissio on äskettäin ehdottanut muutosta, jonka vuoksi tämä kodifiointiehdotus on vanhentunut. Komissio aikoo tehdä uuden kodifiointiehdotuksen heti, kun uusi muutos on hyväksytty.</w:t>
            </w:r>
          </w:p>
        </w:tc>
      </w:tr>
      <w:tr w:rsidR="008C139E" w:rsidRPr="007716D3" w14:paraId="0FFE2EFB" w14:textId="77777777" w:rsidTr="002E78DB">
        <w:trPr>
          <w:cantSplit/>
        </w:trPr>
        <w:tc>
          <w:tcPr>
            <w:tcW w:w="567" w:type="dxa"/>
            <w:tcBorders>
              <w:right w:val="nil"/>
            </w:tcBorders>
            <w:shd w:val="clear" w:color="auto" w:fill="auto"/>
            <w:tcMar>
              <w:top w:w="85" w:type="dxa"/>
              <w:bottom w:w="85" w:type="dxa"/>
              <w:right w:w="108" w:type="dxa"/>
            </w:tcMar>
          </w:tcPr>
          <w:p w14:paraId="6EC1727F"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0E5256EB" w14:textId="77777777" w:rsidR="008A414A" w:rsidRPr="007716D3" w:rsidRDefault="008A414A" w:rsidP="00903CD5">
            <w:pPr>
              <w:rPr>
                <w:noProof/>
              </w:rPr>
            </w:pPr>
            <w:r>
              <w:rPr>
                <w:noProof/>
              </w:rPr>
              <w:t>COM(2022) 222 final</w:t>
            </w:r>
            <w:r>
              <w:rPr>
                <w:noProof/>
              </w:rPr>
              <w:br/>
              <w:t>2022/0160 (COD)</w:t>
            </w:r>
          </w:p>
        </w:tc>
        <w:tc>
          <w:tcPr>
            <w:tcW w:w="6622" w:type="dxa"/>
            <w:shd w:val="clear" w:color="auto" w:fill="auto"/>
            <w:tcMar>
              <w:top w:w="85" w:type="dxa"/>
              <w:bottom w:w="85" w:type="dxa"/>
              <w:right w:w="108" w:type="dxa"/>
            </w:tcMar>
          </w:tcPr>
          <w:p w14:paraId="07DD34B0" w14:textId="77777777" w:rsidR="008A414A" w:rsidRPr="007716D3" w:rsidRDefault="008A414A" w:rsidP="00903CD5">
            <w:pPr>
              <w:jc w:val="both"/>
              <w:rPr>
                <w:noProof/>
              </w:rPr>
            </w:pPr>
            <w:r>
              <w:rPr>
                <w:noProof/>
              </w:rPr>
              <w:t>Ehdotus EUROOPAN PARLAMENTIN JA NEUVOSTON DIREKTIIVIKSI uusiutuvista lähteistä peräisin olevan energian käytön edistämisestä annetun direktiivin (EU) 2018/2001, rakennusten energiatehokkuudesta annetun direktiivin 2010/31/EU ja energiatehokkuudesta annetun direktiivin 2012/27/EU muuttamisesta</w:t>
            </w:r>
          </w:p>
        </w:tc>
        <w:tc>
          <w:tcPr>
            <w:tcW w:w="4668" w:type="dxa"/>
            <w:tcMar>
              <w:top w:w="85" w:type="dxa"/>
              <w:bottom w:w="85" w:type="dxa"/>
              <w:right w:w="108" w:type="dxa"/>
            </w:tcMar>
          </w:tcPr>
          <w:p w14:paraId="4C3B0A12" w14:textId="77777777" w:rsidR="008A414A" w:rsidRPr="007716D3" w:rsidRDefault="008A414A" w:rsidP="00903CD5">
            <w:pPr>
              <w:jc w:val="both"/>
              <w:rPr>
                <w:noProof/>
              </w:rPr>
            </w:pPr>
            <w:r>
              <w:rPr>
                <w:noProof/>
              </w:rPr>
              <w:t>Vanhentunut – ehdotuksessa esitetyt muutokset on otettu huomioon käsiteltäessä rakennusten energiatehokkuutta koskevan direktiivin, energiatehokkuusdirektiivin ja uusiutuvia energialähteitä koskevan direktiivin tarkistamista.</w:t>
            </w:r>
          </w:p>
        </w:tc>
      </w:tr>
      <w:tr w:rsidR="008C139E" w:rsidRPr="007716D3" w:rsidDel="00A846F4" w14:paraId="3FDC380F" w14:textId="77777777" w:rsidTr="002E78DB">
        <w:trPr>
          <w:cantSplit/>
        </w:trPr>
        <w:tc>
          <w:tcPr>
            <w:tcW w:w="567" w:type="dxa"/>
            <w:tcBorders>
              <w:right w:val="nil"/>
            </w:tcBorders>
            <w:shd w:val="clear" w:color="auto" w:fill="auto"/>
            <w:tcMar>
              <w:top w:w="85" w:type="dxa"/>
              <w:bottom w:w="85" w:type="dxa"/>
              <w:right w:w="108" w:type="dxa"/>
            </w:tcMar>
          </w:tcPr>
          <w:p w14:paraId="255D0FE1" w14:textId="77777777" w:rsidR="008A414A" w:rsidRPr="0017125B" w:rsidDel="00A846F4"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7E36E328" w14:textId="77777777" w:rsidR="008A414A" w:rsidDel="00A846F4" w:rsidRDefault="008A414A" w:rsidP="00903CD5">
            <w:pPr>
              <w:rPr>
                <w:noProof/>
              </w:rPr>
            </w:pPr>
            <w:r>
              <w:rPr>
                <w:noProof/>
              </w:rPr>
              <w:t>COM(2023) 232 final</w:t>
            </w:r>
            <w:r>
              <w:rPr>
                <w:noProof/>
              </w:rPr>
              <w:br/>
              <w:t>2023/0133 (COD)</w:t>
            </w:r>
          </w:p>
        </w:tc>
        <w:tc>
          <w:tcPr>
            <w:tcW w:w="6622" w:type="dxa"/>
            <w:shd w:val="clear" w:color="auto" w:fill="auto"/>
            <w:tcMar>
              <w:top w:w="85" w:type="dxa"/>
              <w:bottom w:w="85" w:type="dxa"/>
              <w:right w:w="108" w:type="dxa"/>
            </w:tcMar>
          </w:tcPr>
          <w:p w14:paraId="1AB56D1F" w14:textId="77777777" w:rsidR="008A414A" w:rsidRPr="00D83AF3" w:rsidDel="00A846F4" w:rsidRDefault="008A414A" w:rsidP="00903CD5">
            <w:pPr>
              <w:jc w:val="both"/>
              <w:rPr>
                <w:noProof/>
              </w:rPr>
            </w:pPr>
            <w:r>
              <w:rPr>
                <w:noProof/>
              </w:rPr>
              <w:t>Ehdotus EUROOPAN PARLAMENTIN JA NEUVOSTON ASETUKSEKSI standardin kannalta olennaisista patenteista ja asetuksen (EU) 2017/1001 muuttamisesta</w:t>
            </w:r>
          </w:p>
        </w:tc>
        <w:tc>
          <w:tcPr>
            <w:tcW w:w="4668" w:type="dxa"/>
            <w:tcMar>
              <w:top w:w="85" w:type="dxa"/>
              <w:bottom w:w="85" w:type="dxa"/>
              <w:right w:w="108" w:type="dxa"/>
            </w:tcMar>
          </w:tcPr>
          <w:p w14:paraId="3D27EDD7" w14:textId="77777777" w:rsidR="008A414A" w:rsidRPr="003656E5" w:rsidDel="00A846F4" w:rsidRDefault="008A414A" w:rsidP="00903CD5">
            <w:pPr>
              <w:jc w:val="both"/>
              <w:rPr>
                <w:noProof/>
              </w:rPr>
            </w:pPr>
            <w:r>
              <w:rPr>
                <w:noProof/>
              </w:rPr>
              <w:t>Yhteisymmärrystä ei näköpiirissä – komissio arvioi, tulisiko esittää uusi ehdotus vai valita toisenlainen tulokulma.</w:t>
            </w:r>
          </w:p>
        </w:tc>
      </w:tr>
      <w:tr w:rsidR="002E78DB" w:rsidRPr="007716D3" w14:paraId="65B7E366" w14:textId="77777777" w:rsidTr="002E78DB">
        <w:trPr>
          <w:cantSplit/>
        </w:trPr>
        <w:tc>
          <w:tcPr>
            <w:tcW w:w="14034" w:type="dxa"/>
            <w:gridSpan w:val="4"/>
            <w:shd w:val="clear" w:color="auto" w:fill="006666"/>
            <w:tcMar>
              <w:top w:w="85" w:type="dxa"/>
              <w:bottom w:w="85" w:type="dxa"/>
              <w:right w:w="108" w:type="dxa"/>
            </w:tcMar>
          </w:tcPr>
          <w:p w14:paraId="31B41C8C" w14:textId="4BFD84E3" w:rsidR="002E78DB" w:rsidRPr="002061CE" w:rsidRDefault="002E78DB" w:rsidP="002E78DB">
            <w:pPr>
              <w:spacing w:before="60" w:after="60"/>
              <w:jc w:val="both"/>
              <w:rPr>
                <w:noProof/>
              </w:rPr>
            </w:pPr>
            <w:r>
              <w:rPr>
                <w:b/>
                <w:noProof/>
                <w:color w:val="FFFFFF"/>
              </w:rPr>
              <w:t>Euroopan puolustuksen ja turvallisuuden uusi aikakausi</w:t>
            </w:r>
          </w:p>
        </w:tc>
      </w:tr>
      <w:tr w:rsidR="008C139E" w:rsidRPr="007716D3" w14:paraId="436F0C65" w14:textId="77777777" w:rsidTr="002E78DB">
        <w:trPr>
          <w:cantSplit/>
        </w:trPr>
        <w:tc>
          <w:tcPr>
            <w:tcW w:w="567" w:type="dxa"/>
            <w:tcBorders>
              <w:right w:val="nil"/>
            </w:tcBorders>
            <w:shd w:val="clear" w:color="auto" w:fill="auto"/>
            <w:tcMar>
              <w:top w:w="85" w:type="dxa"/>
              <w:bottom w:w="85" w:type="dxa"/>
              <w:right w:w="108" w:type="dxa"/>
            </w:tcMar>
          </w:tcPr>
          <w:p w14:paraId="203217E8"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3CCBD9BA" w14:textId="2CF87C1A" w:rsidR="008A414A" w:rsidRPr="007716D3" w:rsidRDefault="008A414A" w:rsidP="00903CD5">
            <w:pPr>
              <w:rPr>
                <w:noProof/>
              </w:rPr>
            </w:pPr>
            <w:r>
              <w:rPr>
                <w:noProof/>
              </w:rPr>
              <w:t>COM(2018) 634 final</w:t>
            </w:r>
            <w:r>
              <w:rPr>
                <w:noProof/>
              </w:rPr>
              <w:br/>
              <w:t>2018/0329 (COD)</w:t>
            </w:r>
          </w:p>
        </w:tc>
        <w:tc>
          <w:tcPr>
            <w:tcW w:w="6622" w:type="dxa"/>
            <w:shd w:val="clear" w:color="auto" w:fill="auto"/>
            <w:tcMar>
              <w:top w:w="85" w:type="dxa"/>
              <w:bottom w:w="85" w:type="dxa"/>
              <w:right w:w="108" w:type="dxa"/>
            </w:tcMar>
          </w:tcPr>
          <w:p w14:paraId="736C821E" w14:textId="53BDC97C" w:rsidR="008A414A" w:rsidRPr="007716D3" w:rsidRDefault="000A31B9" w:rsidP="00903CD5">
            <w:pPr>
              <w:jc w:val="both"/>
              <w:rPr>
                <w:noProof/>
              </w:rPr>
            </w:pPr>
            <w:r>
              <w:rPr>
                <w:noProof/>
              </w:rPr>
              <w:t>Ehdotus EUROOPAN PARLAMENTIN JA NEUVOSTON DIREKTIIVIKSI jäsenvaltioissa sovellettavista yhteisistä vaatimuksista ja menettelyistä laittomasti oleskelevien kolmansien maiden kansalaisten palauttamiseksi (uudelleenlaadittu teksti) Euroopan komission panos Salzburgissa 19.–20. syyskuuta 2018 pidettävään johtajien kokoukseen</w:t>
            </w:r>
          </w:p>
        </w:tc>
        <w:tc>
          <w:tcPr>
            <w:tcW w:w="4668" w:type="dxa"/>
            <w:tcMar>
              <w:top w:w="85" w:type="dxa"/>
              <w:bottom w:w="85" w:type="dxa"/>
              <w:right w:w="108" w:type="dxa"/>
            </w:tcMar>
          </w:tcPr>
          <w:p w14:paraId="24C8B907" w14:textId="32E7844C" w:rsidR="008A414A" w:rsidRPr="007716D3" w:rsidRDefault="000A31B9" w:rsidP="00903CD5">
            <w:pPr>
              <w:jc w:val="both"/>
              <w:rPr>
                <w:noProof/>
              </w:rPr>
            </w:pPr>
            <w:r>
              <w:rPr>
                <w:noProof/>
              </w:rPr>
              <w:t>Vanhentunut – komissio aikoo esittää vuonna 2025 uuden ehdotuksen (mainitaan tämän komission työohjelman liitteessä 1), jonka yhteydessä tämä vireillä oleva ehdotus tosiasiallisesti perutaan.</w:t>
            </w:r>
          </w:p>
        </w:tc>
      </w:tr>
      <w:tr w:rsidR="008C139E" w:rsidRPr="007716D3" w14:paraId="60CFB7D9" w14:textId="77777777" w:rsidTr="002E78DB">
        <w:trPr>
          <w:cantSplit/>
        </w:trPr>
        <w:tc>
          <w:tcPr>
            <w:tcW w:w="567" w:type="dxa"/>
            <w:tcBorders>
              <w:right w:val="nil"/>
            </w:tcBorders>
            <w:shd w:val="clear" w:color="auto" w:fill="auto"/>
            <w:tcMar>
              <w:top w:w="85" w:type="dxa"/>
              <w:bottom w:w="85" w:type="dxa"/>
              <w:right w:w="108" w:type="dxa"/>
            </w:tcMar>
          </w:tcPr>
          <w:p w14:paraId="72D897A4" w14:textId="77777777" w:rsidR="00A56760" w:rsidRPr="0017125B"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7A3E50BB" w14:textId="1EEECBB3" w:rsidR="00A56760" w:rsidRPr="007716D3" w:rsidRDefault="00A56760" w:rsidP="00A56760">
            <w:pPr>
              <w:rPr>
                <w:noProof/>
              </w:rPr>
            </w:pPr>
            <w:r>
              <w:rPr>
                <w:noProof/>
              </w:rPr>
              <w:t>COM(2021) 890 final</w:t>
            </w:r>
            <w:r>
              <w:rPr>
                <w:noProof/>
              </w:rPr>
              <w:br/>
              <w:t>2021/0427 (COD)</w:t>
            </w:r>
          </w:p>
        </w:tc>
        <w:tc>
          <w:tcPr>
            <w:tcW w:w="6622" w:type="dxa"/>
            <w:shd w:val="clear" w:color="auto" w:fill="auto"/>
            <w:tcMar>
              <w:top w:w="85" w:type="dxa"/>
              <w:bottom w:w="85" w:type="dxa"/>
              <w:right w:w="108" w:type="dxa"/>
            </w:tcMar>
          </w:tcPr>
          <w:p w14:paraId="43AC1456" w14:textId="4A0954A3" w:rsidR="00A56760" w:rsidRPr="007716D3" w:rsidRDefault="00A56760" w:rsidP="00A56760">
            <w:pPr>
              <w:jc w:val="both"/>
              <w:rPr>
                <w:noProof/>
              </w:rPr>
            </w:pPr>
            <w:r>
              <w:rPr>
                <w:noProof/>
              </w:rPr>
              <w:t>Ehdotus EUROOPAN PARLAMENTIN JA NEUVOSTON ASETUKSEKSI toiminnasta muuttoliikkeeseen ja turvapaikanhakuun liittyvissä välineellistämistilanteissa</w:t>
            </w:r>
          </w:p>
        </w:tc>
        <w:tc>
          <w:tcPr>
            <w:tcW w:w="4668" w:type="dxa"/>
            <w:tcMar>
              <w:top w:w="85" w:type="dxa"/>
              <w:bottom w:w="85" w:type="dxa"/>
              <w:right w:w="108" w:type="dxa"/>
            </w:tcMar>
          </w:tcPr>
          <w:p w14:paraId="3B951191" w14:textId="6300DD69" w:rsidR="00A56760" w:rsidRPr="007716D3" w:rsidRDefault="00A56760" w:rsidP="00A56760">
            <w:pPr>
              <w:jc w:val="both"/>
              <w:rPr>
                <w:noProof/>
              </w:rPr>
            </w:pPr>
            <w:r>
              <w:rPr>
                <w:noProof/>
              </w:rPr>
              <w:t>Vanhentunut – ehdotuksen sisältö on sulautettu asetukseen (EU) 2024/1359 muuttoliikkeeseen ja turvapaikanhakuun liittyviin kriisitilanteisiin ja ylivoimaisen esteen tilanteisiin vastaamisesta ja asetuksen (EU) 2021/1147 muuttamisesta.</w:t>
            </w:r>
          </w:p>
        </w:tc>
      </w:tr>
      <w:tr w:rsidR="008C139E" w:rsidRPr="007716D3" w14:paraId="2B277EDF" w14:textId="77777777" w:rsidTr="002E78DB">
        <w:trPr>
          <w:cantSplit/>
        </w:trPr>
        <w:tc>
          <w:tcPr>
            <w:tcW w:w="567" w:type="dxa"/>
            <w:tcBorders>
              <w:right w:val="nil"/>
            </w:tcBorders>
            <w:shd w:val="clear" w:color="auto" w:fill="auto"/>
            <w:tcMar>
              <w:top w:w="85" w:type="dxa"/>
              <w:bottom w:w="85" w:type="dxa"/>
              <w:right w:w="108" w:type="dxa"/>
            </w:tcMar>
          </w:tcPr>
          <w:p w14:paraId="325A92C2" w14:textId="77777777" w:rsidR="00A56760" w:rsidRPr="0017125B" w:rsidRDefault="00A56760" w:rsidP="00A56760">
            <w:pPr>
              <w:numPr>
                <w:ilvl w:val="0"/>
                <w:numId w:val="2"/>
              </w:numPr>
              <w:ind w:left="426"/>
              <w:contextualSpacing/>
              <w:jc w:val="both"/>
              <w:rPr>
                <w:noProof/>
              </w:rPr>
            </w:pPr>
          </w:p>
        </w:tc>
        <w:tc>
          <w:tcPr>
            <w:tcW w:w="2177" w:type="dxa"/>
            <w:tcMar>
              <w:top w:w="85" w:type="dxa"/>
              <w:bottom w:w="85" w:type="dxa"/>
              <w:right w:w="108" w:type="dxa"/>
            </w:tcMar>
          </w:tcPr>
          <w:p w14:paraId="57BCE2FC" w14:textId="6B0EB6F2" w:rsidR="00A56760" w:rsidRPr="007716D3" w:rsidRDefault="00A56760" w:rsidP="00A56760">
            <w:pPr>
              <w:rPr>
                <w:noProof/>
              </w:rPr>
            </w:pPr>
            <w:r>
              <w:rPr>
                <w:noProof/>
              </w:rPr>
              <w:t>COM(2021) 752 final</w:t>
            </w:r>
            <w:r>
              <w:rPr>
                <w:noProof/>
              </w:rPr>
              <w:br/>
              <w:t xml:space="preserve">2021/0401 (CNS) </w:t>
            </w:r>
          </w:p>
        </w:tc>
        <w:tc>
          <w:tcPr>
            <w:tcW w:w="6622" w:type="dxa"/>
            <w:shd w:val="clear" w:color="auto" w:fill="auto"/>
            <w:tcMar>
              <w:top w:w="85" w:type="dxa"/>
              <w:bottom w:w="85" w:type="dxa"/>
              <w:right w:w="108" w:type="dxa"/>
            </w:tcMar>
          </w:tcPr>
          <w:p w14:paraId="045CB478" w14:textId="2E8D56F4" w:rsidR="00A56760" w:rsidRPr="007716D3" w:rsidRDefault="00A56760" w:rsidP="00A56760">
            <w:pPr>
              <w:jc w:val="both"/>
              <w:rPr>
                <w:noProof/>
              </w:rPr>
            </w:pPr>
            <w:r>
              <w:rPr>
                <w:noProof/>
              </w:rPr>
              <w:t>Ehdotus NEUVOSTON PÄÄTÖKSEKSI väliaikaisista hätätoimenpiteistä Latvian, Liettuan ja Puolan hyväksi</w:t>
            </w:r>
          </w:p>
        </w:tc>
        <w:tc>
          <w:tcPr>
            <w:tcW w:w="4668" w:type="dxa"/>
            <w:tcMar>
              <w:top w:w="85" w:type="dxa"/>
              <w:bottom w:w="85" w:type="dxa"/>
              <w:right w:w="108" w:type="dxa"/>
            </w:tcMar>
          </w:tcPr>
          <w:p w14:paraId="738407AD" w14:textId="7F4D9DFC" w:rsidR="00A56760" w:rsidRPr="007716D3" w:rsidRDefault="00A56760" w:rsidP="00A56760">
            <w:pPr>
              <w:jc w:val="both"/>
              <w:rPr>
                <w:noProof/>
              </w:rPr>
            </w:pPr>
            <w:r>
              <w:rPr>
                <w:noProof/>
              </w:rPr>
              <w:t>Vanhentunut – ehdotus on jumiutunut toimielinten välisissä keskusteluissa ja on nyttemmin vanhentunut.</w:t>
            </w:r>
          </w:p>
        </w:tc>
      </w:tr>
      <w:tr w:rsidR="008C139E" w:rsidRPr="007716D3" w14:paraId="18F0E187" w14:textId="77777777" w:rsidTr="002E78DB">
        <w:trPr>
          <w:cantSplit/>
        </w:trPr>
        <w:tc>
          <w:tcPr>
            <w:tcW w:w="567" w:type="dxa"/>
            <w:tcBorders>
              <w:right w:val="nil"/>
            </w:tcBorders>
            <w:shd w:val="clear" w:color="auto" w:fill="auto"/>
            <w:tcMar>
              <w:top w:w="85" w:type="dxa"/>
              <w:bottom w:w="85" w:type="dxa"/>
              <w:right w:w="108" w:type="dxa"/>
            </w:tcMar>
          </w:tcPr>
          <w:p w14:paraId="33C7C11D" w14:textId="77777777" w:rsidR="008A414A" w:rsidRPr="0017125B" w:rsidRDefault="008A414A" w:rsidP="00903CD5">
            <w:pPr>
              <w:numPr>
                <w:ilvl w:val="0"/>
                <w:numId w:val="2"/>
              </w:numPr>
              <w:ind w:left="426"/>
              <w:contextualSpacing/>
              <w:jc w:val="both"/>
              <w:rPr>
                <w:noProof/>
              </w:rPr>
            </w:pPr>
          </w:p>
        </w:tc>
        <w:tc>
          <w:tcPr>
            <w:tcW w:w="2177" w:type="dxa"/>
            <w:tcMar>
              <w:top w:w="85" w:type="dxa"/>
              <w:bottom w:w="85" w:type="dxa"/>
              <w:right w:w="108" w:type="dxa"/>
            </w:tcMar>
          </w:tcPr>
          <w:p w14:paraId="11483B12" w14:textId="77777777" w:rsidR="008A414A" w:rsidRPr="007716D3" w:rsidRDefault="008A414A" w:rsidP="00903CD5">
            <w:pPr>
              <w:rPr>
                <w:noProof/>
              </w:rPr>
            </w:pPr>
            <w:r>
              <w:rPr>
                <w:noProof/>
              </w:rPr>
              <w:t>COM(2024) 174 final</w:t>
            </w:r>
            <w:r>
              <w:rPr>
                <w:noProof/>
              </w:rPr>
              <w:br/>
              <w:t>2024/0094 (NLE)</w:t>
            </w:r>
          </w:p>
        </w:tc>
        <w:tc>
          <w:tcPr>
            <w:tcW w:w="6622" w:type="dxa"/>
            <w:shd w:val="clear" w:color="auto" w:fill="auto"/>
            <w:tcMar>
              <w:top w:w="85" w:type="dxa"/>
              <w:bottom w:w="85" w:type="dxa"/>
              <w:right w:w="108" w:type="dxa"/>
            </w:tcMar>
          </w:tcPr>
          <w:p w14:paraId="1B0EEA99" w14:textId="77777777" w:rsidR="008A414A" w:rsidRPr="007716D3" w:rsidRDefault="008A414A" w:rsidP="00903CD5">
            <w:pPr>
              <w:jc w:val="both"/>
              <w:rPr>
                <w:noProof/>
              </w:rPr>
            </w:pPr>
            <w:r>
              <w:rPr>
                <w:noProof/>
              </w:rPr>
              <w:t>Ehdotus NEUVOSTON SUOSITUKSEKSI vuosien 2024–2025 Schengen-sykliä varten</w:t>
            </w:r>
          </w:p>
        </w:tc>
        <w:tc>
          <w:tcPr>
            <w:tcW w:w="4668" w:type="dxa"/>
            <w:tcMar>
              <w:top w:w="85" w:type="dxa"/>
              <w:bottom w:w="85" w:type="dxa"/>
              <w:right w:w="108" w:type="dxa"/>
            </w:tcMar>
          </w:tcPr>
          <w:p w14:paraId="264AA6E2" w14:textId="77777777" w:rsidR="008A414A" w:rsidRPr="007716D3" w:rsidRDefault="008A414A" w:rsidP="00903CD5">
            <w:pPr>
              <w:jc w:val="both"/>
              <w:rPr>
                <w:noProof/>
              </w:rPr>
            </w:pPr>
            <w:r>
              <w:rPr>
                <w:noProof/>
              </w:rPr>
              <w:t>Vanhentunut – yhteisymmärrystä ei ollut näköpiirissä. Schengen-neuvosto on sopinut useista toiminnan painopistealueista, joita käsitellään muilla keinoin kuin tällä ehdotuksella.</w:t>
            </w:r>
          </w:p>
        </w:tc>
      </w:tr>
      <w:tr w:rsidR="002E78DB" w:rsidRPr="007716D3" w14:paraId="17D601AE" w14:textId="77777777" w:rsidTr="002E78DB">
        <w:trPr>
          <w:cantSplit/>
        </w:trPr>
        <w:tc>
          <w:tcPr>
            <w:tcW w:w="14034" w:type="dxa"/>
            <w:gridSpan w:val="4"/>
            <w:shd w:val="clear" w:color="auto" w:fill="B07442"/>
            <w:tcMar>
              <w:top w:w="85" w:type="dxa"/>
              <w:bottom w:w="85" w:type="dxa"/>
              <w:right w:w="108" w:type="dxa"/>
            </w:tcMar>
          </w:tcPr>
          <w:p w14:paraId="7E68DC3D" w14:textId="7A94DC10" w:rsidR="002E78DB" w:rsidRPr="007716D3" w:rsidRDefault="002E78DB" w:rsidP="002E78DB">
            <w:pPr>
              <w:spacing w:before="60" w:after="60"/>
              <w:jc w:val="both"/>
              <w:rPr>
                <w:noProof/>
              </w:rPr>
            </w:pPr>
            <w:r>
              <w:rPr>
                <w:b/>
                <w:noProof/>
                <w:color w:val="FFFFFF"/>
              </w:rPr>
              <w:t>Elämänlaadun turvaaminen: elintarviketurva, vesi ja luonto</w:t>
            </w:r>
          </w:p>
        </w:tc>
      </w:tr>
      <w:tr w:rsidR="002E78DB" w:rsidRPr="007716D3" w14:paraId="55DCD473" w14:textId="77777777" w:rsidTr="002E78DB">
        <w:trPr>
          <w:cantSplit/>
        </w:trPr>
        <w:tc>
          <w:tcPr>
            <w:tcW w:w="567" w:type="dxa"/>
            <w:tcBorders>
              <w:right w:val="nil"/>
            </w:tcBorders>
            <w:shd w:val="clear" w:color="auto" w:fill="auto"/>
            <w:tcMar>
              <w:top w:w="85" w:type="dxa"/>
              <w:bottom w:w="85" w:type="dxa"/>
              <w:right w:w="108" w:type="dxa"/>
            </w:tcMar>
          </w:tcPr>
          <w:p w14:paraId="7C159B83" w14:textId="77777777" w:rsidR="002E78DB" w:rsidRPr="0017125B"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63FBD7FD" w14:textId="77777777" w:rsidR="002E78DB" w:rsidRPr="007716D3" w:rsidRDefault="002E78DB" w:rsidP="002E78DB">
            <w:pPr>
              <w:rPr>
                <w:noProof/>
              </w:rPr>
            </w:pPr>
            <w:r>
              <w:rPr>
                <w:noProof/>
              </w:rPr>
              <w:t>COM(2012) 403 final</w:t>
            </w:r>
            <w:r>
              <w:rPr>
                <w:noProof/>
              </w:rPr>
              <w:br/>
              <w:t>2012/0196 (COD)</w:t>
            </w:r>
          </w:p>
        </w:tc>
        <w:tc>
          <w:tcPr>
            <w:tcW w:w="6622" w:type="dxa"/>
            <w:shd w:val="clear" w:color="auto" w:fill="auto"/>
            <w:tcMar>
              <w:top w:w="85" w:type="dxa"/>
              <w:bottom w:w="85" w:type="dxa"/>
              <w:right w:w="108" w:type="dxa"/>
            </w:tcMar>
          </w:tcPr>
          <w:p w14:paraId="4F99F839" w14:textId="77777777" w:rsidR="002E78DB" w:rsidRPr="007716D3" w:rsidRDefault="002E78DB" w:rsidP="002E78DB">
            <w:pPr>
              <w:jc w:val="both"/>
              <w:rPr>
                <w:noProof/>
              </w:rPr>
            </w:pPr>
            <w:r>
              <w:rPr>
                <w:noProof/>
              </w:rPr>
              <w:t>Ehdotus EUROOPAN PARLAMENTIN JA NEUVOSTON ASETUKSEKSI luonnonvaraisten eläinten ja kasvien suojelusta niiden kauppaa sääntelemällä (Uudelleenlaatiminen)</w:t>
            </w:r>
          </w:p>
        </w:tc>
        <w:tc>
          <w:tcPr>
            <w:tcW w:w="4668" w:type="dxa"/>
            <w:tcMar>
              <w:top w:w="85" w:type="dxa"/>
              <w:bottom w:w="85" w:type="dxa"/>
              <w:right w:w="108" w:type="dxa"/>
            </w:tcMar>
          </w:tcPr>
          <w:p w14:paraId="60D49173" w14:textId="77777777" w:rsidR="002E78DB" w:rsidRPr="007716D3" w:rsidRDefault="002E78DB" w:rsidP="002E78DB">
            <w:pPr>
              <w:jc w:val="both"/>
              <w:rPr>
                <w:noProof/>
              </w:rPr>
            </w:pPr>
            <w:r>
              <w:rPr>
                <w:noProof/>
              </w:rPr>
              <w:t>Yhteisymmärrystä ei näköpiirissä – sopua ei odotettavissa. Lisäksi vuodesta 2012 tapahtuneen kehityksen vuoksi ehdotus on vanhentunut. Komissio arvioi, tulisiko esittää uusi ehdotus vai valita toisenlainen tulokulma, jotta päästäisiin uudestaan alkuun.</w:t>
            </w:r>
          </w:p>
        </w:tc>
      </w:tr>
      <w:tr w:rsidR="002E78DB" w:rsidRPr="007716D3" w14:paraId="2E1E5D03" w14:textId="77777777" w:rsidTr="002E78DB">
        <w:trPr>
          <w:cantSplit/>
        </w:trPr>
        <w:tc>
          <w:tcPr>
            <w:tcW w:w="567" w:type="dxa"/>
            <w:tcBorders>
              <w:right w:val="nil"/>
            </w:tcBorders>
            <w:shd w:val="clear" w:color="auto" w:fill="auto"/>
            <w:tcMar>
              <w:top w:w="85" w:type="dxa"/>
              <w:bottom w:w="85" w:type="dxa"/>
              <w:right w:w="108" w:type="dxa"/>
            </w:tcMar>
          </w:tcPr>
          <w:p w14:paraId="13CF1A4B" w14:textId="77777777" w:rsidR="002E78DB" w:rsidRPr="0017125B"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0B3072E9" w14:textId="77777777" w:rsidR="002E78DB" w:rsidRPr="007716D3" w:rsidRDefault="002E78DB" w:rsidP="002E78DB">
            <w:pPr>
              <w:rPr>
                <w:noProof/>
              </w:rPr>
            </w:pPr>
            <w:r>
              <w:rPr>
                <w:noProof/>
              </w:rPr>
              <w:t>COM(2015) 177 final</w:t>
            </w:r>
            <w:r>
              <w:rPr>
                <w:noProof/>
              </w:rPr>
              <w:br/>
              <w:t>2015/0093 (COD)</w:t>
            </w:r>
          </w:p>
        </w:tc>
        <w:tc>
          <w:tcPr>
            <w:tcW w:w="6622" w:type="dxa"/>
            <w:shd w:val="clear" w:color="auto" w:fill="auto"/>
            <w:tcMar>
              <w:top w:w="85" w:type="dxa"/>
              <w:bottom w:w="85" w:type="dxa"/>
              <w:right w:w="108" w:type="dxa"/>
            </w:tcMar>
          </w:tcPr>
          <w:p w14:paraId="5CB508F1" w14:textId="77777777" w:rsidR="002E78DB" w:rsidRPr="007716D3" w:rsidRDefault="002E78DB" w:rsidP="002E78DB">
            <w:pPr>
              <w:jc w:val="both"/>
              <w:rPr>
                <w:noProof/>
              </w:rPr>
            </w:pPr>
            <w:r>
              <w:rPr>
                <w:noProof/>
              </w:rPr>
              <w:t>Ehdotus EUROOPAN PARLAMENTIN JA NEUVOSTON ASETUKSEKSI asetuksen (EY) N:o 1829/2003 muuttamisesta siltä osin kuin on kyse jäsenvaltioiden mahdollisuudesta rajoittaa muuntogeenisten elintarvikkeiden ja rehujen käyttöä tai kieltää se alueellaan</w:t>
            </w:r>
          </w:p>
        </w:tc>
        <w:tc>
          <w:tcPr>
            <w:tcW w:w="4668" w:type="dxa"/>
            <w:tcMar>
              <w:top w:w="85" w:type="dxa"/>
              <w:bottom w:w="85" w:type="dxa"/>
              <w:right w:w="108" w:type="dxa"/>
            </w:tcMar>
          </w:tcPr>
          <w:p w14:paraId="2824FD83" w14:textId="77777777" w:rsidR="002E78DB" w:rsidRPr="007716D3" w:rsidRDefault="002E78DB" w:rsidP="002E78DB">
            <w:pPr>
              <w:jc w:val="both"/>
              <w:rPr>
                <w:noProof/>
              </w:rPr>
            </w:pPr>
            <w:r>
              <w:rPr>
                <w:noProof/>
              </w:rPr>
              <w:t>Yhteisymmärrystä ei näköpiirissä – muuntogeenisiä organismeja koskevan lainsäädännön mahdolliset lisämuutokset riippuvat uutta genomitekniikkaa koskevasta ehdotuksesta käytävien neuvottelujen tuloksesta tai biotekniikkaa ja biovalmistusta koskevan aloitteen yhteydessä määritettävistä ongelmista, joita on käsiteltävä.</w:t>
            </w:r>
          </w:p>
        </w:tc>
      </w:tr>
      <w:tr w:rsidR="002E78DB" w:rsidRPr="007716D3" w14:paraId="1277D71B" w14:textId="77777777" w:rsidTr="002E78DB">
        <w:trPr>
          <w:cantSplit/>
        </w:trPr>
        <w:tc>
          <w:tcPr>
            <w:tcW w:w="567" w:type="dxa"/>
            <w:tcBorders>
              <w:right w:val="nil"/>
            </w:tcBorders>
            <w:shd w:val="clear" w:color="auto" w:fill="auto"/>
            <w:tcMar>
              <w:top w:w="85" w:type="dxa"/>
              <w:bottom w:w="85" w:type="dxa"/>
              <w:right w:w="108" w:type="dxa"/>
            </w:tcMar>
          </w:tcPr>
          <w:p w14:paraId="5DE30E6F" w14:textId="77777777" w:rsidR="002E78DB" w:rsidRPr="0017125B"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6AADAA10" w14:textId="77777777" w:rsidR="002E78DB" w:rsidRPr="007716D3" w:rsidRDefault="002E78DB" w:rsidP="002E78DB">
            <w:pPr>
              <w:rPr>
                <w:noProof/>
              </w:rPr>
            </w:pPr>
            <w:r>
              <w:rPr>
                <w:noProof/>
              </w:rPr>
              <w:t>COM(2022) 563 final</w:t>
            </w:r>
            <w:r>
              <w:rPr>
                <w:noProof/>
              </w:rPr>
              <w:br/>
              <w:t>2022/0348 (COD)</w:t>
            </w:r>
          </w:p>
        </w:tc>
        <w:tc>
          <w:tcPr>
            <w:tcW w:w="6622" w:type="dxa"/>
            <w:shd w:val="clear" w:color="auto" w:fill="auto"/>
            <w:tcMar>
              <w:top w:w="85" w:type="dxa"/>
              <w:bottom w:w="85" w:type="dxa"/>
              <w:right w:w="108" w:type="dxa"/>
            </w:tcMar>
          </w:tcPr>
          <w:p w14:paraId="23621DAD" w14:textId="77777777" w:rsidR="002E78DB" w:rsidRPr="007716D3" w:rsidRDefault="002E78DB" w:rsidP="002E78DB">
            <w:pPr>
              <w:jc w:val="both"/>
              <w:rPr>
                <w:noProof/>
              </w:rPr>
            </w:pPr>
            <w:r>
              <w:rPr>
                <w:noProof/>
              </w:rPr>
              <w:t>Ehdotus EUROOPAN PARLAMENTIN JA NEUVOSTON ASETUKSEKSI Eteläisen Intian valtameren kalastussopimuksen (SIOFA) soveltamisalaan kuuluvalla alueella sovellettavista hoito-, säilyttämis- ja valvontatoimenpiteistä</w:t>
            </w:r>
          </w:p>
        </w:tc>
        <w:tc>
          <w:tcPr>
            <w:tcW w:w="4668" w:type="dxa"/>
            <w:tcMar>
              <w:top w:w="85" w:type="dxa"/>
              <w:bottom w:w="85" w:type="dxa"/>
              <w:right w:w="108" w:type="dxa"/>
            </w:tcMar>
          </w:tcPr>
          <w:p w14:paraId="061944FA" w14:textId="77777777" w:rsidR="002E78DB" w:rsidRPr="007716D3" w:rsidRDefault="002E78DB" w:rsidP="002E78DB">
            <w:pPr>
              <w:jc w:val="both"/>
              <w:rPr>
                <w:noProof/>
              </w:rPr>
            </w:pPr>
            <w:r>
              <w:rPr>
                <w:noProof/>
              </w:rPr>
              <w:t xml:space="preserve">Yhteisymmärrystä ei näköpiirissä – Euroopan parlamentin ja neuvoston ei odoteta pääsevän yhteisymmärrykseen ensimmäisessä käsittelyssä. Komissio aikoo esittää vuonna 2025 uuden ehdotuksen, jonka yhteydessä tämä vireillä oleva ehdotus tosiasiallisesti perutaan. </w:t>
            </w:r>
          </w:p>
        </w:tc>
      </w:tr>
      <w:tr w:rsidR="002E78DB" w:rsidRPr="007716D3" w14:paraId="3AE37A59" w14:textId="77777777" w:rsidTr="002E78DB">
        <w:trPr>
          <w:cantSplit/>
        </w:trPr>
        <w:tc>
          <w:tcPr>
            <w:tcW w:w="567" w:type="dxa"/>
            <w:tcBorders>
              <w:right w:val="nil"/>
            </w:tcBorders>
            <w:shd w:val="clear" w:color="auto" w:fill="auto"/>
            <w:tcMar>
              <w:top w:w="85" w:type="dxa"/>
              <w:bottom w:w="85" w:type="dxa"/>
              <w:right w:w="108" w:type="dxa"/>
            </w:tcMar>
          </w:tcPr>
          <w:p w14:paraId="1A83E7B3" w14:textId="77777777" w:rsidR="002E78DB" w:rsidRPr="0017125B" w:rsidRDefault="002E78DB" w:rsidP="002E78DB">
            <w:pPr>
              <w:numPr>
                <w:ilvl w:val="0"/>
                <w:numId w:val="2"/>
              </w:numPr>
              <w:ind w:left="426"/>
              <w:contextualSpacing/>
              <w:jc w:val="both"/>
              <w:rPr>
                <w:noProof/>
              </w:rPr>
            </w:pPr>
          </w:p>
        </w:tc>
        <w:tc>
          <w:tcPr>
            <w:tcW w:w="2177" w:type="dxa"/>
            <w:tcMar>
              <w:top w:w="85" w:type="dxa"/>
              <w:bottom w:w="85" w:type="dxa"/>
              <w:right w:w="108" w:type="dxa"/>
            </w:tcMar>
          </w:tcPr>
          <w:p w14:paraId="515C7D0B" w14:textId="77777777" w:rsidR="002E78DB" w:rsidRPr="007716D3" w:rsidRDefault="002E78DB" w:rsidP="002E78DB">
            <w:pPr>
              <w:rPr>
                <w:noProof/>
              </w:rPr>
            </w:pPr>
            <w:r>
              <w:rPr>
                <w:noProof/>
              </w:rPr>
              <w:t>COM(2023) 771 final</w:t>
            </w:r>
            <w:r>
              <w:rPr>
                <w:noProof/>
              </w:rPr>
              <w:br/>
              <w:t>2023/0449 (COD)</w:t>
            </w:r>
          </w:p>
        </w:tc>
        <w:tc>
          <w:tcPr>
            <w:tcW w:w="6622" w:type="dxa"/>
            <w:shd w:val="clear" w:color="auto" w:fill="auto"/>
            <w:tcMar>
              <w:top w:w="85" w:type="dxa"/>
              <w:bottom w:w="85" w:type="dxa"/>
              <w:right w:w="108" w:type="dxa"/>
            </w:tcMar>
          </w:tcPr>
          <w:p w14:paraId="6435DF9E" w14:textId="77777777" w:rsidR="002E78DB" w:rsidRPr="007716D3" w:rsidRDefault="002E78DB" w:rsidP="002E78DB">
            <w:pPr>
              <w:jc w:val="both"/>
              <w:rPr>
                <w:noProof/>
              </w:rPr>
            </w:pPr>
            <w:r>
              <w:rPr>
                <w:noProof/>
              </w:rPr>
              <w:t>Ehdotus EUROOPAN PARLAMENTIN JA NEUVOSTON ASETUKSEKSI asetusten (EU) 2016/1139, (EU) 2018/973 ja (EU) 2019/472 muuttamisesta kalastusmahdollisuuksien vahvistamiseen liittyvien tavoitteiden osalta</w:t>
            </w:r>
          </w:p>
        </w:tc>
        <w:tc>
          <w:tcPr>
            <w:tcW w:w="4668" w:type="dxa"/>
            <w:tcMar>
              <w:top w:w="85" w:type="dxa"/>
              <w:bottom w:w="85" w:type="dxa"/>
              <w:right w:w="108" w:type="dxa"/>
            </w:tcMar>
          </w:tcPr>
          <w:p w14:paraId="01D09B53" w14:textId="77777777" w:rsidR="002E78DB" w:rsidRPr="007716D3" w:rsidRDefault="002E78DB" w:rsidP="002E78DB">
            <w:pPr>
              <w:jc w:val="both"/>
              <w:rPr>
                <w:noProof/>
              </w:rPr>
            </w:pPr>
            <w:r>
              <w:rPr>
                <w:noProof/>
              </w:rPr>
              <w:t>Yhteisymmärrystä ei näköpiirissä – sopua lainsäätäjien välillä ei odotettavissa.</w:t>
            </w:r>
          </w:p>
        </w:tc>
      </w:tr>
      <w:tr w:rsidR="007F2587" w:rsidRPr="007716D3" w14:paraId="658028E7" w14:textId="77777777" w:rsidTr="007F2587">
        <w:trPr>
          <w:cantSplit/>
        </w:trPr>
        <w:tc>
          <w:tcPr>
            <w:tcW w:w="14034" w:type="dxa"/>
            <w:gridSpan w:val="4"/>
            <w:shd w:val="clear" w:color="auto" w:fill="6400D8"/>
            <w:tcMar>
              <w:top w:w="85" w:type="dxa"/>
              <w:bottom w:w="85" w:type="dxa"/>
              <w:right w:w="108" w:type="dxa"/>
            </w:tcMar>
          </w:tcPr>
          <w:p w14:paraId="1B60A3FF" w14:textId="437FF0E5" w:rsidR="007F2587" w:rsidRPr="003B072E" w:rsidRDefault="007F2587" w:rsidP="007F2587">
            <w:pPr>
              <w:spacing w:before="60" w:after="60"/>
              <w:jc w:val="both"/>
              <w:rPr>
                <w:noProof/>
              </w:rPr>
            </w:pPr>
            <w:r>
              <w:rPr>
                <w:b/>
                <w:noProof/>
                <w:color w:val="FFFFFF"/>
              </w:rPr>
              <w:t>Demokratian suojeleminen ja arvojemme vaaliminen</w:t>
            </w:r>
          </w:p>
        </w:tc>
      </w:tr>
      <w:tr w:rsidR="007F2587" w:rsidRPr="007716D3" w14:paraId="7E6912F7" w14:textId="77777777" w:rsidTr="002E78DB">
        <w:trPr>
          <w:cantSplit/>
        </w:trPr>
        <w:tc>
          <w:tcPr>
            <w:tcW w:w="567" w:type="dxa"/>
            <w:tcBorders>
              <w:right w:val="nil"/>
            </w:tcBorders>
            <w:shd w:val="clear" w:color="auto" w:fill="auto"/>
            <w:tcMar>
              <w:top w:w="85" w:type="dxa"/>
              <w:bottom w:w="85" w:type="dxa"/>
              <w:right w:w="108" w:type="dxa"/>
            </w:tcMar>
          </w:tcPr>
          <w:p w14:paraId="0C05FDEE"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CEB4E94" w14:textId="77777777" w:rsidR="007F2587" w:rsidRPr="007716D3" w:rsidRDefault="007F2587" w:rsidP="007F2587">
            <w:pPr>
              <w:rPr>
                <w:noProof/>
              </w:rPr>
            </w:pPr>
            <w:r>
              <w:rPr>
                <w:noProof/>
              </w:rPr>
              <w:t>COM(2008) 426 final</w:t>
            </w:r>
            <w:r>
              <w:rPr>
                <w:noProof/>
              </w:rPr>
              <w:br/>
              <w:t>2008/0140 (CNS)</w:t>
            </w:r>
          </w:p>
        </w:tc>
        <w:tc>
          <w:tcPr>
            <w:tcW w:w="6622" w:type="dxa"/>
            <w:shd w:val="clear" w:color="auto" w:fill="auto"/>
            <w:tcMar>
              <w:top w:w="85" w:type="dxa"/>
              <w:bottom w:w="85" w:type="dxa"/>
              <w:right w:w="108" w:type="dxa"/>
            </w:tcMar>
          </w:tcPr>
          <w:p w14:paraId="4A3269AB" w14:textId="77777777" w:rsidR="007F2587" w:rsidRPr="007716D3" w:rsidRDefault="007F2587" w:rsidP="007F2587">
            <w:pPr>
              <w:rPr>
                <w:noProof/>
              </w:rPr>
            </w:pPr>
            <w:r>
              <w:rPr>
                <w:noProof/>
              </w:rPr>
              <w:t>Ehdotus NEUVOSTON DIREKTIIVIKSIKSI uskonnosta tai vakaumuksesta, vammaisuudesta, iästä tai sukupuolisesta suuntautumisesta riippumattoman yhdenvertaisen kohtelun periaatteen täytäntöönpanosta</w:t>
            </w:r>
          </w:p>
        </w:tc>
        <w:tc>
          <w:tcPr>
            <w:tcW w:w="4668" w:type="dxa"/>
            <w:tcMar>
              <w:top w:w="85" w:type="dxa"/>
              <w:bottom w:w="85" w:type="dxa"/>
              <w:right w:w="108" w:type="dxa"/>
            </w:tcMar>
          </w:tcPr>
          <w:p w14:paraId="0B0CA02A" w14:textId="77777777" w:rsidR="007F2587" w:rsidRPr="007716D3" w:rsidRDefault="007F2587" w:rsidP="007F2587">
            <w:pPr>
              <w:jc w:val="both"/>
              <w:rPr>
                <w:noProof/>
                <w:highlight w:val="yellow"/>
              </w:rPr>
            </w:pPr>
            <w:r>
              <w:rPr>
                <w:noProof/>
              </w:rPr>
              <w:t>Yhteisymmärrystä ei näköpiirissä – ehdotus on jumiutunut, ja sen eteneminen on epätodennäköistä.</w:t>
            </w:r>
          </w:p>
        </w:tc>
      </w:tr>
      <w:tr w:rsidR="007F2587" w:rsidRPr="007716D3" w14:paraId="62D4ECCE" w14:textId="77777777" w:rsidTr="002E78DB">
        <w:trPr>
          <w:cantSplit/>
        </w:trPr>
        <w:tc>
          <w:tcPr>
            <w:tcW w:w="567" w:type="dxa"/>
            <w:tcBorders>
              <w:right w:val="nil"/>
            </w:tcBorders>
            <w:shd w:val="clear" w:color="auto" w:fill="auto"/>
            <w:tcMar>
              <w:top w:w="85" w:type="dxa"/>
              <w:bottom w:w="85" w:type="dxa"/>
              <w:right w:w="108" w:type="dxa"/>
            </w:tcMar>
          </w:tcPr>
          <w:p w14:paraId="20099846"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2B2389BA" w14:textId="77777777" w:rsidR="007F2587" w:rsidRPr="0017125B" w:rsidRDefault="007F2587" w:rsidP="007F2587">
            <w:pPr>
              <w:rPr>
                <w:noProof/>
                <w:lang w:val="en-US"/>
              </w:rPr>
            </w:pPr>
            <w:r w:rsidRPr="0017125B">
              <w:rPr>
                <w:noProof/>
                <w:lang w:val="en-US"/>
              </w:rPr>
              <w:t>COM(2011) 137 final</w:t>
            </w:r>
            <w:r w:rsidRPr="0017125B">
              <w:rPr>
                <w:noProof/>
                <w:lang w:val="en-US"/>
              </w:rPr>
              <w:br/>
              <w:t xml:space="preserve">2011/0073 (COD) </w:t>
            </w:r>
          </w:p>
          <w:p w14:paraId="5B36EC9B" w14:textId="77777777" w:rsidR="007F2587" w:rsidRPr="007716D3" w:rsidRDefault="007F2587" w:rsidP="007F2587">
            <w:pPr>
              <w:rPr>
                <w:noProof/>
                <w:lang w:val="pt-PT"/>
              </w:rPr>
            </w:pPr>
          </w:p>
          <w:p w14:paraId="0D676550" w14:textId="77777777" w:rsidR="007F2587" w:rsidRPr="0017125B" w:rsidRDefault="007F2587" w:rsidP="007F2587">
            <w:pPr>
              <w:rPr>
                <w:noProof/>
                <w:lang w:val="en-US"/>
              </w:rPr>
            </w:pPr>
            <w:r w:rsidRPr="0017125B">
              <w:rPr>
                <w:noProof/>
                <w:lang w:val="en-US"/>
              </w:rPr>
              <w:t>COM(2008) 229 final</w:t>
            </w:r>
            <w:r w:rsidRPr="0017125B">
              <w:rPr>
                <w:noProof/>
                <w:lang w:val="en-US"/>
              </w:rPr>
              <w:br/>
              <w:t>2008/0090 (COD)</w:t>
            </w:r>
          </w:p>
        </w:tc>
        <w:tc>
          <w:tcPr>
            <w:tcW w:w="6622" w:type="dxa"/>
            <w:shd w:val="clear" w:color="auto" w:fill="auto"/>
            <w:tcMar>
              <w:top w:w="85" w:type="dxa"/>
              <w:bottom w:w="85" w:type="dxa"/>
              <w:right w:w="108" w:type="dxa"/>
            </w:tcMar>
          </w:tcPr>
          <w:p w14:paraId="539CC0F1" w14:textId="7A2B5C4F" w:rsidR="007F2587" w:rsidRPr="007716D3" w:rsidRDefault="007F2587" w:rsidP="007F2587">
            <w:pPr>
              <w:rPr>
                <w:noProof/>
              </w:rPr>
            </w:pPr>
            <w:r>
              <w:rPr>
                <w:noProof/>
              </w:rPr>
              <w:t xml:space="preserve">EUROOPAN PARLAMENTIN JA NEUVOSTON ASETUKSEKSI Euroopan parlamentin, neuvoston ja komission asiakirjojen saamisesta yleisön tutustuttavaksi annetun asetuksen (EY) N:o 1049/2001 muuttamisesta </w:t>
            </w:r>
          </w:p>
        </w:tc>
        <w:tc>
          <w:tcPr>
            <w:tcW w:w="4668" w:type="dxa"/>
            <w:tcMar>
              <w:top w:w="85" w:type="dxa"/>
              <w:bottom w:w="85" w:type="dxa"/>
              <w:right w:w="108" w:type="dxa"/>
            </w:tcMar>
          </w:tcPr>
          <w:p w14:paraId="3FA2C7B9" w14:textId="77777777" w:rsidR="007F2587" w:rsidRPr="007716D3" w:rsidRDefault="007F2587" w:rsidP="007F2587">
            <w:pPr>
              <w:jc w:val="both"/>
              <w:rPr>
                <w:noProof/>
              </w:rPr>
            </w:pPr>
            <w:r>
              <w:rPr>
                <w:noProof/>
              </w:rPr>
              <w:t>Yhteisymmärrystä ei näköpiirissä – edistymistä ei ole tapahtunut vuoden 2011 jälkeen.</w:t>
            </w:r>
          </w:p>
        </w:tc>
      </w:tr>
      <w:tr w:rsidR="007F2587" w:rsidRPr="007716D3" w14:paraId="5E57D2AE" w14:textId="77777777" w:rsidTr="002E78DB">
        <w:trPr>
          <w:cantSplit/>
        </w:trPr>
        <w:tc>
          <w:tcPr>
            <w:tcW w:w="567" w:type="dxa"/>
            <w:tcBorders>
              <w:right w:val="nil"/>
            </w:tcBorders>
            <w:shd w:val="clear" w:color="auto" w:fill="auto"/>
            <w:tcMar>
              <w:top w:w="85" w:type="dxa"/>
              <w:bottom w:w="85" w:type="dxa"/>
              <w:right w:w="108" w:type="dxa"/>
            </w:tcMar>
          </w:tcPr>
          <w:p w14:paraId="1D8D8A8E"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A093CC1" w14:textId="77777777" w:rsidR="007F2587" w:rsidRPr="007716D3" w:rsidRDefault="007F2587" w:rsidP="007F2587">
            <w:pPr>
              <w:rPr>
                <w:noProof/>
              </w:rPr>
            </w:pPr>
            <w:r>
              <w:rPr>
                <w:noProof/>
              </w:rPr>
              <w:t>COM(2016) 799 final</w:t>
            </w:r>
            <w:r>
              <w:rPr>
                <w:noProof/>
              </w:rPr>
              <w:br/>
              <w:t>2016/0400B (COD)</w:t>
            </w:r>
          </w:p>
        </w:tc>
        <w:tc>
          <w:tcPr>
            <w:tcW w:w="6622" w:type="dxa"/>
            <w:shd w:val="clear" w:color="auto" w:fill="auto"/>
            <w:tcMar>
              <w:top w:w="85" w:type="dxa"/>
              <w:bottom w:w="85" w:type="dxa"/>
              <w:right w:w="108" w:type="dxa"/>
            </w:tcMar>
          </w:tcPr>
          <w:p w14:paraId="2F6CA9C8" w14:textId="77777777" w:rsidR="007F2587" w:rsidRPr="007716D3" w:rsidRDefault="007F2587" w:rsidP="007F2587">
            <w:pPr>
              <w:rPr>
                <w:noProof/>
              </w:rPr>
            </w:pPr>
            <w:r>
              <w:rPr>
                <w:noProof/>
              </w:rPr>
              <w:t>Ehdotus EUROOPAN PARLAMENTIN JA NEUVOSTON ASETUKSEKSI eräiden säädösten, joissa säädetään valvonnan käsittävän sääntelymenettelyn käyttämisestä, mukauttamisesta Euroopan unionin toiminnasta tehdyn sopimuksen 290 ja 291 artiklaan</w:t>
            </w:r>
          </w:p>
        </w:tc>
        <w:tc>
          <w:tcPr>
            <w:tcW w:w="4668" w:type="dxa"/>
            <w:tcMar>
              <w:top w:w="85" w:type="dxa"/>
              <w:bottom w:w="85" w:type="dxa"/>
              <w:right w:w="108" w:type="dxa"/>
            </w:tcMar>
          </w:tcPr>
          <w:p w14:paraId="76BA262F" w14:textId="77777777" w:rsidR="007F2587" w:rsidRPr="007716D3" w:rsidRDefault="007F2587" w:rsidP="007F2587">
            <w:pPr>
              <w:jc w:val="both"/>
              <w:rPr>
                <w:noProof/>
              </w:rPr>
            </w:pPr>
            <w:r>
              <w:rPr>
                <w:noProof/>
              </w:rPr>
              <w:t>Yhteisymmärrystä ei näköpiirissä – ehdotus on jumiutunut, ja sen eteneminen on epätodennäköistä. Oikeudellinen velvoite on saattaa ennen Lissabonin sopimuksen voimaantuloa annetut säädökset SEUT-sopimuksen 290 ja 291 artiklan mukaisiksi. Sen vuoksi komissio aikoo esittää lainsäätäjille tästä uuden ehdotuksen.</w:t>
            </w:r>
          </w:p>
        </w:tc>
      </w:tr>
      <w:tr w:rsidR="007F2587" w:rsidRPr="007716D3" w14:paraId="10FC1757" w14:textId="77777777" w:rsidTr="002E78DB">
        <w:trPr>
          <w:cantSplit/>
          <w:trHeight w:val="879"/>
        </w:trPr>
        <w:tc>
          <w:tcPr>
            <w:tcW w:w="567" w:type="dxa"/>
            <w:tcBorders>
              <w:right w:val="nil"/>
            </w:tcBorders>
            <w:shd w:val="clear" w:color="auto" w:fill="auto"/>
            <w:tcMar>
              <w:top w:w="85" w:type="dxa"/>
              <w:bottom w:w="85" w:type="dxa"/>
              <w:right w:w="108" w:type="dxa"/>
            </w:tcMar>
          </w:tcPr>
          <w:p w14:paraId="6A3A55EB" w14:textId="77777777" w:rsidR="007F2587" w:rsidRPr="007716D3" w:rsidRDefault="007F2587" w:rsidP="007F2587">
            <w:pPr>
              <w:numPr>
                <w:ilvl w:val="0"/>
                <w:numId w:val="2"/>
              </w:numPr>
              <w:ind w:left="426"/>
              <w:contextualSpacing/>
              <w:jc w:val="both"/>
              <w:rPr>
                <w:noProof/>
                <w:lang w:val="en-IE"/>
              </w:rPr>
            </w:pPr>
          </w:p>
        </w:tc>
        <w:tc>
          <w:tcPr>
            <w:tcW w:w="2177" w:type="dxa"/>
            <w:tcMar>
              <w:top w:w="85" w:type="dxa"/>
              <w:bottom w:w="85" w:type="dxa"/>
              <w:right w:w="108" w:type="dxa"/>
            </w:tcMar>
          </w:tcPr>
          <w:p w14:paraId="5AFF0A1C" w14:textId="77777777" w:rsidR="007F2587" w:rsidRPr="007716D3" w:rsidRDefault="007F2587" w:rsidP="007F2587">
            <w:pPr>
              <w:rPr>
                <w:noProof/>
              </w:rPr>
            </w:pPr>
            <w:r>
              <w:rPr>
                <w:noProof/>
              </w:rPr>
              <w:t>COM(2017) 10 final</w:t>
            </w:r>
            <w:r>
              <w:rPr>
                <w:noProof/>
              </w:rPr>
              <w:br/>
              <w:t>2017/0003 (COD)</w:t>
            </w:r>
          </w:p>
        </w:tc>
        <w:tc>
          <w:tcPr>
            <w:tcW w:w="6622" w:type="dxa"/>
            <w:shd w:val="clear" w:color="auto" w:fill="auto"/>
            <w:tcMar>
              <w:top w:w="85" w:type="dxa"/>
              <w:bottom w:w="85" w:type="dxa"/>
              <w:right w:w="108" w:type="dxa"/>
            </w:tcMar>
          </w:tcPr>
          <w:p w14:paraId="0533CA0A" w14:textId="77777777" w:rsidR="007F2587" w:rsidRPr="007716D3" w:rsidRDefault="007F2587" w:rsidP="007F2587">
            <w:pPr>
              <w:jc w:val="both"/>
              <w:rPr>
                <w:noProof/>
              </w:rPr>
            </w:pPr>
            <w:r>
              <w:rPr>
                <w:noProof/>
              </w:rPr>
              <w:t>Ehdotus EUROOPAN PARLAMENTIN JA NEUVOSTON ASETUKSEKSI yksityiselämän kunnioittamisesta ja henkilötietojen suojasta sähköisessä viestinnässä ja direktiivin 2002/58/EY kumoamisesta (sähköisen viestinnän tietosuoja-asetus)</w:t>
            </w:r>
          </w:p>
        </w:tc>
        <w:tc>
          <w:tcPr>
            <w:tcW w:w="4668" w:type="dxa"/>
            <w:tcMar>
              <w:top w:w="85" w:type="dxa"/>
              <w:bottom w:w="85" w:type="dxa"/>
              <w:right w:w="108" w:type="dxa"/>
            </w:tcMar>
          </w:tcPr>
          <w:p w14:paraId="2EDA8A65" w14:textId="77777777" w:rsidR="007F2587" w:rsidRPr="007716D3" w:rsidRDefault="007F2587" w:rsidP="007F2587">
            <w:pPr>
              <w:jc w:val="both"/>
              <w:rPr>
                <w:noProof/>
                <w:highlight w:val="yellow"/>
              </w:rPr>
            </w:pPr>
            <w:r>
              <w:rPr>
                <w:noProof/>
              </w:rPr>
              <w:t>Yhteisymmärrystä ei näköpiirissä – sopua lainsäätäjien välillä ei odotettavissa. Lisäksi ehdotus on sekä teknologisessa että lainsäädännöllisessä mielessä vanhentunut, kun otetaan huomioon viimeaikainen lainsäädäntö.</w:t>
            </w:r>
          </w:p>
        </w:tc>
      </w:tr>
      <w:tr w:rsidR="007F2587" w:rsidRPr="007716D3" w14:paraId="5F4701F7" w14:textId="77777777" w:rsidTr="002E78DB">
        <w:trPr>
          <w:cantSplit/>
          <w:trHeight w:val="879"/>
        </w:trPr>
        <w:tc>
          <w:tcPr>
            <w:tcW w:w="567" w:type="dxa"/>
            <w:tcBorders>
              <w:right w:val="nil"/>
            </w:tcBorders>
            <w:shd w:val="clear" w:color="auto" w:fill="auto"/>
            <w:tcMar>
              <w:top w:w="85" w:type="dxa"/>
              <w:bottom w:w="85" w:type="dxa"/>
              <w:right w:w="108" w:type="dxa"/>
            </w:tcMar>
          </w:tcPr>
          <w:p w14:paraId="3218257F"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3633826" w14:textId="77777777" w:rsidR="007F2587" w:rsidRPr="007716D3" w:rsidRDefault="007F2587" w:rsidP="007F2587">
            <w:pPr>
              <w:rPr>
                <w:noProof/>
              </w:rPr>
            </w:pPr>
            <w:r>
              <w:rPr>
                <w:noProof/>
              </w:rPr>
              <w:t>COM(2017) 85 final</w:t>
            </w:r>
            <w:r>
              <w:rPr>
                <w:noProof/>
              </w:rPr>
              <w:br/>
              <w:t>2017/0035 (COD)</w:t>
            </w:r>
          </w:p>
        </w:tc>
        <w:tc>
          <w:tcPr>
            <w:tcW w:w="6622" w:type="dxa"/>
            <w:shd w:val="clear" w:color="auto" w:fill="auto"/>
            <w:tcMar>
              <w:top w:w="85" w:type="dxa"/>
              <w:bottom w:w="85" w:type="dxa"/>
              <w:right w:w="108" w:type="dxa"/>
            </w:tcMar>
          </w:tcPr>
          <w:p w14:paraId="706E00CA" w14:textId="77777777" w:rsidR="007F2587" w:rsidRPr="007716D3" w:rsidRDefault="007F2587" w:rsidP="007F2587">
            <w:pPr>
              <w:jc w:val="both"/>
              <w:rPr>
                <w:noProof/>
              </w:rPr>
            </w:pPr>
            <w:r>
              <w:rPr>
                <w:noProof/>
              </w:rPr>
              <w:t>Ehdotus EUROOPAN PARLAMENTIN JA NEUVOSTON ASETUKSEKSI yleisistä säännöistä ja periaatteista, joiden mukaisesti jäsenvaltiot valvovat komission täytäntöönpanovallan käyttöä, annetun asetuksen (EU) N:o 182/2011 muuttamisesta</w:t>
            </w:r>
          </w:p>
        </w:tc>
        <w:tc>
          <w:tcPr>
            <w:tcW w:w="4668" w:type="dxa"/>
            <w:tcMar>
              <w:top w:w="85" w:type="dxa"/>
              <w:bottom w:w="85" w:type="dxa"/>
              <w:right w:w="108" w:type="dxa"/>
            </w:tcMar>
          </w:tcPr>
          <w:p w14:paraId="4721304E" w14:textId="77777777" w:rsidR="007F2587" w:rsidRPr="007716D3" w:rsidRDefault="007F2587" w:rsidP="007F2587">
            <w:pPr>
              <w:jc w:val="both"/>
              <w:rPr>
                <w:noProof/>
              </w:rPr>
            </w:pPr>
            <w:r>
              <w:rPr>
                <w:noProof/>
              </w:rPr>
              <w:t>Yhteisymmärrystä ei näköpiirissä – ehdotus on jumiutunut, ja sen eteneminen on epätodennäköistä.</w:t>
            </w:r>
          </w:p>
        </w:tc>
      </w:tr>
      <w:tr w:rsidR="007F2587" w:rsidRPr="007716D3" w14:paraId="12EBCAF0" w14:textId="77777777" w:rsidTr="002E78DB">
        <w:trPr>
          <w:cantSplit/>
          <w:trHeight w:val="527"/>
        </w:trPr>
        <w:tc>
          <w:tcPr>
            <w:tcW w:w="567" w:type="dxa"/>
            <w:tcBorders>
              <w:right w:val="nil"/>
            </w:tcBorders>
            <w:shd w:val="clear" w:color="auto" w:fill="auto"/>
            <w:tcMar>
              <w:top w:w="85" w:type="dxa"/>
              <w:bottom w:w="85" w:type="dxa"/>
              <w:right w:w="108" w:type="dxa"/>
            </w:tcMar>
          </w:tcPr>
          <w:p w14:paraId="42235492"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07037D5" w14:textId="77777777" w:rsidR="007F2587" w:rsidRDefault="007F2587" w:rsidP="007F2587">
            <w:pPr>
              <w:rPr>
                <w:noProof/>
              </w:rPr>
            </w:pPr>
            <w:r>
              <w:rPr>
                <w:noProof/>
              </w:rPr>
              <w:t>COM(2018) 96 final</w:t>
            </w:r>
            <w:r>
              <w:rPr>
                <w:noProof/>
              </w:rPr>
              <w:br/>
              <w:t>2018/0044 (COD)</w:t>
            </w:r>
          </w:p>
        </w:tc>
        <w:tc>
          <w:tcPr>
            <w:tcW w:w="6622" w:type="dxa"/>
            <w:shd w:val="clear" w:color="auto" w:fill="auto"/>
            <w:tcMar>
              <w:top w:w="85" w:type="dxa"/>
              <w:bottom w:w="85" w:type="dxa"/>
              <w:right w:w="108" w:type="dxa"/>
            </w:tcMar>
          </w:tcPr>
          <w:p w14:paraId="4C1ADB91" w14:textId="77777777" w:rsidR="007F2587" w:rsidRPr="004E75CA" w:rsidRDefault="007F2587" w:rsidP="007F2587">
            <w:pPr>
              <w:jc w:val="both"/>
              <w:rPr>
                <w:noProof/>
              </w:rPr>
            </w:pPr>
            <w:r>
              <w:rPr>
                <w:noProof/>
              </w:rPr>
              <w:t>Ehdotus EUROOPAN PARLAMENTIN JA NEUVOSTON ASETUKSEKSI saatavien siirrosta kolmansille osapuolille aiheutuviin vaikutuksiin sovellettavasta laista</w:t>
            </w:r>
          </w:p>
        </w:tc>
        <w:tc>
          <w:tcPr>
            <w:tcW w:w="4668" w:type="dxa"/>
            <w:tcMar>
              <w:top w:w="85" w:type="dxa"/>
              <w:bottom w:w="85" w:type="dxa"/>
              <w:right w:w="108" w:type="dxa"/>
            </w:tcMar>
          </w:tcPr>
          <w:p w14:paraId="3D6626D0" w14:textId="77777777" w:rsidR="007F2587" w:rsidRPr="003656E5" w:rsidRDefault="007F2587" w:rsidP="007F2587">
            <w:pPr>
              <w:jc w:val="both"/>
              <w:rPr>
                <w:noProof/>
              </w:rPr>
            </w:pPr>
            <w:r>
              <w:rPr>
                <w:noProof/>
              </w:rPr>
              <w:t>Yhteisymmärrystä ei näköpiirissä – ehdotus on jumiutunut, ja sen eteneminen on epätodennäköistä.</w:t>
            </w:r>
          </w:p>
        </w:tc>
      </w:tr>
      <w:tr w:rsidR="007F2587" w:rsidRPr="007716D3" w14:paraId="72CCC6EE" w14:textId="77777777" w:rsidTr="002E78DB">
        <w:trPr>
          <w:cantSplit/>
          <w:trHeight w:val="527"/>
        </w:trPr>
        <w:tc>
          <w:tcPr>
            <w:tcW w:w="567" w:type="dxa"/>
            <w:tcBorders>
              <w:right w:val="nil"/>
            </w:tcBorders>
            <w:shd w:val="clear" w:color="auto" w:fill="auto"/>
            <w:tcMar>
              <w:top w:w="85" w:type="dxa"/>
              <w:bottom w:w="85" w:type="dxa"/>
              <w:right w:w="108" w:type="dxa"/>
            </w:tcMar>
          </w:tcPr>
          <w:p w14:paraId="7AD516B3"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5BD4D619" w14:textId="77777777" w:rsidR="007F2587" w:rsidRDefault="007F2587" w:rsidP="007F2587">
            <w:pPr>
              <w:rPr>
                <w:noProof/>
              </w:rPr>
            </w:pPr>
            <w:r>
              <w:rPr>
                <w:noProof/>
              </w:rPr>
              <w:t>COM(2022) 496 final</w:t>
            </w:r>
            <w:r>
              <w:rPr>
                <w:noProof/>
              </w:rPr>
              <w:br/>
              <w:t>2022/0303 (COD)</w:t>
            </w:r>
          </w:p>
        </w:tc>
        <w:tc>
          <w:tcPr>
            <w:tcW w:w="6622" w:type="dxa"/>
            <w:shd w:val="clear" w:color="auto" w:fill="auto"/>
            <w:tcMar>
              <w:top w:w="85" w:type="dxa"/>
              <w:bottom w:w="85" w:type="dxa"/>
              <w:right w:w="108" w:type="dxa"/>
            </w:tcMar>
          </w:tcPr>
          <w:p w14:paraId="0F266DB4" w14:textId="77777777" w:rsidR="007F2587" w:rsidRPr="004E75CA" w:rsidRDefault="007F2587" w:rsidP="007F2587">
            <w:pPr>
              <w:jc w:val="both"/>
              <w:rPr>
                <w:noProof/>
              </w:rPr>
            </w:pPr>
            <w:r>
              <w:rPr>
                <w:noProof/>
              </w:rPr>
              <w:t>Ehdotus EUROOPAN PARLAMENTIN JA NEUVOSTON DIREKTIIVIKSI sopimuksenulkoista siviilioikeudellista vastuuta koskevien sääntöjen mukauttamisesta tekoälyyn (direktiivi tekoälyyn liittyvästä vastuusta)</w:t>
            </w:r>
          </w:p>
        </w:tc>
        <w:tc>
          <w:tcPr>
            <w:tcW w:w="4668" w:type="dxa"/>
            <w:tcMar>
              <w:top w:w="85" w:type="dxa"/>
              <w:bottom w:w="85" w:type="dxa"/>
              <w:right w:w="108" w:type="dxa"/>
            </w:tcMar>
          </w:tcPr>
          <w:p w14:paraId="504B4617" w14:textId="77777777" w:rsidR="007F2587" w:rsidRPr="003656E5" w:rsidRDefault="007F2587" w:rsidP="007F2587">
            <w:pPr>
              <w:jc w:val="both"/>
              <w:rPr>
                <w:noProof/>
              </w:rPr>
            </w:pPr>
            <w:r>
              <w:rPr>
                <w:noProof/>
              </w:rPr>
              <w:t>Yhteisymmärrystä ei näköpiirissä – komissio arvioi, tulisiko esittää uusi ehdotus vai valita toisenlainen tulokulma.</w:t>
            </w:r>
          </w:p>
        </w:tc>
      </w:tr>
      <w:tr w:rsidR="007F2587" w:rsidRPr="007716D3" w14:paraId="349FF3AA" w14:textId="77777777" w:rsidTr="007F2587">
        <w:trPr>
          <w:cantSplit/>
        </w:trPr>
        <w:tc>
          <w:tcPr>
            <w:tcW w:w="14034" w:type="dxa"/>
            <w:gridSpan w:val="4"/>
            <w:shd w:val="clear" w:color="auto" w:fill="000083"/>
            <w:tcMar>
              <w:top w:w="85" w:type="dxa"/>
              <w:bottom w:w="85" w:type="dxa"/>
              <w:right w:w="108" w:type="dxa"/>
            </w:tcMar>
          </w:tcPr>
          <w:p w14:paraId="5E45BE3C" w14:textId="24312599" w:rsidR="007F2587" w:rsidRPr="007716D3" w:rsidRDefault="007F2587" w:rsidP="007F2587">
            <w:pPr>
              <w:spacing w:before="60" w:after="60"/>
              <w:jc w:val="both"/>
              <w:rPr>
                <w:noProof/>
              </w:rPr>
            </w:pPr>
            <w:r>
              <w:rPr>
                <w:b/>
                <w:noProof/>
                <w:color w:val="FFFFFF"/>
              </w:rPr>
              <w:t>Globaali Eurooppa: vaikutusvaltaa ja kumppanuuksia</w:t>
            </w:r>
          </w:p>
        </w:tc>
      </w:tr>
      <w:tr w:rsidR="007F2587" w:rsidRPr="007716D3" w14:paraId="6599B66F" w14:textId="77777777" w:rsidTr="002E78DB">
        <w:trPr>
          <w:cantSplit/>
        </w:trPr>
        <w:tc>
          <w:tcPr>
            <w:tcW w:w="567" w:type="dxa"/>
            <w:tcBorders>
              <w:right w:val="nil"/>
            </w:tcBorders>
            <w:shd w:val="clear" w:color="auto" w:fill="auto"/>
            <w:tcMar>
              <w:top w:w="85" w:type="dxa"/>
              <w:bottom w:w="85" w:type="dxa"/>
              <w:right w:w="108" w:type="dxa"/>
            </w:tcMar>
          </w:tcPr>
          <w:p w14:paraId="0587310D"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2E717440" w14:textId="77777777" w:rsidR="007F2587" w:rsidRPr="007716D3" w:rsidRDefault="007F2587" w:rsidP="007F2587">
            <w:pPr>
              <w:rPr>
                <w:noProof/>
              </w:rPr>
            </w:pPr>
            <w:r>
              <w:rPr>
                <w:noProof/>
              </w:rPr>
              <w:t>JOIN(2015) 36 final</w:t>
            </w:r>
            <w:r>
              <w:rPr>
                <w:noProof/>
              </w:rPr>
              <w:br/>
              <w:t>2015/0302 (NLE)</w:t>
            </w:r>
          </w:p>
        </w:tc>
        <w:tc>
          <w:tcPr>
            <w:tcW w:w="6622" w:type="dxa"/>
            <w:shd w:val="clear" w:color="auto" w:fill="auto"/>
            <w:tcMar>
              <w:top w:w="85" w:type="dxa"/>
              <w:bottom w:w="85" w:type="dxa"/>
              <w:right w:w="108" w:type="dxa"/>
            </w:tcMar>
          </w:tcPr>
          <w:p w14:paraId="51857B63" w14:textId="77777777" w:rsidR="007F2587" w:rsidRPr="007716D3" w:rsidRDefault="007F2587" w:rsidP="007F2587">
            <w:pPr>
              <w:jc w:val="both"/>
              <w:rPr>
                <w:noProof/>
              </w:rPr>
            </w:pPr>
            <w:r>
              <w:rPr>
                <w:noProof/>
              </w:rPr>
              <w:t>Yhteinen ehdotus NEUVOSTON PÄÄTÖKSEKSI Euroopan unionin ja Afganistanin islamilaisen tasavallan välisen kumppanuutta ja kehitystä koskevan yhteistyösopimuksen tekemisestä Euroopan unionin puolesta</w:t>
            </w:r>
          </w:p>
        </w:tc>
        <w:tc>
          <w:tcPr>
            <w:tcW w:w="4668" w:type="dxa"/>
            <w:tcMar>
              <w:top w:w="85" w:type="dxa"/>
              <w:bottom w:w="85" w:type="dxa"/>
              <w:right w:w="108" w:type="dxa"/>
            </w:tcMar>
          </w:tcPr>
          <w:p w14:paraId="08DB7164" w14:textId="77777777" w:rsidR="007F2587" w:rsidRPr="007716D3" w:rsidRDefault="007F2587" w:rsidP="007F2587">
            <w:pPr>
              <w:jc w:val="both"/>
              <w:rPr>
                <w:noProof/>
              </w:rPr>
            </w:pPr>
            <w:r>
              <w:rPr>
                <w:noProof/>
              </w:rPr>
              <w:t>Vanhentunut – sopimuksen ratifiointi on keskeytetty Talebanin nimitettyä väliaikaishallituksen, jota kansainvälinen yhteisö ei ole tähän mennessä tunnustanut, minkä vuoksi alkuperäinen sopimus on vanhentunut.</w:t>
            </w:r>
          </w:p>
        </w:tc>
      </w:tr>
      <w:tr w:rsidR="007F2587" w:rsidRPr="007716D3" w14:paraId="6B66D0AA" w14:textId="77777777" w:rsidTr="002E78DB">
        <w:trPr>
          <w:cantSplit/>
        </w:trPr>
        <w:tc>
          <w:tcPr>
            <w:tcW w:w="567" w:type="dxa"/>
            <w:tcBorders>
              <w:right w:val="nil"/>
            </w:tcBorders>
            <w:shd w:val="clear" w:color="auto" w:fill="auto"/>
            <w:tcMar>
              <w:top w:w="85" w:type="dxa"/>
              <w:bottom w:w="85" w:type="dxa"/>
              <w:right w:w="108" w:type="dxa"/>
            </w:tcMar>
          </w:tcPr>
          <w:p w14:paraId="54F8A780"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623EB7E8" w14:textId="77777777" w:rsidR="007F2587" w:rsidRPr="007716D3" w:rsidRDefault="007F2587" w:rsidP="007F2587">
            <w:pPr>
              <w:rPr>
                <w:noProof/>
              </w:rPr>
            </w:pPr>
            <w:r>
              <w:rPr>
                <w:noProof/>
              </w:rPr>
              <w:t>COM(2022) 63 final</w:t>
            </w:r>
            <w:r>
              <w:rPr>
                <w:noProof/>
              </w:rPr>
              <w:br/>
              <w:t>2022/0043 (NLE)</w:t>
            </w:r>
          </w:p>
        </w:tc>
        <w:tc>
          <w:tcPr>
            <w:tcW w:w="6622" w:type="dxa"/>
            <w:shd w:val="clear" w:color="auto" w:fill="auto"/>
            <w:tcMar>
              <w:top w:w="85" w:type="dxa"/>
              <w:bottom w:w="85" w:type="dxa"/>
              <w:right w:w="108" w:type="dxa"/>
            </w:tcMar>
          </w:tcPr>
          <w:p w14:paraId="1B223A64" w14:textId="77777777" w:rsidR="007F2587" w:rsidRPr="007716D3" w:rsidRDefault="007F2587" w:rsidP="007F2587">
            <w:pPr>
              <w:jc w:val="both"/>
              <w:rPr>
                <w:noProof/>
              </w:rPr>
            </w:pPr>
            <w:r>
              <w:rPr>
                <w:noProof/>
              </w:rPr>
              <w:t>Ehdotus NEUVOSTON PÄÄTÖKSEKSI julkisesti tuettuja vientiluottoja koskevan järjestelyn osallistujien kirjallisessa menettelyssä Euroopan unionin puolesta otettavasta kannasta liitteen IV muuttamiseen</w:t>
            </w:r>
          </w:p>
        </w:tc>
        <w:tc>
          <w:tcPr>
            <w:tcW w:w="4668" w:type="dxa"/>
            <w:tcMar>
              <w:top w:w="85" w:type="dxa"/>
              <w:bottom w:w="85" w:type="dxa"/>
              <w:right w:w="108" w:type="dxa"/>
            </w:tcMar>
          </w:tcPr>
          <w:p w14:paraId="0B26D284" w14:textId="77777777" w:rsidR="007F2587" w:rsidRPr="007716D3" w:rsidRDefault="007F2587" w:rsidP="007F2587">
            <w:pPr>
              <w:jc w:val="both"/>
              <w:rPr>
                <w:noProof/>
              </w:rPr>
            </w:pPr>
            <w:r>
              <w:rPr>
                <w:noProof/>
              </w:rPr>
              <w:t>Vanhentunut – ehdotus tehtiin julkisesti tuettuja vientiluottoja koskevan järjestelyn uudistamisesta käydyissä neuvotteluissa, jotka saatiin päätökseen vuonna 2023. Ehdotuksen sisältö on sisällytetty toiseen neuvoston päätökseen, minkä vuoksi tämä ehdotus on tarpeeton.</w:t>
            </w:r>
          </w:p>
        </w:tc>
      </w:tr>
      <w:tr w:rsidR="007F2587" w:rsidRPr="007716D3" w14:paraId="3820395D" w14:textId="77777777" w:rsidTr="007F2587">
        <w:trPr>
          <w:cantSplit/>
        </w:trPr>
        <w:tc>
          <w:tcPr>
            <w:tcW w:w="14034" w:type="dxa"/>
            <w:gridSpan w:val="4"/>
            <w:shd w:val="clear" w:color="auto" w:fill="0EC6D6"/>
            <w:tcMar>
              <w:top w:w="85" w:type="dxa"/>
              <w:bottom w:w="85" w:type="dxa"/>
              <w:right w:w="108" w:type="dxa"/>
            </w:tcMar>
          </w:tcPr>
          <w:p w14:paraId="2F144823" w14:textId="4912A85F" w:rsidR="007F2587" w:rsidRPr="007716D3" w:rsidRDefault="007F2587" w:rsidP="007F2587">
            <w:pPr>
              <w:spacing w:before="60" w:after="60"/>
              <w:jc w:val="both"/>
              <w:rPr>
                <w:noProof/>
              </w:rPr>
            </w:pPr>
            <w:r>
              <w:rPr>
                <w:b/>
                <w:noProof/>
                <w:color w:val="FFFFFF"/>
              </w:rPr>
              <w:t>Tuloksiin yhdessä ja unioni valmiiksi tulevaisuuteen</w:t>
            </w:r>
          </w:p>
        </w:tc>
      </w:tr>
      <w:tr w:rsidR="007F2587" w:rsidRPr="007716D3" w14:paraId="307AA3E5" w14:textId="77777777" w:rsidTr="002E78DB">
        <w:trPr>
          <w:cantSplit/>
        </w:trPr>
        <w:tc>
          <w:tcPr>
            <w:tcW w:w="567" w:type="dxa"/>
            <w:tcBorders>
              <w:right w:val="nil"/>
            </w:tcBorders>
            <w:shd w:val="clear" w:color="auto" w:fill="auto"/>
            <w:tcMar>
              <w:top w:w="85" w:type="dxa"/>
              <w:bottom w:w="85" w:type="dxa"/>
              <w:right w:w="108" w:type="dxa"/>
            </w:tcMar>
          </w:tcPr>
          <w:p w14:paraId="09CE052B"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3FA8F0DA" w14:textId="77777777" w:rsidR="007F2587" w:rsidRPr="007716D3" w:rsidRDefault="007F2587" w:rsidP="007F2587">
            <w:pPr>
              <w:rPr>
                <w:noProof/>
              </w:rPr>
            </w:pPr>
            <w:r>
              <w:rPr>
                <w:noProof/>
              </w:rPr>
              <w:t>COM(2022) 184 final</w:t>
            </w:r>
            <w:r>
              <w:rPr>
                <w:noProof/>
              </w:rPr>
              <w:br/>
              <w:t>2022/0125 (COD)</w:t>
            </w:r>
          </w:p>
        </w:tc>
        <w:tc>
          <w:tcPr>
            <w:tcW w:w="6622" w:type="dxa"/>
            <w:shd w:val="clear" w:color="auto" w:fill="auto"/>
            <w:tcMar>
              <w:top w:w="85" w:type="dxa"/>
              <w:bottom w:w="85" w:type="dxa"/>
              <w:right w:w="108" w:type="dxa"/>
            </w:tcMar>
          </w:tcPr>
          <w:p w14:paraId="4F2CB7CE" w14:textId="77777777" w:rsidR="007F2587" w:rsidRPr="007716D3" w:rsidRDefault="007F2587" w:rsidP="007F2587">
            <w:pPr>
              <w:jc w:val="both"/>
              <w:rPr>
                <w:noProof/>
              </w:rPr>
            </w:pPr>
            <w:r>
              <w:rPr>
                <w:noProof/>
              </w:rPr>
              <w:t>Ehdotus EUROOPAN PARLAMENTIN JA NEUVOSTON ASETUKSEKSI unionin yleiseen talousarvioon sovellettavista varainhoitosäännöistä annetun asetuksen (EU, Euratom) 2018/1046 muuttamisesta</w:t>
            </w:r>
          </w:p>
        </w:tc>
        <w:tc>
          <w:tcPr>
            <w:tcW w:w="4668" w:type="dxa"/>
            <w:tcMar>
              <w:top w:w="85" w:type="dxa"/>
              <w:bottom w:w="85" w:type="dxa"/>
              <w:right w:w="108" w:type="dxa"/>
            </w:tcMar>
          </w:tcPr>
          <w:p w14:paraId="01944729" w14:textId="77777777" w:rsidR="007F2587" w:rsidRPr="007716D3" w:rsidRDefault="007F2587" w:rsidP="007F2587">
            <w:pPr>
              <w:jc w:val="both"/>
              <w:rPr>
                <w:noProof/>
              </w:rPr>
            </w:pPr>
            <w:r>
              <w:rPr>
                <w:noProof/>
              </w:rPr>
              <w:t xml:space="preserve">Vanhentunut – ehdotuksen sisältö hyväksyttiin syyskuun 2024 lopussa osana varainhoitoasetuksen tarkistusta (uudelleenlaadittu). </w:t>
            </w:r>
          </w:p>
        </w:tc>
      </w:tr>
      <w:tr w:rsidR="007F2587" w:rsidRPr="007716D3" w14:paraId="64A2185E" w14:textId="77777777" w:rsidTr="002E78DB">
        <w:trPr>
          <w:cantSplit/>
        </w:trPr>
        <w:tc>
          <w:tcPr>
            <w:tcW w:w="567" w:type="dxa"/>
            <w:tcBorders>
              <w:right w:val="nil"/>
            </w:tcBorders>
            <w:shd w:val="clear" w:color="auto" w:fill="auto"/>
            <w:tcMar>
              <w:top w:w="85" w:type="dxa"/>
              <w:bottom w:w="85" w:type="dxa"/>
              <w:right w:w="108" w:type="dxa"/>
            </w:tcMar>
          </w:tcPr>
          <w:p w14:paraId="6BEE6447"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3389E633" w14:textId="77777777" w:rsidR="007F2587" w:rsidRPr="007716D3" w:rsidRDefault="007F2587" w:rsidP="007F2587">
            <w:pPr>
              <w:rPr>
                <w:noProof/>
              </w:rPr>
            </w:pPr>
            <w:r>
              <w:rPr>
                <w:noProof/>
              </w:rPr>
              <w:t>COM(2024) 301 final</w:t>
            </w:r>
            <w:r>
              <w:rPr>
                <w:noProof/>
              </w:rPr>
              <w:br/>
              <w:t>2024/0059 (COD)</w:t>
            </w:r>
          </w:p>
        </w:tc>
        <w:tc>
          <w:tcPr>
            <w:tcW w:w="6622" w:type="dxa"/>
            <w:shd w:val="clear" w:color="auto" w:fill="auto"/>
            <w:tcMar>
              <w:top w:w="85" w:type="dxa"/>
              <w:bottom w:w="85" w:type="dxa"/>
              <w:right w:w="108" w:type="dxa"/>
            </w:tcMar>
          </w:tcPr>
          <w:p w14:paraId="4C51120F" w14:textId="77777777" w:rsidR="007F2587" w:rsidRPr="007716D3" w:rsidRDefault="007F2587" w:rsidP="007F2587">
            <w:pPr>
              <w:jc w:val="both"/>
              <w:rPr>
                <w:noProof/>
              </w:rPr>
            </w:pPr>
            <w:r>
              <w:rPr>
                <w:noProof/>
              </w:rPr>
              <w:t>Ehdotus EUROOPAN PARLAMENTIN JA NEUVOSTON ASETUKSEKSI asetuksen (EU) 2021/1148 muuttamisesta rahoituspuitteiden ja temaattisen välineen määrärahojen osalta</w:t>
            </w:r>
          </w:p>
        </w:tc>
        <w:tc>
          <w:tcPr>
            <w:tcW w:w="4668" w:type="dxa"/>
            <w:tcMar>
              <w:top w:w="85" w:type="dxa"/>
              <w:bottom w:w="85" w:type="dxa"/>
              <w:right w:w="108" w:type="dxa"/>
            </w:tcMar>
          </w:tcPr>
          <w:p w14:paraId="5D2EB9FD" w14:textId="77777777" w:rsidR="007F2587" w:rsidRPr="007716D3" w:rsidRDefault="007F2587" w:rsidP="007F2587">
            <w:pPr>
              <w:jc w:val="both"/>
              <w:rPr>
                <w:noProof/>
              </w:rPr>
            </w:pPr>
            <w:r>
              <w:rPr>
                <w:noProof/>
              </w:rPr>
              <w:t>Yhteisymmärrystä ei näköpiirissä – sopua ei odotettavissa. Lisäksi monivuotisen rahoituskehyksen väliarviointi voidaan toteuttaa ilman tätä lainsäädäntöehdotusta.</w:t>
            </w:r>
          </w:p>
        </w:tc>
      </w:tr>
      <w:tr w:rsidR="007F2587" w:rsidRPr="007716D3" w14:paraId="250E8946" w14:textId="77777777" w:rsidTr="002E78DB">
        <w:trPr>
          <w:cantSplit/>
        </w:trPr>
        <w:tc>
          <w:tcPr>
            <w:tcW w:w="567" w:type="dxa"/>
            <w:tcBorders>
              <w:right w:val="nil"/>
            </w:tcBorders>
            <w:shd w:val="clear" w:color="auto" w:fill="auto"/>
            <w:tcMar>
              <w:top w:w="85" w:type="dxa"/>
              <w:bottom w:w="85" w:type="dxa"/>
              <w:right w:w="108" w:type="dxa"/>
            </w:tcMar>
          </w:tcPr>
          <w:p w14:paraId="398DB8D9" w14:textId="77777777" w:rsidR="007F2587" w:rsidRPr="0017125B" w:rsidRDefault="007F2587" w:rsidP="007F2587">
            <w:pPr>
              <w:numPr>
                <w:ilvl w:val="0"/>
                <w:numId w:val="2"/>
              </w:numPr>
              <w:ind w:left="426"/>
              <w:contextualSpacing/>
              <w:jc w:val="both"/>
              <w:rPr>
                <w:noProof/>
              </w:rPr>
            </w:pPr>
          </w:p>
        </w:tc>
        <w:tc>
          <w:tcPr>
            <w:tcW w:w="2177" w:type="dxa"/>
            <w:tcMar>
              <w:top w:w="85" w:type="dxa"/>
              <w:bottom w:w="85" w:type="dxa"/>
              <w:right w:w="108" w:type="dxa"/>
            </w:tcMar>
          </w:tcPr>
          <w:p w14:paraId="0CF9297D" w14:textId="77777777" w:rsidR="007F2587" w:rsidRPr="007716D3" w:rsidRDefault="007F2587" w:rsidP="007F2587">
            <w:pPr>
              <w:rPr>
                <w:noProof/>
              </w:rPr>
            </w:pPr>
            <w:r>
              <w:rPr>
                <w:noProof/>
              </w:rPr>
              <w:t>COM(2024) 100 final</w:t>
            </w:r>
            <w:r>
              <w:rPr>
                <w:noProof/>
              </w:rPr>
              <w:br/>
              <w:t>2024/0060 (COD)</w:t>
            </w:r>
          </w:p>
        </w:tc>
        <w:tc>
          <w:tcPr>
            <w:tcW w:w="6622" w:type="dxa"/>
            <w:shd w:val="clear" w:color="auto" w:fill="auto"/>
            <w:tcMar>
              <w:top w:w="85" w:type="dxa"/>
              <w:bottom w:w="85" w:type="dxa"/>
              <w:right w:w="108" w:type="dxa"/>
            </w:tcMar>
          </w:tcPr>
          <w:p w14:paraId="4DB94CEB" w14:textId="77777777" w:rsidR="007F2587" w:rsidRPr="007716D3" w:rsidRDefault="007F2587" w:rsidP="007F2587">
            <w:pPr>
              <w:jc w:val="both"/>
              <w:rPr>
                <w:noProof/>
              </w:rPr>
            </w:pPr>
            <w:r>
              <w:rPr>
                <w:noProof/>
              </w:rPr>
              <w:t>Ehdotus EUROOPAN PARLAMENTIN JA NEUVOSTON ASETUKSEKSI asetusten (EU) 2021/522, (EU) 2021/1057, (EU) 2021/1060, (EU) 2021/1139, (EU) 2021/1229, ja (EU) 2021/1775 muuttamisesta eräiden ohjelmien ja rahastojen määrärahoihin tehtävien muutosten osalta</w:t>
            </w:r>
          </w:p>
        </w:tc>
        <w:tc>
          <w:tcPr>
            <w:tcW w:w="4668" w:type="dxa"/>
            <w:tcMar>
              <w:top w:w="85" w:type="dxa"/>
              <w:bottom w:w="85" w:type="dxa"/>
              <w:right w:w="108" w:type="dxa"/>
            </w:tcMar>
          </w:tcPr>
          <w:p w14:paraId="58C8A92A" w14:textId="77777777" w:rsidR="007F2587" w:rsidRPr="007716D3" w:rsidRDefault="007F2587" w:rsidP="007F2587">
            <w:pPr>
              <w:jc w:val="both"/>
              <w:rPr>
                <w:noProof/>
              </w:rPr>
            </w:pPr>
            <w:r>
              <w:rPr>
                <w:noProof/>
              </w:rPr>
              <w:t>Yhteisymmärrystä ei näköpiirissä – sopua ei odotettavissa. Monivuotisen rahoituskehyksen väliarviointi voidaan toteuttaa ilman tätä lainsäädäntöehdotusta. Komissio ehdottaa vuonna 2025 brexit-mukautusvarauksen perustamisesta annetun asetuksen 2021/1755 muuttamista oikeusperustan vahvistamiseksi jäljellä olevien määrien uudelleenjakamiselle jäsenvaltioiden kesken.</w:t>
            </w:r>
          </w:p>
        </w:tc>
      </w:tr>
    </w:tbl>
    <w:p w14:paraId="61D9E0E2" w14:textId="77777777" w:rsidR="00421A45" w:rsidRDefault="00421A45">
      <w:pPr>
        <w:rPr>
          <w:rFonts w:ascii="Times New Roman" w:eastAsia="Times New Roman" w:hAnsi="Times New Roman" w:cs="Times New Roman"/>
          <w:b/>
          <w:bCs/>
          <w:noProof/>
          <w:sz w:val="28"/>
          <w:szCs w:val="28"/>
          <w:u w:val="single"/>
        </w:rPr>
      </w:pPr>
      <w:r>
        <w:rPr>
          <w:noProof/>
        </w:rPr>
        <w:br w:type="page"/>
      </w:r>
    </w:p>
    <w:p w14:paraId="141E26C1" w14:textId="298E7AC0" w:rsidR="00AB61A2" w:rsidRDefault="00634366" w:rsidP="00A2610D">
      <w:pPr>
        <w:jc w:val="center"/>
        <w:rPr>
          <w:rFonts w:ascii="Times New Roman" w:eastAsia="Times New Roman" w:hAnsi="Times New Roman" w:cs="Times New Roman"/>
          <w:b/>
          <w:bCs/>
          <w:noProof/>
          <w:sz w:val="28"/>
          <w:szCs w:val="28"/>
          <w:u w:val="single"/>
        </w:rPr>
      </w:pPr>
      <w:r>
        <w:rPr>
          <w:rFonts w:ascii="Times New Roman" w:hAnsi="Times New Roman"/>
          <w:b/>
          <w:noProof/>
          <w:sz w:val="28"/>
          <w:u w:val="single"/>
        </w:rPr>
        <w:t>Liite V: Suunniteltu lainsäädännön kumoaminen</w:t>
      </w:r>
    </w:p>
    <w:p w14:paraId="0F16B8B7" w14:textId="77777777" w:rsidR="00634366" w:rsidRPr="00634366" w:rsidRDefault="00634366" w:rsidP="00A2610D">
      <w:pPr>
        <w:jc w:val="center"/>
        <w:rPr>
          <w:rFonts w:ascii="Times New Roman" w:eastAsia="Times New Roman" w:hAnsi="Times New Roman" w:cs="Times New Roman"/>
          <w:noProof/>
          <w:sz w:val="28"/>
          <w:szCs w:val="28"/>
          <w:lang w:val="en-GB" w:eastAsia="en-GB"/>
        </w:rPr>
      </w:pPr>
    </w:p>
    <w:tbl>
      <w:tblPr>
        <w:tblW w:w="55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67"/>
        <w:gridCol w:w="1844"/>
        <w:gridCol w:w="3952"/>
        <w:gridCol w:w="8040"/>
      </w:tblGrid>
      <w:tr w:rsidR="00E77E8E" w:rsidRPr="00A26A97" w14:paraId="55014939" w14:textId="77777777" w:rsidTr="00A2610D">
        <w:trPr>
          <w:cantSplit/>
          <w:trHeight w:val="300"/>
          <w:tblHeader/>
        </w:trPr>
        <w:tc>
          <w:tcPr>
            <w:tcW w:w="197" w:type="pct"/>
            <w:tcBorders>
              <w:bottom w:val="single" w:sz="4" w:space="0" w:color="auto"/>
            </w:tcBorders>
            <w:shd w:val="clear" w:color="auto" w:fill="99CCFF"/>
            <w:vAlign w:val="center"/>
          </w:tcPr>
          <w:p w14:paraId="42900288" w14:textId="3FBDA792"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Nro</w:t>
            </w:r>
          </w:p>
        </w:tc>
        <w:tc>
          <w:tcPr>
            <w:tcW w:w="640" w:type="pct"/>
            <w:tcBorders>
              <w:bottom w:val="single" w:sz="4" w:space="0" w:color="auto"/>
            </w:tcBorders>
            <w:shd w:val="clear" w:color="auto" w:fill="99CCFF"/>
            <w:vAlign w:val="center"/>
          </w:tcPr>
          <w:p w14:paraId="29BDED9B"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Politiikan ala</w:t>
            </w:r>
          </w:p>
        </w:tc>
        <w:tc>
          <w:tcPr>
            <w:tcW w:w="1372" w:type="pct"/>
            <w:tcBorders>
              <w:bottom w:val="single" w:sz="4" w:space="0" w:color="auto"/>
            </w:tcBorders>
            <w:shd w:val="clear" w:color="auto" w:fill="99CCFF"/>
            <w:vAlign w:val="center"/>
          </w:tcPr>
          <w:p w14:paraId="765110BF"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Nimi</w:t>
            </w:r>
          </w:p>
        </w:tc>
        <w:tc>
          <w:tcPr>
            <w:tcW w:w="2791" w:type="pct"/>
            <w:tcBorders>
              <w:bottom w:val="single" w:sz="4" w:space="0" w:color="auto"/>
            </w:tcBorders>
            <w:shd w:val="clear" w:color="auto" w:fill="99CCFF"/>
            <w:vAlign w:val="center"/>
          </w:tcPr>
          <w:p w14:paraId="1EFC6D7E" w14:textId="77777777" w:rsidR="00DB10BC" w:rsidRPr="00AF79B4" w:rsidRDefault="00DB10BC" w:rsidP="00DE18E1">
            <w:pPr>
              <w:spacing w:before="60" w:after="60" w:line="240" w:lineRule="auto"/>
              <w:jc w:val="center"/>
              <w:rPr>
                <w:rFonts w:ascii="Times New Roman" w:hAnsi="Times New Roman"/>
                <w:b/>
                <w:bCs/>
                <w:noProof/>
                <w:sz w:val="20"/>
                <w:szCs w:val="20"/>
              </w:rPr>
            </w:pPr>
            <w:r>
              <w:rPr>
                <w:rFonts w:ascii="Times New Roman" w:hAnsi="Times New Roman"/>
                <w:b/>
                <w:noProof/>
                <w:sz w:val="20"/>
              </w:rPr>
              <w:t xml:space="preserve">Kumoamisen syyt </w:t>
            </w:r>
          </w:p>
        </w:tc>
      </w:tr>
      <w:tr w:rsidR="00E77E8E" w:rsidRPr="00A26A97" w14:paraId="6CB8DC92"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2D62F05E" w14:textId="77777777" w:rsidR="00DB10BC" w:rsidRPr="00A2610D" w:rsidRDefault="00DB10BC" w:rsidP="00B85D50">
            <w:pPr>
              <w:numPr>
                <w:ilvl w:val="0"/>
                <w:numId w:val="5"/>
              </w:numPr>
              <w:spacing w:after="0" w:line="240" w:lineRule="auto"/>
              <w:ind w:left="470" w:hanging="357"/>
              <w:jc w:val="both"/>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47AC05C3"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Maatalous</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2D65EBD9"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 xml:space="preserve">Neuvoston asetus (EY) N:o 870/2004, annettu 26 päivänä huhtikuuta 2004, maatalouden geenivarojen säilyttämistä, kuvaamista, keräämistä ja käyttöä koskevasta yhteisön ohjelmasta ja asetuksen (EY) N:o 1467/94 kumoamisesta </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3A15ADC9"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Tämä yhteisön ohjelma perustettiin vuosiksi 2004–2006 täydentämään ja edistämään yhteisön tasolla työtä, jota jäsenvaltioissa tehtiin maatalouden geenivarojen säilyttämiseksi, kuvaamiseksi, keräämiseksi ja käyttämiseksi. Ohjelmasta ei ole enää saatavilla tukea, koska tällä hetkellä kaikki yhteisen maatalouspolitiikan (YMP) tuki myönnetään käynnissä olevista maaseudun kehittämisohjelmista (vuoteen 2025 saakka) ja kansallisista YMP:n strategiasuunnitelmista (vuoteen 2027 asti) asetuksia (EU) 1305/2013 ja (EU) 2021/2115 noudattaen, minkä vuoksi tämä asetus on vanhentunut.</w:t>
            </w:r>
          </w:p>
        </w:tc>
      </w:tr>
      <w:tr w:rsidR="00E77E8E" w:rsidRPr="00A26A97" w14:paraId="32877D94"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0AF2C41B"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1E59E50D"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Euroopan tilastot</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9B4E1C3"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Neuvoston asetus (ETY) N:o 3037/90, annettu 9 päivänä lokakuuta 1990, Euroopan yhteisön tilastollisesta toimialaluokituksesta</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2B45DEF7" w14:textId="457754D5"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Luokitus vuodelta 1990 on vanhentunut. Euroopan yhteisön nykyinen tilastollinen toimialaluokitus (NACE) vahvistetaan 20 päivänä joulukuuta 2006 annetussa Euroopan parlamentin ja neuvoston asetuksessa (EY) N:o 1893/2006, sellaisena kuin se on viimeksi muutettuna 10 päivänä lokakuuta 2022 annetulla komission delegoidulla asetuksella (EU) 2023/137.</w:t>
            </w:r>
            <w:r w:rsidR="00DD40BB">
              <w:rPr>
                <w:rStyle w:val="normaltextrun"/>
                <w:noProof/>
                <w:sz w:val="20"/>
              </w:rPr>
              <w:t xml:space="preserve"> </w:t>
            </w:r>
          </w:p>
        </w:tc>
      </w:tr>
      <w:tr w:rsidR="00E77E8E" w:rsidRPr="00A26A97" w14:paraId="08B712BB"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12E9540F"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1C4A8D42" w14:textId="77777777" w:rsidR="00DB10BC" w:rsidRPr="0078755D" w:rsidRDefault="00DB10BC" w:rsidP="006B1F8A">
            <w:pPr>
              <w:spacing w:after="0" w:line="240" w:lineRule="auto"/>
              <w:rPr>
                <w:rStyle w:val="normaltextrun"/>
                <w:rFonts w:ascii="Times New Roman" w:eastAsia="Times New Roman" w:hAnsi="Times New Roman"/>
                <w:noProof/>
                <w:sz w:val="20"/>
                <w:szCs w:val="20"/>
              </w:rPr>
            </w:pPr>
            <w:r>
              <w:rPr>
                <w:rStyle w:val="normaltextrun"/>
                <w:rFonts w:ascii="Times New Roman" w:hAnsi="Times New Roman"/>
                <w:noProof/>
                <w:sz w:val="20"/>
              </w:rPr>
              <w:t>Euroopan tilastot</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7319CD3A"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Style w:val="normaltextrun"/>
                <w:rFonts w:ascii="Times New Roman" w:hAnsi="Times New Roman"/>
                <w:noProof/>
                <w:sz w:val="20"/>
              </w:rPr>
              <w:t>Neuvoston päätös, tehty 25 päivänä kesäkuuta 1996, yhteisön maataloustilastojen parantamisesta (96/411/EY)</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3FE32960"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Päätös on vanhentunut. Se on korvattu uusilla maataloustilastoja koskevilla asetuksilla (integroidut maatilatilastot, maatalouden tuotantopanokset ja tuotokset, maatalouden taloustilit).</w:t>
            </w:r>
          </w:p>
        </w:tc>
      </w:tr>
      <w:tr w:rsidR="00E77E8E" w:rsidRPr="00A26A97" w14:paraId="2B6F93E6" w14:textId="77777777" w:rsidTr="00A2610D">
        <w:trPr>
          <w:cantSplit/>
          <w:trHeight w:val="300"/>
        </w:trPr>
        <w:tc>
          <w:tcPr>
            <w:tcW w:w="197" w:type="pct"/>
            <w:tcBorders>
              <w:top w:val="single" w:sz="4" w:space="0" w:color="auto"/>
              <w:left w:val="single" w:sz="4" w:space="0" w:color="auto"/>
              <w:bottom w:val="single" w:sz="4" w:space="0" w:color="auto"/>
              <w:right w:val="single" w:sz="4" w:space="0" w:color="auto"/>
            </w:tcBorders>
          </w:tcPr>
          <w:p w14:paraId="72565504" w14:textId="77777777" w:rsidR="00DB10BC" w:rsidRPr="00A2610D" w:rsidRDefault="00DB10BC" w:rsidP="00B85D50">
            <w:pPr>
              <w:numPr>
                <w:ilvl w:val="0"/>
                <w:numId w:val="5"/>
              </w:numPr>
              <w:spacing w:after="0" w:line="240" w:lineRule="auto"/>
              <w:ind w:left="470" w:hanging="357"/>
              <w:rPr>
                <w:rFonts w:ascii="Times New Roman" w:hAnsi="Times New Roman"/>
                <w:noProof/>
                <w:sz w:val="20"/>
                <w:szCs w:val="20"/>
              </w:rPr>
            </w:pPr>
          </w:p>
        </w:tc>
        <w:tc>
          <w:tcPr>
            <w:tcW w:w="640" w:type="pct"/>
            <w:tcBorders>
              <w:top w:val="single" w:sz="4" w:space="0" w:color="auto"/>
              <w:left w:val="single" w:sz="4" w:space="0" w:color="auto"/>
              <w:bottom w:val="single" w:sz="4" w:space="0" w:color="auto"/>
              <w:right w:val="single" w:sz="4" w:space="0" w:color="auto"/>
            </w:tcBorders>
          </w:tcPr>
          <w:p w14:paraId="7508666C" w14:textId="77777777" w:rsidR="00DB10BC" w:rsidRPr="0078755D" w:rsidRDefault="00DB10BC" w:rsidP="006B1F8A">
            <w:pPr>
              <w:spacing w:after="0" w:line="240" w:lineRule="auto"/>
              <w:rPr>
                <w:rFonts w:ascii="Times New Roman" w:hAnsi="Times New Roman"/>
                <w:noProof/>
                <w:sz w:val="20"/>
                <w:szCs w:val="20"/>
              </w:rPr>
            </w:pPr>
            <w:r>
              <w:rPr>
                <w:rFonts w:ascii="Times New Roman" w:hAnsi="Times New Roman"/>
                <w:noProof/>
                <w:sz w:val="20"/>
              </w:rPr>
              <w:t>Maanteiden rahtiliikenne</w:t>
            </w:r>
          </w:p>
        </w:tc>
        <w:tc>
          <w:tcPr>
            <w:tcW w:w="1372" w:type="pct"/>
            <w:tcBorders>
              <w:top w:val="single" w:sz="4" w:space="0" w:color="auto"/>
              <w:left w:val="single" w:sz="4" w:space="0" w:color="auto"/>
              <w:bottom w:val="single" w:sz="4" w:space="0" w:color="auto"/>
              <w:right w:val="single" w:sz="4" w:space="0" w:color="auto"/>
            </w:tcBorders>
            <w:shd w:val="clear" w:color="auto" w:fill="auto"/>
          </w:tcPr>
          <w:p w14:paraId="5E4E33B2" w14:textId="77777777" w:rsidR="00DB10BC" w:rsidRPr="00A2610D" w:rsidRDefault="00DB10BC" w:rsidP="006B1F8A">
            <w:pPr>
              <w:spacing w:after="0" w:line="240" w:lineRule="auto"/>
              <w:jc w:val="both"/>
              <w:rPr>
                <w:rStyle w:val="normaltextrun"/>
                <w:rFonts w:ascii="Times New Roman" w:eastAsia="Times New Roman" w:hAnsi="Times New Roman"/>
                <w:noProof/>
                <w:sz w:val="20"/>
                <w:szCs w:val="20"/>
              </w:rPr>
            </w:pPr>
            <w:r>
              <w:rPr>
                <w:rFonts w:ascii="Times New Roman" w:hAnsi="Times New Roman"/>
                <w:noProof/>
                <w:sz w:val="20"/>
              </w:rPr>
              <w:t>Neuvoston asetus (ETY) N:o 4058/89, annettu 21 päivänä joulukuuta 1989, jäsenvaltioiden välisen maanteiden tavaraliikenteen maksujen määräämisestä</w:t>
            </w:r>
          </w:p>
        </w:tc>
        <w:tc>
          <w:tcPr>
            <w:tcW w:w="2791" w:type="pct"/>
            <w:tcBorders>
              <w:top w:val="single" w:sz="4" w:space="0" w:color="auto"/>
              <w:left w:val="single" w:sz="4" w:space="0" w:color="auto"/>
              <w:bottom w:val="single" w:sz="4" w:space="0" w:color="auto"/>
              <w:right w:val="single" w:sz="4" w:space="0" w:color="auto"/>
            </w:tcBorders>
            <w:shd w:val="clear" w:color="auto" w:fill="auto"/>
          </w:tcPr>
          <w:p w14:paraId="7922143E" w14:textId="77777777" w:rsidR="00DB10BC" w:rsidRPr="00A2610D" w:rsidRDefault="00DB10BC" w:rsidP="00AB0EC3">
            <w:pPr>
              <w:pStyle w:val="paragraph"/>
              <w:spacing w:before="0" w:beforeAutospacing="0" w:after="0" w:afterAutospacing="0"/>
              <w:jc w:val="both"/>
              <w:textAlignment w:val="baseline"/>
              <w:rPr>
                <w:rStyle w:val="normaltextrun"/>
                <w:rFonts w:eastAsiaTheme="majorEastAsia"/>
                <w:noProof/>
                <w:sz w:val="20"/>
                <w:szCs w:val="20"/>
              </w:rPr>
            </w:pPr>
            <w:r>
              <w:rPr>
                <w:rStyle w:val="normaltextrun"/>
                <w:noProof/>
                <w:sz w:val="20"/>
              </w:rPr>
              <w:t>Nykyaikaisella EU:n lainsäädännöllä on otettu käyttöön kattava kehys, jolla säännellään maantieliikennettä keskittyen turvallisuuteen, ympäristönormeihin ja reiluun kilpailuun ilman, että tarvitaan maksujen määräämistä. Esimerkiksi asetus (EY) N:o 1071/2009, asetus (EY) N:o 1072/2009 ja asetus (EY) N:o 1073/2009, ovat tosiasiallisesti korvanneet neuvoston asetuksen (ETY) N:o 4058/89 säännösten tarpeen, minkä vuoksi asetus on tarpeeton.</w:t>
            </w:r>
          </w:p>
        </w:tc>
      </w:tr>
    </w:tbl>
    <w:p w14:paraId="3B0E43A3" w14:textId="77777777" w:rsidR="00DF550A" w:rsidRDefault="00DF550A">
      <w:pPr>
        <w:rPr>
          <w:noProof/>
        </w:rPr>
      </w:pPr>
    </w:p>
    <w:p w14:paraId="4E7720AF" w14:textId="77777777" w:rsidR="00311D5E" w:rsidRDefault="00311D5E">
      <w:pPr>
        <w:rPr>
          <w:noProof/>
        </w:rPr>
      </w:pPr>
    </w:p>
    <w:sectPr w:rsidR="00311D5E" w:rsidSect="00053B16">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E037" w14:textId="77777777" w:rsidR="00C152DB" w:rsidRDefault="00C152DB" w:rsidP="00831FEE">
      <w:pPr>
        <w:spacing w:after="0" w:line="240" w:lineRule="auto"/>
      </w:pPr>
      <w:r>
        <w:separator/>
      </w:r>
    </w:p>
  </w:endnote>
  <w:endnote w:type="continuationSeparator" w:id="0">
    <w:p w14:paraId="2C686E47" w14:textId="77777777" w:rsidR="00C152DB" w:rsidRDefault="00C152DB" w:rsidP="00831FEE">
      <w:pPr>
        <w:spacing w:after="0" w:line="240" w:lineRule="auto"/>
      </w:pPr>
      <w:r>
        <w:continuationSeparator/>
      </w:r>
    </w:p>
  </w:endnote>
  <w:endnote w:type="continuationNotice" w:id="1">
    <w:p w14:paraId="74343047" w14:textId="77777777" w:rsidR="00C152DB" w:rsidRDefault="00C15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FFF1" w14:textId="2BEA1DF4" w:rsidR="002C72BD" w:rsidRPr="002C72BD" w:rsidRDefault="002C72BD" w:rsidP="002C72BD">
    <w:pPr>
      <w:pStyle w:val="FooterCoverPage"/>
      <w:rPr>
        <w:rFonts w:ascii="Arial" w:hAnsi="Arial" w:cs="Arial"/>
        <w:b/>
        <w:sz w:val="48"/>
      </w:rPr>
    </w:pPr>
    <w:r w:rsidRPr="002C72BD">
      <w:rPr>
        <w:rFonts w:ascii="Arial" w:hAnsi="Arial" w:cs="Arial"/>
        <w:b/>
        <w:sz w:val="48"/>
      </w:rPr>
      <w:t>FI</w:t>
    </w:r>
    <w:r w:rsidRPr="002C72BD">
      <w:rPr>
        <w:rFonts w:ascii="Arial" w:hAnsi="Arial" w:cs="Arial"/>
        <w:b/>
        <w:sz w:val="48"/>
      </w:rPr>
      <w:tab/>
    </w:r>
    <w:r w:rsidRPr="002C72BD">
      <w:rPr>
        <w:rFonts w:ascii="Arial" w:hAnsi="Arial" w:cs="Arial"/>
        <w:b/>
        <w:sz w:val="48"/>
      </w:rPr>
      <w:tab/>
    </w:r>
    <w:r w:rsidRPr="002C72BD">
      <w:tab/>
    </w:r>
    <w:r w:rsidRPr="002C72BD">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5122" w14:textId="790E3B87" w:rsidR="002C72BD" w:rsidRPr="002C72BD" w:rsidRDefault="002C72BD" w:rsidP="002C72BD">
    <w:pPr>
      <w:pStyle w:val="FooterCoverPage"/>
      <w:rPr>
        <w:rFonts w:ascii="Arial" w:hAnsi="Arial" w:cs="Arial"/>
        <w:b/>
        <w:sz w:val="48"/>
      </w:rPr>
    </w:pPr>
    <w:r w:rsidRPr="002C72BD">
      <w:rPr>
        <w:rFonts w:ascii="Arial" w:hAnsi="Arial" w:cs="Arial"/>
        <w:b/>
        <w:sz w:val="48"/>
      </w:rPr>
      <w:t>FI</w:t>
    </w:r>
    <w:r w:rsidRPr="002C72BD">
      <w:rPr>
        <w:rFonts w:ascii="Arial" w:hAnsi="Arial" w:cs="Arial"/>
        <w:b/>
        <w:sz w:val="48"/>
      </w:rPr>
      <w:tab/>
    </w:r>
    <w:r w:rsidRPr="002C72BD">
      <w:rPr>
        <w:rFonts w:ascii="Arial" w:hAnsi="Arial" w:cs="Arial"/>
        <w:b/>
        <w:sz w:val="48"/>
      </w:rPr>
      <w:tab/>
    </w:r>
    <w:r w:rsidRPr="002C72BD">
      <w:tab/>
    </w:r>
    <w:r w:rsidRPr="002C72BD">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61D4" w14:textId="77777777" w:rsidR="002C72BD" w:rsidRPr="002C72BD" w:rsidRDefault="002C72BD" w:rsidP="002C72B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72D0" w14:textId="77777777" w:rsidR="00053B16" w:rsidRDefault="00053B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43822868"/>
      <w:docPartObj>
        <w:docPartGallery w:val="Page Numbers (Bottom of Page)"/>
        <w:docPartUnique/>
      </w:docPartObj>
    </w:sdtPr>
    <w:sdtEndPr/>
    <w:sdtContent>
      <w:p w14:paraId="70A6B590" w14:textId="52A761C4" w:rsidR="00423439" w:rsidRPr="00173616" w:rsidRDefault="00423439">
        <w:pPr>
          <w:pStyle w:val="Footer"/>
          <w:jc w:val="right"/>
          <w:rPr>
            <w:rFonts w:ascii="Times New Roman" w:hAnsi="Times New Roman" w:cs="Times New Roman"/>
            <w:sz w:val="16"/>
            <w:szCs w:val="16"/>
          </w:rPr>
        </w:pPr>
        <w:r w:rsidRPr="00173616">
          <w:rPr>
            <w:rFonts w:ascii="Times New Roman" w:hAnsi="Times New Roman" w:cs="Times New Roman"/>
            <w:sz w:val="16"/>
          </w:rPr>
          <w:fldChar w:fldCharType="begin"/>
        </w:r>
        <w:r w:rsidRPr="00173616">
          <w:rPr>
            <w:rFonts w:ascii="Times New Roman" w:hAnsi="Times New Roman" w:cs="Times New Roman"/>
            <w:sz w:val="16"/>
          </w:rPr>
          <w:instrText xml:space="preserve"> PAGE   \* MERGEFORMAT </w:instrText>
        </w:r>
        <w:r w:rsidRPr="00173616">
          <w:rPr>
            <w:rFonts w:ascii="Times New Roman" w:hAnsi="Times New Roman" w:cs="Times New Roman"/>
            <w:sz w:val="16"/>
          </w:rPr>
          <w:fldChar w:fldCharType="separate"/>
        </w:r>
        <w:r w:rsidR="002C72BD">
          <w:rPr>
            <w:rFonts w:ascii="Times New Roman" w:hAnsi="Times New Roman" w:cs="Times New Roman"/>
            <w:noProof/>
            <w:sz w:val="16"/>
          </w:rPr>
          <w:t>1</w:t>
        </w:r>
        <w:r w:rsidRPr="00173616">
          <w:rPr>
            <w:rFonts w:ascii="Times New Roman" w:hAnsi="Times New Roman" w:cs="Times New Roman"/>
            <w:sz w:val="16"/>
          </w:rPr>
          <w:fldChar w:fldCharType="end"/>
        </w:r>
      </w:p>
    </w:sdtContent>
  </w:sdt>
  <w:p w14:paraId="3B13CEF4" w14:textId="77777777" w:rsidR="00053B16" w:rsidRDefault="00053B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9A42" w14:textId="77777777" w:rsidR="00053B16" w:rsidRDefault="0005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73855" w14:textId="77777777" w:rsidR="00C152DB" w:rsidRDefault="00C152DB" w:rsidP="00831FEE">
      <w:pPr>
        <w:spacing w:after="0" w:line="240" w:lineRule="auto"/>
      </w:pPr>
      <w:r>
        <w:separator/>
      </w:r>
    </w:p>
  </w:footnote>
  <w:footnote w:type="continuationSeparator" w:id="0">
    <w:p w14:paraId="15CC7504" w14:textId="77777777" w:rsidR="00C152DB" w:rsidRDefault="00C152DB" w:rsidP="00831FEE">
      <w:pPr>
        <w:spacing w:after="0" w:line="240" w:lineRule="auto"/>
      </w:pPr>
      <w:r>
        <w:continuationSeparator/>
      </w:r>
    </w:p>
  </w:footnote>
  <w:footnote w:type="continuationNotice" w:id="1">
    <w:p w14:paraId="42447FFF" w14:textId="77777777" w:rsidR="00C152DB" w:rsidRDefault="00C152DB">
      <w:pPr>
        <w:spacing w:after="0" w:line="240" w:lineRule="auto"/>
      </w:pPr>
    </w:p>
  </w:footnote>
  <w:footnote w:id="2">
    <w:p w14:paraId="2E375007" w14:textId="77777777" w:rsidR="00305F66" w:rsidRPr="003E2201" w:rsidRDefault="00305F66" w:rsidP="00A80851">
      <w:pPr>
        <w:pStyle w:val="FootnoteText"/>
        <w:ind w:left="0" w:hanging="284"/>
      </w:pPr>
      <w:r>
        <w:rPr>
          <w:rStyle w:val="FootnoteReference"/>
          <w:rFonts w:eastAsiaTheme="majorEastAsia"/>
        </w:rPr>
        <w:footnoteRef/>
      </w:r>
      <w:r>
        <w:tab/>
        <w:t xml:space="preserve">Komissio esittää paremmasta lainsäädännöstä tehtyä toimielinten välistä sopimusta noudattaen tässä liitteessä työohjelmaansa sisältyvistä aloitteista lisätietoja, jos sellaisia on. Nämä tiedot, jotka on annettu suluissa kunkin aloitteen kohdalla, ovat vain alustavia, ja niitä voidaan muuttaa valmisteluvaiheessa erityisesti vaikutustenarviointiprosessin tulosten perusteella. Yksinkertaistamisaloitteet tai aloitteet, joissa on mukana vahva pyrkimys yksinkertaistamiseen, esitetään </w:t>
      </w:r>
      <w:r>
        <w:rPr>
          <w:shd w:val="clear" w:color="auto" w:fill="C1E4F5" w:themeFill="accent1" w:themeFillTint="33"/>
        </w:rPr>
        <w:t>sinisellä taustalla</w:t>
      </w:r>
      <w:r>
        <w:t>.</w:t>
      </w:r>
    </w:p>
  </w:footnote>
  <w:footnote w:id="3">
    <w:p w14:paraId="7F0E153B" w14:textId="77777777" w:rsidR="00BE2853" w:rsidRPr="00592B6F" w:rsidRDefault="00BE2853" w:rsidP="00BE2853">
      <w:pPr>
        <w:pStyle w:val="FootnoteText"/>
        <w:ind w:left="0"/>
      </w:pPr>
      <w:r>
        <w:rPr>
          <w:rStyle w:val="FootnoteReference"/>
        </w:rPr>
        <w:footnoteRef/>
      </w:r>
      <w:r>
        <w:tab/>
        <w:t xml:space="preserve">Tämä luettelo sisältää vireillä olevia lainsäädäntöehdotuksia, jotka komissio aikoo peruuttaa kuuden kuukauden kuluessa.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8B81" w14:textId="77777777" w:rsidR="002C72BD" w:rsidRPr="002C72BD" w:rsidRDefault="002C72BD" w:rsidP="002C72B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41BC" w14:textId="77777777" w:rsidR="002C72BD" w:rsidRPr="002C72BD" w:rsidRDefault="002C72BD" w:rsidP="002C72B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66E0" w14:textId="77777777" w:rsidR="002C72BD" w:rsidRPr="002C72BD" w:rsidRDefault="002C72BD" w:rsidP="002C72B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8670" w14:textId="77777777" w:rsidR="00053B16" w:rsidRDefault="00053B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F212" w14:textId="67431946" w:rsidR="00053B16" w:rsidRPr="00CC0BE2" w:rsidRDefault="00053B16" w:rsidP="00A36824">
    <w:pPr>
      <w:pStyle w:val="Header"/>
      <w:ind w:right="-223"/>
      <w:jc w:val="right"/>
      <w:rPr>
        <w:rFonts w:ascii="Times New Roman" w:hAnsi="Times New Roman" w:cs="Times New Roman"/>
        <w:sz w:val="20"/>
        <w:szCs w:val="20"/>
        <w:lang w:val="fr-BE"/>
      </w:rPr>
    </w:pPr>
  </w:p>
  <w:p w14:paraId="247C4561" w14:textId="4FA6AAA9" w:rsidR="00CC0BE2" w:rsidRPr="00CC0BE2" w:rsidRDefault="00CC0BE2" w:rsidP="00A36824">
    <w:pPr>
      <w:pStyle w:val="Header"/>
      <w:ind w:right="-223"/>
      <w:jc w:val="right"/>
      <w:rPr>
        <w:rFonts w:ascii="Times New Roman" w:hAnsi="Times New Roman" w:cs="Times New Roman"/>
        <w:sz w:val="20"/>
        <w:szCs w:val="20"/>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74EF7" w14:textId="77777777" w:rsidR="00053B16" w:rsidRDefault="0005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34FE"/>
    <w:multiLevelType w:val="hybridMultilevel"/>
    <w:tmpl w:val="25BE5CB4"/>
    <w:lvl w:ilvl="0" w:tplc="819006E2">
      <w:start w:val="1"/>
      <w:numFmt w:val="decimal"/>
      <w:lvlText w:val="%1."/>
      <w:lvlJc w:val="left"/>
      <w:pPr>
        <w:ind w:left="363" w:hanging="363"/>
      </w:pPr>
      <w:rPr>
        <w:rFonts w:hint="default"/>
        <w:b w:val="0"/>
        <w:sz w:val="20"/>
        <w:szCs w:val="20"/>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 w15:restartNumberingAfterBreak="0">
    <w:nsid w:val="1AFF6AC2"/>
    <w:multiLevelType w:val="hybridMultilevel"/>
    <w:tmpl w:val="B6DA6FF4"/>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633FB9"/>
    <w:multiLevelType w:val="hybridMultilevel"/>
    <w:tmpl w:val="DDF223B4"/>
    <w:lvl w:ilvl="0" w:tplc="FFFFFFFF">
      <w:start w:val="1"/>
      <w:numFmt w:val="decimal"/>
      <w:lvlText w:val="%1."/>
      <w:lvlJc w:val="left"/>
      <w:pPr>
        <w:ind w:left="363" w:hanging="363"/>
      </w:pPr>
      <w:rPr>
        <w:rFonts w:hint="default"/>
        <w:b w:val="0"/>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57B7E92"/>
    <w:multiLevelType w:val="hybridMultilevel"/>
    <w:tmpl w:val="DDF223B4"/>
    <w:lvl w:ilvl="0" w:tplc="150EFE18">
      <w:start w:val="1"/>
      <w:numFmt w:val="decimal"/>
      <w:lvlText w:val="%1."/>
      <w:lvlJc w:val="left"/>
      <w:pPr>
        <w:ind w:left="720" w:hanging="363"/>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B2722"/>
    <w:multiLevelType w:val="hybridMultilevel"/>
    <w:tmpl w:val="B6DA6FF4"/>
    <w:lvl w:ilvl="0" w:tplc="FFFFFFFF">
      <w:start w:val="1"/>
      <w:numFmt w:val="decimal"/>
      <w:suff w:val="noth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6C143F"/>
    <w:multiLevelType w:val="hybridMultilevel"/>
    <w:tmpl w:val="C0E0C20A"/>
    <w:lvl w:ilvl="0" w:tplc="B8E48B0A">
      <w:start w:val="1"/>
      <w:numFmt w:val="decimal"/>
      <w:lvlText w:val="%1."/>
      <w:lvlJc w:val="left"/>
      <w:pPr>
        <w:ind w:left="1440"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4E722D81"/>
    <w:multiLevelType w:val="hybridMultilevel"/>
    <w:tmpl w:val="37EA63AE"/>
    <w:lvl w:ilvl="0" w:tplc="BAFCF44E">
      <w:start w:val="1"/>
      <w:numFmt w:val="decimal"/>
      <w:lvlText w:val="%1."/>
      <w:lvlJc w:val="left"/>
      <w:pPr>
        <w:ind w:left="786" w:hanging="360"/>
      </w:pPr>
      <w:rPr>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8D95CA1"/>
    <w:multiLevelType w:val="hybridMultilevel"/>
    <w:tmpl w:val="DDF223B4"/>
    <w:lvl w:ilvl="0" w:tplc="FFFFFFFF">
      <w:start w:val="1"/>
      <w:numFmt w:val="decimal"/>
      <w:lvlText w:val="%1."/>
      <w:lvlJc w:val="left"/>
      <w:pPr>
        <w:ind w:left="363" w:hanging="363"/>
      </w:pPr>
      <w:rPr>
        <w:rFonts w:hint="default"/>
        <w:b w:val="0"/>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siakirjaan"/>
    <w:docVar w:name="LW_ANNEX_NBR_FIRST" w:val="1"/>
    <w:docVar w:name="LW_ANNEX_NBR_LAST" w:val="5"/>
    <w:docVar w:name="LW_ANNEX_UNIQUE" w:val="0"/>
    <w:docVar w:name="LW_CORRIGENDUM" w:val="&lt;UNUSED&gt;"/>
    <w:docVar w:name="LW_COVERPAGE_EXISTS" w:val="True"/>
    <w:docVar w:name="LW_COVERPAGE_GUID" w:val="BE034075-A1CB-4701-B6B2-727B9902DD43"/>
    <w:docVar w:name="LW_COVERPAGE_TYPE" w:val="1"/>
    <w:docVar w:name="LW_CROSSREFERENCE" w:val="&lt;UNUSED&gt;"/>
    <w:docVar w:name="LW_DocType" w:val="NORMAL"/>
    <w:docVar w:name="LW_EMISSION" w:val="11.2.2025"/>
    <w:docVar w:name="LW_EMISSION_ISODATE" w:val="2025-02-11"/>
    <w:docVar w:name="LW_EMISSION_LOCATION" w:val="STR"/>
    <w:docVar w:name="LW_EMISSION_PREFIX" w:val="Strasbourg "/>
    <w:docVar w:name="LW_EMISSION_SUFFIX" w:val=" "/>
    <w:docVar w:name="LW_ID_DOCTYPE_NONLW" w:val="CP-039"/>
    <w:docVar w:name="LW_LANGUE" w:val="FI"/>
    <w:docVar w:name="LW_LEVEL_OF_SENSITIVITY" w:val="Standard treatment"/>
    <w:docVar w:name="LW_NOM.INST" w:val="EUROOPAN KOMISSIO"/>
    <w:docVar w:name="LW_NOM.INST_JOINTDOC" w:val="&lt;EMPTY&gt;"/>
    <w:docVar w:name="LW_OBJETACTEPRINCIPAL.CP" w:val="Komission työohjelma 2025_x000d__x000d__x000d__x000d__x000d__x000d__x000d__x000d__x000d__x000b__x000d__x000d__x000d__x000d__x000d__x000d__x000b__x000d__x000d__x000d__x000d__x000d__x000d__x000b__x000d__x000d__x000d__x000d__x000d__x000d__x000b__x000d_Yhdessä eteenpäin: rohkeammin, yksinkertaisemmin ja nopeammin toimiva unioni"/>
    <w:docVar w:name="LW_PART_NBR" w:val="&lt;UNUSED&gt;"/>
    <w:docVar w:name="LW_PART_NBR_TOTAL" w:val="&lt;UNUSED&gt;"/>
    <w:docVar w:name="LW_REF.INST.NEW" w:val="COM"/>
    <w:docVar w:name="LW_REF.INST.NEW_ADOPTED" w:val="final"/>
    <w:docVar w:name="LW_REF.INST.NEW_TEXT" w:val="(2025)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LIITTEET_x000b_"/>
    <w:docVar w:name="LW_TYPEACTEPRINCIPAL.CP" w:val="KOMISSION TIEDONANTO EUROOPAN PARLAMENTILLE, NEUVOSTOLLE, EUROOPAN TALOUS- JA SOSIAALIKOMITEALLE JA ALUEIDEN KOMITEALLE"/>
    <w:docVar w:name="LwApiVersions" w:val="LW4CoDe 1.24.5.0; LW 9.0, Build 20240221"/>
  </w:docVars>
  <w:rsids>
    <w:rsidRoot w:val="032C8567"/>
    <w:rsid w:val="00000007"/>
    <w:rsid w:val="00000051"/>
    <w:rsid w:val="00000797"/>
    <w:rsid w:val="0000088A"/>
    <w:rsid w:val="000010C8"/>
    <w:rsid w:val="00001426"/>
    <w:rsid w:val="000014F1"/>
    <w:rsid w:val="00001FAE"/>
    <w:rsid w:val="00002323"/>
    <w:rsid w:val="000027F7"/>
    <w:rsid w:val="00002CAB"/>
    <w:rsid w:val="0000381F"/>
    <w:rsid w:val="00004354"/>
    <w:rsid w:val="00004394"/>
    <w:rsid w:val="000043E5"/>
    <w:rsid w:val="000045A1"/>
    <w:rsid w:val="00004BFF"/>
    <w:rsid w:val="00004DF8"/>
    <w:rsid w:val="000050CC"/>
    <w:rsid w:val="000051B3"/>
    <w:rsid w:val="00006736"/>
    <w:rsid w:val="00007122"/>
    <w:rsid w:val="0000738F"/>
    <w:rsid w:val="000079E0"/>
    <w:rsid w:val="00010AC4"/>
    <w:rsid w:val="000112AF"/>
    <w:rsid w:val="00011FD4"/>
    <w:rsid w:val="000127A8"/>
    <w:rsid w:val="00012E78"/>
    <w:rsid w:val="00013077"/>
    <w:rsid w:val="000131C8"/>
    <w:rsid w:val="0001369D"/>
    <w:rsid w:val="00013A88"/>
    <w:rsid w:val="0001467F"/>
    <w:rsid w:val="00014C27"/>
    <w:rsid w:val="00014C87"/>
    <w:rsid w:val="000154BF"/>
    <w:rsid w:val="00016F89"/>
    <w:rsid w:val="0001788C"/>
    <w:rsid w:val="00017B8D"/>
    <w:rsid w:val="00020112"/>
    <w:rsid w:val="00020260"/>
    <w:rsid w:val="000207ED"/>
    <w:rsid w:val="000210ED"/>
    <w:rsid w:val="000211EB"/>
    <w:rsid w:val="00021C9F"/>
    <w:rsid w:val="00021E93"/>
    <w:rsid w:val="000224DE"/>
    <w:rsid w:val="00022714"/>
    <w:rsid w:val="0002371E"/>
    <w:rsid w:val="000240F0"/>
    <w:rsid w:val="00024E51"/>
    <w:rsid w:val="00024E97"/>
    <w:rsid w:val="000252D2"/>
    <w:rsid w:val="00025762"/>
    <w:rsid w:val="00026218"/>
    <w:rsid w:val="00026BC4"/>
    <w:rsid w:val="00026D47"/>
    <w:rsid w:val="000270D0"/>
    <w:rsid w:val="00027357"/>
    <w:rsid w:val="000276C4"/>
    <w:rsid w:val="00027B46"/>
    <w:rsid w:val="00027BF8"/>
    <w:rsid w:val="000300CA"/>
    <w:rsid w:val="000321E8"/>
    <w:rsid w:val="000323E7"/>
    <w:rsid w:val="00032F2B"/>
    <w:rsid w:val="000338D1"/>
    <w:rsid w:val="0003561F"/>
    <w:rsid w:val="000356C9"/>
    <w:rsid w:val="00035B20"/>
    <w:rsid w:val="00036385"/>
    <w:rsid w:val="000373FE"/>
    <w:rsid w:val="000379D4"/>
    <w:rsid w:val="00037F7D"/>
    <w:rsid w:val="00040090"/>
    <w:rsid w:val="00040FBE"/>
    <w:rsid w:val="000410CB"/>
    <w:rsid w:val="00041783"/>
    <w:rsid w:val="00041D9D"/>
    <w:rsid w:val="00041EFD"/>
    <w:rsid w:val="00042C59"/>
    <w:rsid w:val="00042CCE"/>
    <w:rsid w:val="00042DE7"/>
    <w:rsid w:val="00042E5F"/>
    <w:rsid w:val="00043441"/>
    <w:rsid w:val="00043690"/>
    <w:rsid w:val="000436FE"/>
    <w:rsid w:val="00043CE7"/>
    <w:rsid w:val="0004407C"/>
    <w:rsid w:val="000444CE"/>
    <w:rsid w:val="00044BC1"/>
    <w:rsid w:val="00044C12"/>
    <w:rsid w:val="00044EF5"/>
    <w:rsid w:val="00045268"/>
    <w:rsid w:val="0004739A"/>
    <w:rsid w:val="000475EC"/>
    <w:rsid w:val="00050177"/>
    <w:rsid w:val="00050670"/>
    <w:rsid w:val="00050812"/>
    <w:rsid w:val="00050B45"/>
    <w:rsid w:val="00050D2E"/>
    <w:rsid w:val="0005102C"/>
    <w:rsid w:val="000512DF"/>
    <w:rsid w:val="00051A16"/>
    <w:rsid w:val="00051C20"/>
    <w:rsid w:val="00051C66"/>
    <w:rsid w:val="00052B9A"/>
    <w:rsid w:val="00053A7B"/>
    <w:rsid w:val="00053B16"/>
    <w:rsid w:val="00053B1F"/>
    <w:rsid w:val="0005448C"/>
    <w:rsid w:val="00055292"/>
    <w:rsid w:val="000552F0"/>
    <w:rsid w:val="0005585D"/>
    <w:rsid w:val="00055F80"/>
    <w:rsid w:val="00055FFF"/>
    <w:rsid w:val="00056D37"/>
    <w:rsid w:val="000570F4"/>
    <w:rsid w:val="000573A8"/>
    <w:rsid w:val="00057673"/>
    <w:rsid w:val="00057A86"/>
    <w:rsid w:val="0006034B"/>
    <w:rsid w:val="000604EE"/>
    <w:rsid w:val="0006121D"/>
    <w:rsid w:val="000617EB"/>
    <w:rsid w:val="00061AAE"/>
    <w:rsid w:val="00061E79"/>
    <w:rsid w:val="00062AAF"/>
    <w:rsid w:val="00063055"/>
    <w:rsid w:val="000636B5"/>
    <w:rsid w:val="0006388D"/>
    <w:rsid w:val="00063F28"/>
    <w:rsid w:val="000641D5"/>
    <w:rsid w:val="00065404"/>
    <w:rsid w:val="00065619"/>
    <w:rsid w:val="00066690"/>
    <w:rsid w:val="00066F19"/>
    <w:rsid w:val="00067191"/>
    <w:rsid w:val="00067A58"/>
    <w:rsid w:val="00067E07"/>
    <w:rsid w:val="00070169"/>
    <w:rsid w:val="00070437"/>
    <w:rsid w:val="00070B83"/>
    <w:rsid w:val="00070CA6"/>
    <w:rsid w:val="00070F00"/>
    <w:rsid w:val="00071EF8"/>
    <w:rsid w:val="00071F72"/>
    <w:rsid w:val="000728F6"/>
    <w:rsid w:val="00072CD4"/>
    <w:rsid w:val="0007393A"/>
    <w:rsid w:val="00073DC6"/>
    <w:rsid w:val="00073E22"/>
    <w:rsid w:val="00073ECD"/>
    <w:rsid w:val="00074289"/>
    <w:rsid w:val="00074AD0"/>
    <w:rsid w:val="00074FF6"/>
    <w:rsid w:val="00075005"/>
    <w:rsid w:val="00075D28"/>
    <w:rsid w:val="00075F2B"/>
    <w:rsid w:val="00076166"/>
    <w:rsid w:val="0007621C"/>
    <w:rsid w:val="00076D81"/>
    <w:rsid w:val="0007707F"/>
    <w:rsid w:val="000770DC"/>
    <w:rsid w:val="000773A1"/>
    <w:rsid w:val="00077A61"/>
    <w:rsid w:val="00077EE3"/>
    <w:rsid w:val="00080955"/>
    <w:rsid w:val="00080DF0"/>
    <w:rsid w:val="00081129"/>
    <w:rsid w:val="00081E27"/>
    <w:rsid w:val="00081F2D"/>
    <w:rsid w:val="00082E47"/>
    <w:rsid w:val="00083409"/>
    <w:rsid w:val="000839F9"/>
    <w:rsid w:val="00083BB3"/>
    <w:rsid w:val="00083C79"/>
    <w:rsid w:val="00084083"/>
    <w:rsid w:val="0008431D"/>
    <w:rsid w:val="00084B9F"/>
    <w:rsid w:val="00085055"/>
    <w:rsid w:val="00085354"/>
    <w:rsid w:val="000858C8"/>
    <w:rsid w:val="00085D15"/>
    <w:rsid w:val="00085E6D"/>
    <w:rsid w:val="00086895"/>
    <w:rsid w:val="00086B1A"/>
    <w:rsid w:val="00087537"/>
    <w:rsid w:val="0008783A"/>
    <w:rsid w:val="000901F6"/>
    <w:rsid w:val="00090294"/>
    <w:rsid w:val="00090462"/>
    <w:rsid w:val="00090735"/>
    <w:rsid w:val="000909AF"/>
    <w:rsid w:val="00091693"/>
    <w:rsid w:val="00091ACB"/>
    <w:rsid w:val="00091CCA"/>
    <w:rsid w:val="00091FCD"/>
    <w:rsid w:val="0009229C"/>
    <w:rsid w:val="00092401"/>
    <w:rsid w:val="000932FE"/>
    <w:rsid w:val="00093438"/>
    <w:rsid w:val="00093691"/>
    <w:rsid w:val="000949A9"/>
    <w:rsid w:val="00094C28"/>
    <w:rsid w:val="000952B8"/>
    <w:rsid w:val="00095956"/>
    <w:rsid w:val="00095B42"/>
    <w:rsid w:val="00095D95"/>
    <w:rsid w:val="00095E59"/>
    <w:rsid w:val="00095F32"/>
    <w:rsid w:val="00095FEA"/>
    <w:rsid w:val="00096C6A"/>
    <w:rsid w:val="00097071"/>
    <w:rsid w:val="00097136"/>
    <w:rsid w:val="00097374"/>
    <w:rsid w:val="00097C14"/>
    <w:rsid w:val="000A009D"/>
    <w:rsid w:val="000A046E"/>
    <w:rsid w:val="000A0BE2"/>
    <w:rsid w:val="000A0D32"/>
    <w:rsid w:val="000A1691"/>
    <w:rsid w:val="000A1C42"/>
    <w:rsid w:val="000A2B26"/>
    <w:rsid w:val="000A3126"/>
    <w:rsid w:val="000A31B9"/>
    <w:rsid w:val="000A32F4"/>
    <w:rsid w:val="000A3629"/>
    <w:rsid w:val="000A4621"/>
    <w:rsid w:val="000A4BD5"/>
    <w:rsid w:val="000A4D4C"/>
    <w:rsid w:val="000A4F20"/>
    <w:rsid w:val="000A5793"/>
    <w:rsid w:val="000A59D0"/>
    <w:rsid w:val="000A68DF"/>
    <w:rsid w:val="000A7B57"/>
    <w:rsid w:val="000B002C"/>
    <w:rsid w:val="000B0145"/>
    <w:rsid w:val="000B024A"/>
    <w:rsid w:val="000B0318"/>
    <w:rsid w:val="000B06EB"/>
    <w:rsid w:val="000B102B"/>
    <w:rsid w:val="000B140F"/>
    <w:rsid w:val="000B1EC0"/>
    <w:rsid w:val="000B26A2"/>
    <w:rsid w:val="000B296A"/>
    <w:rsid w:val="000B2D04"/>
    <w:rsid w:val="000B2F79"/>
    <w:rsid w:val="000B32C5"/>
    <w:rsid w:val="000B3444"/>
    <w:rsid w:val="000B3650"/>
    <w:rsid w:val="000B49A6"/>
    <w:rsid w:val="000B4DB0"/>
    <w:rsid w:val="000B54BE"/>
    <w:rsid w:val="000B560F"/>
    <w:rsid w:val="000B57F5"/>
    <w:rsid w:val="000B586A"/>
    <w:rsid w:val="000B5989"/>
    <w:rsid w:val="000B5D5E"/>
    <w:rsid w:val="000B6146"/>
    <w:rsid w:val="000B66E4"/>
    <w:rsid w:val="000B6C55"/>
    <w:rsid w:val="000B7287"/>
    <w:rsid w:val="000B7730"/>
    <w:rsid w:val="000C07DE"/>
    <w:rsid w:val="000C0AE8"/>
    <w:rsid w:val="000C0FD0"/>
    <w:rsid w:val="000C161E"/>
    <w:rsid w:val="000C1869"/>
    <w:rsid w:val="000C1A80"/>
    <w:rsid w:val="000C1B22"/>
    <w:rsid w:val="000C1FA0"/>
    <w:rsid w:val="000C298C"/>
    <w:rsid w:val="000C2BD9"/>
    <w:rsid w:val="000C2DD2"/>
    <w:rsid w:val="000C2EB1"/>
    <w:rsid w:val="000C3001"/>
    <w:rsid w:val="000C312C"/>
    <w:rsid w:val="000C34DE"/>
    <w:rsid w:val="000C3839"/>
    <w:rsid w:val="000C3D1D"/>
    <w:rsid w:val="000C3E87"/>
    <w:rsid w:val="000C4149"/>
    <w:rsid w:val="000C419F"/>
    <w:rsid w:val="000C5917"/>
    <w:rsid w:val="000C6170"/>
    <w:rsid w:val="000C62D1"/>
    <w:rsid w:val="000C6737"/>
    <w:rsid w:val="000C683F"/>
    <w:rsid w:val="000C6C0D"/>
    <w:rsid w:val="000C6E69"/>
    <w:rsid w:val="000C721B"/>
    <w:rsid w:val="000C73A0"/>
    <w:rsid w:val="000C7505"/>
    <w:rsid w:val="000C7652"/>
    <w:rsid w:val="000C7DEB"/>
    <w:rsid w:val="000C7F0F"/>
    <w:rsid w:val="000D0181"/>
    <w:rsid w:val="000D0471"/>
    <w:rsid w:val="000D0C87"/>
    <w:rsid w:val="000D0F8A"/>
    <w:rsid w:val="000D1EA5"/>
    <w:rsid w:val="000D24CA"/>
    <w:rsid w:val="000D344A"/>
    <w:rsid w:val="000D3CDB"/>
    <w:rsid w:val="000D4D6D"/>
    <w:rsid w:val="000D5071"/>
    <w:rsid w:val="000D5228"/>
    <w:rsid w:val="000D534E"/>
    <w:rsid w:val="000D57CE"/>
    <w:rsid w:val="000D5C22"/>
    <w:rsid w:val="000D5EDD"/>
    <w:rsid w:val="000D666B"/>
    <w:rsid w:val="000D6D3F"/>
    <w:rsid w:val="000D75D4"/>
    <w:rsid w:val="000D7617"/>
    <w:rsid w:val="000D7A9B"/>
    <w:rsid w:val="000D7BE8"/>
    <w:rsid w:val="000E0120"/>
    <w:rsid w:val="000E04E0"/>
    <w:rsid w:val="000E064A"/>
    <w:rsid w:val="000E0693"/>
    <w:rsid w:val="000E09C2"/>
    <w:rsid w:val="000E0D2D"/>
    <w:rsid w:val="000E1956"/>
    <w:rsid w:val="000E1B2C"/>
    <w:rsid w:val="000E2681"/>
    <w:rsid w:val="000E4485"/>
    <w:rsid w:val="000E467B"/>
    <w:rsid w:val="000E4901"/>
    <w:rsid w:val="000E50FA"/>
    <w:rsid w:val="000E5787"/>
    <w:rsid w:val="000E59C0"/>
    <w:rsid w:val="000E679F"/>
    <w:rsid w:val="000E6F8D"/>
    <w:rsid w:val="000E7E85"/>
    <w:rsid w:val="000F0EB4"/>
    <w:rsid w:val="000F1021"/>
    <w:rsid w:val="000F171E"/>
    <w:rsid w:val="000F1952"/>
    <w:rsid w:val="000F1C73"/>
    <w:rsid w:val="000F1E14"/>
    <w:rsid w:val="000F20A2"/>
    <w:rsid w:val="000F2360"/>
    <w:rsid w:val="000F23A6"/>
    <w:rsid w:val="000F276B"/>
    <w:rsid w:val="000F2F2A"/>
    <w:rsid w:val="000F364F"/>
    <w:rsid w:val="000F3D7C"/>
    <w:rsid w:val="000F3EE7"/>
    <w:rsid w:val="000F40CC"/>
    <w:rsid w:val="000F4ADA"/>
    <w:rsid w:val="000F58A0"/>
    <w:rsid w:val="000F62B7"/>
    <w:rsid w:val="000F63BD"/>
    <w:rsid w:val="000F6C36"/>
    <w:rsid w:val="000F6E18"/>
    <w:rsid w:val="000F781D"/>
    <w:rsid w:val="000F7A79"/>
    <w:rsid w:val="000F7C7A"/>
    <w:rsid w:val="000F7D2C"/>
    <w:rsid w:val="000F7D46"/>
    <w:rsid w:val="00100578"/>
    <w:rsid w:val="00100594"/>
    <w:rsid w:val="00100B17"/>
    <w:rsid w:val="00100E7D"/>
    <w:rsid w:val="001011AD"/>
    <w:rsid w:val="0010153C"/>
    <w:rsid w:val="00101A69"/>
    <w:rsid w:val="00101C82"/>
    <w:rsid w:val="001021A8"/>
    <w:rsid w:val="001021D8"/>
    <w:rsid w:val="001032B2"/>
    <w:rsid w:val="001035D2"/>
    <w:rsid w:val="00103C7A"/>
    <w:rsid w:val="00104548"/>
    <w:rsid w:val="001048F6"/>
    <w:rsid w:val="00104C5D"/>
    <w:rsid w:val="00104FDF"/>
    <w:rsid w:val="0010692B"/>
    <w:rsid w:val="00106DD2"/>
    <w:rsid w:val="00106E0D"/>
    <w:rsid w:val="00107095"/>
    <w:rsid w:val="0010709F"/>
    <w:rsid w:val="001075CA"/>
    <w:rsid w:val="001078FE"/>
    <w:rsid w:val="00107AB1"/>
    <w:rsid w:val="00107DC6"/>
    <w:rsid w:val="00110509"/>
    <w:rsid w:val="001107BB"/>
    <w:rsid w:val="00110C93"/>
    <w:rsid w:val="00111EA3"/>
    <w:rsid w:val="00111F79"/>
    <w:rsid w:val="00112342"/>
    <w:rsid w:val="00112A6D"/>
    <w:rsid w:val="00112DBD"/>
    <w:rsid w:val="00113045"/>
    <w:rsid w:val="0011380A"/>
    <w:rsid w:val="00113830"/>
    <w:rsid w:val="00113B86"/>
    <w:rsid w:val="00113F6D"/>
    <w:rsid w:val="0011410B"/>
    <w:rsid w:val="00114D80"/>
    <w:rsid w:val="00115422"/>
    <w:rsid w:val="00115B19"/>
    <w:rsid w:val="00115C50"/>
    <w:rsid w:val="00115CE1"/>
    <w:rsid w:val="0011623C"/>
    <w:rsid w:val="00116AA5"/>
    <w:rsid w:val="0011766F"/>
    <w:rsid w:val="0011773E"/>
    <w:rsid w:val="00117C17"/>
    <w:rsid w:val="00117D42"/>
    <w:rsid w:val="0012009C"/>
    <w:rsid w:val="00120145"/>
    <w:rsid w:val="00120D83"/>
    <w:rsid w:val="0012100E"/>
    <w:rsid w:val="00121015"/>
    <w:rsid w:val="001216FC"/>
    <w:rsid w:val="00121C40"/>
    <w:rsid w:val="0012249E"/>
    <w:rsid w:val="00122605"/>
    <w:rsid w:val="00122D58"/>
    <w:rsid w:val="00123341"/>
    <w:rsid w:val="001243A3"/>
    <w:rsid w:val="0012499B"/>
    <w:rsid w:val="00124F9D"/>
    <w:rsid w:val="00125388"/>
    <w:rsid w:val="001254F7"/>
    <w:rsid w:val="00125729"/>
    <w:rsid w:val="00125DB5"/>
    <w:rsid w:val="00125E9B"/>
    <w:rsid w:val="00127732"/>
    <w:rsid w:val="0013051B"/>
    <w:rsid w:val="00130558"/>
    <w:rsid w:val="00130B56"/>
    <w:rsid w:val="00131766"/>
    <w:rsid w:val="0013216E"/>
    <w:rsid w:val="00132370"/>
    <w:rsid w:val="00132938"/>
    <w:rsid w:val="00132995"/>
    <w:rsid w:val="001329F4"/>
    <w:rsid w:val="00132DC3"/>
    <w:rsid w:val="0013384F"/>
    <w:rsid w:val="00133E62"/>
    <w:rsid w:val="00134043"/>
    <w:rsid w:val="001341A9"/>
    <w:rsid w:val="00134725"/>
    <w:rsid w:val="00135232"/>
    <w:rsid w:val="00136048"/>
    <w:rsid w:val="00136920"/>
    <w:rsid w:val="00136C17"/>
    <w:rsid w:val="00136F6A"/>
    <w:rsid w:val="00137483"/>
    <w:rsid w:val="0014004C"/>
    <w:rsid w:val="00140147"/>
    <w:rsid w:val="0014076D"/>
    <w:rsid w:val="00141C42"/>
    <w:rsid w:val="0014239E"/>
    <w:rsid w:val="001436FD"/>
    <w:rsid w:val="00143E60"/>
    <w:rsid w:val="00144150"/>
    <w:rsid w:val="001449B5"/>
    <w:rsid w:val="00144B2D"/>
    <w:rsid w:val="00144EA1"/>
    <w:rsid w:val="00145422"/>
    <w:rsid w:val="00145BBC"/>
    <w:rsid w:val="00145E58"/>
    <w:rsid w:val="0014639E"/>
    <w:rsid w:val="001468D8"/>
    <w:rsid w:val="00146939"/>
    <w:rsid w:val="00147339"/>
    <w:rsid w:val="001473D4"/>
    <w:rsid w:val="001500E4"/>
    <w:rsid w:val="00150949"/>
    <w:rsid w:val="0015276A"/>
    <w:rsid w:val="001528A9"/>
    <w:rsid w:val="00152C07"/>
    <w:rsid w:val="00153316"/>
    <w:rsid w:val="00153609"/>
    <w:rsid w:val="00153DFE"/>
    <w:rsid w:val="00154218"/>
    <w:rsid w:val="001545CF"/>
    <w:rsid w:val="001546CD"/>
    <w:rsid w:val="00154812"/>
    <w:rsid w:val="001555F5"/>
    <w:rsid w:val="001563EE"/>
    <w:rsid w:val="00156D60"/>
    <w:rsid w:val="0015736A"/>
    <w:rsid w:val="00157685"/>
    <w:rsid w:val="001576EA"/>
    <w:rsid w:val="001577F5"/>
    <w:rsid w:val="00157B8E"/>
    <w:rsid w:val="00157B9D"/>
    <w:rsid w:val="00157BFB"/>
    <w:rsid w:val="00157F0E"/>
    <w:rsid w:val="00160248"/>
    <w:rsid w:val="00160683"/>
    <w:rsid w:val="001607A5"/>
    <w:rsid w:val="00160F0D"/>
    <w:rsid w:val="00162D74"/>
    <w:rsid w:val="00163066"/>
    <w:rsid w:val="00163580"/>
    <w:rsid w:val="00163792"/>
    <w:rsid w:val="00163805"/>
    <w:rsid w:val="00163C91"/>
    <w:rsid w:val="00164743"/>
    <w:rsid w:val="001647D9"/>
    <w:rsid w:val="00164E40"/>
    <w:rsid w:val="00165554"/>
    <w:rsid w:val="00165917"/>
    <w:rsid w:val="00165AC1"/>
    <w:rsid w:val="00165B2F"/>
    <w:rsid w:val="0016615C"/>
    <w:rsid w:val="001664D1"/>
    <w:rsid w:val="00167199"/>
    <w:rsid w:val="0016775A"/>
    <w:rsid w:val="0017089D"/>
    <w:rsid w:val="00170D61"/>
    <w:rsid w:val="0017125B"/>
    <w:rsid w:val="001712A6"/>
    <w:rsid w:val="001715CD"/>
    <w:rsid w:val="001716B6"/>
    <w:rsid w:val="0017188A"/>
    <w:rsid w:val="00171C90"/>
    <w:rsid w:val="00171C95"/>
    <w:rsid w:val="0017230D"/>
    <w:rsid w:val="00172326"/>
    <w:rsid w:val="00173616"/>
    <w:rsid w:val="00173D07"/>
    <w:rsid w:val="00173DB6"/>
    <w:rsid w:val="001744F6"/>
    <w:rsid w:val="001747A5"/>
    <w:rsid w:val="00174902"/>
    <w:rsid w:val="0017491C"/>
    <w:rsid w:val="00174EE5"/>
    <w:rsid w:val="001765D6"/>
    <w:rsid w:val="0017688F"/>
    <w:rsid w:val="00176EFD"/>
    <w:rsid w:val="001770CF"/>
    <w:rsid w:val="0017774E"/>
    <w:rsid w:val="00180376"/>
    <w:rsid w:val="001808E0"/>
    <w:rsid w:val="00181980"/>
    <w:rsid w:val="00181AB1"/>
    <w:rsid w:val="00181B83"/>
    <w:rsid w:val="001824BD"/>
    <w:rsid w:val="001829EA"/>
    <w:rsid w:val="00182D29"/>
    <w:rsid w:val="0018508C"/>
    <w:rsid w:val="00185149"/>
    <w:rsid w:val="00185579"/>
    <w:rsid w:val="001856E0"/>
    <w:rsid w:val="00185804"/>
    <w:rsid w:val="001867A5"/>
    <w:rsid w:val="001867C7"/>
    <w:rsid w:val="00186B63"/>
    <w:rsid w:val="00187377"/>
    <w:rsid w:val="001902AB"/>
    <w:rsid w:val="00190584"/>
    <w:rsid w:val="0019099F"/>
    <w:rsid w:val="00190F3F"/>
    <w:rsid w:val="0019222A"/>
    <w:rsid w:val="001922FE"/>
    <w:rsid w:val="00192A7D"/>
    <w:rsid w:val="00192DA2"/>
    <w:rsid w:val="001932DC"/>
    <w:rsid w:val="00193404"/>
    <w:rsid w:val="0019343B"/>
    <w:rsid w:val="001937EF"/>
    <w:rsid w:val="00193C79"/>
    <w:rsid w:val="00194159"/>
    <w:rsid w:val="00194610"/>
    <w:rsid w:val="0019464C"/>
    <w:rsid w:val="00194CF4"/>
    <w:rsid w:val="00195444"/>
    <w:rsid w:val="001958F6"/>
    <w:rsid w:val="00195977"/>
    <w:rsid w:val="00195A72"/>
    <w:rsid w:val="00195C7C"/>
    <w:rsid w:val="00196066"/>
    <w:rsid w:val="001978D6"/>
    <w:rsid w:val="00197937"/>
    <w:rsid w:val="001A0149"/>
    <w:rsid w:val="001A046A"/>
    <w:rsid w:val="001A05F2"/>
    <w:rsid w:val="001A08AA"/>
    <w:rsid w:val="001A1276"/>
    <w:rsid w:val="001A2418"/>
    <w:rsid w:val="001A265E"/>
    <w:rsid w:val="001A28F6"/>
    <w:rsid w:val="001A2ABA"/>
    <w:rsid w:val="001A2E1E"/>
    <w:rsid w:val="001A4B8C"/>
    <w:rsid w:val="001A53AA"/>
    <w:rsid w:val="001A550E"/>
    <w:rsid w:val="001A5E4D"/>
    <w:rsid w:val="001A6753"/>
    <w:rsid w:val="001A6F3A"/>
    <w:rsid w:val="001A74DF"/>
    <w:rsid w:val="001A7BE7"/>
    <w:rsid w:val="001B0977"/>
    <w:rsid w:val="001B0A3A"/>
    <w:rsid w:val="001B0D48"/>
    <w:rsid w:val="001B11E6"/>
    <w:rsid w:val="001B1540"/>
    <w:rsid w:val="001B1B7D"/>
    <w:rsid w:val="001B1E49"/>
    <w:rsid w:val="001B1ECE"/>
    <w:rsid w:val="001B2E7B"/>
    <w:rsid w:val="001B2F27"/>
    <w:rsid w:val="001B42EF"/>
    <w:rsid w:val="001B4491"/>
    <w:rsid w:val="001B44ED"/>
    <w:rsid w:val="001B52CE"/>
    <w:rsid w:val="001B5633"/>
    <w:rsid w:val="001B567D"/>
    <w:rsid w:val="001B58DA"/>
    <w:rsid w:val="001B5C48"/>
    <w:rsid w:val="001B611E"/>
    <w:rsid w:val="001B706B"/>
    <w:rsid w:val="001B7174"/>
    <w:rsid w:val="001B7529"/>
    <w:rsid w:val="001B779F"/>
    <w:rsid w:val="001B7C16"/>
    <w:rsid w:val="001C047F"/>
    <w:rsid w:val="001C07A8"/>
    <w:rsid w:val="001C0E44"/>
    <w:rsid w:val="001C0F66"/>
    <w:rsid w:val="001C12C9"/>
    <w:rsid w:val="001C166C"/>
    <w:rsid w:val="001C267A"/>
    <w:rsid w:val="001C29ED"/>
    <w:rsid w:val="001C2EC8"/>
    <w:rsid w:val="001C2FEA"/>
    <w:rsid w:val="001C314D"/>
    <w:rsid w:val="001C3372"/>
    <w:rsid w:val="001C3C7F"/>
    <w:rsid w:val="001C42C6"/>
    <w:rsid w:val="001C44F9"/>
    <w:rsid w:val="001C484D"/>
    <w:rsid w:val="001C4C6A"/>
    <w:rsid w:val="001C6483"/>
    <w:rsid w:val="001C662F"/>
    <w:rsid w:val="001C689A"/>
    <w:rsid w:val="001C6C96"/>
    <w:rsid w:val="001C78C5"/>
    <w:rsid w:val="001C7965"/>
    <w:rsid w:val="001C7AAE"/>
    <w:rsid w:val="001D069B"/>
    <w:rsid w:val="001D08CF"/>
    <w:rsid w:val="001D0BA7"/>
    <w:rsid w:val="001D1700"/>
    <w:rsid w:val="001D198C"/>
    <w:rsid w:val="001D1CDE"/>
    <w:rsid w:val="001D1E38"/>
    <w:rsid w:val="001D1E77"/>
    <w:rsid w:val="001D27EB"/>
    <w:rsid w:val="001D2821"/>
    <w:rsid w:val="001D285D"/>
    <w:rsid w:val="001D4CEF"/>
    <w:rsid w:val="001D4E98"/>
    <w:rsid w:val="001D62FE"/>
    <w:rsid w:val="001D779A"/>
    <w:rsid w:val="001D790B"/>
    <w:rsid w:val="001D7A00"/>
    <w:rsid w:val="001D7FDC"/>
    <w:rsid w:val="001E00FA"/>
    <w:rsid w:val="001E0B6E"/>
    <w:rsid w:val="001E139B"/>
    <w:rsid w:val="001E16E7"/>
    <w:rsid w:val="001E1866"/>
    <w:rsid w:val="001E1CAD"/>
    <w:rsid w:val="001E1DCB"/>
    <w:rsid w:val="001E2A6B"/>
    <w:rsid w:val="001E2B7D"/>
    <w:rsid w:val="001E2DE1"/>
    <w:rsid w:val="001E359A"/>
    <w:rsid w:val="001E3B07"/>
    <w:rsid w:val="001E43FE"/>
    <w:rsid w:val="001E489B"/>
    <w:rsid w:val="001E4AF6"/>
    <w:rsid w:val="001E5100"/>
    <w:rsid w:val="001E51EA"/>
    <w:rsid w:val="001E54BF"/>
    <w:rsid w:val="001E5798"/>
    <w:rsid w:val="001E63ED"/>
    <w:rsid w:val="001E689A"/>
    <w:rsid w:val="001E6B97"/>
    <w:rsid w:val="001E6CCC"/>
    <w:rsid w:val="001E7126"/>
    <w:rsid w:val="001E7214"/>
    <w:rsid w:val="001F0969"/>
    <w:rsid w:val="001F09A8"/>
    <w:rsid w:val="001F0B7C"/>
    <w:rsid w:val="001F1120"/>
    <w:rsid w:val="001F1583"/>
    <w:rsid w:val="001F1E4B"/>
    <w:rsid w:val="001F2A30"/>
    <w:rsid w:val="001F39C1"/>
    <w:rsid w:val="001F3A99"/>
    <w:rsid w:val="001F4034"/>
    <w:rsid w:val="001F420B"/>
    <w:rsid w:val="001F4469"/>
    <w:rsid w:val="001F46F9"/>
    <w:rsid w:val="001F4863"/>
    <w:rsid w:val="001F494B"/>
    <w:rsid w:val="001F4E9B"/>
    <w:rsid w:val="001F55E8"/>
    <w:rsid w:val="001F5706"/>
    <w:rsid w:val="001F5BF3"/>
    <w:rsid w:val="001F6AA3"/>
    <w:rsid w:val="001F733E"/>
    <w:rsid w:val="001F73D3"/>
    <w:rsid w:val="001F7C2E"/>
    <w:rsid w:val="00200A7B"/>
    <w:rsid w:val="00200CAD"/>
    <w:rsid w:val="0020113E"/>
    <w:rsid w:val="002020E7"/>
    <w:rsid w:val="00202326"/>
    <w:rsid w:val="002023F8"/>
    <w:rsid w:val="00202DF4"/>
    <w:rsid w:val="00203006"/>
    <w:rsid w:val="0020337A"/>
    <w:rsid w:val="00203B43"/>
    <w:rsid w:val="002045AC"/>
    <w:rsid w:val="002046F9"/>
    <w:rsid w:val="002047E9"/>
    <w:rsid w:val="00205B5A"/>
    <w:rsid w:val="00205CD7"/>
    <w:rsid w:val="00205FD7"/>
    <w:rsid w:val="00206598"/>
    <w:rsid w:val="00206610"/>
    <w:rsid w:val="00206AB5"/>
    <w:rsid w:val="00207041"/>
    <w:rsid w:val="002073D7"/>
    <w:rsid w:val="00210600"/>
    <w:rsid w:val="0021063F"/>
    <w:rsid w:val="00211187"/>
    <w:rsid w:val="00211B00"/>
    <w:rsid w:val="00211CC0"/>
    <w:rsid w:val="00212453"/>
    <w:rsid w:val="00212510"/>
    <w:rsid w:val="00213A6B"/>
    <w:rsid w:val="00213AE1"/>
    <w:rsid w:val="00214106"/>
    <w:rsid w:val="0021463F"/>
    <w:rsid w:val="002148B4"/>
    <w:rsid w:val="00214C0B"/>
    <w:rsid w:val="00215F21"/>
    <w:rsid w:val="002161F1"/>
    <w:rsid w:val="002162B5"/>
    <w:rsid w:val="0021653E"/>
    <w:rsid w:val="002167B8"/>
    <w:rsid w:val="00216B07"/>
    <w:rsid w:val="0021725A"/>
    <w:rsid w:val="00217305"/>
    <w:rsid w:val="00217A54"/>
    <w:rsid w:val="00220057"/>
    <w:rsid w:val="00220992"/>
    <w:rsid w:val="00220B4D"/>
    <w:rsid w:val="00220CDB"/>
    <w:rsid w:val="00220D08"/>
    <w:rsid w:val="00221637"/>
    <w:rsid w:val="00221895"/>
    <w:rsid w:val="00221A20"/>
    <w:rsid w:val="002227E6"/>
    <w:rsid w:val="002227E8"/>
    <w:rsid w:val="00222C26"/>
    <w:rsid w:val="00223038"/>
    <w:rsid w:val="00223305"/>
    <w:rsid w:val="00223707"/>
    <w:rsid w:val="002237A4"/>
    <w:rsid w:val="00223895"/>
    <w:rsid w:val="002239BC"/>
    <w:rsid w:val="00223B2E"/>
    <w:rsid w:val="00223B63"/>
    <w:rsid w:val="0022429F"/>
    <w:rsid w:val="002243E1"/>
    <w:rsid w:val="00224E00"/>
    <w:rsid w:val="00225549"/>
    <w:rsid w:val="00225581"/>
    <w:rsid w:val="002259FA"/>
    <w:rsid w:val="00226081"/>
    <w:rsid w:val="0022648A"/>
    <w:rsid w:val="00226572"/>
    <w:rsid w:val="002266B8"/>
    <w:rsid w:val="00226DC4"/>
    <w:rsid w:val="002271A4"/>
    <w:rsid w:val="00227A0B"/>
    <w:rsid w:val="0023021B"/>
    <w:rsid w:val="00230244"/>
    <w:rsid w:val="002309F1"/>
    <w:rsid w:val="00230F7A"/>
    <w:rsid w:val="0023164C"/>
    <w:rsid w:val="002321A9"/>
    <w:rsid w:val="002326F9"/>
    <w:rsid w:val="00232CE0"/>
    <w:rsid w:val="00232CF1"/>
    <w:rsid w:val="00233B8C"/>
    <w:rsid w:val="00233F3D"/>
    <w:rsid w:val="00233F73"/>
    <w:rsid w:val="0023429E"/>
    <w:rsid w:val="00234AB2"/>
    <w:rsid w:val="002352AE"/>
    <w:rsid w:val="00235365"/>
    <w:rsid w:val="002357BB"/>
    <w:rsid w:val="002359F9"/>
    <w:rsid w:val="00235CE6"/>
    <w:rsid w:val="002362F7"/>
    <w:rsid w:val="00236399"/>
    <w:rsid w:val="0023679E"/>
    <w:rsid w:val="00236CB9"/>
    <w:rsid w:val="00236FBC"/>
    <w:rsid w:val="0023703F"/>
    <w:rsid w:val="002371FC"/>
    <w:rsid w:val="002408CD"/>
    <w:rsid w:val="00240E8C"/>
    <w:rsid w:val="00241440"/>
    <w:rsid w:val="0024187F"/>
    <w:rsid w:val="00242AAB"/>
    <w:rsid w:val="002433C5"/>
    <w:rsid w:val="00243524"/>
    <w:rsid w:val="0024395F"/>
    <w:rsid w:val="00243FBA"/>
    <w:rsid w:val="0024498E"/>
    <w:rsid w:val="00244B55"/>
    <w:rsid w:val="00244DD9"/>
    <w:rsid w:val="002452E4"/>
    <w:rsid w:val="002457A7"/>
    <w:rsid w:val="00245C0B"/>
    <w:rsid w:val="00245E32"/>
    <w:rsid w:val="00245EE4"/>
    <w:rsid w:val="0024600F"/>
    <w:rsid w:val="0024601B"/>
    <w:rsid w:val="00246285"/>
    <w:rsid w:val="00246C97"/>
    <w:rsid w:val="00246FA4"/>
    <w:rsid w:val="0025054F"/>
    <w:rsid w:val="00251653"/>
    <w:rsid w:val="00252422"/>
    <w:rsid w:val="002526DD"/>
    <w:rsid w:val="00252BA6"/>
    <w:rsid w:val="002530DA"/>
    <w:rsid w:val="0025331C"/>
    <w:rsid w:val="00253666"/>
    <w:rsid w:val="00253FF4"/>
    <w:rsid w:val="002540F1"/>
    <w:rsid w:val="002542DB"/>
    <w:rsid w:val="0025486A"/>
    <w:rsid w:val="00255159"/>
    <w:rsid w:val="002551B7"/>
    <w:rsid w:val="00255AB7"/>
    <w:rsid w:val="002565D3"/>
    <w:rsid w:val="002575F4"/>
    <w:rsid w:val="002578FC"/>
    <w:rsid w:val="00257B89"/>
    <w:rsid w:val="002602B9"/>
    <w:rsid w:val="002605B2"/>
    <w:rsid w:val="0026063F"/>
    <w:rsid w:val="0026098D"/>
    <w:rsid w:val="00260C41"/>
    <w:rsid w:val="00260EB3"/>
    <w:rsid w:val="002610D9"/>
    <w:rsid w:val="002611F7"/>
    <w:rsid w:val="00261292"/>
    <w:rsid w:val="00261CF2"/>
    <w:rsid w:val="00262093"/>
    <w:rsid w:val="0026236C"/>
    <w:rsid w:val="00262C89"/>
    <w:rsid w:val="00263121"/>
    <w:rsid w:val="00263657"/>
    <w:rsid w:val="00263741"/>
    <w:rsid w:val="002639D1"/>
    <w:rsid w:val="00263F39"/>
    <w:rsid w:val="0026465F"/>
    <w:rsid w:val="00264698"/>
    <w:rsid w:val="00264D03"/>
    <w:rsid w:val="00264FFB"/>
    <w:rsid w:val="00265737"/>
    <w:rsid w:val="00266120"/>
    <w:rsid w:val="002662ED"/>
    <w:rsid w:val="0026630E"/>
    <w:rsid w:val="00266C0F"/>
    <w:rsid w:val="0026710C"/>
    <w:rsid w:val="002672F1"/>
    <w:rsid w:val="00267539"/>
    <w:rsid w:val="002677C1"/>
    <w:rsid w:val="00267C89"/>
    <w:rsid w:val="0027076D"/>
    <w:rsid w:val="002709B4"/>
    <w:rsid w:val="00270B08"/>
    <w:rsid w:val="002710FA"/>
    <w:rsid w:val="002711DE"/>
    <w:rsid w:val="002713B9"/>
    <w:rsid w:val="002714B3"/>
    <w:rsid w:val="00271A7E"/>
    <w:rsid w:val="00272A5C"/>
    <w:rsid w:val="00272F2F"/>
    <w:rsid w:val="00273252"/>
    <w:rsid w:val="00273362"/>
    <w:rsid w:val="00274028"/>
    <w:rsid w:val="002741A9"/>
    <w:rsid w:val="00274A77"/>
    <w:rsid w:val="00274AB9"/>
    <w:rsid w:val="00275405"/>
    <w:rsid w:val="0027569B"/>
    <w:rsid w:val="00276793"/>
    <w:rsid w:val="00277040"/>
    <w:rsid w:val="002771A4"/>
    <w:rsid w:val="0027758A"/>
    <w:rsid w:val="002775EA"/>
    <w:rsid w:val="00277791"/>
    <w:rsid w:val="00277D47"/>
    <w:rsid w:val="00280EB4"/>
    <w:rsid w:val="00281005"/>
    <w:rsid w:val="00281929"/>
    <w:rsid w:val="00281ABD"/>
    <w:rsid w:val="00281AE2"/>
    <w:rsid w:val="00281CC2"/>
    <w:rsid w:val="00281CCF"/>
    <w:rsid w:val="00281E47"/>
    <w:rsid w:val="00282C9C"/>
    <w:rsid w:val="00283970"/>
    <w:rsid w:val="002845BD"/>
    <w:rsid w:val="00284926"/>
    <w:rsid w:val="00284CB0"/>
    <w:rsid w:val="00285475"/>
    <w:rsid w:val="00285A73"/>
    <w:rsid w:val="00286C81"/>
    <w:rsid w:val="002871FA"/>
    <w:rsid w:val="0028729C"/>
    <w:rsid w:val="0028735B"/>
    <w:rsid w:val="00287B78"/>
    <w:rsid w:val="00287DFB"/>
    <w:rsid w:val="00290A61"/>
    <w:rsid w:val="00291549"/>
    <w:rsid w:val="00291D6F"/>
    <w:rsid w:val="00291EF0"/>
    <w:rsid w:val="00291FE5"/>
    <w:rsid w:val="002924F3"/>
    <w:rsid w:val="00292883"/>
    <w:rsid w:val="00293B18"/>
    <w:rsid w:val="00293BCE"/>
    <w:rsid w:val="002942AC"/>
    <w:rsid w:val="00294E1C"/>
    <w:rsid w:val="0029540E"/>
    <w:rsid w:val="002957A2"/>
    <w:rsid w:val="00295AE1"/>
    <w:rsid w:val="00295CE7"/>
    <w:rsid w:val="0029600B"/>
    <w:rsid w:val="002971E2"/>
    <w:rsid w:val="0029792D"/>
    <w:rsid w:val="002A033E"/>
    <w:rsid w:val="002A0760"/>
    <w:rsid w:val="002A0B32"/>
    <w:rsid w:val="002A133F"/>
    <w:rsid w:val="002A1A14"/>
    <w:rsid w:val="002A1D5B"/>
    <w:rsid w:val="002A22F1"/>
    <w:rsid w:val="002A2597"/>
    <w:rsid w:val="002A2836"/>
    <w:rsid w:val="002A2AE0"/>
    <w:rsid w:val="002A2C20"/>
    <w:rsid w:val="002A3B65"/>
    <w:rsid w:val="002A42FB"/>
    <w:rsid w:val="002A4B87"/>
    <w:rsid w:val="002A5595"/>
    <w:rsid w:val="002A67DC"/>
    <w:rsid w:val="002A6809"/>
    <w:rsid w:val="002A6831"/>
    <w:rsid w:val="002A6AF3"/>
    <w:rsid w:val="002A6B68"/>
    <w:rsid w:val="002A7232"/>
    <w:rsid w:val="002A7BE7"/>
    <w:rsid w:val="002B13A6"/>
    <w:rsid w:val="002B169F"/>
    <w:rsid w:val="002B1D8E"/>
    <w:rsid w:val="002B235B"/>
    <w:rsid w:val="002B3158"/>
    <w:rsid w:val="002B3670"/>
    <w:rsid w:val="002B3D22"/>
    <w:rsid w:val="002B42C3"/>
    <w:rsid w:val="002B4A13"/>
    <w:rsid w:val="002B59AB"/>
    <w:rsid w:val="002B5B77"/>
    <w:rsid w:val="002B6014"/>
    <w:rsid w:val="002B637B"/>
    <w:rsid w:val="002B67C4"/>
    <w:rsid w:val="002B6D5B"/>
    <w:rsid w:val="002B712A"/>
    <w:rsid w:val="002B79ED"/>
    <w:rsid w:val="002B7C8A"/>
    <w:rsid w:val="002C0295"/>
    <w:rsid w:val="002C06EC"/>
    <w:rsid w:val="002C0A82"/>
    <w:rsid w:val="002C0AF2"/>
    <w:rsid w:val="002C1011"/>
    <w:rsid w:val="002C142F"/>
    <w:rsid w:val="002C14D6"/>
    <w:rsid w:val="002C1637"/>
    <w:rsid w:val="002C17A1"/>
    <w:rsid w:val="002C1A5D"/>
    <w:rsid w:val="002C3C12"/>
    <w:rsid w:val="002C47E6"/>
    <w:rsid w:val="002C4B10"/>
    <w:rsid w:val="002C4EEC"/>
    <w:rsid w:val="002C5504"/>
    <w:rsid w:val="002C5DD5"/>
    <w:rsid w:val="002C62D8"/>
    <w:rsid w:val="002C6454"/>
    <w:rsid w:val="002C668E"/>
    <w:rsid w:val="002C6A28"/>
    <w:rsid w:val="002C72BD"/>
    <w:rsid w:val="002C7C33"/>
    <w:rsid w:val="002D0DC6"/>
    <w:rsid w:val="002D1546"/>
    <w:rsid w:val="002D16EB"/>
    <w:rsid w:val="002D19D8"/>
    <w:rsid w:val="002D292B"/>
    <w:rsid w:val="002D3109"/>
    <w:rsid w:val="002D32EF"/>
    <w:rsid w:val="002D3A67"/>
    <w:rsid w:val="002D3B24"/>
    <w:rsid w:val="002D4D3E"/>
    <w:rsid w:val="002D4D6C"/>
    <w:rsid w:val="002D599F"/>
    <w:rsid w:val="002D5D27"/>
    <w:rsid w:val="002D618E"/>
    <w:rsid w:val="002D75D1"/>
    <w:rsid w:val="002D7A36"/>
    <w:rsid w:val="002E012B"/>
    <w:rsid w:val="002E038A"/>
    <w:rsid w:val="002E094A"/>
    <w:rsid w:val="002E09C0"/>
    <w:rsid w:val="002E0A3E"/>
    <w:rsid w:val="002E13ED"/>
    <w:rsid w:val="002E14A8"/>
    <w:rsid w:val="002E19EF"/>
    <w:rsid w:val="002E246C"/>
    <w:rsid w:val="002E26B5"/>
    <w:rsid w:val="002E2ABA"/>
    <w:rsid w:val="002E2AFA"/>
    <w:rsid w:val="002E2BFE"/>
    <w:rsid w:val="002E2EEB"/>
    <w:rsid w:val="002E3E59"/>
    <w:rsid w:val="002E4B73"/>
    <w:rsid w:val="002E4EE8"/>
    <w:rsid w:val="002E5181"/>
    <w:rsid w:val="002E562E"/>
    <w:rsid w:val="002E66E5"/>
    <w:rsid w:val="002E6AB4"/>
    <w:rsid w:val="002E6DC8"/>
    <w:rsid w:val="002E6FB7"/>
    <w:rsid w:val="002E75A7"/>
    <w:rsid w:val="002E78DB"/>
    <w:rsid w:val="002E7E54"/>
    <w:rsid w:val="002F0F4F"/>
    <w:rsid w:val="002F10E7"/>
    <w:rsid w:val="002F1494"/>
    <w:rsid w:val="002F18B8"/>
    <w:rsid w:val="002F273A"/>
    <w:rsid w:val="002F2DC2"/>
    <w:rsid w:val="002F3829"/>
    <w:rsid w:val="002F3CE9"/>
    <w:rsid w:val="002F3DF7"/>
    <w:rsid w:val="002F401C"/>
    <w:rsid w:val="002F4272"/>
    <w:rsid w:val="002F479C"/>
    <w:rsid w:val="002F55BD"/>
    <w:rsid w:val="002F5830"/>
    <w:rsid w:val="002F650E"/>
    <w:rsid w:val="002F6C54"/>
    <w:rsid w:val="002F78B1"/>
    <w:rsid w:val="002F7BFB"/>
    <w:rsid w:val="003005EF"/>
    <w:rsid w:val="00300728"/>
    <w:rsid w:val="00300DCE"/>
    <w:rsid w:val="003018BE"/>
    <w:rsid w:val="00301BB9"/>
    <w:rsid w:val="00302717"/>
    <w:rsid w:val="00302B45"/>
    <w:rsid w:val="003035CF"/>
    <w:rsid w:val="003039FA"/>
    <w:rsid w:val="003047B6"/>
    <w:rsid w:val="003053AD"/>
    <w:rsid w:val="00305972"/>
    <w:rsid w:val="00305D3C"/>
    <w:rsid w:val="00305F66"/>
    <w:rsid w:val="0030631B"/>
    <w:rsid w:val="00306477"/>
    <w:rsid w:val="00306D5C"/>
    <w:rsid w:val="00306EE1"/>
    <w:rsid w:val="003074D3"/>
    <w:rsid w:val="003078B1"/>
    <w:rsid w:val="00307BAD"/>
    <w:rsid w:val="003102AF"/>
    <w:rsid w:val="00310723"/>
    <w:rsid w:val="003108A4"/>
    <w:rsid w:val="00310D36"/>
    <w:rsid w:val="00311671"/>
    <w:rsid w:val="00311A27"/>
    <w:rsid w:val="00311D5E"/>
    <w:rsid w:val="003120F6"/>
    <w:rsid w:val="00312A50"/>
    <w:rsid w:val="00312FB4"/>
    <w:rsid w:val="00313B11"/>
    <w:rsid w:val="00313C86"/>
    <w:rsid w:val="00313D42"/>
    <w:rsid w:val="00313EF2"/>
    <w:rsid w:val="003140B0"/>
    <w:rsid w:val="00314C8E"/>
    <w:rsid w:val="003153B8"/>
    <w:rsid w:val="0031563B"/>
    <w:rsid w:val="003157D9"/>
    <w:rsid w:val="0031584F"/>
    <w:rsid w:val="003160F1"/>
    <w:rsid w:val="003169F8"/>
    <w:rsid w:val="00316B5A"/>
    <w:rsid w:val="00316B6E"/>
    <w:rsid w:val="00316C6A"/>
    <w:rsid w:val="003174C5"/>
    <w:rsid w:val="00320ACF"/>
    <w:rsid w:val="0032213F"/>
    <w:rsid w:val="00322211"/>
    <w:rsid w:val="00322752"/>
    <w:rsid w:val="00322CB1"/>
    <w:rsid w:val="0032323D"/>
    <w:rsid w:val="0032337E"/>
    <w:rsid w:val="00323941"/>
    <w:rsid w:val="00323C6A"/>
    <w:rsid w:val="003242A8"/>
    <w:rsid w:val="003244E8"/>
    <w:rsid w:val="00325865"/>
    <w:rsid w:val="0032591F"/>
    <w:rsid w:val="00325A95"/>
    <w:rsid w:val="00325ADB"/>
    <w:rsid w:val="003264FB"/>
    <w:rsid w:val="00326876"/>
    <w:rsid w:val="00326F67"/>
    <w:rsid w:val="0032711D"/>
    <w:rsid w:val="0032723F"/>
    <w:rsid w:val="00327391"/>
    <w:rsid w:val="0032746C"/>
    <w:rsid w:val="00327CCC"/>
    <w:rsid w:val="00327D32"/>
    <w:rsid w:val="003302CA"/>
    <w:rsid w:val="003304E5"/>
    <w:rsid w:val="00330A70"/>
    <w:rsid w:val="00330B82"/>
    <w:rsid w:val="00330BE0"/>
    <w:rsid w:val="00332B43"/>
    <w:rsid w:val="00332B51"/>
    <w:rsid w:val="00332D75"/>
    <w:rsid w:val="003333B0"/>
    <w:rsid w:val="003333DB"/>
    <w:rsid w:val="0033355F"/>
    <w:rsid w:val="003335B7"/>
    <w:rsid w:val="003336A5"/>
    <w:rsid w:val="00333A43"/>
    <w:rsid w:val="00333C50"/>
    <w:rsid w:val="00333E74"/>
    <w:rsid w:val="00333EDC"/>
    <w:rsid w:val="003340C6"/>
    <w:rsid w:val="0033444D"/>
    <w:rsid w:val="00334A22"/>
    <w:rsid w:val="00334EA6"/>
    <w:rsid w:val="003361F9"/>
    <w:rsid w:val="003368C4"/>
    <w:rsid w:val="003368F1"/>
    <w:rsid w:val="00336B2A"/>
    <w:rsid w:val="00337120"/>
    <w:rsid w:val="00337A67"/>
    <w:rsid w:val="00340071"/>
    <w:rsid w:val="00340306"/>
    <w:rsid w:val="00341091"/>
    <w:rsid w:val="003413F8"/>
    <w:rsid w:val="003418C5"/>
    <w:rsid w:val="00341CED"/>
    <w:rsid w:val="003423BF"/>
    <w:rsid w:val="003425C9"/>
    <w:rsid w:val="00342814"/>
    <w:rsid w:val="00342947"/>
    <w:rsid w:val="003429E7"/>
    <w:rsid w:val="00342A96"/>
    <w:rsid w:val="00342EE2"/>
    <w:rsid w:val="003434E4"/>
    <w:rsid w:val="0034385E"/>
    <w:rsid w:val="0034386C"/>
    <w:rsid w:val="003438ED"/>
    <w:rsid w:val="00343ACB"/>
    <w:rsid w:val="00343DA0"/>
    <w:rsid w:val="00344097"/>
    <w:rsid w:val="003441F8"/>
    <w:rsid w:val="00344917"/>
    <w:rsid w:val="00345054"/>
    <w:rsid w:val="003451B7"/>
    <w:rsid w:val="003452CA"/>
    <w:rsid w:val="00345C3C"/>
    <w:rsid w:val="003460ED"/>
    <w:rsid w:val="00346202"/>
    <w:rsid w:val="003466BE"/>
    <w:rsid w:val="003468AC"/>
    <w:rsid w:val="003469EC"/>
    <w:rsid w:val="00346CA4"/>
    <w:rsid w:val="00347C27"/>
    <w:rsid w:val="003501F6"/>
    <w:rsid w:val="00350AC0"/>
    <w:rsid w:val="00352231"/>
    <w:rsid w:val="00352269"/>
    <w:rsid w:val="00352962"/>
    <w:rsid w:val="003531A8"/>
    <w:rsid w:val="00353885"/>
    <w:rsid w:val="00353CD7"/>
    <w:rsid w:val="00353D03"/>
    <w:rsid w:val="0035410F"/>
    <w:rsid w:val="003545B5"/>
    <w:rsid w:val="00354697"/>
    <w:rsid w:val="00354FE2"/>
    <w:rsid w:val="00355B5F"/>
    <w:rsid w:val="00355ED9"/>
    <w:rsid w:val="003566BE"/>
    <w:rsid w:val="00356716"/>
    <w:rsid w:val="00356DA8"/>
    <w:rsid w:val="00357428"/>
    <w:rsid w:val="00357B32"/>
    <w:rsid w:val="00360275"/>
    <w:rsid w:val="00360A29"/>
    <w:rsid w:val="0036130B"/>
    <w:rsid w:val="0036134E"/>
    <w:rsid w:val="003617C7"/>
    <w:rsid w:val="00361F63"/>
    <w:rsid w:val="003620FB"/>
    <w:rsid w:val="00363563"/>
    <w:rsid w:val="003635B6"/>
    <w:rsid w:val="00363D08"/>
    <w:rsid w:val="00364190"/>
    <w:rsid w:val="00364637"/>
    <w:rsid w:val="00364B5A"/>
    <w:rsid w:val="00365034"/>
    <w:rsid w:val="00365104"/>
    <w:rsid w:val="00365142"/>
    <w:rsid w:val="00365747"/>
    <w:rsid w:val="00365842"/>
    <w:rsid w:val="00365C15"/>
    <w:rsid w:val="003661CA"/>
    <w:rsid w:val="00366254"/>
    <w:rsid w:val="00366539"/>
    <w:rsid w:val="0036663E"/>
    <w:rsid w:val="00366F3B"/>
    <w:rsid w:val="003672FD"/>
    <w:rsid w:val="0036738A"/>
    <w:rsid w:val="0036765F"/>
    <w:rsid w:val="00367C3E"/>
    <w:rsid w:val="003707C6"/>
    <w:rsid w:val="00371B10"/>
    <w:rsid w:val="00371E05"/>
    <w:rsid w:val="003721C8"/>
    <w:rsid w:val="003721E3"/>
    <w:rsid w:val="0037391C"/>
    <w:rsid w:val="00373BA2"/>
    <w:rsid w:val="00373D98"/>
    <w:rsid w:val="00373F16"/>
    <w:rsid w:val="0037428E"/>
    <w:rsid w:val="00374622"/>
    <w:rsid w:val="003746CF"/>
    <w:rsid w:val="00374FEB"/>
    <w:rsid w:val="00375171"/>
    <w:rsid w:val="003753E6"/>
    <w:rsid w:val="003756F5"/>
    <w:rsid w:val="00375A90"/>
    <w:rsid w:val="00375F32"/>
    <w:rsid w:val="003762BC"/>
    <w:rsid w:val="003769B8"/>
    <w:rsid w:val="003777A0"/>
    <w:rsid w:val="00377875"/>
    <w:rsid w:val="003800D0"/>
    <w:rsid w:val="00380A7C"/>
    <w:rsid w:val="00380F22"/>
    <w:rsid w:val="00381450"/>
    <w:rsid w:val="00381BC3"/>
    <w:rsid w:val="00381CFC"/>
    <w:rsid w:val="00383043"/>
    <w:rsid w:val="00383193"/>
    <w:rsid w:val="003838AB"/>
    <w:rsid w:val="003845D5"/>
    <w:rsid w:val="00384FF1"/>
    <w:rsid w:val="00385023"/>
    <w:rsid w:val="0038516B"/>
    <w:rsid w:val="00385208"/>
    <w:rsid w:val="00385D9C"/>
    <w:rsid w:val="00385DA6"/>
    <w:rsid w:val="00386A38"/>
    <w:rsid w:val="00390006"/>
    <w:rsid w:val="003900EF"/>
    <w:rsid w:val="00390508"/>
    <w:rsid w:val="00390C09"/>
    <w:rsid w:val="00390DD6"/>
    <w:rsid w:val="0039128E"/>
    <w:rsid w:val="00391490"/>
    <w:rsid w:val="003920E6"/>
    <w:rsid w:val="00392187"/>
    <w:rsid w:val="003923E5"/>
    <w:rsid w:val="003924FF"/>
    <w:rsid w:val="0039298D"/>
    <w:rsid w:val="0039387E"/>
    <w:rsid w:val="00394067"/>
    <w:rsid w:val="00394126"/>
    <w:rsid w:val="00394CFB"/>
    <w:rsid w:val="00394E52"/>
    <w:rsid w:val="00395F41"/>
    <w:rsid w:val="0039638C"/>
    <w:rsid w:val="00396413"/>
    <w:rsid w:val="00396504"/>
    <w:rsid w:val="00397478"/>
    <w:rsid w:val="003A0F0D"/>
    <w:rsid w:val="003A0F26"/>
    <w:rsid w:val="003A11AF"/>
    <w:rsid w:val="003A168C"/>
    <w:rsid w:val="003A2CD0"/>
    <w:rsid w:val="003A2FCC"/>
    <w:rsid w:val="003A319D"/>
    <w:rsid w:val="003A3793"/>
    <w:rsid w:val="003A3C4F"/>
    <w:rsid w:val="003A3CF2"/>
    <w:rsid w:val="003A42C1"/>
    <w:rsid w:val="003A4A71"/>
    <w:rsid w:val="003A51A3"/>
    <w:rsid w:val="003A545D"/>
    <w:rsid w:val="003A6291"/>
    <w:rsid w:val="003A62A6"/>
    <w:rsid w:val="003A62EB"/>
    <w:rsid w:val="003A6C53"/>
    <w:rsid w:val="003A7185"/>
    <w:rsid w:val="003A72CC"/>
    <w:rsid w:val="003B0B5C"/>
    <w:rsid w:val="003B0C52"/>
    <w:rsid w:val="003B1435"/>
    <w:rsid w:val="003B1644"/>
    <w:rsid w:val="003B195A"/>
    <w:rsid w:val="003B213F"/>
    <w:rsid w:val="003B24CA"/>
    <w:rsid w:val="003B2747"/>
    <w:rsid w:val="003B2928"/>
    <w:rsid w:val="003B2D69"/>
    <w:rsid w:val="003B2DBE"/>
    <w:rsid w:val="003B30A9"/>
    <w:rsid w:val="003B461D"/>
    <w:rsid w:val="003B4799"/>
    <w:rsid w:val="003B4A53"/>
    <w:rsid w:val="003B51EF"/>
    <w:rsid w:val="003B5692"/>
    <w:rsid w:val="003B57B0"/>
    <w:rsid w:val="003B5A24"/>
    <w:rsid w:val="003B5DB8"/>
    <w:rsid w:val="003B6386"/>
    <w:rsid w:val="003B6DAB"/>
    <w:rsid w:val="003B725A"/>
    <w:rsid w:val="003C04B6"/>
    <w:rsid w:val="003C065D"/>
    <w:rsid w:val="003C0C07"/>
    <w:rsid w:val="003C0E3D"/>
    <w:rsid w:val="003C122C"/>
    <w:rsid w:val="003C161D"/>
    <w:rsid w:val="003C19F7"/>
    <w:rsid w:val="003C2214"/>
    <w:rsid w:val="003C233D"/>
    <w:rsid w:val="003C2980"/>
    <w:rsid w:val="003C3113"/>
    <w:rsid w:val="003C32C8"/>
    <w:rsid w:val="003C3488"/>
    <w:rsid w:val="003C3856"/>
    <w:rsid w:val="003C3935"/>
    <w:rsid w:val="003C399A"/>
    <w:rsid w:val="003C3BC1"/>
    <w:rsid w:val="003C408D"/>
    <w:rsid w:val="003C4371"/>
    <w:rsid w:val="003C438F"/>
    <w:rsid w:val="003C4718"/>
    <w:rsid w:val="003C4812"/>
    <w:rsid w:val="003C5153"/>
    <w:rsid w:val="003C58A2"/>
    <w:rsid w:val="003C5EB1"/>
    <w:rsid w:val="003C62C1"/>
    <w:rsid w:val="003C63AA"/>
    <w:rsid w:val="003C6753"/>
    <w:rsid w:val="003C6AA1"/>
    <w:rsid w:val="003C6BDB"/>
    <w:rsid w:val="003C76AB"/>
    <w:rsid w:val="003C7793"/>
    <w:rsid w:val="003C7A91"/>
    <w:rsid w:val="003D0083"/>
    <w:rsid w:val="003D010C"/>
    <w:rsid w:val="003D045B"/>
    <w:rsid w:val="003D143D"/>
    <w:rsid w:val="003D1908"/>
    <w:rsid w:val="003D2AFD"/>
    <w:rsid w:val="003D3400"/>
    <w:rsid w:val="003D34CA"/>
    <w:rsid w:val="003D41EE"/>
    <w:rsid w:val="003D42C4"/>
    <w:rsid w:val="003D430D"/>
    <w:rsid w:val="003D4A88"/>
    <w:rsid w:val="003D4C42"/>
    <w:rsid w:val="003D4C56"/>
    <w:rsid w:val="003D4CE2"/>
    <w:rsid w:val="003D50D8"/>
    <w:rsid w:val="003D52BF"/>
    <w:rsid w:val="003D5861"/>
    <w:rsid w:val="003D6F98"/>
    <w:rsid w:val="003E0123"/>
    <w:rsid w:val="003E017F"/>
    <w:rsid w:val="003E0FB1"/>
    <w:rsid w:val="003E17E3"/>
    <w:rsid w:val="003E1A23"/>
    <w:rsid w:val="003E2A19"/>
    <w:rsid w:val="003E2ED9"/>
    <w:rsid w:val="003E310D"/>
    <w:rsid w:val="003E4F74"/>
    <w:rsid w:val="003E58CF"/>
    <w:rsid w:val="003E6234"/>
    <w:rsid w:val="003E6AAA"/>
    <w:rsid w:val="003E6BF3"/>
    <w:rsid w:val="003E7E82"/>
    <w:rsid w:val="003E7FB3"/>
    <w:rsid w:val="003F02BB"/>
    <w:rsid w:val="003F05AF"/>
    <w:rsid w:val="003F0CAD"/>
    <w:rsid w:val="003F1634"/>
    <w:rsid w:val="003F1F39"/>
    <w:rsid w:val="003F1F40"/>
    <w:rsid w:val="003F205F"/>
    <w:rsid w:val="003F323E"/>
    <w:rsid w:val="003F3A53"/>
    <w:rsid w:val="003F4295"/>
    <w:rsid w:val="003F4B51"/>
    <w:rsid w:val="003F52B0"/>
    <w:rsid w:val="003F5442"/>
    <w:rsid w:val="003F5A91"/>
    <w:rsid w:val="003F6362"/>
    <w:rsid w:val="003F6E76"/>
    <w:rsid w:val="003F705B"/>
    <w:rsid w:val="003F7306"/>
    <w:rsid w:val="003F7BFF"/>
    <w:rsid w:val="003F7D96"/>
    <w:rsid w:val="00400A24"/>
    <w:rsid w:val="00400CF6"/>
    <w:rsid w:val="0040176C"/>
    <w:rsid w:val="00401E66"/>
    <w:rsid w:val="00401FA9"/>
    <w:rsid w:val="0040201B"/>
    <w:rsid w:val="004029AF"/>
    <w:rsid w:val="00402C1D"/>
    <w:rsid w:val="00402CE5"/>
    <w:rsid w:val="00402DC1"/>
    <w:rsid w:val="0040333A"/>
    <w:rsid w:val="0040356D"/>
    <w:rsid w:val="004038A8"/>
    <w:rsid w:val="00403A4C"/>
    <w:rsid w:val="00403C40"/>
    <w:rsid w:val="00403D75"/>
    <w:rsid w:val="00403E17"/>
    <w:rsid w:val="00403E1F"/>
    <w:rsid w:val="004042EB"/>
    <w:rsid w:val="00404A58"/>
    <w:rsid w:val="00404E07"/>
    <w:rsid w:val="004060FD"/>
    <w:rsid w:val="00406CC2"/>
    <w:rsid w:val="00407060"/>
    <w:rsid w:val="004075A7"/>
    <w:rsid w:val="00407756"/>
    <w:rsid w:val="00407925"/>
    <w:rsid w:val="0041000C"/>
    <w:rsid w:val="00410065"/>
    <w:rsid w:val="004106FC"/>
    <w:rsid w:val="004107FA"/>
    <w:rsid w:val="00410A6D"/>
    <w:rsid w:val="004114FA"/>
    <w:rsid w:val="0041182E"/>
    <w:rsid w:val="0041201D"/>
    <w:rsid w:val="00412211"/>
    <w:rsid w:val="00412287"/>
    <w:rsid w:val="00412660"/>
    <w:rsid w:val="00412DBA"/>
    <w:rsid w:val="00412E9A"/>
    <w:rsid w:val="004136F2"/>
    <w:rsid w:val="00413D0F"/>
    <w:rsid w:val="00413D90"/>
    <w:rsid w:val="00413DE8"/>
    <w:rsid w:val="00413EE8"/>
    <w:rsid w:val="00413FAF"/>
    <w:rsid w:val="004152D5"/>
    <w:rsid w:val="004153C0"/>
    <w:rsid w:val="00415516"/>
    <w:rsid w:val="0041598C"/>
    <w:rsid w:val="00415CAA"/>
    <w:rsid w:val="0041692E"/>
    <w:rsid w:val="0041724F"/>
    <w:rsid w:val="004175F2"/>
    <w:rsid w:val="00417714"/>
    <w:rsid w:val="0042005F"/>
    <w:rsid w:val="0042047A"/>
    <w:rsid w:val="00420892"/>
    <w:rsid w:val="00420AF1"/>
    <w:rsid w:val="004210D4"/>
    <w:rsid w:val="00421A24"/>
    <w:rsid w:val="00421A45"/>
    <w:rsid w:val="00422A84"/>
    <w:rsid w:val="00423278"/>
    <w:rsid w:val="00423439"/>
    <w:rsid w:val="004238A8"/>
    <w:rsid w:val="004243B2"/>
    <w:rsid w:val="00424A98"/>
    <w:rsid w:val="00424CB9"/>
    <w:rsid w:val="00425468"/>
    <w:rsid w:val="00425993"/>
    <w:rsid w:val="00425A53"/>
    <w:rsid w:val="00425AE7"/>
    <w:rsid w:val="004260A4"/>
    <w:rsid w:val="0042644B"/>
    <w:rsid w:val="0042655E"/>
    <w:rsid w:val="00426B40"/>
    <w:rsid w:val="00427857"/>
    <w:rsid w:val="0042792D"/>
    <w:rsid w:val="00427B86"/>
    <w:rsid w:val="004301FB"/>
    <w:rsid w:val="004306D9"/>
    <w:rsid w:val="00430C37"/>
    <w:rsid w:val="00430C4D"/>
    <w:rsid w:val="004313AA"/>
    <w:rsid w:val="004319F9"/>
    <w:rsid w:val="00431F15"/>
    <w:rsid w:val="004327E5"/>
    <w:rsid w:val="0043386C"/>
    <w:rsid w:val="00433C2B"/>
    <w:rsid w:val="004349C9"/>
    <w:rsid w:val="00434C49"/>
    <w:rsid w:val="00435D32"/>
    <w:rsid w:val="00437827"/>
    <w:rsid w:val="004378D5"/>
    <w:rsid w:val="004378F6"/>
    <w:rsid w:val="00437F42"/>
    <w:rsid w:val="0044006F"/>
    <w:rsid w:val="00440382"/>
    <w:rsid w:val="00440A34"/>
    <w:rsid w:val="00440CF5"/>
    <w:rsid w:val="00441347"/>
    <w:rsid w:val="004421FC"/>
    <w:rsid w:val="0044256C"/>
    <w:rsid w:val="00442575"/>
    <w:rsid w:val="0044266D"/>
    <w:rsid w:val="00442CBC"/>
    <w:rsid w:val="00443473"/>
    <w:rsid w:val="00443506"/>
    <w:rsid w:val="00443572"/>
    <w:rsid w:val="004439CD"/>
    <w:rsid w:val="0044454C"/>
    <w:rsid w:val="00444721"/>
    <w:rsid w:val="004455E6"/>
    <w:rsid w:val="00445B6F"/>
    <w:rsid w:val="00446936"/>
    <w:rsid w:val="00447F44"/>
    <w:rsid w:val="004500FF"/>
    <w:rsid w:val="004504B9"/>
    <w:rsid w:val="004509FD"/>
    <w:rsid w:val="00450A94"/>
    <w:rsid w:val="00450B35"/>
    <w:rsid w:val="00450DD0"/>
    <w:rsid w:val="004511B0"/>
    <w:rsid w:val="00451430"/>
    <w:rsid w:val="004514E1"/>
    <w:rsid w:val="00451B33"/>
    <w:rsid w:val="00452C80"/>
    <w:rsid w:val="00452F9F"/>
    <w:rsid w:val="0045307B"/>
    <w:rsid w:val="0045317F"/>
    <w:rsid w:val="0045405D"/>
    <w:rsid w:val="004544E0"/>
    <w:rsid w:val="00454702"/>
    <w:rsid w:val="00454994"/>
    <w:rsid w:val="00454C8B"/>
    <w:rsid w:val="00454E80"/>
    <w:rsid w:val="00455F25"/>
    <w:rsid w:val="0045608E"/>
    <w:rsid w:val="00456CD2"/>
    <w:rsid w:val="00456EE9"/>
    <w:rsid w:val="00457D1E"/>
    <w:rsid w:val="004616D5"/>
    <w:rsid w:val="004619D5"/>
    <w:rsid w:val="00461F53"/>
    <w:rsid w:val="004623F3"/>
    <w:rsid w:val="0046264B"/>
    <w:rsid w:val="00462F14"/>
    <w:rsid w:val="00463053"/>
    <w:rsid w:val="004633B7"/>
    <w:rsid w:val="00463A59"/>
    <w:rsid w:val="00463D5A"/>
    <w:rsid w:val="00463E64"/>
    <w:rsid w:val="004641F4"/>
    <w:rsid w:val="004649B7"/>
    <w:rsid w:val="00464CEF"/>
    <w:rsid w:val="00464F7F"/>
    <w:rsid w:val="00465126"/>
    <w:rsid w:val="00465300"/>
    <w:rsid w:val="00465642"/>
    <w:rsid w:val="004658BD"/>
    <w:rsid w:val="00466106"/>
    <w:rsid w:val="00466240"/>
    <w:rsid w:val="004663F8"/>
    <w:rsid w:val="004668BE"/>
    <w:rsid w:val="004705FF"/>
    <w:rsid w:val="00470B9B"/>
    <w:rsid w:val="00471C9D"/>
    <w:rsid w:val="0047224F"/>
    <w:rsid w:val="00472667"/>
    <w:rsid w:val="00472AF4"/>
    <w:rsid w:val="00473331"/>
    <w:rsid w:val="00473B06"/>
    <w:rsid w:val="00473B27"/>
    <w:rsid w:val="00473DD1"/>
    <w:rsid w:val="004744FA"/>
    <w:rsid w:val="00474870"/>
    <w:rsid w:val="00474A75"/>
    <w:rsid w:val="00474E97"/>
    <w:rsid w:val="0047552D"/>
    <w:rsid w:val="0047558F"/>
    <w:rsid w:val="0047601E"/>
    <w:rsid w:val="004764D6"/>
    <w:rsid w:val="00476576"/>
    <w:rsid w:val="004769A0"/>
    <w:rsid w:val="00476D19"/>
    <w:rsid w:val="00477869"/>
    <w:rsid w:val="00480F27"/>
    <w:rsid w:val="00480FB5"/>
    <w:rsid w:val="00481FCF"/>
    <w:rsid w:val="004828D0"/>
    <w:rsid w:val="00482F2F"/>
    <w:rsid w:val="00483120"/>
    <w:rsid w:val="00483240"/>
    <w:rsid w:val="004836D6"/>
    <w:rsid w:val="0048388B"/>
    <w:rsid w:val="00483A2C"/>
    <w:rsid w:val="00485527"/>
    <w:rsid w:val="004857F6"/>
    <w:rsid w:val="00485A37"/>
    <w:rsid w:val="00486104"/>
    <w:rsid w:val="004864AD"/>
    <w:rsid w:val="00486524"/>
    <w:rsid w:val="0048656B"/>
    <w:rsid w:val="004866CB"/>
    <w:rsid w:val="00486E0C"/>
    <w:rsid w:val="00487583"/>
    <w:rsid w:val="004877A0"/>
    <w:rsid w:val="00487E87"/>
    <w:rsid w:val="00487F81"/>
    <w:rsid w:val="004900DD"/>
    <w:rsid w:val="00490F23"/>
    <w:rsid w:val="0049137B"/>
    <w:rsid w:val="0049142D"/>
    <w:rsid w:val="00491AE7"/>
    <w:rsid w:val="00491D22"/>
    <w:rsid w:val="004921A0"/>
    <w:rsid w:val="00492331"/>
    <w:rsid w:val="00492652"/>
    <w:rsid w:val="00493092"/>
    <w:rsid w:val="00493BD5"/>
    <w:rsid w:val="00494098"/>
    <w:rsid w:val="004946DF"/>
    <w:rsid w:val="004948BA"/>
    <w:rsid w:val="00494EBB"/>
    <w:rsid w:val="00495001"/>
    <w:rsid w:val="004958E5"/>
    <w:rsid w:val="00495B49"/>
    <w:rsid w:val="00496282"/>
    <w:rsid w:val="00496D6F"/>
    <w:rsid w:val="00496F95"/>
    <w:rsid w:val="00497251"/>
    <w:rsid w:val="00497328"/>
    <w:rsid w:val="004A0045"/>
    <w:rsid w:val="004A045E"/>
    <w:rsid w:val="004A0634"/>
    <w:rsid w:val="004A079F"/>
    <w:rsid w:val="004A177C"/>
    <w:rsid w:val="004A2E7E"/>
    <w:rsid w:val="004A325F"/>
    <w:rsid w:val="004A3262"/>
    <w:rsid w:val="004A33A2"/>
    <w:rsid w:val="004A36EB"/>
    <w:rsid w:val="004A4269"/>
    <w:rsid w:val="004A430A"/>
    <w:rsid w:val="004A4BCC"/>
    <w:rsid w:val="004A60D6"/>
    <w:rsid w:val="004A68A3"/>
    <w:rsid w:val="004A70F9"/>
    <w:rsid w:val="004A77B7"/>
    <w:rsid w:val="004A77FD"/>
    <w:rsid w:val="004A7E89"/>
    <w:rsid w:val="004A7EB6"/>
    <w:rsid w:val="004B02AF"/>
    <w:rsid w:val="004B1306"/>
    <w:rsid w:val="004B14E2"/>
    <w:rsid w:val="004B1D6A"/>
    <w:rsid w:val="004B22A7"/>
    <w:rsid w:val="004B239E"/>
    <w:rsid w:val="004B2616"/>
    <w:rsid w:val="004B2734"/>
    <w:rsid w:val="004B36A0"/>
    <w:rsid w:val="004B423A"/>
    <w:rsid w:val="004B48A3"/>
    <w:rsid w:val="004B4BAA"/>
    <w:rsid w:val="004B4C23"/>
    <w:rsid w:val="004B51AD"/>
    <w:rsid w:val="004B51C4"/>
    <w:rsid w:val="004B557F"/>
    <w:rsid w:val="004B56C8"/>
    <w:rsid w:val="004B58D6"/>
    <w:rsid w:val="004B5A89"/>
    <w:rsid w:val="004B6072"/>
    <w:rsid w:val="004B675F"/>
    <w:rsid w:val="004B69A1"/>
    <w:rsid w:val="004B6C07"/>
    <w:rsid w:val="004B6FF2"/>
    <w:rsid w:val="004B7282"/>
    <w:rsid w:val="004B752A"/>
    <w:rsid w:val="004B75EE"/>
    <w:rsid w:val="004B7898"/>
    <w:rsid w:val="004C001A"/>
    <w:rsid w:val="004C02FD"/>
    <w:rsid w:val="004C038B"/>
    <w:rsid w:val="004C05E5"/>
    <w:rsid w:val="004C077E"/>
    <w:rsid w:val="004C0D8C"/>
    <w:rsid w:val="004C134C"/>
    <w:rsid w:val="004C1ACC"/>
    <w:rsid w:val="004C1C6D"/>
    <w:rsid w:val="004C1C7D"/>
    <w:rsid w:val="004C31E8"/>
    <w:rsid w:val="004C3517"/>
    <w:rsid w:val="004C3DF7"/>
    <w:rsid w:val="004C429C"/>
    <w:rsid w:val="004C42BD"/>
    <w:rsid w:val="004C4875"/>
    <w:rsid w:val="004C4BE0"/>
    <w:rsid w:val="004C4EFE"/>
    <w:rsid w:val="004C5131"/>
    <w:rsid w:val="004C5F89"/>
    <w:rsid w:val="004C6B7C"/>
    <w:rsid w:val="004C6E59"/>
    <w:rsid w:val="004C6E71"/>
    <w:rsid w:val="004C742A"/>
    <w:rsid w:val="004C7494"/>
    <w:rsid w:val="004C76FF"/>
    <w:rsid w:val="004D0226"/>
    <w:rsid w:val="004D07D4"/>
    <w:rsid w:val="004D0A26"/>
    <w:rsid w:val="004D0BC0"/>
    <w:rsid w:val="004D1021"/>
    <w:rsid w:val="004D186E"/>
    <w:rsid w:val="004D1B19"/>
    <w:rsid w:val="004D2475"/>
    <w:rsid w:val="004D3C19"/>
    <w:rsid w:val="004D4681"/>
    <w:rsid w:val="004D483E"/>
    <w:rsid w:val="004D499A"/>
    <w:rsid w:val="004D4A4B"/>
    <w:rsid w:val="004D4A57"/>
    <w:rsid w:val="004D4C95"/>
    <w:rsid w:val="004D4E66"/>
    <w:rsid w:val="004D52FE"/>
    <w:rsid w:val="004D5387"/>
    <w:rsid w:val="004D57DB"/>
    <w:rsid w:val="004D60B3"/>
    <w:rsid w:val="004D783A"/>
    <w:rsid w:val="004D7958"/>
    <w:rsid w:val="004D798F"/>
    <w:rsid w:val="004D79E0"/>
    <w:rsid w:val="004D7C09"/>
    <w:rsid w:val="004E007A"/>
    <w:rsid w:val="004E24F6"/>
    <w:rsid w:val="004E2722"/>
    <w:rsid w:val="004E2795"/>
    <w:rsid w:val="004E2CD5"/>
    <w:rsid w:val="004E305C"/>
    <w:rsid w:val="004E308D"/>
    <w:rsid w:val="004E40AD"/>
    <w:rsid w:val="004E40AF"/>
    <w:rsid w:val="004E4111"/>
    <w:rsid w:val="004E45AA"/>
    <w:rsid w:val="004E46E6"/>
    <w:rsid w:val="004E4AD4"/>
    <w:rsid w:val="004E51BB"/>
    <w:rsid w:val="004E53A2"/>
    <w:rsid w:val="004E618A"/>
    <w:rsid w:val="004E63D2"/>
    <w:rsid w:val="004E6BCE"/>
    <w:rsid w:val="004F00E0"/>
    <w:rsid w:val="004F08C3"/>
    <w:rsid w:val="004F0C51"/>
    <w:rsid w:val="004F1593"/>
    <w:rsid w:val="004F1D14"/>
    <w:rsid w:val="004F2053"/>
    <w:rsid w:val="004F230F"/>
    <w:rsid w:val="004F2761"/>
    <w:rsid w:val="004F288E"/>
    <w:rsid w:val="004F2E38"/>
    <w:rsid w:val="004F30E4"/>
    <w:rsid w:val="004F386D"/>
    <w:rsid w:val="004F4090"/>
    <w:rsid w:val="004F4928"/>
    <w:rsid w:val="004F49F3"/>
    <w:rsid w:val="004F4B8A"/>
    <w:rsid w:val="004F4EF1"/>
    <w:rsid w:val="004F5308"/>
    <w:rsid w:val="004F53D3"/>
    <w:rsid w:val="004F554E"/>
    <w:rsid w:val="004F7103"/>
    <w:rsid w:val="004F758E"/>
    <w:rsid w:val="004F7752"/>
    <w:rsid w:val="004F7E1B"/>
    <w:rsid w:val="005000AA"/>
    <w:rsid w:val="005001A9"/>
    <w:rsid w:val="0050055F"/>
    <w:rsid w:val="0050124C"/>
    <w:rsid w:val="005014F1"/>
    <w:rsid w:val="00501903"/>
    <w:rsid w:val="00501F31"/>
    <w:rsid w:val="00501FB1"/>
    <w:rsid w:val="0050298A"/>
    <w:rsid w:val="00502FAA"/>
    <w:rsid w:val="0050341B"/>
    <w:rsid w:val="00503A69"/>
    <w:rsid w:val="00503C49"/>
    <w:rsid w:val="00503C5E"/>
    <w:rsid w:val="00503E80"/>
    <w:rsid w:val="0050422F"/>
    <w:rsid w:val="00504771"/>
    <w:rsid w:val="00504995"/>
    <w:rsid w:val="00504C4B"/>
    <w:rsid w:val="00505179"/>
    <w:rsid w:val="005054D4"/>
    <w:rsid w:val="0050649A"/>
    <w:rsid w:val="0050659A"/>
    <w:rsid w:val="0050674B"/>
    <w:rsid w:val="005071EE"/>
    <w:rsid w:val="0050778C"/>
    <w:rsid w:val="00507A83"/>
    <w:rsid w:val="00507D8A"/>
    <w:rsid w:val="00510093"/>
    <w:rsid w:val="005115A7"/>
    <w:rsid w:val="00512F9D"/>
    <w:rsid w:val="00512FD3"/>
    <w:rsid w:val="00513080"/>
    <w:rsid w:val="0051327A"/>
    <w:rsid w:val="0051335D"/>
    <w:rsid w:val="005134D5"/>
    <w:rsid w:val="005135B6"/>
    <w:rsid w:val="00513840"/>
    <w:rsid w:val="00513FAE"/>
    <w:rsid w:val="00514029"/>
    <w:rsid w:val="0051416C"/>
    <w:rsid w:val="005144AF"/>
    <w:rsid w:val="00514933"/>
    <w:rsid w:val="00514A06"/>
    <w:rsid w:val="00514C74"/>
    <w:rsid w:val="00514CCD"/>
    <w:rsid w:val="00515438"/>
    <w:rsid w:val="005154AB"/>
    <w:rsid w:val="005156DC"/>
    <w:rsid w:val="00515D04"/>
    <w:rsid w:val="00515D49"/>
    <w:rsid w:val="00516161"/>
    <w:rsid w:val="00516B35"/>
    <w:rsid w:val="0051706D"/>
    <w:rsid w:val="00517705"/>
    <w:rsid w:val="005179B0"/>
    <w:rsid w:val="00517E1D"/>
    <w:rsid w:val="00520151"/>
    <w:rsid w:val="00520489"/>
    <w:rsid w:val="00520AEF"/>
    <w:rsid w:val="005210F1"/>
    <w:rsid w:val="005212BE"/>
    <w:rsid w:val="005221AE"/>
    <w:rsid w:val="0052242E"/>
    <w:rsid w:val="005225B9"/>
    <w:rsid w:val="00522F51"/>
    <w:rsid w:val="0052319D"/>
    <w:rsid w:val="00523245"/>
    <w:rsid w:val="00523BF3"/>
    <w:rsid w:val="0052401B"/>
    <w:rsid w:val="0052491C"/>
    <w:rsid w:val="00525544"/>
    <w:rsid w:val="00525B58"/>
    <w:rsid w:val="005264FF"/>
    <w:rsid w:val="00526867"/>
    <w:rsid w:val="00526A1B"/>
    <w:rsid w:val="00526B74"/>
    <w:rsid w:val="00527018"/>
    <w:rsid w:val="005271EF"/>
    <w:rsid w:val="005274FB"/>
    <w:rsid w:val="005275E7"/>
    <w:rsid w:val="005279CD"/>
    <w:rsid w:val="00527A74"/>
    <w:rsid w:val="00530084"/>
    <w:rsid w:val="00530180"/>
    <w:rsid w:val="0053061F"/>
    <w:rsid w:val="00530710"/>
    <w:rsid w:val="00530C84"/>
    <w:rsid w:val="00531715"/>
    <w:rsid w:val="00531C1C"/>
    <w:rsid w:val="00531C54"/>
    <w:rsid w:val="00531E90"/>
    <w:rsid w:val="00532552"/>
    <w:rsid w:val="005327EC"/>
    <w:rsid w:val="00532D0E"/>
    <w:rsid w:val="005332FC"/>
    <w:rsid w:val="005336FA"/>
    <w:rsid w:val="00533787"/>
    <w:rsid w:val="00533BE7"/>
    <w:rsid w:val="0053410F"/>
    <w:rsid w:val="00534304"/>
    <w:rsid w:val="00534D33"/>
    <w:rsid w:val="00534DEE"/>
    <w:rsid w:val="00536057"/>
    <w:rsid w:val="005361EC"/>
    <w:rsid w:val="005362D5"/>
    <w:rsid w:val="005367F8"/>
    <w:rsid w:val="00537256"/>
    <w:rsid w:val="00540638"/>
    <w:rsid w:val="00540A1B"/>
    <w:rsid w:val="00541029"/>
    <w:rsid w:val="0054154D"/>
    <w:rsid w:val="00541DDF"/>
    <w:rsid w:val="00542840"/>
    <w:rsid w:val="00542F81"/>
    <w:rsid w:val="00543A6D"/>
    <w:rsid w:val="00544725"/>
    <w:rsid w:val="00544D1D"/>
    <w:rsid w:val="0054634D"/>
    <w:rsid w:val="005472BC"/>
    <w:rsid w:val="00547D3A"/>
    <w:rsid w:val="00547DBD"/>
    <w:rsid w:val="0055158B"/>
    <w:rsid w:val="00551850"/>
    <w:rsid w:val="00551F8F"/>
    <w:rsid w:val="00552248"/>
    <w:rsid w:val="005523BC"/>
    <w:rsid w:val="005527C4"/>
    <w:rsid w:val="005529D5"/>
    <w:rsid w:val="00553972"/>
    <w:rsid w:val="00553B5B"/>
    <w:rsid w:val="0055401A"/>
    <w:rsid w:val="0055456B"/>
    <w:rsid w:val="005545F4"/>
    <w:rsid w:val="0055520A"/>
    <w:rsid w:val="0055579C"/>
    <w:rsid w:val="00555821"/>
    <w:rsid w:val="00556184"/>
    <w:rsid w:val="0055666B"/>
    <w:rsid w:val="00557905"/>
    <w:rsid w:val="005579C5"/>
    <w:rsid w:val="00557A96"/>
    <w:rsid w:val="00557ADC"/>
    <w:rsid w:val="00557F58"/>
    <w:rsid w:val="0056020C"/>
    <w:rsid w:val="005602A8"/>
    <w:rsid w:val="00560AD6"/>
    <w:rsid w:val="00561584"/>
    <w:rsid w:val="00562D06"/>
    <w:rsid w:val="0056322C"/>
    <w:rsid w:val="005638CB"/>
    <w:rsid w:val="005643F9"/>
    <w:rsid w:val="00564897"/>
    <w:rsid w:val="00564B2D"/>
    <w:rsid w:val="00565292"/>
    <w:rsid w:val="0056529C"/>
    <w:rsid w:val="00565992"/>
    <w:rsid w:val="005666E0"/>
    <w:rsid w:val="0056699B"/>
    <w:rsid w:val="005670D6"/>
    <w:rsid w:val="00567156"/>
    <w:rsid w:val="00567222"/>
    <w:rsid w:val="00567732"/>
    <w:rsid w:val="00567933"/>
    <w:rsid w:val="00567D6F"/>
    <w:rsid w:val="00570906"/>
    <w:rsid w:val="00570EEB"/>
    <w:rsid w:val="00571248"/>
    <w:rsid w:val="005715D5"/>
    <w:rsid w:val="00571F8D"/>
    <w:rsid w:val="00572E2B"/>
    <w:rsid w:val="00573703"/>
    <w:rsid w:val="00573775"/>
    <w:rsid w:val="00574003"/>
    <w:rsid w:val="005743A1"/>
    <w:rsid w:val="005749B9"/>
    <w:rsid w:val="005749BE"/>
    <w:rsid w:val="005750ED"/>
    <w:rsid w:val="0057535B"/>
    <w:rsid w:val="0057547C"/>
    <w:rsid w:val="00575E00"/>
    <w:rsid w:val="00576073"/>
    <w:rsid w:val="005763D0"/>
    <w:rsid w:val="00576BF4"/>
    <w:rsid w:val="00576C98"/>
    <w:rsid w:val="005772E3"/>
    <w:rsid w:val="00580E32"/>
    <w:rsid w:val="00580E66"/>
    <w:rsid w:val="00581BA1"/>
    <w:rsid w:val="005832A5"/>
    <w:rsid w:val="005834F7"/>
    <w:rsid w:val="00583637"/>
    <w:rsid w:val="00583657"/>
    <w:rsid w:val="0058377E"/>
    <w:rsid w:val="00583907"/>
    <w:rsid w:val="0058398D"/>
    <w:rsid w:val="00583CCE"/>
    <w:rsid w:val="00583D32"/>
    <w:rsid w:val="005857DA"/>
    <w:rsid w:val="005860C5"/>
    <w:rsid w:val="005868AA"/>
    <w:rsid w:val="00586C8E"/>
    <w:rsid w:val="00586ED7"/>
    <w:rsid w:val="00587537"/>
    <w:rsid w:val="005904C5"/>
    <w:rsid w:val="005907B3"/>
    <w:rsid w:val="0059145A"/>
    <w:rsid w:val="00591907"/>
    <w:rsid w:val="00591D3C"/>
    <w:rsid w:val="00591D49"/>
    <w:rsid w:val="0059265C"/>
    <w:rsid w:val="005927F1"/>
    <w:rsid w:val="005928E2"/>
    <w:rsid w:val="00592AEA"/>
    <w:rsid w:val="00592D66"/>
    <w:rsid w:val="005934B3"/>
    <w:rsid w:val="00593600"/>
    <w:rsid w:val="00594DD9"/>
    <w:rsid w:val="0059632A"/>
    <w:rsid w:val="00596A39"/>
    <w:rsid w:val="0059711D"/>
    <w:rsid w:val="005973A1"/>
    <w:rsid w:val="0059779C"/>
    <w:rsid w:val="00597AD6"/>
    <w:rsid w:val="005A0028"/>
    <w:rsid w:val="005A0141"/>
    <w:rsid w:val="005A0C6D"/>
    <w:rsid w:val="005A1151"/>
    <w:rsid w:val="005A1455"/>
    <w:rsid w:val="005A1562"/>
    <w:rsid w:val="005A1D97"/>
    <w:rsid w:val="005A1F66"/>
    <w:rsid w:val="005A23BE"/>
    <w:rsid w:val="005A2AD8"/>
    <w:rsid w:val="005A393D"/>
    <w:rsid w:val="005A3980"/>
    <w:rsid w:val="005A4C92"/>
    <w:rsid w:val="005A55C0"/>
    <w:rsid w:val="005A60B4"/>
    <w:rsid w:val="005A6409"/>
    <w:rsid w:val="005A7089"/>
    <w:rsid w:val="005A75FB"/>
    <w:rsid w:val="005A7E3A"/>
    <w:rsid w:val="005B01A0"/>
    <w:rsid w:val="005B080F"/>
    <w:rsid w:val="005B0ABE"/>
    <w:rsid w:val="005B0C0D"/>
    <w:rsid w:val="005B0F60"/>
    <w:rsid w:val="005B1115"/>
    <w:rsid w:val="005B16FC"/>
    <w:rsid w:val="005B17EF"/>
    <w:rsid w:val="005B18ED"/>
    <w:rsid w:val="005B1FF9"/>
    <w:rsid w:val="005B24FA"/>
    <w:rsid w:val="005B32BF"/>
    <w:rsid w:val="005B3B46"/>
    <w:rsid w:val="005B40AF"/>
    <w:rsid w:val="005B460A"/>
    <w:rsid w:val="005B4A6F"/>
    <w:rsid w:val="005B4DB2"/>
    <w:rsid w:val="005B5196"/>
    <w:rsid w:val="005B56BD"/>
    <w:rsid w:val="005B5BCB"/>
    <w:rsid w:val="005B5D8B"/>
    <w:rsid w:val="005B6179"/>
    <w:rsid w:val="005B6350"/>
    <w:rsid w:val="005B677E"/>
    <w:rsid w:val="005B69FF"/>
    <w:rsid w:val="005B6BBD"/>
    <w:rsid w:val="005B7777"/>
    <w:rsid w:val="005B77BB"/>
    <w:rsid w:val="005B7CAD"/>
    <w:rsid w:val="005B7DA6"/>
    <w:rsid w:val="005C001B"/>
    <w:rsid w:val="005C09B4"/>
    <w:rsid w:val="005C1210"/>
    <w:rsid w:val="005C13F2"/>
    <w:rsid w:val="005C1AA6"/>
    <w:rsid w:val="005C1FE4"/>
    <w:rsid w:val="005C20D4"/>
    <w:rsid w:val="005C2237"/>
    <w:rsid w:val="005C2264"/>
    <w:rsid w:val="005C24F2"/>
    <w:rsid w:val="005C2ADB"/>
    <w:rsid w:val="005C3077"/>
    <w:rsid w:val="005C45E8"/>
    <w:rsid w:val="005C53CA"/>
    <w:rsid w:val="005C5BF2"/>
    <w:rsid w:val="005C60B0"/>
    <w:rsid w:val="005C72A3"/>
    <w:rsid w:val="005C792C"/>
    <w:rsid w:val="005C7D38"/>
    <w:rsid w:val="005D0252"/>
    <w:rsid w:val="005D2010"/>
    <w:rsid w:val="005D27CD"/>
    <w:rsid w:val="005D2D48"/>
    <w:rsid w:val="005D33C5"/>
    <w:rsid w:val="005D35DA"/>
    <w:rsid w:val="005D3657"/>
    <w:rsid w:val="005D4826"/>
    <w:rsid w:val="005D4BB5"/>
    <w:rsid w:val="005D5FB2"/>
    <w:rsid w:val="005D6AE8"/>
    <w:rsid w:val="005D71FD"/>
    <w:rsid w:val="005D7D71"/>
    <w:rsid w:val="005D7EE1"/>
    <w:rsid w:val="005E01AA"/>
    <w:rsid w:val="005E0349"/>
    <w:rsid w:val="005E07B5"/>
    <w:rsid w:val="005E0B7A"/>
    <w:rsid w:val="005E1646"/>
    <w:rsid w:val="005E20EE"/>
    <w:rsid w:val="005E25EF"/>
    <w:rsid w:val="005E301F"/>
    <w:rsid w:val="005E369F"/>
    <w:rsid w:val="005E3A29"/>
    <w:rsid w:val="005E3AA2"/>
    <w:rsid w:val="005E4C7B"/>
    <w:rsid w:val="005E4F7B"/>
    <w:rsid w:val="005E550B"/>
    <w:rsid w:val="005E66B6"/>
    <w:rsid w:val="005E6F5B"/>
    <w:rsid w:val="005E7499"/>
    <w:rsid w:val="005F0572"/>
    <w:rsid w:val="005F08C6"/>
    <w:rsid w:val="005F1BC8"/>
    <w:rsid w:val="005F216C"/>
    <w:rsid w:val="005F225E"/>
    <w:rsid w:val="005F32B1"/>
    <w:rsid w:val="005F4181"/>
    <w:rsid w:val="005F4860"/>
    <w:rsid w:val="005F4F21"/>
    <w:rsid w:val="005F58A5"/>
    <w:rsid w:val="005F5ADB"/>
    <w:rsid w:val="005F5DE0"/>
    <w:rsid w:val="005F5FBF"/>
    <w:rsid w:val="005F6233"/>
    <w:rsid w:val="005F64A9"/>
    <w:rsid w:val="00600279"/>
    <w:rsid w:val="006009A2"/>
    <w:rsid w:val="00600A19"/>
    <w:rsid w:val="00600B68"/>
    <w:rsid w:val="00601A6D"/>
    <w:rsid w:val="006021C0"/>
    <w:rsid w:val="006021C7"/>
    <w:rsid w:val="00602CDA"/>
    <w:rsid w:val="00602F50"/>
    <w:rsid w:val="00602F93"/>
    <w:rsid w:val="006034D8"/>
    <w:rsid w:val="006040E3"/>
    <w:rsid w:val="006041A8"/>
    <w:rsid w:val="00604A60"/>
    <w:rsid w:val="00604B04"/>
    <w:rsid w:val="0060500D"/>
    <w:rsid w:val="006050E4"/>
    <w:rsid w:val="00605380"/>
    <w:rsid w:val="0060607A"/>
    <w:rsid w:val="00606533"/>
    <w:rsid w:val="00606574"/>
    <w:rsid w:val="00606765"/>
    <w:rsid w:val="00606842"/>
    <w:rsid w:val="00606B3D"/>
    <w:rsid w:val="00606BE3"/>
    <w:rsid w:val="00610011"/>
    <w:rsid w:val="00610623"/>
    <w:rsid w:val="00610F9D"/>
    <w:rsid w:val="006115E6"/>
    <w:rsid w:val="0061188C"/>
    <w:rsid w:val="0061198A"/>
    <w:rsid w:val="006119B7"/>
    <w:rsid w:val="00611C95"/>
    <w:rsid w:val="00613E1A"/>
    <w:rsid w:val="00613EE7"/>
    <w:rsid w:val="006141B4"/>
    <w:rsid w:val="0061475E"/>
    <w:rsid w:val="006149F2"/>
    <w:rsid w:val="00614A69"/>
    <w:rsid w:val="00615284"/>
    <w:rsid w:val="0061582C"/>
    <w:rsid w:val="00616397"/>
    <w:rsid w:val="00616939"/>
    <w:rsid w:val="00616B55"/>
    <w:rsid w:val="00616D1D"/>
    <w:rsid w:val="00616E35"/>
    <w:rsid w:val="006171B1"/>
    <w:rsid w:val="006173FC"/>
    <w:rsid w:val="006175E1"/>
    <w:rsid w:val="006202C2"/>
    <w:rsid w:val="006215D1"/>
    <w:rsid w:val="006222BE"/>
    <w:rsid w:val="00622FDE"/>
    <w:rsid w:val="006231E5"/>
    <w:rsid w:val="006236C0"/>
    <w:rsid w:val="006237B1"/>
    <w:rsid w:val="00623A59"/>
    <w:rsid w:val="00623B7A"/>
    <w:rsid w:val="00624333"/>
    <w:rsid w:val="0062460A"/>
    <w:rsid w:val="00624A8E"/>
    <w:rsid w:val="00624D5C"/>
    <w:rsid w:val="00624EFD"/>
    <w:rsid w:val="00626089"/>
    <w:rsid w:val="0062623A"/>
    <w:rsid w:val="0062694F"/>
    <w:rsid w:val="0062731D"/>
    <w:rsid w:val="00627994"/>
    <w:rsid w:val="00627C0D"/>
    <w:rsid w:val="00627D85"/>
    <w:rsid w:val="006302A3"/>
    <w:rsid w:val="00630938"/>
    <w:rsid w:val="00630F57"/>
    <w:rsid w:val="006310A7"/>
    <w:rsid w:val="006314C4"/>
    <w:rsid w:val="00631C21"/>
    <w:rsid w:val="00632D0F"/>
    <w:rsid w:val="0063300F"/>
    <w:rsid w:val="00633555"/>
    <w:rsid w:val="00633791"/>
    <w:rsid w:val="006342E3"/>
    <w:rsid w:val="00634366"/>
    <w:rsid w:val="00634D68"/>
    <w:rsid w:val="00634EDB"/>
    <w:rsid w:val="006351D5"/>
    <w:rsid w:val="00635BA9"/>
    <w:rsid w:val="00635C11"/>
    <w:rsid w:val="00635F11"/>
    <w:rsid w:val="006366CF"/>
    <w:rsid w:val="00636BA7"/>
    <w:rsid w:val="00636E93"/>
    <w:rsid w:val="00637643"/>
    <w:rsid w:val="00641F2D"/>
    <w:rsid w:val="006421F4"/>
    <w:rsid w:val="0064268C"/>
    <w:rsid w:val="00642BA6"/>
    <w:rsid w:val="00642E15"/>
    <w:rsid w:val="00642EE4"/>
    <w:rsid w:val="00642FC7"/>
    <w:rsid w:val="0064357A"/>
    <w:rsid w:val="006435BD"/>
    <w:rsid w:val="00643B30"/>
    <w:rsid w:val="00644339"/>
    <w:rsid w:val="006449D3"/>
    <w:rsid w:val="00644BA0"/>
    <w:rsid w:val="0064527F"/>
    <w:rsid w:val="00645841"/>
    <w:rsid w:val="006459AE"/>
    <w:rsid w:val="00645D30"/>
    <w:rsid w:val="00645D52"/>
    <w:rsid w:val="00645EAC"/>
    <w:rsid w:val="00646367"/>
    <w:rsid w:val="006465D7"/>
    <w:rsid w:val="0064683A"/>
    <w:rsid w:val="00646FDC"/>
    <w:rsid w:val="00647CAF"/>
    <w:rsid w:val="00650184"/>
    <w:rsid w:val="00650BE3"/>
    <w:rsid w:val="006511BA"/>
    <w:rsid w:val="00651E76"/>
    <w:rsid w:val="00651F4E"/>
    <w:rsid w:val="00652445"/>
    <w:rsid w:val="00652714"/>
    <w:rsid w:val="00653E4D"/>
    <w:rsid w:val="00654278"/>
    <w:rsid w:val="00654511"/>
    <w:rsid w:val="00654A92"/>
    <w:rsid w:val="00654AF9"/>
    <w:rsid w:val="006553F2"/>
    <w:rsid w:val="006554B7"/>
    <w:rsid w:val="006558F4"/>
    <w:rsid w:val="00656150"/>
    <w:rsid w:val="00656604"/>
    <w:rsid w:val="00656895"/>
    <w:rsid w:val="00656A0E"/>
    <w:rsid w:val="00656A97"/>
    <w:rsid w:val="006577C0"/>
    <w:rsid w:val="006604F7"/>
    <w:rsid w:val="0066055B"/>
    <w:rsid w:val="00660CE0"/>
    <w:rsid w:val="006610AF"/>
    <w:rsid w:val="006617FF"/>
    <w:rsid w:val="00661F71"/>
    <w:rsid w:val="00662176"/>
    <w:rsid w:val="006623CA"/>
    <w:rsid w:val="006624DA"/>
    <w:rsid w:val="00662A5F"/>
    <w:rsid w:val="00662B8B"/>
    <w:rsid w:val="00662F4E"/>
    <w:rsid w:val="00663984"/>
    <w:rsid w:val="0066519F"/>
    <w:rsid w:val="0066526C"/>
    <w:rsid w:val="006652EF"/>
    <w:rsid w:val="00665A8A"/>
    <w:rsid w:val="00665E0B"/>
    <w:rsid w:val="00666067"/>
    <w:rsid w:val="00666228"/>
    <w:rsid w:val="0066666C"/>
    <w:rsid w:val="00666671"/>
    <w:rsid w:val="00666EEC"/>
    <w:rsid w:val="006670B9"/>
    <w:rsid w:val="00667707"/>
    <w:rsid w:val="00667B07"/>
    <w:rsid w:val="00667F85"/>
    <w:rsid w:val="006702AF"/>
    <w:rsid w:val="0067086F"/>
    <w:rsid w:val="006708E6"/>
    <w:rsid w:val="00670AF4"/>
    <w:rsid w:val="00670DDE"/>
    <w:rsid w:val="0067170A"/>
    <w:rsid w:val="00671A7C"/>
    <w:rsid w:val="006722FF"/>
    <w:rsid w:val="00672947"/>
    <w:rsid w:val="00672ACD"/>
    <w:rsid w:val="00673732"/>
    <w:rsid w:val="00673876"/>
    <w:rsid w:val="00674721"/>
    <w:rsid w:val="00674E00"/>
    <w:rsid w:val="00675559"/>
    <w:rsid w:val="00675A25"/>
    <w:rsid w:val="0067659C"/>
    <w:rsid w:val="00676AE6"/>
    <w:rsid w:val="00676C17"/>
    <w:rsid w:val="00676EBA"/>
    <w:rsid w:val="006770A4"/>
    <w:rsid w:val="00677213"/>
    <w:rsid w:val="00677571"/>
    <w:rsid w:val="006803B4"/>
    <w:rsid w:val="00680A52"/>
    <w:rsid w:val="00680EEC"/>
    <w:rsid w:val="006810A3"/>
    <w:rsid w:val="0068178E"/>
    <w:rsid w:val="006817D8"/>
    <w:rsid w:val="006818ED"/>
    <w:rsid w:val="00681FE5"/>
    <w:rsid w:val="00682023"/>
    <w:rsid w:val="00682145"/>
    <w:rsid w:val="00682FD5"/>
    <w:rsid w:val="00683C83"/>
    <w:rsid w:val="00683D23"/>
    <w:rsid w:val="00684910"/>
    <w:rsid w:val="00684C5C"/>
    <w:rsid w:val="00684D38"/>
    <w:rsid w:val="00685C19"/>
    <w:rsid w:val="00685F5C"/>
    <w:rsid w:val="006865D2"/>
    <w:rsid w:val="00686E23"/>
    <w:rsid w:val="00687DF7"/>
    <w:rsid w:val="00687E4B"/>
    <w:rsid w:val="00690489"/>
    <w:rsid w:val="00690945"/>
    <w:rsid w:val="00690BA9"/>
    <w:rsid w:val="00690D73"/>
    <w:rsid w:val="00691196"/>
    <w:rsid w:val="0069134F"/>
    <w:rsid w:val="00692616"/>
    <w:rsid w:val="006926B1"/>
    <w:rsid w:val="00692D9F"/>
    <w:rsid w:val="00693496"/>
    <w:rsid w:val="00693916"/>
    <w:rsid w:val="00693FFA"/>
    <w:rsid w:val="00694365"/>
    <w:rsid w:val="00694996"/>
    <w:rsid w:val="00694C90"/>
    <w:rsid w:val="00694D32"/>
    <w:rsid w:val="00694DFC"/>
    <w:rsid w:val="00695F93"/>
    <w:rsid w:val="006964C5"/>
    <w:rsid w:val="006964F9"/>
    <w:rsid w:val="00696548"/>
    <w:rsid w:val="00696B8B"/>
    <w:rsid w:val="0069715B"/>
    <w:rsid w:val="006A081C"/>
    <w:rsid w:val="006A1A2C"/>
    <w:rsid w:val="006A1F85"/>
    <w:rsid w:val="006A21F4"/>
    <w:rsid w:val="006A2736"/>
    <w:rsid w:val="006A2AF4"/>
    <w:rsid w:val="006A2D06"/>
    <w:rsid w:val="006A2E21"/>
    <w:rsid w:val="006A2F2F"/>
    <w:rsid w:val="006A4F54"/>
    <w:rsid w:val="006A50EF"/>
    <w:rsid w:val="006A5578"/>
    <w:rsid w:val="006A5CF7"/>
    <w:rsid w:val="006A5EF0"/>
    <w:rsid w:val="006A62F6"/>
    <w:rsid w:val="006A6322"/>
    <w:rsid w:val="006A641C"/>
    <w:rsid w:val="006A6E20"/>
    <w:rsid w:val="006A716F"/>
    <w:rsid w:val="006A7A0B"/>
    <w:rsid w:val="006B007C"/>
    <w:rsid w:val="006B00B8"/>
    <w:rsid w:val="006B03BE"/>
    <w:rsid w:val="006B0890"/>
    <w:rsid w:val="006B0DBA"/>
    <w:rsid w:val="006B1574"/>
    <w:rsid w:val="006B1CB7"/>
    <w:rsid w:val="006B1F8A"/>
    <w:rsid w:val="006B2080"/>
    <w:rsid w:val="006B2EBC"/>
    <w:rsid w:val="006B2EF2"/>
    <w:rsid w:val="006B3185"/>
    <w:rsid w:val="006B3211"/>
    <w:rsid w:val="006B33ED"/>
    <w:rsid w:val="006B36D9"/>
    <w:rsid w:val="006B3784"/>
    <w:rsid w:val="006B3C8C"/>
    <w:rsid w:val="006B3FD3"/>
    <w:rsid w:val="006B478F"/>
    <w:rsid w:val="006B47AE"/>
    <w:rsid w:val="006B5DFD"/>
    <w:rsid w:val="006B619F"/>
    <w:rsid w:val="006B7037"/>
    <w:rsid w:val="006B74BD"/>
    <w:rsid w:val="006B779A"/>
    <w:rsid w:val="006B7AA3"/>
    <w:rsid w:val="006C0100"/>
    <w:rsid w:val="006C01A2"/>
    <w:rsid w:val="006C01B2"/>
    <w:rsid w:val="006C04F6"/>
    <w:rsid w:val="006C09EE"/>
    <w:rsid w:val="006C0B53"/>
    <w:rsid w:val="006C0BFC"/>
    <w:rsid w:val="006C0E83"/>
    <w:rsid w:val="006C1112"/>
    <w:rsid w:val="006C19DD"/>
    <w:rsid w:val="006C1D56"/>
    <w:rsid w:val="006C208A"/>
    <w:rsid w:val="006C2144"/>
    <w:rsid w:val="006C291A"/>
    <w:rsid w:val="006C2EB5"/>
    <w:rsid w:val="006C2FE5"/>
    <w:rsid w:val="006C308E"/>
    <w:rsid w:val="006C33D4"/>
    <w:rsid w:val="006C3659"/>
    <w:rsid w:val="006C3A89"/>
    <w:rsid w:val="006C3EB9"/>
    <w:rsid w:val="006C3F1E"/>
    <w:rsid w:val="006C4841"/>
    <w:rsid w:val="006C4D0C"/>
    <w:rsid w:val="006C53BF"/>
    <w:rsid w:val="006C586F"/>
    <w:rsid w:val="006C590E"/>
    <w:rsid w:val="006C5D4A"/>
    <w:rsid w:val="006C5F74"/>
    <w:rsid w:val="006C6208"/>
    <w:rsid w:val="006C6D36"/>
    <w:rsid w:val="006C6E76"/>
    <w:rsid w:val="006C6FCD"/>
    <w:rsid w:val="006C74EF"/>
    <w:rsid w:val="006C7658"/>
    <w:rsid w:val="006C7DCD"/>
    <w:rsid w:val="006D0C76"/>
    <w:rsid w:val="006D0F42"/>
    <w:rsid w:val="006D0FC7"/>
    <w:rsid w:val="006D18B5"/>
    <w:rsid w:val="006D1DB9"/>
    <w:rsid w:val="006D246B"/>
    <w:rsid w:val="006D2525"/>
    <w:rsid w:val="006D286B"/>
    <w:rsid w:val="006D2BEB"/>
    <w:rsid w:val="006D2E83"/>
    <w:rsid w:val="006D30A9"/>
    <w:rsid w:val="006D3108"/>
    <w:rsid w:val="006D384F"/>
    <w:rsid w:val="006D3A37"/>
    <w:rsid w:val="006D3D58"/>
    <w:rsid w:val="006D3E62"/>
    <w:rsid w:val="006D3EB8"/>
    <w:rsid w:val="006D4230"/>
    <w:rsid w:val="006D4753"/>
    <w:rsid w:val="006D5786"/>
    <w:rsid w:val="006D6011"/>
    <w:rsid w:val="006D60D5"/>
    <w:rsid w:val="006D77C2"/>
    <w:rsid w:val="006E0F9A"/>
    <w:rsid w:val="006E0FB3"/>
    <w:rsid w:val="006E1601"/>
    <w:rsid w:val="006E17E7"/>
    <w:rsid w:val="006E2139"/>
    <w:rsid w:val="006E2351"/>
    <w:rsid w:val="006E2A50"/>
    <w:rsid w:val="006E2DD1"/>
    <w:rsid w:val="006E2DFC"/>
    <w:rsid w:val="006E3370"/>
    <w:rsid w:val="006E345D"/>
    <w:rsid w:val="006E3B48"/>
    <w:rsid w:val="006E44C0"/>
    <w:rsid w:val="006E5233"/>
    <w:rsid w:val="006E5284"/>
    <w:rsid w:val="006E53DB"/>
    <w:rsid w:val="006E5C2B"/>
    <w:rsid w:val="006E6198"/>
    <w:rsid w:val="006E63CA"/>
    <w:rsid w:val="006E6666"/>
    <w:rsid w:val="006E691D"/>
    <w:rsid w:val="006E6964"/>
    <w:rsid w:val="006E6C9D"/>
    <w:rsid w:val="006E6D78"/>
    <w:rsid w:val="006E6EB3"/>
    <w:rsid w:val="006E7026"/>
    <w:rsid w:val="006E70E2"/>
    <w:rsid w:val="006E71E0"/>
    <w:rsid w:val="006E723A"/>
    <w:rsid w:val="006F0118"/>
    <w:rsid w:val="006F071D"/>
    <w:rsid w:val="006F0995"/>
    <w:rsid w:val="006F12D8"/>
    <w:rsid w:val="006F16B5"/>
    <w:rsid w:val="006F2148"/>
    <w:rsid w:val="006F23D6"/>
    <w:rsid w:val="006F2DB1"/>
    <w:rsid w:val="006F3105"/>
    <w:rsid w:val="006F3202"/>
    <w:rsid w:val="006F394C"/>
    <w:rsid w:val="006F3FD7"/>
    <w:rsid w:val="006F3FEB"/>
    <w:rsid w:val="006F4380"/>
    <w:rsid w:val="006F4582"/>
    <w:rsid w:val="006F4784"/>
    <w:rsid w:val="006F4FA4"/>
    <w:rsid w:val="006F524B"/>
    <w:rsid w:val="006F5406"/>
    <w:rsid w:val="006F6025"/>
    <w:rsid w:val="006F630E"/>
    <w:rsid w:val="006F6734"/>
    <w:rsid w:val="006F6F14"/>
    <w:rsid w:val="006F6F8D"/>
    <w:rsid w:val="006F79EA"/>
    <w:rsid w:val="006F7D72"/>
    <w:rsid w:val="00700727"/>
    <w:rsid w:val="00700731"/>
    <w:rsid w:val="00700AA3"/>
    <w:rsid w:val="00700AD4"/>
    <w:rsid w:val="00701930"/>
    <w:rsid w:val="00701A12"/>
    <w:rsid w:val="00701E8A"/>
    <w:rsid w:val="00702431"/>
    <w:rsid w:val="0070254A"/>
    <w:rsid w:val="007027F9"/>
    <w:rsid w:val="00702DBD"/>
    <w:rsid w:val="00703741"/>
    <w:rsid w:val="00703B30"/>
    <w:rsid w:val="00703C2E"/>
    <w:rsid w:val="007044C9"/>
    <w:rsid w:val="00704640"/>
    <w:rsid w:val="00704FC4"/>
    <w:rsid w:val="007051B9"/>
    <w:rsid w:val="0070583E"/>
    <w:rsid w:val="00705984"/>
    <w:rsid w:val="00706212"/>
    <w:rsid w:val="00706403"/>
    <w:rsid w:val="00706A11"/>
    <w:rsid w:val="00706D51"/>
    <w:rsid w:val="00707238"/>
    <w:rsid w:val="007078D5"/>
    <w:rsid w:val="00707F1B"/>
    <w:rsid w:val="007100A8"/>
    <w:rsid w:val="0071112C"/>
    <w:rsid w:val="0071285D"/>
    <w:rsid w:val="00712EC8"/>
    <w:rsid w:val="00713239"/>
    <w:rsid w:val="00713C5C"/>
    <w:rsid w:val="0071418F"/>
    <w:rsid w:val="00714979"/>
    <w:rsid w:val="007153FF"/>
    <w:rsid w:val="007154B1"/>
    <w:rsid w:val="007155A0"/>
    <w:rsid w:val="00715F30"/>
    <w:rsid w:val="00716359"/>
    <w:rsid w:val="0071658F"/>
    <w:rsid w:val="00716FB6"/>
    <w:rsid w:val="00717043"/>
    <w:rsid w:val="007179F3"/>
    <w:rsid w:val="00717B4C"/>
    <w:rsid w:val="007204E7"/>
    <w:rsid w:val="007205F5"/>
    <w:rsid w:val="0072082F"/>
    <w:rsid w:val="00720AE7"/>
    <w:rsid w:val="00720BCB"/>
    <w:rsid w:val="00721EB5"/>
    <w:rsid w:val="00721F3C"/>
    <w:rsid w:val="0072207F"/>
    <w:rsid w:val="00722490"/>
    <w:rsid w:val="00722E5F"/>
    <w:rsid w:val="00722E7C"/>
    <w:rsid w:val="00722E96"/>
    <w:rsid w:val="007230CE"/>
    <w:rsid w:val="0072328B"/>
    <w:rsid w:val="0072393F"/>
    <w:rsid w:val="00723AA2"/>
    <w:rsid w:val="00723D0C"/>
    <w:rsid w:val="00724333"/>
    <w:rsid w:val="00724CC1"/>
    <w:rsid w:val="0072531E"/>
    <w:rsid w:val="00725A87"/>
    <w:rsid w:val="00725A9D"/>
    <w:rsid w:val="00725C21"/>
    <w:rsid w:val="00725CE4"/>
    <w:rsid w:val="007261DE"/>
    <w:rsid w:val="007264A8"/>
    <w:rsid w:val="00726726"/>
    <w:rsid w:val="007271D7"/>
    <w:rsid w:val="0072748A"/>
    <w:rsid w:val="007278CC"/>
    <w:rsid w:val="007313B3"/>
    <w:rsid w:val="0073220A"/>
    <w:rsid w:val="00732874"/>
    <w:rsid w:val="00732E94"/>
    <w:rsid w:val="00732FAE"/>
    <w:rsid w:val="00733117"/>
    <w:rsid w:val="007342C3"/>
    <w:rsid w:val="0073491E"/>
    <w:rsid w:val="00734B24"/>
    <w:rsid w:val="00734E18"/>
    <w:rsid w:val="007358B5"/>
    <w:rsid w:val="00735C3D"/>
    <w:rsid w:val="00735F2B"/>
    <w:rsid w:val="007368DE"/>
    <w:rsid w:val="00736D9E"/>
    <w:rsid w:val="00736E82"/>
    <w:rsid w:val="00737377"/>
    <w:rsid w:val="00737505"/>
    <w:rsid w:val="00737AC3"/>
    <w:rsid w:val="0074036D"/>
    <w:rsid w:val="0074077C"/>
    <w:rsid w:val="00740D44"/>
    <w:rsid w:val="00741771"/>
    <w:rsid w:val="00741871"/>
    <w:rsid w:val="007418D1"/>
    <w:rsid w:val="00741B9A"/>
    <w:rsid w:val="00741BFA"/>
    <w:rsid w:val="007427F9"/>
    <w:rsid w:val="007434C9"/>
    <w:rsid w:val="00743962"/>
    <w:rsid w:val="00743D55"/>
    <w:rsid w:val="00744084"/>
    <w:rsid w:val="007446E3"/>
    <w:rsid w:val="007449F5"/>
    <w:rsid w:val="00744F59"/>
    <w:rsid w:val="007470FF"/>
    <w:rsid w:val="0074764F"/>
    <w:rsid w:val="007476E2"/>
    <w:rsid w:val="007501EA"/>
    <w:rsid w:val="00750453"/>
    <w:rsid w:val="0075073B"/>
    <w:rsid w:val="00750A3D"/>
    <w:rsid w:val="00750A6C"/>
    <w:rsid w:val="00750E31"/>
    <w:rsid w:val="00750F57"/>
    <w:rsid w:val="00751224"/>
    <w:rsid w:val="007518A2"/>
    <w:rsid w:val="00751C15"/>
    <w:rsid w:val="00751FC4"/>
    <w:rsid w:val="0075278C"/>
    <w:rsid w:val="00752E36"/>
    <w:rsid w:val="00753327"/>
    <w:rsid w:val="00753702"/>
    <w:rsid w:val="00753971"/>
    <w:rsid w:val="00754F59"/>
    <w:rsid w:val="007554BB"/>
    <w:rsid w:val="007560A9"/>
    <w:rsid w:val="00756306"/>
    <w:rsid w:val="00756754"/>
    <w:rsid w:val="007567EA"/>
    <w:rsid w:val="00756FF7"/>
    <w:rsid w:val="0075702C"/>
    <w:rsid w:val="0075719E"/>
    <w:rsid w:val="0076016B"/>
    <w:rsid w:val="00760330"/>
    <w:rsid w:val="007614B3"/>
    <w:rsid w:val="007625F0"/>
    <w:rsid w:val="00762DBA"/>
    <w:rsid w:val="007632F4"/>
    <w:rsid w:val="007639B2"/>
    <w:rsid w:val="00763E9D"/>
    <w:rsid w:val="0076517D"/>
    <w:rsid w:val="007653B0"/>
    <w:rsid w:val="00765A35"/>
    <w:rsid w:val="00765BEC"/>
    <w:rsid w:val="00766879"/>
    <w:rsid w:val="0076698C"/>
    <w:rsid w:val="007671A9"/>
    <w:rsid w:val="0077098C"/>
    <w:rsid w:val="00771129"/>
    <w:rsid w:val="00771591"/>
    <w:rsid w:val="007716D3"/>
    <w:rsid w:val="007719CE"/>
    <w:rsid w:val="00771D67"/>
    <w:rsid w:val="00772226"/>
    <w:rsid w:val="00772777"/>
    <w:rsid w:val="00772B0B"/>
    <w:rsid w:val="00772D30"/>
    <w:rsid w:val="0077316F"/>
    <w:rsid w:val="0077332B"/>
    <w:rsid w:val="007733EB"/>
    <w:rsid w:val="00773411"/>
    <w:rsid w:val="00773643"/>
    <w:rsid w:val="00773B67"/>
    <w:rsid w:val="0077449B"/>
    <w:rsid w:val="00774A66"/>
    <w:rsid w:val="00774C26"/>
    <w:rsid w:val="00774EE0"/>
    <w:rsid w:val="00775604"/>
    <w:rsid w:val="007767C8"/>
    <w:rsid w:val="0078069D"/>
    <w:rsid w:val="00780B7E"/>
    <w:rsid w:val="00780BA1"/>
    <w:rsid w:val="00781350"/>
    <w:rsid w:val="0078197E"/>
    <w:rsid w:val="00781A36"/>
    <w:rsid w:val="00782286"/>
    <w:rsid w:val="00782A48"/>
    <w:rsid w:val="0078314F"/>
    <w:rsid w:val="00783430"/>
    <w:rsid w:val="0078453D"/>
    <w:rsid w:val="007845FC"/>
    <w:rsid w:val="00784687"/>
    <w:rsid w:val="00785552"/>
    <w:rsid w:val="0078588D"/>
    <w:rsid w:val="0078595E"/>
    <w:rsid w:val="0078702B"/>
    <w:rsid w:val="00787219"/>
    <w:rsid w:val="0078755D"/>
    <w:rsid w:val="007878BD"/>
    <w:rsid w:val="00787A44"/>
    <w:rsid w:val="0079004C"/>
    <w:rsid w:val="00790532"/>
    <w:rsid w:val="00791A80"/>
    <w:rsid w:val="00791A81"/>
    <w:rsid w:val="00792141"/>
    <w:rsid w:val="00792166"/>
    <w:rsid w:val="007927AA"/>
    <w:rsid w:val="00792AAD"/>
    <w:rsid w:val="00792EF8"/>
    <w:rsid w:val="0079311F"/>
    <w:rsid w:val="00793631"/>
    <w:rsid w:val="00793F6E"/>
    <w:rsid w:val="00794090"/>
    <w:rsid w:val="007943AB"/>
    <w:rsid w:val="00794613"/>
    <w:rsid w:val="00794D9C"/>
    <w:rsid w:val="00795E09"/>
    <w:rsid w:val="00795E8B"/>
    <w:rsid w:val="00796074"/>
    <w:rsid w:val="0079627A"/>
    <w:rsid w:val="00796587"/>
    <w:rsid w:val="00796979"/>
    <w:rsid w:val="007969B2"/>
    <w:rsid w:val="00796A00"/>
    <w:rsid w:val="00796B74"/>
    <w:rsid w:val="00797148"/>
    <w:rsid w:val="0079795D"/>
    <w:rsid w:val="007A10C6"/>
    <w:rsid w:val="007A1400"/>
    <w:rsid w:val="007A1E44"/>
    <w:rsid w:val="007A2976"/>
    <w:rsid w:val="007A2D1F"/>
    <w:rsid w:val="007A4CE0"/>
    <w:rsid w:val="007A5663"/>
    <w:rsid w:val="007A5CFD"/>
    <w:rsid w:val="007A5E19"/>
    <w:rsid w:val="007A66E2"/>
    <w:rsid w:val="007A731F"/>
    <w:rsid w:val="007A790B"/>
    <w:rsid w:val="007A7E2A"/>
    <w:rsid w:val="007B0260"/>
    <w:rsid w:val="007B0A39"/>
    <w:rsid w:val="007B0BE7"/>
    <w:rsid w:val="007B0D1A"/>
    <w:rsid w:val="007B0D7C"/>
    <w:rsid w:val="007B183C"/>
    <w:rsid w:val="007B1CA9"/>
    <w:rsid w:val="007B1E0C"/>
    <w:rsid w:val="007B22D1"/>
    <w:rsid w:val="007B285A"/>
    <w:rsid w:val="007B28DB"/>
    <w:rsid w:val="007B2BF8"/>
    <w:rsid w:val="007B3178"/>
    <w:rsid w:val="007B3463"/>
    <w:rsid w:val="007B36F7"/>
    <w:rsid w:val="007B39FB"/>
    <w:rsid w:val="007B3A53"/>
    <w:rsid w:val="007B548A"/>
    <w:rsid w:val="007B5D9F"/>
    <w:rsid w:val="007B61B6"/>
    <w:rsid w:val="007B6430"/>
    <w:rsid w:val="007B66EC"/>
    <w:rsid w:val="007B6B2D"/>
    <w:rsid w:val="007B6F66"/>
    <w:rsid w:val="007B72D1"/>
    <w:rsid w:val="007B7574"/>
    <w:rsid w:val="007B76E9"/>
    <w:rsid w:val="007C03DE"/>
    <w:rsid w:val="007C0BE3"/>
    <w:rsid w:val="007C127D"/>
    <w:rsid w:val="007C1721"/>
    <w:rsid w:val="007C1BC6"/>
    <w:rsid w:val="007C1ECB"/>
    <w:rsid w:val="007C26C5"/>
    <w:rsid w:val="007C31A3"/>
    <w:rsid w:val="007C3C0F"/>
    <w:rsid w:val="007C3D09"/>
    <w:rsid w:val="007C40B7"/>
    <w:rsid w:val="007C437F"/>
    <w:rsid w:val="007C5082"/>
    <w:rsid w:val="007C51FD"/>
    <w:rsid w:val="007C54D4"/>
    <w:rsid w:val="007C573E"/>
    <w:rsid w:val="007C5AEA"/>
    <w:rsid w:val="007C60E7"/>
    <w:rsid w:val="007C6381"/>
    <w:rsid w:val="007C645D"/>
    <w:rsid w:val="007C6915"/>
    <w:rsid w:val="007C6E77"/>
    <w:rsid w:val="007C79BB"/>
    <w:rsid w:val="007C79EA"/>
    <w:rsid w:val="007D0445"/>
    <w:rsid w:val="007D16D4"/>
    <w:rsid w:val="007D199E"/>
    <w:rsid w:val="007D1B92"/>
    <w:rsid w:val="007D23DC"/>
    <w:rsid w:val="007D244C"/>
    <w:rsid w:val="007D27C8"/>
    <w:rsid w:val="007D2EB3"/>
    <w:rsid w:val="007D318F"/>
    <w:rsid w:val="007D33B9"/>
    <w:rsid w:val="007D4DA5"/>
    <w:rsid w:val="007D4E34"/>
    <w:rsid w:val="007D4EA4"/>
    <w:rsid w:val="007D5D37"/>
    <w:rsid w:val="007D60AE"/>
    <w:rsid w:val="007D7E28"/>
    <w:rsid w:val="007D7E37"/>
    <w:rsid w:val="007E0296"/>
    <w:rsid w:val="007E029F"/>
    <w:rsid w:val="007E0399"/>
    <w:rsid w:val="007E06BA"/>
    <w:rsid w:val="007E134B"/>
    <w:rsid w:val="007E13C4"/>
    <w:rsid w:val="007E14BA"/>
    <w:rsid w:val="007E1BAD"/>
    <w:rsid w:val="007E2166"/>
    <w:rsid w:val="007E2868"/>
    <w:rsid w:val="007E29B8"/>
    <w:rsid w:val="007E29D0"/>
    <w:rsid w:val="007E2DEB"/>
    <w:rsid w:val="007E3770"/>
    <w:rsid w:val="007E433A"/>
    <w:rsid w:val="007E4372"/>
    <w:rsid w:val="007E496F"/>
    <w:rsid w:val="007E4FF4"/>
    <w:rsid w:val="007E50B9"/>
    <w:rsid w:val="007E61A7"/>
    <w:rsid w:val="007E657E"/>
    <w:rsid w:val="007E7066"/>
    <w:rsid w:val="007F0558"/>
    <w:rsid w:val="007F1488"/>
    <w:rsid w:val="007F16F1"/>
    <w:rsid w:val="007F1B73"/>
    <w:rsid w:val="007F2587"/>
    <w:rsid w:val="007F303B"/>
    <w:rsid w:val="007F3691"/>
    <w:rsid w:val="007F3881"/>
    <w:rsid w:val="007F391C"/>
    <w:rsid w:val="007F3A45"/>
    <w:rsid w:val="007F3D84"/>
    <w:rsid w:val="007F40DE"/>
    <w:rsid w:val="007F4585"/>
    <w:rsid w:val="007F4947"/>
    <w:rsid w:val="007F4CF1"/>
    <w:rsid w:val="007F4E3A"/>
    <w:rsid w:val="007F4F5F"/>
    <w:rsid w:val="007F53E1"/>
    <w:rsid w:val="007F5492"/>
    <w:rsid w:val="007F54FB"/>
    <w:rsid w:val="007F7473"/>
    <w:rsid w:val="00800538"/>
    <w:rsid w:val="00800970"/>
    <w:rsid w:val="0080108D"/>
    <w:rsid w:val="008013B0"/>
    <w:rsid w:val="00801AED"/>
    <w:rsid w:val="00801E31"/>
    <w:rsid w:val="00801EEF"/>
    <w:rsid w:val="0080260E"/>
    <w:rsid w:val="00802845"/>
    <w:rsid w:val="008029F4"/>
    <w:rsid w:val="00802B09"/>
    <w:rsid w:val="0080344C"/>
    <w:rsid w:val="00803CAF"/>
    <w:rsid w:val="008040A4"/>
    <w:rsid w:val="00804188"/>
    <w:rsid w:val="008042C3"/>
    <w:rsid w:val="008042D2"/>
    <w:rsid w:val="00804A12"/>
    <w:rsid w:val="00804D14"/>
    <w:rsid w:val="00804DA2"/>
    <w:rsid w:val="00804DA5"/>
    <w:rsid w:val="00805037"/>
    <w:rsid w:val="008054AF"/>
    <w:rsid w:val="008054CA"/>
    <w:rsid w:val="008059F3"/>
    <w:rsid w:val="00805E74"/>
    <w:rsid w:val="0080632E"/>
    <w:rsid w:val="00806A4F"/>
    <w:rsid w:val="00806F1B"/>
    <w:rsid w:val="00807B76"/>
    <w:rsid w:val="00807D1C"/>
    <w:rsid w:val="00810063"/>
    <w:rsid w:val="00811856"/>
    <w:rsid w:val="008121A1"/>
    <w:rsid w:val="00812679"/>
    <w:rsid w:val="0081272D"/>
    <w:rsid w:val="00812E05"/>
    <w:rsid w:val="00812EA4"/>
    <w:rsid w:val="008131BF"/>
    <w:rsid w:val="008132CE"/>
    <w:rsid w:val="00813659"/>
    <w:rsid w:val="00813853"/>
    <w:rsid w:val="008138A9"/>
    <w:rsid w:val="0081390C"/>
    <w:rsid w:val="00813A60"/>
    <w:rsid w:val="00814C8B"/>
    <w:rsid w:val="00815A3F"/>
    <w:rsid w:val="0081609B"/>
    <w:rsid w:val="008160FC"/>
    <w:rsid w:val="0081643D"/>
    <w:rsid w:val="0081691C"/>
    <w:rsid w:val="00817B46"/>
    <w:rsid w:val="00817C13"/>
    <w:rsid w:val="00817D60"/>
    <w:rsid w:val="008202A7"/>
    <w:rsid w:val="00820821"/>
    <w:rsid w:val="00820B62"/>
    <w:rsid w:val="00821094"/>
    <w:rsid w:val="0082126F"/>
    <w:rsid w:val="00821641"/>
    <w:rsid w:val="00821849"/>
    <w:rsid w:val="00822744"/>
    <w:rsid w:val="00822ABD"/>
    <w:rsid w:val="00823E01"/>
    <w:rsid w:val="00824397"/>
    <w:rsid w:val="008244F7"/>
    <w:rsid w:val="00824A2C"/>
    <w:rsid w:val="00824BA4"/>
    <w:rsid w:val="00824DF3"/>
    <w:rsid w:val="0082508C"/>
    <w:rsid w:val="008258BC"/>
    <w:rsid w:val="00825EAF"/>
    <w:rsid w:val="0082665B"/>
    <w:rsid w:val="008268BE"/>
    <w:rsid w:val="00826A50"/>
    <w:rsid w:val="00826BF8"/>
    <w:rsid w:val="008270BE"/>
    <w:rsid w:val="00830740"/>
    <w:rsid w:val="00830B7E"/>
    <w:rsid w:val="00831242"/>
    <w:rsid w:val="00831682"/>
    <w:rsid w:val="00831CC6"/>
    <w:rsid w:val="00831D1C"/>
    <w:rsid w:val="00831FEE"/>
    <w:rsid w:val="008320C5"/>
    <w:rsid w:val="008324CA"/>
    <w:rsid w:val="00832F2B"/>
    <w:rsid w:val="00833D1E"/>
    <w:rsid w:val="00833F02"/>
    <w:rsid w:val="0083458E"/>
    <w:rsid w:val="00835532"/>
    <w:rsid w:val="008358DD"/>
    <w:rsid w:val="00835C38"/>
    <w:rsid w:val="008364D7"/>
    <w:rsid w:val="0083664E"/>
    <w:rsid w:val="0083775F"/>
    <w:rsid w:val="00837823"/>
    <w:rsid w:val="00837853"/>
    <w:rsid w:val="00837DE7"/>
    <w:rsid w:val="0084059C"/>
    <w:rsid w:val="0084146F"/>
    <w:rsid w:val="00841622"/>
    <w:rsid w:val="00841AC8"/>
    <w:rsid w:val="00841B11"/>
    <w:rsid w:val="00841C10"/>
    <w:rsid w:val="00841E17"/>
    <w:rsid w:val="00842227"/>
    <w:rsid w:val="0084265A"/>
    <w:rsid w:val="00843095"/>
    <w:rsid w:val="00843252"/>
    <w:rsid w:val="00843B4C"/>
    <w:rsid w:val="00843F99"/>
    <w:rsid w:val="00844BCE"/>
    <w:rsid w:val="00844CE8"/>
    <w:rsid w:val="00844E08"/>
    <w:rsid w:val="00844EAC"/>
    <w:rsid w:val="0084640D"/>
    <w:rsid w:val="00846623"/>
    <w:rsid w:val="00846F87"/>
    <w:rsid w:val="0084765A"/>
    <w:rsid w:val="00847D2C"/>
    <w:rsid w:val="00850C60"/>
    <w:rsid w:val="0085171D"/>
    <w:rsid w:val="0085174E"/>
    <w:rsid w:val="00851D0A"/>
    <w:rsid w:val="00851D73"/>
    <w:rsid w:val="00852155"/>
    <w:rsid w:val="0085233D"/>
    <w:rsid w:val="008527F1"/>
    <w:rsid w:val="00852E3B"/>
    <w:rsid w:val="0085324A"/>
    <w:rsid w:val="008532CC"/>
    <w:rsid w:val="0085397E"/>
    <w:rsid w:val="00854143"/>
    <w:rsid w:val="00854603"/>
    <w:rsid w:val="00854668"/>
    <w:rsid w:val="008547E8"/>
    <w:rsid w:val="00854E88"/>
    <w:rsid w:val="00855056"/>
    <w:rsid w:val="0085516C"/>
    <w:rsid w:val="00855428"/>
    <w:rsid w:val="00855ABA"/>
    <w:rsid w:val="00855B7E"/>
    <w:rsid w:val="00856A06"/>
    <w:rsid w:val="008577FE"/>
    <w:rsid w:val="008579D4"/>
    <w:rsid w:val="00857B09"/>
    <w:rsid w:val="00857D35"/>
    <w:rsid w:val="0086004B"/>
    <w:rsid w:val="00860316"/>
    <w:rsid w:val="00861265"/>
    <w:rsid w:val="008618D9"/>
    <w:rsid w:val="00861A39"/>
    <w:rsid w:val="00861C8D"/>
    <w:rsid w:val="00861DE2"/>
    <w:rsid w:val="00863175"/>
    <w:rsid w:val="008632FF"/>
    <w:rsid w:val="008633C1"/>
    <w:rsid w:val="00863E1B"/>
    <w:rsid w:val="00863E4D"/>
    <w:rsid w:val="00863EFA"/>
    <w:rsid w:val="00863F05"/>
    <w:rsid w:val="00864454"/>
    <w:rsid w:val="00864BD7"/>
    <w:rsid w:val="00864DE2"/>
    <w:rsid w:val="00864E63"/>
    <w:rsid w:val="00864EBB"/>
    <w:rsid w:val="00864FA2"/>
    <w:rsid w:val="008658EC"/>
    <w:rsid w:val="0086598F"/>
    <w:rsid w:val="008659DB"/>
    <w:rsid w:val="00865F2A"/>
    <w:rsid w:val="00867778"/>
    <w:rsid w:val="00867BF1"/>
    <w:rsid w:val="00867E36"/>
    <w:rsid w:val="0087085A"/>
    <w:rsid w:val="008711FE"/>
    <w:rsid w:val="00871A89"/>
    <w:rsid w:val="00872AD2"/>
    <w:rsid w:val="00872D9B"/>
    <w:rsid w:val="00873750"/>
    <w:rsid w:val="00874074"/>
    <w:rsid w:val="00874322"/>
    <w:rsid w:val="008744E4"/>
    <w:rsid w:val="00874757"/>
    <w:rsid w:val="00874E17"/>
    <w:rsid w:val="00875036"/>
    <w:rsid w:val="00875761"/>
    <w:rsid w:val="00875D8A"/>
    <w:rsid w:val="008761B5"/>
    <w:rsid w:val="008763C4"/>
    <w:rsid w:val="0087644E"/>
    <w:rsid w:val="00876546"/>
    <w:rsid w:val="008767C0"/>
    <w:rsid w:val="00876AF2"/>
    <w:rsid w:val="00876B47"/>
    <w:rsid w:val="00876F13"/>
    <w:rsid w:val="008778E2"/>
    <w:rsid w:val="00877A81"/>
    <w:rsid w:val="00877E6D"/>
    <w:rsid w:val="008810C5"/>
    <w:rsid w:val="00881698"/>
    <w:rsid w:val="00881703"/>
    <w:rsid w:val="00881C0A"/>
    <w:rsid w:val="00881CDC"/>
    <w:rsid w:val="0088217A"/>
    <w:rsid w:val="008828E1"/>
    <w:rsid w:val="00883AFD"/>
    <w:rsid w:val="008845CF"/>
    <w:rsid w:val="00884A00"/>
    <w:rsid w:val="00884A57"/>
    <w:rsid w:val="00885848"/>
    <w:rsid w:val="00885B09"/>
    <w:rsid w:val="0088625D"/>
    <w:rsid w:val="00886448"/>
    <w:rsid w:val="00886C57"/>
    <w:rsid w:val="00887239"/>
    <w:rsid w:val="008904A4"/>
    <w:rsid w:val="00890836"/>
    <w:rsid w:val="00890DA2"/>
    <w:rsid w:val="00891158"/>
    <w:rsid w:val="008911DD"/>
    <w:rsid w:val="008916E2"/>
    <w:rsid w:val="0089183E"/>
    <w:rsid w:val="00891E20"/>
    <w:rsid w:val="00891EE5"/>
    <w:rsid w:val="008930CC"/>
    <w:rsid w:val="008937BD"/>
    <w:rsid w:val="00893EE0"/>
    <w:rsid w:val="00894253"/>
    <w:rsid w:val="008944B4"/>
    <w:rsid w:val="00894FC1"/>
    <w:rsid w:val="00895323"/>
    <w:rsid w:val="00895BE6"/>
    <w:rsid w:val="00895FA3"/>
    <w:rsid w:val="00896181"/>
    <w:rsid w:val="00896B97"/>
    <w:rsid w:val="00896C45"/>
    <w:rsid w:val="00896D56"/>
    <w:rsid w:val="0089703D"/>
    <w:rsid w:val="008977A7"/>
    <w:rsid w:val="00897CA2"/>
    <w:rsid w:val="00897EEE"/>
    <w:rsid w:val="008A0C80"/>
    <w:rsid w:val="008A0E57"/>
    <w:rsid w:val="008A180A"/>
    <w:rsid w:val="008A2438"/>
    <w:rsid w:val="008A2537"/>
    <w:rsid w:val="008A366D"/>
    <w:rsid w:val="008A39C0"/>
    <w:rsid w:val="008A3B5C"/>
    <w:rsid w:val="008A40C2"/>
    <w:rsid w:val="008A414A"/>
    <w:rsid w:val="008A4A4A"/>
    <w:rsid w:val="008A4C75"/>
    <w:rsid w:val="008A5125"/>
    <w:rsid w:val="008A5159"/>
    <w:rsid w:val="008A599C"/>
    <w:rsid w:val="008A5F4B"/>
    <w:rsid w:val="008A644A"/>
    <w:rsid w:val="008A6CF3"/>
    <w:rsid w:val="008A70AA"/>
    <w:rsid w:val="008A7FF5"/>
    <w:rsid w:val="008B01B9"/>
    <w:rsid w:val="008B06A8"/>
    <w:rsid w:val="008B08AB"/>
    <w:rsid w:val="008B08F2"/>
    <w:rsid w:val="008B0E8B"/>
    <w:rsid w:val="008B0EB7"/>
    <w:rsid w:val="008B1767"/>
    <w:rsid w:val="008B1809"/>
    <w:rsid w:val="008B190F"/>
    <w:rsid w:val="008B299F"/>
    <w:rsid w:val="008B29C2"/>
    <w:rsid w:val="008B3141"/>
    <w:rsid w:val="008B32B6"/>
    <w:rsid w:val="008B36FB"/>
    <w:rsid w:val="008B39E5"/>
    <w:rsid w:val="008B3AF6"/>
    <w:rsid w:val="008B4756"/>
    <w:rsid w:val="008B4F23"/>
    <w:rsid w:val="008B51ED"/>
    <w:rsid w:val="008B5430"/>
    <w:rsid w:val="008B547C"/>
    <w:rsid w:val="008B57F1"/>
    <w:rsid w:val="008B58F5"/>
    <w:rsid w:val="008B5AE8"/>
    <w:rsid w:val="008B6206"/>
    <w:rsid w:val="008B6480"/>
    <w:rsid w:val="008B6CB4"/>
    <w:rsid w:val="008B6E07"/>
    <w:rsid w:val="008B7360"/>
    <w:rsid w:val="008B7EB6"/>
    <w:rsid w:val="008C08E2"/>
    <w:rsid w:val="008C09D0"/>
    <w:rsid w:val="008C0B88"/>
    <w:rsid w:val="008C1321"/>
    <w:rsid w:val="008C139E"/>
    <w:rsid w:val="008C1F60"/>
    <w:rsid w:val="008C22E2"/>
    <w:rsid w:val="008C281C"/>
    <w:rsid w:val="008C3234"/>
    <w:rsid w:val="008C379E"/>
    <w:rsid w:val="008C4255"/>
    <w:rsid w:val="008C46A0"/>
    <w:rsid w:val="008C5B1B"/>
    <w:rsid w:val="008C5BE0"/>
    <w:rsid w:val="008C6781"/>
    <w:rsid w:val="008C6F70"/>
    <w:rsid w:val="008C7014"/>
    <w:rsid w:val="008C7256"/>
    <w:rsid w:val="008C7516"/>
    <w:rsid w:val="008C75C6"/>
    <w:rsid w:val="008D02DC"/>
    <w:rsid w:val="008D0429"/>
    <w:rsid w:val="008D0D8A"/>
    <w:rsid w:val="008D1096"/>
    <w:rsid w:val="008D1254"/>
    <w:rsid w:val="008D1B4A"/>
    <w:rsid w:val="008D22C9"/>
    <w:rsid w:val="008D2D56"/>
    <w:rsid w:val="008D3D88"/>
    <w:rsid w:val="008D44BA"/>
    <w:rsid w:val="008D4A7E"/>
    <w:rsid w:val="008D4B4C"/>
    <w:rsid w:val="008D4ED6"/>
    <w:rsid w:val="008D55A6"/>
    <w:rsid w:val="008D5820"/>
    <w:rsid w:val="008D6DA4"/>
    <w:rsid w:val="008D73D2"/>
    <w:rsid w:val="008D73E5"/>
    <w:rsid w:val="008D76CF"/>
    <w:rsid w:val="008E0655"/>
    <w:rsid w:val="008E0743"/>
    <w:rsid w:val="008E0D18"/>
    <w:rsid w:val="008E0FAF"/>
    <w:rsid w:val="008E126E"/>
    <w:rsid w:val="008E130D"/>
    <w:rsid w:val="008E1F61"/>
    <w:rsid w:val="008E2B04"/>
    <w:rsid w:val="008E2B4F"/>
    <w:rsid w:val="008E2D5E"/>
    <w:rsid w:val="008E2E51"/>
    <w:rsid w:val="008E35CA"/>
    <w:rsid w:val="008E38A2"/>
    <w:rsid w:val="008E3D2C"/>
    <w:rsid w:val="008E413B"/>
    <w:rsid w:val="008E4D63"/>
    <w:rsid w:val="008E4FFF"/>
    <w:rsid w:val="008E5712"/>
    <w:rsid w:val="008E5B01"/>
    <w:rsid w:val="008E608C"/>
    <w:rsid w:val="008E62D9"/>
    <w:rsid w:val="008E64F3"/>
    <w:rsid w:val="008E695C"/>
    <w:rsid w:val="008E6AC1"/>
    <w:rsid w:val="008E71AF"/>
    <w:rsid w:val="008E76B0"/>
    <w:rsid w:val="008E7FDD"/>
    <w:rsid w:val="008F01D9"/>
    <w:rsid w:val="008F0211"/>
    <w:rsid w:val="008F02D6"/>
    <w:rsid w:val="008F02DB"/>
    <w:rsid w:val="008F0D9B"/>
    <w:rsid w:val="008F0DC4"/>
    <w:rsid w:val="008F1F85"/>
    <w:rsid w:val="008F2862"/>
    <w:rsid w:val="008F35C9"/>
    <w:rsid w:val="008F40B0"/>
    <w:rsid w:val="008F43A6"/>
    <w:rsid w:val="008F4467"/>
    <w:rsid w:val="008F477C"/>
    <w:rsid w:val="008F494C"/>
    <w:rsid w:val="008F5143"/>
    <w:rsid w:val="008F5943"/>
    <w:rsid w:val="008F622F"/>
    <w:rsid w:val="008F66FD"/>
    <w:rsid w:val="008F6A90"/>
    <w:rsid w:val="008F6E67"/>
    <w:rsid w:val="008F74F0"/>
    <w:rsid w:val="008F7FA1"/>
    <w:rsid w:val="009009F1"/>
    <w:rsid w:val="009012C6"/>
    <w:rsid w:val="00901366"/>
    <w:rsid w:val="009016C0"/>
    <w:rsid w:val="00903C3A"/>
    <w:rsid w:val="00903CD5"/>
    <w:rsid w:val="009044C2"/>
    <w:rsid w:val="0090450F"/>
    <w:rsid w:val="00904DC8"/>
    <w:rsid w:val="00904EE1"/>
    <w:rsid w:val="00905610"/>
    <w:rsid w:val="0090588B"/>
    <w:rsid w:val="009058B9"/>
    <w:rsid w:val="009066EE"/>
    <w:rsid w:val="00906710"/>
    <w:rsid w:val="0090737F"/>
    <w:rsid w:val="0090784F"/>
    <w:rsid w:val="00910CAA"/>
    <w:rsid w:val="009114F4"/>
    <w:rsid w:val="009114FF"/>
    <w:rsid w:val="00911601"/>
    <w:rsid w:val="00911A29"/>
    <w:rsid w:val="00911CF3"/>
    <w:rsid w:val="00912221"/>
    <w:rsid w:val="00913372"/>
    <w:rsid w:val="009136CD"/>
    <w:rsid w:val="0091442C"/>
    <w:rsid w:val="00915642"/>
    <w:rsid w:val="00915A63"/>
    <w:rsid w:val="0091628B"/>
    <w:rsid w:val="009163B8"/>
    <w:rsid w:val="0091730D"/>
    <w:rsid w:val="009176E3"/>
    <w:rsid w:val="0091771F"/>
    <w:rsid w:val="00917C1A"/>
    <w:rsid w:val="00920AAB"/>
    <w:rsid w:val="00921596"/>
    <w:rsid w:val="00921CCF"/>
    <w:rsid w:val="009220C9"/>
    <w:rsid w:val="00922189"/>
    <w:rsid w:val="0092228E"/>
    <w:rsid w:val="0092231E"/>
    <w:rsid w:val="00922887"/>
    <w:rsid w:val="00922B24"/>
    <w:rsid w:val="00922DEE"/>
    <w:rsid w:val="00923100"/>
    <w:rsid w:val="00923470"/>
    <w:rsid w:val="009234AD"/>
    <w:rsid w:val="009235C1"/>
    <w:rsid w:val="009243C2"/>
    <w:rsid w:val="00924515"/>
    <w:rsid w:val="009247E1"/>
    <w:rsid w:val="00924878"/>
    <w:rsid w:val="0092552B"/>
    <w:rsid w:val="0092562C"/>
    <w:rsid w:val="00925E87"/>
    <w:rsid w:val="00925FB7"/>
    <w:rsid w:val="00925FC3"/>
    <w:rsid w:val="009265A1"/>
    <w:rsid w:val="009265A2"/>
    <w:rsid w:val="00926D38"/>
    <w:rsid w:val="00926EE7"/>
    <w:rsid w:val="0092709B"/>
    <w:rsid w:val="00927576"/>
    <w:rsid w:val="00927C22"/>
    <w:rsid w:val="009305B9"/>
    <w:rsid w:val="00930DF1"/>
    <w:rsid w:val="00930FFE"/>
    <w:rsid w:val="009317F1"/>
    <w:rsid w:val="00931828"/>
    <w:rsid w:val="00931AB0"/>
    <w:rsid w:val="00931CE0"/>
    <w:rsid w:val="00932226"/>
    <w:rsid w:val="0093235A"/>
    <w:rsid w:val="00932388"/>
    <w:rsid w:val="00932759"/>
    <w:rsid w:val="00933036"/>
    <w:rsid w:val="009330DA"/>
    <w:rsid w:val="009332D3"/>
    <w:rsid w:val="0093441D"/>
    <w:rsid w:val="00934745"/>
    <w:rsid w:val="00934CFC"/>
    <w:rsid w:val="00934D48"/>
    <w:rsid w:val="00934FC1"/>
    <w:rsid w:val="009360FB"/>
    <w:rsid w:val="00937348"/>
    <w:rsid w:val="009378D5"/>
    <w:rsid w:val="00940062"/>
    <w:rsid w:val="009405C8"/>
    <w:rsid w:val="00940AD3"/>
    <w:rsid w:val="00940E0F"/>
    <w:rsid w:val="009410EA"/>
    <w:rsid w:val="0094160B"/>
    <w:rsid w:val="009423D6"/>
    <w:rsid w:val="00942634"/>
    <w:rsid w:val="00942EF7"/>
    <w:rsid w:val="00943058"/>
    <w:rsid w:val="00943335"/>
    <w:rsid w:val="00943486"/>
    <w:rsid w:val="009434C9"/>
    <w:rsid w:val="00943D1B"/>
    <w:rsid w:val="009446BF"/>
    <w:rsid w:val="00945233"/>
    <w:rsid w:val="00945AD5"/>
    <w:rsid w:val="00945C89"/>
    <w:rsid w:val="00945CB0"/>
    <w:rsid w:val="00946083"/>
    <w:rsid w:val="0094644E"/>
    <w:rsid w:val="0094680D"/>
    <w:rsid w:val="00946B01"/>
    <w:rsid w:val="009479A7"/>
    <w:rsid w:val="00947E79"/>
    <w:rsid w:val="00947F9E"/>
    <w:rsid w:val="0095004D"/>
    <w:rsid w:val="0095020D"/>
    <w:rsid w:val="009506CC"/>
    <w:rsid w:val="009506D1"/>
    <w:rsid w:val="00950995"/>
    <w:rsid w:val="00950AC9"/>
    <w:rsid w:val="00950E5C"/>
    <w:rsid w:val="00952514"/>
    <w:rsid w:val="009525E3"/>
    <w:rsid w:val="00952712"/>
    <w:rsid w:val="009527B0"/>
    <w:rsid w:val="009529CC"/>
    <w:rsid w:val="00952A0B"/>
    <w:rsid w:val="00952A4F"/>
    <w:rsid w:val="009530C7"/>
    <w:rsid w:val="00953108"/>
    <w:rsid w:val="009532A6"/>
    <w:rsid w:val="00953AAE"/>
    <w:rsid w:val="00953E56"/>
    <w:rsid w:val="00954638"/>
    <w:rsid w:val="009548F1"/>
    <w:rsid w:val="00955468"/>
    <w:rsid w:val="009562FC"/>
    <w:rsid w:val="009566B6"/>
    <w:rsid w:val="009568E2"/>
    <w:rsid w:val="009569AD"/>
    <w:rsid w:val="00957429"/>
    <w:rsid w:val="00957B9A"/>
    <w:rsid w:val="00960305"/>
    <w:rsid w:val="00960637"/>
    <w:rsid w:val="00961292"/>
    <w:rsid w:val="00961324"/>
    <w:rsid w:val="00961A36"/>
    <w:rsid w:val="009633FA"/>
    <w:rsid w:val="00964807"/>
    <w:rsid w:val="00964EC2"/>
    <w:rsid w:val="0096503E"/>
    <w:rsid w:val="009650C4"/>
    <w:rsid w:val="00965E26"/>
    <w:rsid w:val="009671BA"/>
    <w:rsid w:val="0096799D"/>
    <w:rsid w:val="00967C83"/>
    <w:rsid w:val="009705B1"/>
    <w:rsid w:val="0097080A"/>
    <w:rsid w:val="00970935"/>
    <w:rsid w:val="00971580"/>
    <w:rsid w:val="009718F8"/>
    <w:rsid w:val="00971939"/>
    <w:rsid w:val="00972216"/>
    <w:rsid w:val="00972514"/>
    <w:rsid w:val="00973FE9"/>
    <w:rsid w:val="00974103"/>
    <w:rsid w:val="0097411A"/>
    <w:rsid w:val="009741DF"/>
    <w:rsid w:val="00976006"/>
    <w:rsid w:val="00976190"/>
    <w:rsid w:val="00976377"/>
    <w:rsid w:val="009770E3"/>
    <w:rsid w:val="009778BE"/>
    <w:rsid w:val="0098095E"/>
    <w:rsid w:val="00980A7A"/>
    <w:rsid w:val="00980B30"/>
    <w:rsid w:val="009816D3"/>
    <w:rsid w:val="00981C29"/>
    <w:rsid w:val="00981C6D"/>
    <w:rsid w:val="00981D0A"/>
    <w:rsid w:val="0098211A"/>
    <w:rsid w:val="009822D0"/>
    <w:rsid w:val="0098309A"/>
    <w:rsid w:val="0098353E"/>
    <w:rsid w:val="009846C7"/>
    <w:rsid w:val="00984A61"/>
    <w:rsid w:val="00984C13"/>
    <w:rsid w:val="00985042"/>
    <w:rsid w:val="00985999"/>
    <w:rsid w:val="00985B6A"/>
    <w:rsid w:val="00985FB4"/>
    <w:rsid w:val="009865A1"/>
    <w:rsid w:val="009865C8"/>
    <w:rsid w:val="00986787"/>
    <w:rsid w:val="00986E78"/>
    <w:rsid w:val="00986EB7"/>
    <w:rsid w:val="0098768C"/>
    <w:rsid w:val="009878A6"/>
    <w:rsid w:val="009879E3"/>
    <w:rsid w:val="00987C28"/>
    <w:rsid w:val="009903AF"/>
    <w:rsid w:val="009903FB"/>
    <w:rsid w:val="009904C3"/>
    <w:rsid w:val="00990D11"/>
    <w:rsid w:val="00990E45"/>
    <w:rsid w:val="00991338"/>
    <w:rsid w:val="00991345"/>
    <w:rsid w:val="00991942"/>
    <w:rsid w:val="009919C0"/>
    <w:rsid w:val="00991AF5"/>
    <w:rsid w:val="00991D8D"/>
    <w:rsid w:val="00991DE0"/>
    <w:rsid w:val="00991FAC"/>
    <w:rsid w:val="00992768"/>
    <w:rsid w:val="00994572"/>
    <w:rsid w:val="00994955"/>
    <w:rsid w:val="0099573E"/>
    <w:rsid w:val="00995FD6"/>
    <w:rsid w:val="009962CA"/>
    <w:rsid w:val="0099661E"/>
    <w:rsid w:val="0099676E"/>
    <w:rsid w:val="00996C11"/>
    <w:rsid w:val="00996F52"/>
    <w:rsid w:val="009A0157"/>
    <w:rsid w:val="009A0167"/>
    <w:rsid w:val="009A05C8"/>
    <w:rsid w:val="009A0C63"/>
    <w:rsid w:val="009A0DDE"/>
    <w:rsid w:val="009A1236"/>
    <w:rsid w:val="009A1876"/>
    <w:rsid w:val="009A1DD3"/>
    <w:rsid w:val="009A23F1"/>
    <w:rsid w:val="009A2FA0"/>
    <w:rsid w:val="009A3375"/>
    <w:rsid w:val="009A3398"/>
    <w:rsid w:val="009A369B"/>
    <w:rsid w:val="009A3763"/>
    <w:rsid w:val="009A386F"/>
    <w:rsid w:val="009A3BC0"/>
    <w:rsid w:val="009A3BDE"/>
    <w:rsid w:val="009A465F"/>
    <w:rsid w:val="009A4984"/>
    <w:rsid w:val="009A6003"/>
    <w:rsid w:val="009A60DC"/>
    <w:rsid w:val="009A696C"/>
    <w:rsid w:val="009A73F5"/>
    <w:rsid w:val="009A7897"/>
    <w:rsid w:val="009A7A53"/>
    <w:rsid w:val="009B02CC"/>
    <w:rsid w:val="009B05AF"/>
    <w:rsid w:val="009B0B3E"/>
    <w:rsid w:val="009B13F7"/>
    <w:rsid w:val="009B1B09"/>
    <w:rsid w:val="009B1CC7"/>
    <w:rsid w:val="009B20AD"/>
    <w:rsid w:val="009B2548"/>
    <w:rsid w:val="009B2B17"/>
    <w:rsid w:val="009B320D"/>
    <w:rsid w:val="009B3341"/>
    <w:rsid w:val="009B37C5"/>
    <w:rsid w:val="009B39E4"/>
    <w:rsid w:val="009B41A6"/>
    <w:rsid w:val="009B4B89"/>
    <w:rsid w:val="009B4F3C"/>
    <w:rsid w:val="009B5175"/>
    <w:rsid w:val="009B59F7"/>
    <w:rsid w:val="009B5ACF"/>
    <w:rsid w:val="009B5D43"/>
    <w:rsid w:val="009B5F91"/>
    <w:rsid w:val="009B683C"/>
    <w:rsid w:val="009B691E"/>
    <w:rsid w:val="009B6D69"/>
    <w:rsid w:val="009B7292"/>
    <w:rsid w:val="009B72B1"/>
    <w:rsid w:val="009C0492"/>
    <w:rsid w:val="009C077D"/>
    <w:rsid w:val="009C0D74"/>
    <w:rsid w:val="009C14B1"/>
    <w:rsid w:val="009C1D49"/>
    <w:rsid w:val="009C229E"/>
    <w:rsid w:val="009C2723"/>
    <w:rsid w:val="009C3946"/>
    <w:rsid w:val="009C3D46"/>
    <w:rsid w:val="009C44D8"/>
    <w:rsid w:val="009C4EF8"/>
    <w:rsid w:val="009C56A6"/>
    <w:rsid w:val="009C57E9"/>
    <w:rsid w:val="009C5CFC"/>
    <w:rsid w:val="009C5D96"/>
    <w:rsid w:val="009C5E7C"/>
    <w:rsid w:val="009C5F13"/>
    <w:rsid w:val="009C5F31"/>
    <w:rsid w:val="009C7168"/>
    <w:rsid w:val="009C760B"/>
    <w:rsid w:val="009C7AC5"/>
    <w:rsid w:val="009C7C5B"/>
    <w:rsid w:val="009D08F8"/>
    <w:rsid w:val="009D0AFF"/>
    <w:rsid w:val="009D0FD6"/>
    <w:rsid w:val="009D21E4"/>
    <w:rsid w:val="009D267C"/>
    <w:rsid w:val="009D27B2"/>
    <w:rsid w:val="009D408D"/>
    <w:rsid w:val="009D4A59"/>
    <w:rsid w:val="009D4AA2"/>
    <w:rsid w:val="009D4C5B"/>
    <w:rsid w:val="009D547F"/>
    <w:rsid w:val="009D6CCB"/>
    <w:rsid w:val="009D6EF1"/>
    <w:rsid w:val="009D7084"/>
    <w:rsid w:val="009D73DA"/>
    <w:rsid w:val="009D76D2"/>
    <w:rsid w:val="009E008C"/>
    <w:rsid w:val="009E031D"/>
    <w:rsid w:val="009E04F8"/>
    <w:rsid w:val="009E07B1"/>
    <w:rsid w:val="009E07F4"/>
    <w:rsid w:val="009E1FA2"/>
    <w:rsid w:val="009E29E7"/>
    <w:rsid w:val="009E2EA4"/>
    <w:rsid w:val="009E34D7"/>
    <w:rsid w:val="009E3876"/>
    <w:rsid w:val="009E3BB9"/>
    <w:rsid w:val="009E40F9"/>
    <w:rsid w:val="009E41FE"/>
    <w:rsid w:val="009E46F1"/>
    <w:rsid w:val="009E4910"/>
    <w:rsid w:val="009E4B31"/>
    <w:rsid w:val="009E7105"/>
    <w:rsid w:val="009E7307"/>
    <w:rsid w:val="009E755E"/>
    <w:rsid w:val="009E7831"/>
    <w:rsid w:val="009E79C7"/>
    <w:rsid w:val="009F0D1F"/>
    <w:rsid w:val="009F17FC"/>
    <w:rsid w:val="009F387C"/>
    <w:rsid w:val="009F4106"/>
    <w:rsid w:val="009F4418"/>
    <w:rsid w:val="009F4B5F"/>
    <w:rsid w:val="009F4D50"/>
    <w:rsid w:val="009F511E"/>
    <w:rsid w:val="009F5306"/>
    <w:rsid w:val="009F594A"/>
    <w:rsid w:val="009F60A5"/>
    <w:rsid w:val="009F60C7"/>
    <w:rsid w:val="009F6198"/>
    <w:rsid w:val="009F61D0"/>
    <w:rsid w:val="009F6549"/>
    <w:rsid w:val="009F697B"/>
    <w:rsid w:val="009F6D0E"/>
    <w:rsid w:val="009F7092"/>
    <w:rsid w:val="009F7254"/>
    <w:rsid w:val="009F7324"/>
    <w:rsid w:val="009F7489"/>
    <w:rsid w:val="009F762A"/>
    <w:rsid w:val="00A00173"/>
    <w:rsid w:val="00A00268"/>
    <w:rsid w:val="00A00A95"/>
    <w:rsid w:val="00A00E1E"/>
    <w:rsid w:val="00A01116"/>
    <w:rsid w:val="00A018F8"/>
    <w:rsid w:val="00A03A50"/>
    <w:rsid w:val="00A03CCC"/>
    <w:rsid w:val="00A04C91"/>
    <w:rsid w:val="00A04E7E"/>
    <w:rsid w:val="00A05320"/>
    <w:rsid w:val="00A05ECA"/>
    <w:rsid w:val="00A078EC"/>
    <w:rsid w:val="00A07A92"/>
    <w:rsid w:val="00A1019B"/>
    <w:rsid w:val="00A105B0"/>
    <w:rsid w:val="00A106C4"/>
    <w:rsid w:val="00A10C38"/>
    <w:rsid w:val="00A10C39"/>
    <w:rsid w:val="00A10D6D"/>
    <w:rsid w:val="00A11665"/>
    <w:rsid w:val="00A11A7E"/>
    <w:rsid w:val="00A11DC2"/>
    <w:rsid w:val="00A12214"/>
    <w:rsid w:val="00A12C17"/>
    <w:rsid w:val="00A12D45"/>
    <w:rsid w:val="00A1325F"/>
    <w:rsid w:val="00A13630"/>
    <w:rsid w:val="00A13AE8"/>
    <w:rsid w:val="00A13E8B"/>
    <w:rsid w:val="00A158D2"/>
    <w:rsid w:val="00A15E92"/>
    <w:rsid w:val="00A16B61"/>
    <w:rsid w:val="00A17069"/>
    <w:rsid w:val="00A17226"/>
    <w:rsid w:val="00A17426"/>
    <w:rsid w:val="00A17B3A"/>
    <w:rsid w:val="00A17DFD"/>
    <w:rsid w:val="00A20092"/>
    <w:rsid w:val="00A201CE"/>
    <w:rsid w:val="00A20458"/>
    <w:rsid w:val="00A20BAC"/>
    <w:rsid w:val="00A21174"/>
    <w:rsid w:val="00A21222"/>
    <w:rsid w:val="00A2152C"/>
    <w:rsid w:val="00A2180E"/>
    <w:rsid w:val="00A2187D"/>
    <w:rsid w:val="00A21DAC"/>
    <w:rsid w:val="00A22D6E"/>
    <w:rsid w:val="00A22F56"/>
    <w:rsid w:val="00A23CE0"/>
    <w:rsid w:val="00A243EA"/>
    <w:rsid w:val="00A24DC3"/>
    <w:rsid w:val="00A2517F"/>
    <w:rsid w:val="00A25231"/>
    <w:rsid w:val="00A255F8"/>
    <w:rsid w:val="00A2569E"/>
    <w:rsid w:val="00A25746"/>
    <w:rsid w:val="00A25834"/>
    <w:rsid w:val="00A258E9"/>
    <w:rsid w:val="00A25A5F"/>
    <w:rsid w:val="00A2610D"/>
    <w:rsid w:val="00A26387"/>
    <w:rsid w:val="00A265EB"/>
    <w:rsid w:val="00A26E9A"/>
    <w:rsid w:val="00A26F5B"/>
    <w:rsid w:val="00A278F2"/>
    <w:rsid w:val="00A27AD3"/>
    <w:rsid w:val="00A3000B"/>
    <w:rsid w:val="00A3050E"/>
    <w:rsid w:val="00A309AD"/>
    <w:rsid w:val="00A30E5F"/>
    <w:rsid w:val="00A3103D"/>
    <w:rsid w:val="00A318E7"/>
    <w:rsid w:val="00A32119"/>
    <w:rsid w:val="00A3257D"/>
    <w:rsid w:val="00A328B2"/>
    <w:rsid w:val="00A32909"/>
    <w:rsid w:val="00A32C5C"/>
    <w:rsid w:val="00A332DF"/>
    <w:rsid w:val="00A3350E"/>
    <w:rsid w:val="00A339F0"/>
    <w:rsid w:val="00A34052"/>
    <w:rsid w:val="00A34B32"/>
    <w:rsid w:val="00A34BEE"/>
    <w:rsid w:val="00A35263"/>
    <w:rsid w:val="00A35813"/>
    <w:rsid w:val="00A36389"/>
    <w:rsid w:val="00A363B4"/>
    <w:rsid w:val="00A36824"/>
    <w:rsid w:val="00A36C35"/>
    <w:rsid w:val="00A37921"/>
    <w:rsid w:val="00A37E8A"/>
    <w:rsid w:val="00A37F33"/>
    <w:rsid w:val="00A40741"/>
    <w:rsid w:val="00A41179"/>
    <w:rsid w:val="00A4120E"/>
    <w:rsid w:val="00A42386"/>
    <w:rsid w:val="00A4259E"/>
    <w:rsid w:val="00A42C5F"/>
    <w:rsid w:val="00A439D8"/>
    <w:rsid w:val="00A4438F"/>
    <w:rsid w:val="00A4449F"/>
    <w:rsid w:val="00A44E8B"/>
    <w:rsid w:val="00A45D2C"/>
    <w:rsid w:val="00A477BB"/>
    <w:rsid w:val="00A50766"/>
    <w:rsid w:val="00A50827"/>
    <w:rsid w:val="00A50C54"/>
    <w:rsid w:val="00A511D9"/>
    <w:rsid w:val="00A51A8A"/>
    <w:rsid w:val="00A52161"/>
    <w:rsid w:val="00A5238C"/>
    <w:rsid w:val="00A5261B"/>
    <w:rsid w:val="00A52C51"/>
    <w:rsid w:val="00A53425"/>
    <w:rsid w:val="00A536C0"/>
    <w:rsid w:val="00A53768"/>
    <w:rsid w:val="00A53B4A"/>
    <w:rsid w:val="00A549DB"/>
    <w:rsid w:val="00A55740"/>
    <w:rsid w:val="00A55BBB"/>
    <w:rsid w:val="00A55EFA"/>
    <w:rsid w:val="00A56109"/>
    <w:rsid w:val="00A56760"/>
    <w:rsid w:val="00A56D24"/>
    <w:rsid w:val="00A56D86"/>
    <w:rsid w:val="00A56DBC"/>
    <w:rsid w:val="00A5707A"/>
    <w:rsid w:val="00A60343"/>
    <w:rsid w:val="00A60345"/>
    <w:rsid w:val="00A60935"/>
    <w:rsid w:val="00A60983"/>
    <w:rsid w:val="00A61300"/>
    <w:rsid w:val="00A6143C"/>
    <w:rsid w:val="00A62073"/>
    <w:rsid w:val="00A6296B"/>
    <w:rsid w:val="00A63E2E"/>
    <w:rsid w:val="00A63EFE"/>
    <w:rsid w:val="00A64B5A"/>
    <w:rsid w:val="00A65097"/>
    <w:rsid w:val="00A65240"/>
    <w:rsid w:val="00A65552"/>
    <w:rsid w:val="00A66096"/>
    <w:rsid w:val="00A6638E"/>
    <w:rsid w:val="00A66626"/>
    <w:rsid w:val="00A669DF"/>
    <w:rsid w:val="00A66DC2"/>
    <w:rsid w:val="00A67477"/>
    <w:rsid w:val="00A675F5"/>
    <w:rsid w:val="00A67675"/>
    <w:rsid w:val="00A70257"/>
    <w:rsid w:val="00A709A9"/>
    <w:rsid w:val="00A70A12"/>
    <w:rsid w:val="00A70EF8"/>
    <w:rsid w:val="00A73257"/>
    <w:rsid w:val="00A739F9"/>
    <w:rsid w:val="00A73AB0"/>
    <w:rsid w:val="00A73D0B"/>
    <w:rsid w:val="00A73D54"/>
    <w:rsid w:val="00A73D82"/>
    <w:rsid w:val="00A741FD"/>
    <w:rsid w:val="00A749B6"/>
    <w:rsid w:val="00A749B8"/>
    <w:rsid w:val="00A7513E"/>
    <w:rsid w:val="00A7529A"/>
    <w:rsid w:val="00A75F78"/>
    <w:rsid w:val="00A76782"/>
    <w:rsid w:val="00A767ED"/>
    <w:rsid w:val="00A76D12"/>
    <w:rsid w:val="00A77EBC"/>
    <w:rsid w:val="00A80298"/>
    <w:rsid w:val="00A803E7"/>
    <w:rsid w:val="00A80851"/>
    <w:rsid w:val="00A80D35"/>
    <w:rsid w:val="00A8113F"/>
    <w:rsid w:val="00A819A6"/>
    <w:rsid w:val="00A819F5"/>
    <w:rsid w:val="00A81DE0"/>
    <w:rsid w:val="00A825A6"/>
    <w:rsid w:val="00A82C6B"/>
    <w:rsid w:val="00A82EF7"/>
    <w:rsid w:val="00A83556"/>
    <w:rsid w:val="00A83893"/>
    <w:rsid w:val="00A83C1D"/>
    <w:rsid w:val="00A83E15"/>
    <w:rsid w:val="00A83E7E"/>
    <w:rsid w:val="00A84255"/>
    <w:rsid w:val="00A84783"/>
    <w:rsid w:val="00A84800"/>
    <w:rsid w:val="00A84E53"/>
    <w:rsid w:val="00A855CE"/>
    <w:rsid w:val="00A856B6"/>
    <w:rsid w:val="00A85A35"/>
    <w:rsid w:val="00A85F9F"/>
    <w:rsid w:val="00A863B3"/>
    <w:rsid w:val="00A86A3B"/>
    <w:rsid w:val="00A870DA"/>
    <w:rsid w:val="00A8724D"/>
    <w:rsid w:val="00A873EB"/>
    <w:rsid w:val="00A9049F"/>
    <w:rsid w:val="00A90586"/>
    <w:rsid w:val="00A909CF"/>
    <w:rsid w:val="00A90D99"/>
    <w:rsid w:val="00A93277"/>
    <w:rsid w:val="00A93BC2"/>
    <w:rsid w:val="00A94E17"/>
    <w:rsid w:val="00A94E85"/>
    <w:rsid w:val="00A9583C"/>
    <w:rsid w:val="00A95B1C"/>
    <w:rsid w:val="00A95F09"/>
    <w:rsid w:val="00A95F45"/>
    <w:rsid w:val="00A9650B"/>
    <w:rsid w:val="00A96731"/>
    <w:rsid w:val="00A9693B"/>
    <w:rsid w:val="00A96D6F"/>
    <w:rsid w:val="00A970EF"/>
    <w:rsid w:val="00A97827"/>
    <w:rsid w:val="00A97EB8"/>
    <w:rsid w:val="00AA0030"/>
    <w:rsid w:val="00AA071B"/>
    <w:rsid w:val="00AA0BD3"/>
    <w:rsid w:val="00AA10CC"/>
    <w:rsid w:val="00AA1162"/>
    <w:rsid w:val="00AA1468"/>
    <w:rsid w:val="00AA1E63"/>
    <w:rsid w:val="00AA1F37"/>
    <w:rsid w:val="00AA219D"/>
    <w:rsid w:val="00AA287E"/>
    <w:rsid w:val="00AA2CE7"/>
    <w:rsid w:val="00AA2EAE"/>
    <w:rsid w:val="00AA376F"/>
    <w:rsid w:val="00AA3819"/>
    <w:rsid w:val="00AA3A36"/>
    <w:rsid w:val="00AA3E87"/>
    <w:rsid w:val="00AA435C"/>
    <w:rsid w:val="00AA49F8"/>
    <w:rsid w:val="00AA4B9F"/>
    <w:rsid w:val="00AA4E44"/>
    <w:rsid w:val="00AA4F6B"/>
    <w:rsid w:val="00AA5120"/>
    <w:rsid w:val="00AA7292"/>
    <w:rsid w:val="00AA7B70"/>
    <w:rsid w:val="00AB0441"/>
    <w:rsid w:val="00AB0675"/>
    <w:rsid w:val="00AB0A6E"/>
    <w:rsid w:val="00AB0D9D"/>
    <w:rsid w:val="00AB0EC3"/>
    <w:rsid w:val="00AB0F9B"/>
    <w:rsid w:val="00AB1CE5"/>
    <w:rsid w:val="00AB1EDD"/>
    <w:rsid w:val="00AB2149"/>
    <w:rsid w:val="00AB23EB"/>
    <w:rsid w:val="00AB2D2D"/>
    <w:rsid w:val="00AB34B4"/>
    <w:rsid w:val="00AB3EF2"/>
    <w:rsid w:val="00AB414D"/>
    <w:rsid w:val="00AB432D"/>
    <w:rsid w:val="00AB45FC"/>
    <w:rsid w:val="00AB4D0F"/>
    <w:rsid w:val="00AB50EE"/>
    <w:rsid w:val="00AB5167"/>
    <w:rsid w:val="00AB535B"/>
    <w:rsid w:val="00AB54F2"/>
    <w:rsid w:val="00AB5B97"/>
    <w:rsid w:val="00AB61A2"/>
    <w:rsid w:val="00AB62B6"/>
    <w:rsid w:val="00AB65C0"/>
    <w:rsid w:val="00AB66A8"/>
    <w:rsid w:val="00AB6875"/>
    <w:rsid w:val="00AB68A1"/>
    <w:rsid w:val="00AB6B56"/>
    <w:rsid w:val="00AB6B73"/>
    <w:rsid w:val="00AB6E04"/>
    <w:rsid w:val="00AB719E"/>
    <w:rsid w:val="00AB7755"/>
    <w:rsid w:val="00AC0014"/>
    <w:rsid w:val="00AC12CC"/>
    <w:rsid w:val="00AC1B92"/>
    <w:rsid w:val="00AC1D16"/>
    <w:rsid w:val="00AC1FAD"/>
    <w:rsid w:val="00AC223A"/>
    <w:rsid w:val="00AC2726"/>
    <w:rsid w:val="00AC2850"/>
    <w:rsid w:val="00AC2D00"/>
    <w:rsid w:val="00AC2DBF"/>
    <w:rsid w:val="00AC2DD6"/>
    <w:rsid w:val="00AC361B"/>
    <w:rsid w:val="00AC47F7"/>
    <w:rsid w:val="00AC4949"/>
    <w:rsid w:val="00AC4FE1"/>
    <w:rsid w:val="00AC5039"/>
    <w:rsid w:val="00AC50D0"/>
    <w:rsid w:val="00AC5E7E"/>
    <w:rsid w:val="00AC605F"/>
    <w:rsid w:val="00AC6202"/>
    <w:rsid w:val="00AC6544"/>
    <w:rsid w:val="00AC7A58"/>
    <w:rsid w:val="00AC7DBE"/>
    <w:rsid w:val="00AC7F8A"/>
    <w:rsid w:val="00AD0197"/>
    <w:rsid w:val="00AD0DD0"/>
    <w:rsid w:val="00AD1608"/>
    <w:rsid w:val="00AD1C8A"/>
    <w:rsid w:val="00AD1EE8"/>
    <w:rsid w:val="00AD2184"/>
    <w:rsid w:val="00AD230F"/>
    <w:rsid w:val="00AD28ED"/>
    <w:rsid w:val="00AD2B13"/>
    <w:rsid w:val="00AD32CE"/>
    <w:rsid w:val="00AD369F"/>
    <w:rsid w:val="00AD3999"/>
    <w:rsid w:val="00AD4C61"/>
    <w:rsid w:val="00AD5105"/>
    <w:rsid w:val="00AD5348"/>
    <w:rsid w:val="00AD64DC"/>
    <w:rsid w:val="00AD6628"/>
    <w:rsid w:val="00AD6F71"/>
    <w:rsid w:val="00AD7410"/>
    <w:rsid w:val="00AD748F"/>
    <w:rsid w:val="00AD7E80"/>
    <w:rsid w:val="00AD7EC7"/>
    <w:rsid w:val="00AE007F"/>
    <w:rsid w:val="00AE093A"/>
    <w:rsid w:val="00AE0E99"/>
    <w:rsid w:val="00AE11EA"/>
    <w:rsid w:val="00AE12CE"/>
    <w:rsid w:val="00AE153C"/>
    <w:rsid w:val="00AE1869"/>
    <w:rsid w:val="00AE1C2D"/>
    <w:rsid w:val="00AE1CC4"/>
    <w:rsid w:val="00AE20A9"/>
    <w:rsid w:val="00AE2162"/>
    <w:rsid w:val="00AE26EA"/>
    <w:rsid w:val="00AE2793"/>
    <w:rsid w:val="00AE2A7F"/>
    <w:rsid w:val="00AE2FD3"/>
    <w:rsid w:val="00AE301B"/>
    <w:rsid w:val="00AE3580"/>
    <w:rsid w:val="00AE396B"/>
    <w:rsid w:val="00AE3ADD"/>
    <w:rsid w:val="00AE3EC7"/>
    <w:rsid w:val="00AE4057"/>
    <w:rsid w:val="00AE500B"/>
    <w:rsid w:val="00AE5D04"/>
    <w:rsid w:val="00AE615C"/>
    <w:rsid w:val="00AE6226"/>
    <w:rsid w:val="00AE645B"/>
    <w:rsid w:val="00AE6D0C"/>
    <w:rsid w:val="00AE7323"/>
    <w:rsid w:val="00AE73F7"/>
    <w:rsid w:val="00AE761C"/>
    <w:rsid w:val="00AF03AD"/>
    <w:rsid w:val="00AF03D8"/>
    <w:rsid w:val="00AF0597"/>
    <w:rsid w:val="00AF0AE6"/>
    <w:rsid w:val="00AF0B02"/>
    <w:rsid w:val="00AF11BA"/>
    <w:rsid w:val="00AF199A"/>
    <w:rsid w:val="00AF1A89"/>
    <w:rsid w:val="00AF20CC"/>
    <w:rsid w:val="00AF224F"/>
    <w:rsid w:val="00AF2D37"/>
    <w:rsid w:val="00AF2E6E"/>
    <w:rsid w:val="00AF348F"/>
    <w:rsid w:val="00AF36E3"/>
    <w:rsid w:val="00AF380C"/>
    <w:rsid w:val="00AF420C"/>
    <w:rsid w:val="00AF4A5F"/>
    <w:rsid w:val="00AF4B05"/>
    <w:rsid w:val="00AF542B"/>
    <w:rsid w:val="00AF5AEB"/>
    <w:rsid w:val="00AF6419"/>
    <w:rsid w:val="00AF6D71"/>
    <w:rsid w:val="00AF79B4"/>
    <w:rsid w:val="00AF7CBC"/>
    <w:rsid w:val="00AF7F0B"/>
    <w:rsid w:val="00B00027"/>
    <w:rsid w:val="00B00367"/>
    <w:rsid w:val="00B003AC"/>
    <w:rsid w:val="00B0041C"/>
    <w:rsid w:val="00B00732"/>
    <w:rsid w:val="00B00B1D"/>
    <w:rsid w:val="00B01317"/>
    <w:rsid w:val="00B014B1"/>
    <w:rsid w:val="00B014D8"/>
    <w:rsid w:val="00B01B30"/>
    <w:rsid w:val="00B01E7B"/>
    <w:rsid w:val="00B01F2A"/>
    <w:rsid w:val="00B0265D"/>
    <w:rsid w:val="00B02843"/>
    <w:rsid w:val="00B02AB2"/>
    <w:rsid w:val="00B02B62"/>
    <w:rsid w:val="00B02DCC"/>
    <w:rsid w:val="00B02E3E"/>
    <w:rsid w:val="00B039DC"/>
    <w:rsid w:val="00B04040"/>
    <w:rsid w:val="00B0405B"/>
    <w:rsid w:val="00B0407A"/>
    <w:rsid w:val="00B042C9"/>
    <w:rsid w:val="00B043C9"/>
    <w:rsid w:val="00B04437"/>
    <w:rsid w:val="00B04857"/>
    <w:rsid w:val="00B049A1"/>
    <w:rsid w:val="00B04AB3"/>
    <w:rsid w:val="00B04C9C"/>
    <w:rsid w:val="00B04CA7"/>
    <w:rsid w:val="00B04E12"/>
    <w:rsid w:val="00B051CE"/>
    <w:rsid w:val="00B055A2"/>
    <w:rsid w:val="00B05858"/>
    <w:rsid w:val="00B05919"/>
    <w:rsid w:val="00B0670B"/>
    <w:rsid w:val="00B068D1"/>
    <w:rsid w:val="00B06B7A"/>
    <w:rsid w:val="00B07CC8"/>
    <w:rsid w:val="00B10943"/>
    <w:rsid w:val="00B10FF5"/>
    <w:rsid w:val="00B12E84"/>
    <w:rsid w:val="00B12F7D"/>
    <w:rsid w:val="00B1301A"/>
    <w:rsid w:val="00B13205"/>
    <w:rsid w:val="00B13344"/>
    <w:rsid w:val="00B134E3"/>
    <w:rsid w:val="00B13764"/>
    <w:rsid w:val="00B13C3F"/>
    <w:rsid w:val="00B13C86"/>
    <w:rsid w:val="00B142C3"/>
    <w:rsid w:val="00B1495F"/>
    <w:rsid w:val="00B14F2B"/>
    <w:rsid w:val="00B151EA"/>
    <w:rsid w:val="00B159BF"/>
    <w:rsid w:val="00B16053"/>
    <w:rsid w:val="00B16BC2"/>
    <w:rsid w:val="00B16EFD"/>
    <w:rsid w:val="00B16F66"/>
    <w:rsid w:val="00B1750B"/>
    <w:rsid w:val="00B175CD"/>
    <w:rsid w:val="00B17ACD"/>
    <w:rsid w:val="00B200E2"/>
    <w:rsid w:val="00B2054E"/>
    <w:rsid w:val="00B20C17"/>
    <w:rsid w:val="00B20F9E"/>
    <w:rsid w:val="00B21533"/>
    <w:rsid w:val="00B219F5"/>
    <w:rsid w:val="00B21DA2"/>
    <w:rsid w:val="00B22422"/>
    <w:rsid w:val="00B22D8F"/>
    <w:rsid w:val="00B23450"/>
    <w:rsid w:val="00B23BCD"/>
    <w:rsid w:val="00B23C3B"/>
    <w:rsid w:val="00B23CDE"/>
    <w:rsid w:val="00B25041"/>
    <w:rsid w:val="00B2560B"/>
    <w:rsid w:val="00B25C55"/>
    <w:rsid w:val="00B26447"/>
    <w:rsid w:val="00B27385"/>
    <w:rsid w:val="00B274A2"/>
    <w:rsid w:val="00B2767C"/>
    <w:rsid w:val="00B276C0"/>
    <w:rsid w:val="00B27C33"/>
    <w:rsid w:val="00B30000"/>
    <w:rsid w:val="00B30292"/>
    <w:rsid w:val="00B3048B"/>
    <w:rsid w:val="00B30977"/>
    <w:rsid w:val="00B30B73"/>
    <w:rsid w:val="00B30E70"/>
    <w:rsid w:val="00B3137F"/>
    <w:rsid w:val="00B317CB"/>
    <w:rsid w:val="00B32F3A"/>
    <w:rsid w:val="00B32FCB"/>
    <w:rsid w:val="00B332C3"/>
    <w:rsid w:val="00B3404B"/>
    <w:rsid w:val="00B3417A"/>
    <w:rsid w:val="00B34219"/>
    <w:rsid w:val="00B34503"/>
    <w:rsid w:val="00B34FEE"/>
    <w:rsid w:val="00B35EAF"/>
    <w:rsid w:val="00B36B21"/>
    <w:rsid w:val="00B36E74"/>
    <w:rsid w:val="00B36F44"/>
    <w:rsid w:val="00B37F77"/>
    <w:rsid w:val="00B408E8"/>
    <w:rsid w:val="00B41249"/>
    <w:rsid w:val="00B414B7"/>
    <w:rsid w:val="00B41505"/>
    <w:rsid w:val="00B41520"/>
    <w:rsid w:val="00B4175D"/>
    <w:rsid w:val="00B41AFC"/>
    <w:rsid w:val="00B41B02"/>
    <w:rsid w:val="00B41C5C"/>
    <w:rsid w:val="00B42069"/>
    <w:rsid w:val="00B4206F"/>
    <w:rsid w:val="00B427BA"/>
    <w:rsid w:val="00B428E8"/>
    <w:rsid w:val="00B42B09"/>
    <w:rsid w:val="00B42D6E"/>
    <w:rsid w:val="00B42E78"/>
    <w:rsid w:val="00B43618"/>
    <w:rsid w:val="00B43B0A"/>
    <w:rsid w:val="00B45798"/>
    <w:rsid w:val="00B459B4"/>
    <w:rsid w:val="00B4688B"/>
    <w:rsid w:val="00B46A49"/>
    <w:rsid w:val="00B47A7D"/>
    <w:rsid w:val="00B47E82"/>
    <w:rsid w:val="00B50883"/>
    <w:rsid w:val="00B512F6"/>
    <w:rsid w:val="00B518E5"/>
    <w:rsid w:val="00B5220D"/>
    <w:rsid w:val="00B523E2"/>
    <w:rsid w:val="00B52995"/>
    <w:rsid w:val="00B52F31"/>
    <w:rsid w:val="00B547C9"/>
    <w:rsid w:val="00B54CA7"/>
    <w:rsid w:val="00B56475"/>
    <w:rsid w:val="00B5693D"/>
    <w:rsid w:val="00B57135"/>
    <w:rsid w:val="00B57D41"/>
    <w:rsid w:val="00B6029C"/>
    <w:rsid w:val="00B60555"/>
    <w:rsid w:val="00B60595"/>
    <w:rsid w:val="00B60705"/>
    <w:rsid w:val="00B60D1E"/>
    <w:rsid w:val="00B620A5"/>
    <w:rsid w:val="00B62189"/>
    <w:rsid w:val="00B622F0"/>
    <w:rsid w:val="00B62407"/>
    <w:rsid w:val="00B632DA"/>
    <w:rsid w:val="00B63BBD"/>
    <w:rsid w:val="00B63C33"/>
    <w:rsid w:val="00B646D1"/>
    <w:rsid w:val="00B647CF"/>
    <w:rsid w:val="00B64D2D"/>
    <w:rsid w:val="00B64E7B"/>
    <w:rsid w:val="00B65474"/>
    <w:rsid w:val="00B657FE"/>
    <w:rsid w:val="00B6589A"/>
    <w:rsid w:val="00B65AE1"/>
    <w:rsid w:val="00B660AD"/>
    <w:rsid w:val="00B666EF"/>
    <w:rsid w:val="00B669D1"/>
    <w:rsid w:val="00B67085"/>
    <w:rsid w:val="00B67CBB"/>
    <w:rsid w:val="00B67EF4"/>
    <w:rsid w:val="00B709A3"/>
    <w:rsid w:val="00B70EAE"/>
    <w:rsid w:val="00B72BCB"/>
    <w:rsid w:val="00B72D18"/>
    <w:rsid w:val="00B73761"/>
    <w:rsid w:val="00B738CA"/>
    <w:rsid w:val="00B73AED"/>
    <w:rsid w:val="00B74EE2"/>
    <w:rsid w:val="00B74F62"/>
    <w:rsid w:val="00B75065"/>
    <w:rsid w:val="00B7564B"/>
    <w:rsid w:val="00B759EE"/>
    <w:rsid w:val="00B75D6C"/>
    <w:rsid w:val="00B775E3"/>
    <w:rsid w:val="00B777D8"/>
    <w:rsid w:val="00B77988"/>
    <w:rsid w:val="00B800CF"/>
    <w:rsid w:val="00B8068B"/>
    <w:rsid w:val="00B80CCF"/>
    <w:rsid w:val="00B81AFE"/>
    <w:rsid w:val="00B81C3B"/>
    <w:rsid w:val="00B81F03"/>
    <w:rsid w:val="00B82427"/>
    <w:rsid w:val="00B825CE"/>
    <w:rsid w:val="00B82C3C"/>
    <w:rsid w:val="00B83A0E"/>
    <w:rsid w:val="00B83DC6"/>
    <w:rsid w:val="00B843F5"/>
    <w:rsid w:val="00B847A0"/>
    <w:rsid w:val="00B84B21"/>
    <w:rsid w:val="00B84F2C"/>
    <w:rsid w:val="00B85ADA"/>
    <w:rsid w:val="00B85D50"/>
    <w:rsid w:val="00B86699"/>
    <w:rsid w:val="00B86A99"/>
    <w:rsid w:val="00B87014"/>
    <w:rsid w:val="00B8794F"/>
    <w:rsid w:val="00B87B01"/>
    <w:rsid w:val="00B87D93"/>
    <w:rsid w:val="00B87F38"/>
    <w:rsid w:val="00B90005"/>
    <w:rsid w:val="00B90F00"/>
    <w:rsid w:val="00B9146C"/>
    <w:rsid w:val="00B91AB3"/>
    <w:rsid w:val="00B91F96"/>
    <w:rsid w:val="00B9213A"/>
    <w:rsid w:val="00B9270A"/>
    <w:rsid w:val="00B93523"/>
    <w:rsid w:val="00B935EA"/>
    <w:rsid w:val="00B946C0"/>
    <w:rsid w:val="00B94701"/>
    <w:rsid w:val="00B94722"/>
    <w:rsid w:val="00B94DE1"/>
    <w:rsid w:val="00B95391"/>
    <w:rsid w:val="00B95E0A"/>
    <w:rsid w:val="00B96272"/>
    <w:rsid w:val="00B96D41"/>
    <w:rsid w:val="00B96E38"/>
    <w:rsid w:val="00B96EFC"/>
    <w:rsid w:val="00B97F6A"/>
    <w:rsid w:val="00BA107F"/>
    <w:rsid w:val="00BA1CE6"/>
    <w:rsid w:val="00BA32DE"/>
    <w:rsid w:val="00BA3668"/>
    <w:rsid w:val="00BA3908"/>
    <w:rsid w:val="00BA3A00"/>
    <w:rsid w:val="00BA3FA3"/>
    <w:rsid w:val="00BA42C7"/>
    <w:rsid w:val="00BA432E"/>
    <w:rsid w:val="00BA4781"/>
    <w:rsid w:val="00BA49A9"/>
    <w:rsid w:val="00BA55FA"/>
    <w:rsid w:val="00BA5C13"/>
    <w:rsid w:val="00BA5D34"/>
    <w:rsid w:val="00BA5E06"/>
    <w:rsid w:val="00BA64FA"/>
    <w:rsid w:val="00BA66C3"/>
    <w:rsid w:val="00BA6794"/>
    <w:rsid w:val="00BA6978"/>
    <w:rsid w:val="00BA7166"/>
    <w:rsid w:val="00BA78F6"/>
    <w:rsid w:val="00BA7D5C"/>
    <w:rsid w:val="00BB03F2"/>
    <w:rsid w:val="00BB0458"/>
    <w:rsid w:val="00BB07C8"/>
    <w:rsid w:val="00BB094A"/>
    <w:rsid w:val="00BB0A7C"/>
    <w:rsid w:val="00BB0F29"/>
    <w:rsid w:val="00BB0F88"/>
    <w:rsid w:val="00BB1953"/>
    <w:rsid w:val="00BB2129"/>
    <w:rsid w:val="00BB22C2"/>
    <w:rsid w:val="00BB270C"/>
    <w:rsid w:val="00BB29E3"/>
    <w:rsid w:val="00BB2DB7"/>
    <w:rsid w:val="00BB2F31"/>
    <w:rsid w:val="00BB3485"/>
    <w:rsid w:val="00BB35AE"/>
    <w:rsid w:val="00BB35BD"/>
    <w:rsid w:val="00BB3F8B"/>
    <w:rsid w:val="00BB4809"/>
    <w:rsid w:val="00BB580F"/>
    <w:rsid w:val="00BB6F9A"/>
    <w:rsid w:val="00BB70A6"/>
    <w:rsid w:val="00BB71AD"/>
    <w:rsid w:val="00BB7863"/>
    <w:rsid w:val="00BC01B2"/>
    <w:rsid w:val="00BC0F5E"/>
    <w:rsid w:val="00BC1288"/>
    <w:rsid w:val="00BC1B79"/>
    <w:rsid w:val="00BC1C40"/>
    <w:rsid w:val="00BC2270"/>
    <w:rsid w:val="00BC2542"/>
    <w:rsid w:val="00BC25DE"/>
    <w:rsid w:val="00BC2601"/>
    <w:rsid w:val="00BC283A"/>
    <w:rsid w:val="00BC283C"/>
    <w:rsid w:val="00BC34DC"/>
    <w:rsid w:val="00BC3791"/>
    <w:rsid w:val="00BC3BAE"/>
    <w:rsid w:val="00BC3D04"/>
    <w:rsid w:val="00BC3D4A"/>
    <w:rsid w:val="00BC4F80"/>
    <w:rsid w:val="00BC4FCF"/>
    <w:rsid w:val="00BC6054"/>
    <w:rsid w:val="00BC647E"/>
    <w:rsid w:val="00BC65A7"/>
    <w:rsid w:val="00BC65AD"/>
    <w:rsid w:val="00BC66D3"/>
    <w:rsid w:val="00BC6C70"/>
    <w:rsid w:val="00BC7113"/>
    <w:rsid w:val="00BC7411"/>
    <w:rsid w:val="00BC75D5"/>
    <w:rsid w:val="00BC7789"/>
    <w:rsid w:val="00BC7E7B"/>
    <w:rsid w:val="00BD07B4"/>
    <w:rsid w:val="00BD0A1C"/>
    <w:rsid w:val="00BD0C8C"/>
    <w:rsid w:val="00BD2377"/>
    <w:rsid w:val="00BD28FC"/>
    <w:rsid w:val="00BD2B9B"/>
    <w:rsid w:val="00BD2D34"/>
    <w:rsid w:val="00BD30CA"/>
    <w:rsid w:val="00BD36AE"/>
    <w:rsid w:val="00BD3DB2"/>
    <w:rsid w:val="00BD4C2B"/>
    <w:rsid w:val="00BD51CB"/>
    <w:rsid w:val="00BD53D3"/>
    <w:rsid w:val="00BD57EF"/>
    <w:rsid w:val="00BD6260"/>
    <w:rsid w:val="00BD6277"/>
    <w:rsid w:val="00BD66A8"/>
    <w:rsid w:val="00BD6AFA"/>
    <w:rsid w:val="00BD6E0E"/>
    <w:rsid w:val="00BD78D3"/>
    <w:rsid w:val="00BD7C4C"/>
    <w:rsid w:val="00BD7F2F"/>
    <w:rsid w:val="00BE0AB1"/>
    <w:rsid w:val="00BE123C"/>
    <w:rsid w:val="00BE205A"/>
    <w:rsid w:val="00BE2444"/>
    <w:rsid w:val="00BE2853"/>
    <w:rsid w:val="00BE2B39"/>
    <w:rsid w:val="00BE2F2C"/>
    <w:rsid w:val="00BE35BC"/>
    <w:rsid w:val="00BE3785"/>
    <w:rsid w:val="00BE3C82"/>
    <w:rsid w:val="00BE40DE"/>
    <w:rsid w:val="00BE437F"/>
    <w:rsid w:val="00BE4E35"/>
    <w:rsid w:val="00BE56F7"/>
    <w:rsid w:val="00BE5753"/>
    <w:rsid w:val="00BE58C2"/>
    <w:rsid w:val="00BE5A21"/>
    <w:rsid w:val="00BE6274"/>
    <w:rsid w:val="00BE62E1"/>
    <w:rsid w:val="00BE75BC"/>
    <w:rsid w:val="00BE79E4"/>
    <w:rsid w:val="00BE7DA3"/>
    <w:rsid w:val="00BF01E0"/>
    <w:rsid w:val="00BF024F"/>
    <w:rsid w:val="00BF0448"/>
    <w:rsid w:val="00BF061D"/>
    <w:rsid w:val="00BF101D"/>
    <w:rsid w:val="00BF1A8D"/>
    <w:rsid w:val="00BF1C3E"/>
    <w:rsid w:val="00BF1E5F"/>
    <w:rsid w:val="00BF24AC"/>
    <w:rsid w:val="00BF2535"/>
    <w:rsid w:val="00BF26F6"/>
    <w:rsid w:val="00BF2AD8"/>
    <w:rsid w:val="00BF3240"/>
    <w:rsid w:val="00BF36FA"/>
    <w:rsid w:val="00BF455F"/>
    <w:rsid w:val="00BF4C2C"/>
    <w:rsid w:val="00BF4E8B"/>
    <w:rsid w:val="00BF4F2C"/>
    <w:rsid w:val="00BF4F3E"/>
    <w:rsid w:val="00BF55BA"/>
    <w:rsid w:val="00BF5E9C"/>
    <w:rsid w:val="00BF6036"/>
    <w:rsid w:val="00BF62CD"/>
    <w:rsid w:val="00BF633E"/>
    <w:rsid w:val="00BF660D"/>
    <w:rsid w:val="00BF6C28"/>
    <w:rsid w:val="00BF70F2"/>
    <w:rsid w:val="00BF72B1"/>
    <w:rsid w:val="00BF77B3"/>
    <w:rsid w:val="00BF7BA1"/>
    <w:rsid w:val="00C00247"/>
    <w:rsid w:val="00C01637"/>
    <w:rsid w:val="00C01B2F"/>
    <w:rsid w:val="00C03075"/>
    <w:rsid w:val="00C03825"/>
    <w:rsid w:val="00C039D4"/>
    <w:rsid w:val="00C03A46"/>
    <w:rsid w:val="00C03A7D"/>
    <w:rsid w:val="00C03B29"/>
    <w:rsid w:val="00C0406E"/>
    <w:rsid w:val="00C042B6"/>
    <w:rsid w:val="00C04952"/>
    <w:rsid w:val="00C04FEC"/>
    <w:rsid w:val="00C05227"/>
    <w:rsid w:val="00C05306"/>
    <w:rsid w:val="00C06A4F"/>
    <w:rsid w:val="00C06E1B"/>
    <w:rsid w:val="00C07060"/>
    <w:rsid w:val="00C07BF7"/>
    <w:rsid w:val="00C100A6"/>
    <w:rsid w:val="00C10271"/>
    <w:rsid w:val="00C10324"/>
    <w:rsid w:val="00C10AA0"/>
    <w:rsid w:val="00C10D10"/>
    <w:rsid w:val="00C10F9B"/>
    <w:rsid w:val="00C11190"/>
    <w:rsid w:val="00C11344"/>
    <w:rsid w:val="00C11B81"/>
    <w:rsid w:val="00C11F2C"/>
    <w:rsid w:val="00C11F3D"/>
    <w:rsid w:val="00C12335"/>
    <w:rsid w:val="00C130BF"/>
    <w:rsid w:val="00C138F1"/>
    <w:rsid w:val="00C139FB"/>
    <w:rsid w:val="00C13F8F"/>
    <w:rsid w:val="00C1476E"/>
    <w:rsid w:val="00C14AB3"/>
    <w:rsid w:val="00C152DB"/>
    <w:rsid w:val="00C158C2"/>
    <w:rsid w:val="00C16011"/>
    <w:rsid w:val="00C160CC"/>
    <w:rsid w:val="00C1616D"/>
    <w:rsid w:val="00C16208"/>
    <w:rsid w:val="00C168A8"/>
    <w:rsid w:val="00C16DC5"/>
    <w:rsid w:val="00C16FFD"/>
    <w:rsid w:val="00C1798B"/>
    <w:rsid w:val="00C20FB2"/>
    <w:rsid w:val="00C21028"/>
    <w:rsid w:val="00C211DE"/>
    <w:rsid w:val="00C2198A"/>
    <w:rsid w:val="00C21AF5"/>
    <w:rsid w:val="00C21D96"/>
    <w:rsid w:val="00C221CA"/>
    <w:rsid w:val="00C2224F"/>
    <w:rsid w:val="00C222CC"/>
    <w:rsid w:val="00C22315"/>
    <w:rsid w:val="00C22F42"/>
    <w:rsid w:val="00C23349"/>
    <w:rsid w:val="00C234CA"/>
    <w:rsid w:val="00C2355C"/>
    <w:rsid w:val="00C2382A"/>
    <w:rsid w:val="00C24676"/>
    <w:rsid w:val="00C24903"/>
    <w:rsid w:val="00C24DBD"/>
    <w:rsid w:val="00C24E0F"/>
    <w:rsid w:val="00C24EAF"/>
    <w:rsid w:val="00C2526E"/>
    <w:rsid w:val="00C2542F"/>
    <w:rsid w:val="00C26058"/>
    <w:rsid w:val="00C26542"/>
    <w:rsid w:val="00C26B5C"/>
    <w:rsid w:val="00C276F1"/>
    <w:rsid w:val="00C27BC3"/>
    <w:rsid w:val="00C300F0"/>
    <w:rsid w:val="00C3025B"/>
    <w:rsid w:val="00C308E1"/>
    <w:rsid w:val="00C30D68"/>
    <w:rsid w:val="00C31017"/>
    <w:rsid w:val="00C3319D"/>
    <w:rsid w:val="00C334FE"/>
    <w:rsid w:val="00C33E04"/>
    <w:rsid w:val="00C34C2E"/>
    <w:rsid w:val="00C357E3"/>
    <w:rsid w:val="00C35808"/>
    <w:rsid w:val="00C35A1C"/>
    <w:rsid w:val="00C35EEA"/>
    <w:rsid w:val="00C36289"/>
    <w:rsid w:val="00C36876"/>
    <w:rsid w:val="00C36A9B"/>
    <w:rsid w:val="00C37E2C"/>
    <w:rsid w:val="00C400EF"/>
    <w:rsid w:val="00C40F18"/>
    <w:rsid w:val="00C40FAF"/>
    <w:rsid w:val="00C416D0"/>
    <w:rsid w:val="00C41B94"/>
    <w:rsid w:val="00C41D58"/>
    <w:rsid w:val="00C4212A"/>
    <w:rsid w:val="00C421C2"/>
    <w:rsid w:val="00C42260"/>
    <w:rsid w:val="00C42337"/>
    <w:rsid w:val="00C43507"/>
    <w:rsid w:val="00C44090"/>
    <w:rsid w:val="00C4455D"/>
    <w:rsid w:val="00C446C8"/>
    <w:rsid w:val="00C44ED2"/>
    <w:rsid w:val="00C45575"/>
    <w:rsid w:val="00C45692"/>
    <w:rsid w:val="00C45B98"/>
    <w:rsid w:val="00C45BDD"/>
    <w:rsid w:val="00C45C9B"/>
    <w:rsid w:val="00C45FFC"/>
    <w:rsid w:val="00C46319"/>
    <w:rsid w:val="00C470F1"/>
    <w:rsid w:val="00C47228"/>
    <w:rsid w:val="00C475C9"/>
    <w:rsid w:val="00C47683"/>
    <w:rsid w:val="00C47905"/>
    <w:rsid w:val="00C47CF6"/>
    <w:rsid w:val="00C50696"/>
    <w:rsid w:val="00C509BC"/>
    <w:rsid w:val="00C51516"/>
    <w:rsid w:val="00C51526"/>
    <w:rsid w:val="00C51BB4"/>
    <w:rsid w:val="00C51F38"/>
    <w:rsid w:val="00C51F5D"/>
    <w:rsid w:val="00C52915"/>
    <w:rsid w:val="00C5365C"/>
    <w:rsid w:val="00C539CB"/>
    <w:rsid w:val="00C53BB4"/>
    <w:rsid w:val="00C53CF1"/>
    <w:rsid w:val="00C5421D"/>
    <w:rsid w:val="00C545DA"/>
    <w:rsid w:val="00C546A2"/>
    <w:rsid w:val="00C54829"/>
    <w:rsid w:val="00C54DE6"/>
    <w:rsid w:val="00C55329"/>
    <w:rsid w:val="00C55AA7"/>
    <w:rsid w:val="00C5623A"/>
    <w:rsid w:val="00C57EBA"/>
    <w:rsid w:val="00C6048F"/>
    <w:rsid w:val="00C60499"/>
    <w:rsid w:val="00C60DEE"/>
    <w:rsid w:val="00C611D1"/>
    <w:rsid w:val="00C615D0"/>
    <w:rsid w:val="00C618FE"/>
    <w:rsid w:val="00C61C4C"/>
    <w:rsid w:val="00C61F10"/>
    <w:rsid w:val="00C62717"/>
    <w:rsid w:val="00C62B4D"/>
    <w:rsid w:val="00C633E1"/>
    <w:rsid w:val="00C63CD8"/>
    <w:rsid w:val="00C63EDA"/>
    <w:rsid w:val="00C63F7F"/>
    <w:rsid w:val="00C64303"/>
    <w:rsid w:val="00C64570"/>
    <w:rsid w:val="00C647E5"/>
    <w:rsid w:val="00C64A59"/>
    <w:rsid w:val="00C66063"/>
    <w:rsid w:val="00C6606E"/>
    <w:rsid w:val="00C66451"/>
    <w:rsid w:val="00C6656D"/>
    <w:rsid w:val="00C67E71"/>
    <w:rsid w:val="00C67F2E"/>
    <w:rsid w:val="00C67FC4"/>
    <w:rsid w:val="00C7067B"/>
    <w:rsid w:val="00C70C4B"/>
    <w:rsid w:val="00C70F5B"/>
    <w:rsid w:val="00C7181F"/>
    <w:rsid w:val="00C71EAC"/>
    <w:rsid w:val="00C7203E"/>
    <w:rsid w:val="00C729FF"/>
    <w:rsid w:val="00C72E23"/>
    <w:rsid w:val="00C72F6D"/>
    <w:rsid w:val="00C73845"/>
    <w:rsid w:val="00C74732"/>
    <w:rsid w:val="00C75225"/>
    <w:rsid w:val="00C7543D"/>
    <w:rsid w:val="00C75F29"/>
    <w:rsid w:val="00C76090"/>
    <w:rsid w:val="00C76AF2"/>
    <w:rsid w:val="00C76C1F"/>
    <w:rsid w:val="00C7780D"/>
    <w:rsid w:val="00C77917"/>
    <w:rsid w:val="00C80C48"/>
    <w:rsid w:val="00C8115F"/>
    <w:rsid w:val="00C81214"/>
    <w:rsid w:val="00C8166B"/>
    <w:rsid w:val="00C82090"/>
    <w:rsid w:val="00C822E9"/>
    <w:rsid w:val="00C828DF"/>
    <w:rsid w:val="00C82C8E"/>
    <w:rsid w:val="00C82E72"/>
    <w:rsid w:val="00C837FB"/>
    <w:rsid w:val="00C8397F"/>
    <w:rsid w:val="00C83ADD"/>
    <w:rsid w:val="00C83E3E"/>
    <w:rsid w:val="00C84100"/>
    <w:rsid w:val="00C84793"/>
    <w:rsid w:val="00C855A3"/>
    <w:rsid w:val="00C85A8F"/>
    <w:rsid w:val="00C85B4C"/>
    <w:rsid w:val="00C86460"/>
    <w:rsid w:val="00C869FF"/>
    <w:rsid w:val="00C87635"/>
    <w:rsid w:val="00C87BC1"/>
    <w:rsid w:val="00C9007E"/>
    <w:rsid w:val="00C90FB0"/>
    <w:rsid w:val="00C9227C"/>
    <w:rsid w:val="00C9337C"/>
    <w:rsid w:val="00C93BB0"/>
    <w:rsid w:val="00C93CE6"/>
    <w:rsid w:val="00C93D57"/>
    <w:rsid w:val="00C94CEC"/>
    <w:rsid w:val="00C94FA1"/>
    <w:rsid w:val="00C95FCE"/>
    <w:rsid w:val="00C967B8"/>
    <w:rsid w:val="00C97242"/>
    <w:rsid w:val="00C9755F"/>
    <w:rsid w:val="00C975D2"/>
    <w:rsid w:val="00C97B42"/>
    <w:rsid w:val="00C97D56"/>
    <w:rsid w:val="00C97D9C"/>
    <w:rsid w:val="00CA0C18"/>
    <w:rsid w:val="00CA0DA7"/>
    <w:rsid w:val="00CA10C3"/>
    <w:rsid w:val="00CA17A1"/>
    <w:rsid w:val="00CA1901"/>
    <w:rsid w:val="00CA194D"/>
    <w:rsid w:val="00CA2B26"/>
    <w:rsid w:val="00CA2BDB"/>
    <w:rsid w:val="00CA2C9C"/>
    <w:rsid w:val="00CA2F58"/>
    <w:rsid w:val="00CA3221"/>
    <w:rsid w:val="00CA3A3E"/>
    <w:rsid w:val="00CA3B75"/>
    <w:rsid w:val="00CA4172"/>
    <w:rsid w:val="00CA446D"/>
    <w:rsid w:val="00CA4959"/>
    <w:rsid w:val="00CA4B9A"/>
    <w:rsid w:val="00CA4E6B"/>
    <w:rsid w:val="00CA606E"/>
    <w:rsid w:val="00CA6B04"/>
    <w:rsid w:val="00CA6E16"/>
    <w:rsid w:val="00CA6EC1"/>
    <w:rsid w:val="00CA74AE"/>
    <w:rsid w:val="00CA74C6"/>
    <w:rsid w:val="00CA7640"/>
    <w:rsid w:val="00CA78AB"/>
    <w:rsid w:val="00CA7CC2"/>
    <w:rsid w:val="00CB2572"/>
    <w:rsid w:val="00CB2663"/>
    <w:rsid w:val="00CB2916"/>
    <w:rsid w:val="00CB2993"/>
    <w:rsid w:val="00CB29A8"/>
    <w:rsid w:val="00CB2AC2"/>
    <w:rsid w:val="00CB2ED1"/>
    <w:rsid w:val="00CB313A"/>
    <w:rsid w:val="00CB3632"/>
    <w:rsid w:val="00CB42DB"/>
    <w:rsid w:val="00CB4363"/>
    <w:rsid w:val="00CB4838"/>
    <w:rsid w:val="00CB49D3"/>
    <w:rsid w:val="00CB56EE"/>
    <w:rsid w:val="00CB5769"/>
    <w:rsid w:val="00CB5A52"/>
    <w:rsid w:val="00CB687B"/>
    <w:rsid w:val="00CB69A1"/>
    <w:rsid w:val="00CB76A5"/>
    <w:rsid w:val="00CB795C"/>
    <w:rsid w:val="00CB7B12"/>
    <w:rsid w:val="00CB7BBD"/>
    <w:rsid w:val="00CC01C3"/>
    <w:rsid w:val="00CC058B"/>
    <w:rsid w:val="00CC0B4E"/>
    <w:rsid w:val="00CC0BE2"/>
    <w:rsid w:val="00CC0EB9"/>
    <w:rsid w:val="00CC1072"/>
    <w:rsid w:val="00CC1AF6"/>
    <w:rsid w:val="00CC1DA3"/>
    <w:rsid w:val="00CC1F51"/>
    <w:rsid w:val="00CC215D"/>
    <w:rsid w:val="00CC3151"/>
    <w:rsid w:val="00CC3D87"/>
    <w:rsid w:val="00CC462E"/>
    <w:rsid w:val="00CC493B"/>
    <w:rsid w:val="00CC5F62"/>
    <w:rsid w:val="00CC62D0"/>
    <w:rsid w:val="00CC6709"/>
    <w:rsid w:val="00CC6833"/>
    <w:rsid w:val="00CC697F"/>
    <w:rsid w:val="00CC72D7"/>
    <w:rsid w:val="00CC748C"/>
    <w:rsid w:val="00CC7A9E"/>
    <w:rsid w:val="00CD01C1"/>
    <w:rsid w:val="00CD08C5"/>
    <w:rsid w:val="00CD1F95"/>
    <w:rsid w:val="00CD215A"/>
    <w:rsid w:val="00CD291D"/>
    <w:rsid w:val="00CD2B64"/>
    <w:rsid w:val="00CD30ED"/>
    <w:rsid w:val="00CD31A0"/>
    <w:rsid w:val="00CD3235"/>
    <w:rsid w:val="00CD33D5"/>
    <w:rsid w:val="00CD365C"/>
    <w:rsid w:val="00CD39D0"/>
    <w:rsid w:val="00CD44D6"/>
    <w:rsid w:val="00CD4A44"/>
    <w:rsid w:val="00CD4D1E"/>
    <w:rsid w:val="00CD5614"/>
    <w:rsid w:val="00CD664D"/>
    <w:rsid w:val="00CD6DAE"/>
    <w:rsid w:val="00CD72B6"/>
    <w:rsid w:val="00CD73FD"/>
    <w:rsid w:val="00CD793D"/>
    <w:rsid w:val="00CD795D"/>
    <w:rsid w:val="00CE05CB"/>
    <w:rsid w:val="00CE0616"/>
    <w:rsid w:val="00CE0A86"/>
    <w:rsid w:val="00CE0B32"/>
    <w:rsid w:val="00CE0B46"/>
    <w:rsid w:val="00CE0FD0"/>
    <w:rsid w:val="00CE1128"/>
    <w:rsid w:val="00CE1398"/>
    <w:rsid w:val="00CE16AA"/>
    <w:rsid w:val="00CE1B7A"/>
    <w:rsid w:val="00CE1D8B"/>
    <w:rsid w:val="00CE27AD"/>
    <w:rsid w:val="00CE2DEA"/>
    <w:rsid w:val="00CE3409"/>
    <w:rsid w:val="00CE34E9"/>
    <w:rsid w:val="00CE3E4F"/>
    <w:rsid w:val="00CE3F75"/>
    <w:rsid w:val="00CE40AD"/>
    <w:rsid w:val="00CE4536"/>
    <w:rsid w:val="00CE4540"/>
    <w:rsid w:val="00CE475B"/>
    <w:rsid w:val="00CE477A"/>
    <w:rsid w:val="00CE507C"/>
    <w:rsid w:val="00CE5245"/>
    <w:rsid w:val="00CE6930"/>
    <w:rsid w:val="00CE6E9E"/>
    <w:rsid w:val="00CE6ED4"/>
    <w:rsid w:val="00CE6F2A"/>
    <w:rsid w:val="00CE77AC"/>
    <w:rsid w:val="00CE7BB1"/>
    <w:rsid w:val="00CF0262"/>
    <w:rsid w:val="00CF0B30"/>
    <w:rsid w:val="00CF0D44"/>
    <w:rsid w:val="00CF0F08"/>
    <w:rsid w:val="00CF12F8"/>
    <w:rsid w:val="00CF143A"/>
    <w:rsid w:val="00CF17D9"/>
    <w:rsid w:val="00CF1B6F"/>
    <w:rsid w:val="00CF22C1"/>
    <w:rsid w:val="00CF2726"/>
    <w:rsid w:val="00CF2B66"/>
    <w:rsid w:val="00CF2F0B"/>
    <w:rsid w:val="00CF30B3"/>
    <w:rsid w:val="00CF475A"/>
    <w:rsid w:val="00CF4B5A"/>
    <w:rsid w:val="00CF612A"/>
    <w:rsid w:val="00CF660C"/>
    <w:rsid w:val="00CF6792"/>
    <w:rsid w:val="00CF686C"/>
    <w:rsid w:val="00CF6BBC"/>
    <w:rsid w:val="00CF7C57"/>
    <w:rsid w:val="00D00044"/>
    <w:rsid w:val="00D002F8"/>
    <w:rsid w:val="00D00538"/>
    <w:rsid w:val="00D02968"/>
    <w:rsid w:val="00D02C7C"/>
    <w:rsid w:val="00D02CC8"/>
    <w:rsid w:val="00D03056"/>
    <w:rsid w:val="00D03323"/>
    <w:rsid w:val="00D03372"/>
    <w:rsid w:val="00D038DD"/>
    <w:rsid w:val="00D03B5A"/>
    <w:rsid w:val="00D04061"/>
    <w:rsid w:val="00D041DC"/>
    <w:rsid w:val="00D04C32"/>
    <w:rsid w:val="00D05C8C"/>
    <w:rsid w:val="00D06013"/>
    <w:rsid w:val="00D065D3"/>
    <w:rsid w:val="00D079AD"/>
    <w:rsid w:val="00D07A06"/>
    <w:rsid w:val="00D07DED"/>
    <w:rsid w:val="00D10299"/>
    <w:rsid w:val="00D10A84"/>
    <w:rsid w:val="00D10AA9"/>
    <w:rsid w:val="00D10C2D"/>
    <w:rsid w:val="00D111D3"/>
    <w:rsid w:val="00D11752"/>
    <w:rsid w:val="00D11B23"/>
    <w:rsid w:val="00D123C9"/>
    <w:rsid w:val="00D125CB"/>
    <w:rsid w:val="00D128BB"/>
    <w:rsid w:val="00D1324A"/>
    <w:rsid w:val="00D13291"/>
    <w:rsid w:val="00D1367A"/>
    <w:rsid w:val="00D13949"/>
    <w:rsid w:val="00D141D4"/>
    <w:rsid w:val="00D142D4"/>
    <w:rsid w:val="00D1433D"/>
    <w:rsid w:val="00D143E9"/>
    <w:rsid w:val="00D1494E"/>
    <w:rsid w:val="00D15305"/>
    <w:rsid w:val="00D15675"/>
    <w:rsid w:val="00D15815"/>
    <w:rsid w:val="00D15B2F"/>
    <w:rsid w:val="00D16512"/>
    <w:rsid w:val="00D16977"/>
    <w:rsid w:val="00D16D12"/>
    <w:rsid w:val="00D173D7"/>
    <w:rsid w:val="00D17674"/>
    <w:rsid w:val="00D179A9"/>
    <w:rsid w:val="00D17AAF"/>
    <w:rsid w:val="00D17BFD"/>
    <w:rsid w:val="00D201AF"/>
    <w:rsid w:val="00D20A93"/>
    <w:rsid w:val="00D20C2F"/>
    <w:rsid w:val="00D20C4A"/>
    <w:rsid w:val="00D21B8A"/>
    <w:rsid w:val="00D21E4C"/>
    <w:rsid w:val="00D2306E"/>
    <w:rsid w:val="00D235CC"/>
    <w:rsid w:val="00D23635"/>
    <w:rsid w:val="00D237C4"/>
    <w:rsid w:val="00D23D14"/>
    <w:rsid w:val="00D2441D"/>
    <w:rsid w:val="00D2453C"/>
    <w:rsid w:val="00D25170"/>
    <w:rsid w:val="00D254DD"/>
    <w:rsid w:val="00D255D9"/>
    <w:rsid w:val="00D25E1C"/>
    <w:rsid w:val="00D26796"/>
    <w:rsid w:val="00D26AA9"/>
    <w:rsid w:val="00D274E5"/>
    <w:rsid w:val="00D27894"/>
    <w:rsid w:val="00D30783"/>
    <w:rsid w:val="00D30D18"/>
    <w:rsid w:val="00D311E1"/>
    <w:rsid w:val="00D31456"/>
    <w:rsid w:val="00D3182F"/>
    <w:rsid w:val="00D31A1D"/>
    <w:rsid w:val="00D326AC"/>
    <w:rsid w:val="00D328C6"/>
    <w:rsid w:val="00D335D7"/>
    <w:rsid w:val="00D339E4"/>
    <w:rsid w:val="00D33F4E"/>
    <w:rsid w:val="00D345C7"/>
    <w:rsid w:val="00D35936"/>
    <w:rsid w:val="00D35C65"/>
    <w:rsid w:val="00D35D6F"/>
    <w:rsid w:val="00D361CD"/>
    <w:rsid w:val="00D362E5"/>
    <w:rsid w:val="00D3645E"/>
    <w:rsid w:val="00D36974"/>
    <w:rsid w:val="00D36B1D"/>
    <w:rsid w:val="00D36FA9"/>
    <w:rsid w:val="00D3719B"/>
    <w:rsid w:val="00D376DD"/>
    <w:rsid w:val="00D376E4"/>
    <w:rsid w:val="00D402B4"/>
    <w:rsid w:val="00D40995"/>
    <w:rsid w:val="00D40CE0"/>
    <w:rsid w:val="00D41649"/>
    <w:rsid w:val="00D41791"/>
    <w:rsid w:val="00D4185B"/>
    <w:rsid w:val="00D41D45"/>
    <w:rsid w:val="00D42442"/>
    <w:rsid w:val="00D424AC"/>
    <w:rsid w:val="00D425D2"/>
    <w:rsid w:val="00D426C3"/>
    <w:rsid w:val="00D43967"/>
    <w:rsid w:val="00D43BC3"/>
    <w:rsid w:val="00D450DC"/>
    <w:rsid w:val="00D45678"/>
    <w:rsid w:val="00D45D31"/>
    <w:rsid w:val="00D45DA7"/>
    <w:rsid w:val="00D4674B"/>
    <w:rsid w:val="00D46B5D"/>
    <w:rsid w:val="00D47347"/>
    <w:rsid w:val="00D47E7E"/>
    <w:rsid w:val="00D5075C"/>
    <w:rsid w:val="00D51CAB"/>
    <w:rsid w:val="00D5239E"/>
    <w:rsid w:val="00D52805"/>
    <w:rsid w:val="00D52BB3"/>
    <w:rsid w:val="00D53815"/>
    <w:rsid w:val="00D53BB3"/>
    <w:rsid w:val="00D53EEB"/>
    <w:rsid w:val="00D53F2D"/>
    <w:rsid w:val="00D548E8"/>
    <w:rsid w:val="00D54EE2"/>
    <w:rsid w:val="00D551CC"/>
    <w:rsid w:val="00D5535C"/>
    <w:rsid w:val="00D554A6"/>
    <w:rsid w:val="00D55543"/>
    <w:rsid w:val="00D556B5"/>
    <w:rsid w:val="00D56070"/>
    <w:rsid w:val="00D5647D"/>
    <w:rsid w:val="00D56715"/>
    <w:rsid w:val="00D56CD9"/>
    <w:rsid w:val="00D57CF4"/>
    <w:rsid w:val="00D57DAC"/>
    <w:rsid w:val="00D57E68"/>
    <w:rsid w:val="00D57EA7"/>
    <w:rsid w:val="00D60274"/>
    <w:rsid w:val="00D60493"/>
    <w:rsid w:val="00D62E82"/>
    <w:rsid w:val="00D63640"/>
    <w:rsid w:val="00D637FC"/>
    <w:rsid w:val="00D63997"/>
    <w:rsid w:val="00D63E18"/>
    <w:rsid w:val="00D63FBF"/>
    <w:rsid w:val="00D64298"/>
    <w:rsid w:val="00D644B6"/>
    <w:rsid w:val="00D6482D"/>
    <w:rsid w:val="00D660F7"/>
    <w:rsid w:val="00D6649E"/>
    <w:rsid w:val="00D6688F"/>
    <w:rsid w:val="00D66952"/>
    <w:rsid w:val="00D66B52"/>
    <w:rsid w:val="00D66B71"/>
    <w:rsid w:val="00D67C3A"/>
    <w:rsid w:val="00D70014"/>
    <w:rsid w:val="00D70118"/>
    <w:rsid w:val="00D703EA"/>
    <w:rsid w:val="00D7155D"/>
    <w:rsid w:val="00D7174A"/>
    <w:rsid w:val="00D71D66"/>
    <w:rsid w:val="00D71EEE"/>
    <w:rsid w:val="00D72018"/>
    <w:rsid w:val="00D72995"/>
    <w:rsid w:val="00D72B3F"/>
    <w:rsid w:val="00D730D2"/>
    <w:rsid w:val="00D73869"/>
    <w:rsid w:val="00D738C4"/>
    <w:rsid w:val="00D7407B"/>
    <w:rsid w:val="00D741C0"/>
    <w:rsid w:val="00D74558"/>
    <w:rsid w:val="00D74AC3"/>
    <w:rsid w:val="00D74EAE"/>
    <w:rsid w:val="00D75563"/>
    <w:rsid w:val="00D7571C"/>
    <w:rsid w:val="00D760C3"/>
    <w:rsid w:val="00D7655C"/>
    <w:rsid w:val="00D76688"/>
    <w:rsid w:val="00D7769A"/>
    <w:rsid w:val="00D777AF"/>
    <w:rsid w:val="00D77CA4"/>
    <w:rsid w:val="00D77EE0"/>
    <w:rsid w:val="00D810BC"/>
    <w:rsid w:val="00D81374"/>
    <w:rsid w:val="00D8149F"/>
    <w:rsid w:val="00D81C60"/>
    <w:rsid w:val="00D81F3A"/>
    <w:rsid w:val="00D82327"/>
    <w:rsid w:val="00D826BB"/>
    <w:rsid w:val="00D832B8"/>
    <w:rsid w:val="00D83556"/>
    <w:rsid w:val="00D83626"/>
    <w:rsid w:val="00D83749"/>
    <w:rsid w:val="00D84467"/>
    <w:rsid w:val="00D84649"/>
    <w:rsid w:val="00D850D4"/>
    <w:rsid w:val="00D8523C"/>
    <w:rsid w:val="00D8542B"/>
    <w:rsid w:val="00D85438"/>
    <w:rsid w:val="00D865FF"/>
    <w:rsid w:val="00D86BFB"/>
    <w:rsid w:val="00D872D8"/>
    <w:rsid w:val="00D8738F"/>
    <w:rsid w:val="00D87AC7"/>
    <w:rsid w:val="00D87F8E"/>
    <w:rsid w:val="00D90099"/>
    <w:rsid w:val="00D9036A"/>
    <w:rsid w:val="00D90C5D"/>
    <w:rsid w:val="00D92057"/>
    <w:rsid w:val="00D9261E"/>
    <w:rsid w:val="00D92C10"/>
    <w:rsid w:val="00D92CE7"/>
    <w:rsid w:val="00D92E33"/>
    <w:rsid w:val="00D93245"/>
    <w:rsid w:val="00D938FF"/>
    <w:rsid w:val="00D93C08"/>
    <w:rsid w:val="00D93DCA"/>
    <w:rsid w:val="00D941ED"/>
    <w:rsid w:val="00D9440E"/>
    <w:rsid w:val="00D94427"/>
    <w:rsid w:val="00D94DD4"/>
    <w:rsid w:val="00D95287"/>
    <w:rsid w:val="00D958BA"/>
    <w:rsid w:val="00D959D3"/>
    <w:rsid w:val="00D95CC1"/>
    <w:rsid w:val="00D96098"/>
    <w:rsid w:val="00D962A7"/>
    <w:rsid w:val="00D967C1"/>
    <w:rsid w:val="00D96ECC"/>
    <w:rsid w:val="00D9780F"/>
    <w:rsid w:val="00D97BB6"/>
    <w:rsid w:val="00DA004F"/>
    <w:rsid w:val="00DA069E"/>
    <w:rsid w:val="00DA0787"/>
    <w:rsid w:val="00DA088A"/>
    <w:rsid w:val="00DA12D4"/>
    <w:rsid w:val="00DA1483"/>
    <w:rsid w:val="00DA19C3"/>
    <w:rsid w:val="00DA263C"/>
    <w:rsid w:val="00DA2D7D"/>
    <w:rsid w:val="00DA3263"/>
    <w:rsid w:val="00DA33D7"/>
    <w:rsid w:val="00DA3B80"/>
    <w:rsid w:val="00DA3F2E"/>
    <w:rsid w:val="00DA50D6"/>
    <w:rsid w:val="00DA615B"/>
    <w:rsid w:val="00DA6537"/>
    <w:rsid w:val="00DA68C1"/>
    <w:rsid w:val="00DA69FD"/>
    <w:rsid w:val="00DA6A14"/>
    <w:rsid w:val="00DA7661"/>
    <w:rsid w:val="00DA76EC"/>
    <w:rsid w:val="00DA7D2F"/>
    <w:rsid w:val="00DB0002"/>
    <w:rsid w:val="00DB10BC"/>
    <w:rsid w:val="00DB225C"/>
    <w:rsid w:val="00DB27B9"/>
    <w:rsid w:val="00DB29EB"/>
    <w:rsid w:val="00DB32E0"/>
    <w:rsid w:val="00DB341B"/>
    <w:rsid w:val="00DB3977"/>
    <w:rsid w:val="00DB4261"/>
    <w:rsid w:val="00DB49B1"/>
    <w:rsid w:val="00DB540A"/>
    <w:rsid w:val="00DB54A6"/>
    <w:rsid w:val="00DB59CC"/>
    <w:rsid w:val="00DB5A28"/>
    <w:rsid w:val="00DB5FA7"/>
    <w:rsid w:val="00DB65A3"/>
    <w:rsid w:val="00DB75EF"/>
    <w:rsid w:val="00DC0565"/>
    <w:rsid w:val="00DC0873"/>
    <w:rsid w:val="00DC0D03"/>
    <w:rsid w:val="00DC20F7"/>
    <w:rsid w:val="00DC2895"/>
    <w:rsid w:val="00DC2A9B"/>
    <w:rsid w:val="00DC3189"/>
    <w:rsid w:val="00DC323F"/>
    <w:rsid w:val="00DC4111"/>
    <w:rsid w:val="00DC49B1"/>
    <w:rsid w:val="00DC4A21"/>
    <w:rsid w:val="00DC5665"/>
    <w:rsid w:val="00DC60D0"/>
    <w:rsid w:val="00DC7777"/>
    <w:rsid w:val="00DD0199"/>
    <w:rsid w:val="00DD04B4"/>
    <w:rsid w:val="00DD06A1"/>
    <w:rsid w:val="00DD0E0A"/>
    <w:rsid w:val="00DD1012"/>
    <w:rsid w:val="00DD1F51"/>
    <w:rsid w:val="00DD207D"/>
    <w:rsid w:val="00DD22F6"/>
    <w:rsid w:val="00DD2CE8"/>
    <w:rsid w:val="00DD3F6B"/>
    <w:rsid w:val="00DD401B"/>
    <w:rsid w:val="00DD40BB"/>
    <w:rsid w:val="00DD4535"/>
    <w:rsid w:val="00DD457E"/>
    <w:rsid w:val="00DD4888"/>
    <w:rsid w:val="00DD4960"/>
    <w:rsid w:val="00DD53E2"/>
    <w:rsid w:val="00DD5567"/>
    <w:rsid w:val="00DD5878"/>
    <w:rsid w:val="00DD5C39"/>
    <w:rsid w:val="00DD5E05"/>
    <w:rsid w:val="00DD67A3"/>
    <w:rsid w:val="00DD6FE7"/>
    <w:rsid w:val="00DD7E82"/>
    <w:rsid w:val="00DD7FBD"/>
    <w:rsid w:val="00DE0076"/>
    <w:rsid w:val="00DE04F0"/>
    <w:rsid w:val="00DE06E9"/>
    <w:rsid w:val="00DE087E"/>
    <w:rsid w:val="00DE0AF7"/>
    <w:rsid w:val="00DE18E1"/>
    <w:rsid w:val="00DE1929"/>
    <w:rsid w:val="00DE1955"/>
    <w:rsid w:val="00DE20DD"/>
    <w:rsid w:val="00DE220B"/>
    <w:rsid w:val="00DE294D"/>
    <w:rsid w:val="00DE2BE7"/>
    <w:rsid w:val="00DE2CEC"/>
    <w:rsid w:val="00DE3C03"/>
    <w:rsid w:val="00DE4016"/>
    <w:rsid w:val="00DE4686"/>
    <w:rsid w:val="00DE5588"/>
    <w:rsid w:val="00DE56C1"/>
    <w:rsid w:val="00DE662F"/>
    <w:rsid w:val="00DE6ACB"/>
    <w:rsid w:val="00DE7B17"/>
    <w:rsid w:val="00DE7FF1"/>
    <w:rsid w:val="00DF05DB"/>
    <w:rsid w:val="00DF069F"/>
    <w:rsid w:val="00DF0B03"/>
    <w:rsid w:val="00DF0CD1"/>
    <w:rsid w:val="00DF0D94"/>
    <w:rsid w:val="00DF0E30"/>
    <w:rsid w:val="00DF1A0B"/>
    <w:rsid w:val="00DF1DCA"/>
    <w:rsid w:val="00DF26E1"/>
    <w:rsid w:val="00DF2E69"/>
    <w:rsid w:val="00DF43E5"/>
    <w:rsid w:val="00DF45FB"/>
    <w:rsid w:val="00DF4825"/>
    <w:rsid w:val="00DF4B4E"/>
    <w:rsid w:val="00DF550A"/>
    <w:rsid w:val="00DF55BE"/>
    <w:rsid w:val="00DF573D"/>
    <w:rsid w:val="00DF58A4"/>
    <w:rsid w:val="00DF59E7"/>
    <w:rsid w:val="00DF5E82"/>
    <w:rsid w:val="00DF67A0"/>
    <w:rsid w:val="00DF6DEB"/>
    <w:rsid w:val="00DF7164"/>
    <w:rsid w:val="00DF78AE"/>
    <w:rsid w:val="00E000B9"/>
    <w:rsid w:val="00E006FC"/>
    <w:rsid w:val="00E0094C"/>
    <w:rsid w:val="00E009C4"/>
    <w:rsid w:val="00E00DA5"/>
    <w:rsid w:val="00E00E36"/>
    <w:rsid w:val="00E015C9"/>
    <w:rsid w:val="00E0186B"/>
    <w:rsid w:val="00E01D06"/>
    <w:rsid w:val="00E0249A"/>
    <w:rsid w:val="00E0258D"/>
    <w:rsid w:val="00E028DA"/>
    <w:rsid w:val="00E0315C"/>
    <w:rsid w:val="00E031E3"/>
    <w:rsid w:val="00E03DD0"/>
    <w:rsid w:val="00E03E4E"/>
    <w:rsid w:val="00E05234"/>
    <w:rsid w:val="00E05633"/>
    <w:rsid w:val="00E0575B"/>
    <w:rsid w:val="00E05B87"/>
    <w:rsid w:val="00E06643"/>
    <w:rsid w:val="00E06A7D"/>
    <w:rsid w:val="00E06B81"/>
    <w:rsid w:val="00E06C06"/>
    <w:rsid w:val="00E07A84"/>
    <w:rsid w:val="00E07D26"/>
    <w:rsid w:val="00E106AE"/>
    <w:rsid w:val="00E10E89"/>
    <w:rsid w:val="00E110D0"/>
    <w:rsid w:val="00E11568"/>
    <w:rsid w:val="00E11FC4"/>
    <w:rsid w:val="00E120E8"/>
    <w:rsid w:val="00E126A1"/>
    <w:rsid w:val="00E126E4"/>
    <w:rsid w:val="00E12FBB"/>
    <w:rsid w:val="00E13374"/>
    <w:rsid w:val="00E133A4"/>
    <w:rsid w:val="00E13564"/>
    <w:rsid w:val="00E13E9E"/>
    <w:rsid w:val="00E1401D"/>
    <w:rsid w:val="00E146A7"/>
    <w:rsid w:val="00E14AFF"/>
    <w:rsid w:val="00E157CC"/>
    <w:rsid w:val="00E15C3E"/>
    <w:rsid w:val="00E16153"/>
    <w:rsid w:val="00E163C7"/>
    <w:rsid w:val="00E16547"/>
    <w:rsid w:val="00E17169"/>
    <w:rsid w:val="00E17618"/>
    <w:rsid w:val="00E1761B"/>
    <w:rsid w:val="00E177B4"/>
    <w:rsid w:val="00E20224"/>
    <w:rsid w:val="00E2025B"/>
    <w:rsid w:val="00E208FF"/>
    <w:rsid w:val="00E22364"/>
    <w:rsid w:val="00E2254F"/>
    <w:rsid w:val="00E232C1"/>
    <w:rsid w:val="00E23B11"/>
    <w:rsid w:val="00E23C3C"/>
    <w:rsid w:val="00E252CC"/>
    <w:rsid w:val="00E25479"/>
    <w:rsid w:val="00E264D7"/>
    <w:rsid w:val="00E26713"/>
    <w:rsid w:val="00E2700E"/>
    <w:rsid w:val="00E276D5"/>
    <w:rsid w:val="00E27B94"/>
    <w:rsid w:val="00E27CED"/>
    <w:rsid w:val="00E27D6A"/>
    <w:rsid w:val="00E27FB7"/>
    <w:rsid w:val="00E303DF"/>
    <w:rsid w:val="00E30705"/>
    <w:rsid w:val="00E30B03"/>
    <w:rsid w:val="00E316FC"/>
    <w:rsid w:val="00E31EE5"/>
    <w:rsid w:val="00E31F52"/>
    <w:rsid w:val="00E32750"/>
    <w:rsid w:val="00E32913"/>
    <w:rsid w:val="00E32A81"/>
    <w:rsid w:val="00E33600"/>
    <w:rsid w:val="00E33766"/>
    <w:rsid w:val="00E33A32"/>
    <w:rsid w:val="00E33A88"/>
    <w:rsid w:val="00E344AA"/>
    <w:rsid w:val="00E34677"/>
    <w:rsid w:val="00E34872"/>
    <w:rsid w:val="00E349B2"/>
    <w:rsid w:val="00E349E6"/>
    <w:rsid w:val="00E34A83"/>
    <w:rsid w:val="00E34B6B"/>
    <w:rsid w:val="00E34C62"/>
    <w:rsid w:val="00E3534D"/>
    <w:rsid w:val="00E3557D"/>
    <w:rsid w:val="00E356B8"/>
    <w:rsid w:val="00E35BBD"/>
    <w:rsid w:val="00E35FDD"/>
    <w:rsid w:val="00E360E1"/>
    <w:rsid w:val="00E363E8"/>
    <w:rsid w:val="00E370E6"/>
    <w:rsid w:val="00E378B6"/>
    <w:rsid w:val="00E40122"/>
    <w:rsid w:val="00E405FA"/>
    <w:rsid w:val="00E40A79"/>
    <w:rsid w:val="00E40E62"/>
    <w:rsid w:val="00E40FE9"/>
    <w:rsid w:val="00E41249"/>
    <w:rsid w:val="00E4172C"/>
    <w:rsid w:val="00E4178C"/>
    <w:rsid w:val="00E418B7"/>
    <w:rsid w:val="00E41C73"/>
    <w:rsid w:val="00E421DD"/>
    <w:rsid w:val="00E43474"/>
    <w:rsid w:val="00E435E2"/>
    <w:rsid w:val="00E44059"/>
    <w:rsid w:val="00E4439E"/>
    <w:rsid w:val="00E44416"/>
    <w:rsid w:val="00E4451E"/>
    <w:rsid w:val="00E45315"/>
    <w:rsid w:val="00E45745"/>
    <w:rsid w:val="00E45C11"/>
    <w:rsid w:val="00E46563"/>
    <w:rsid w:val="00E46FD0"/>
    <w:rsid w:val="00E475A1"/>
    <w:rsid w:val="00E47973"/>
    <w:rsid w:val="00E479CB"/>
    <w:rsid w:val="00E47A88"/>
    <w:rsid w:val="00E47D2A"/>
    <w:rsid w:val="00E47D2D"/>
    <w:rsid w:val="00E503FD"/>
    <w:rsid w:val="00E50C50"/>
    <w:rsid w:val="00E50CF7"/>
    <w:rsid w:val="00E50F39"/>
    <w:rsid w:val="00E51030"/>
    <w:rsid w:val="00E51345"/>
    <w:rsid w:val="00E5163C"/>
    <w:rsid w:val="00E52077"/>
    <w:rsid w:val="00E525A4"/>
    <w:rsid w:val="00E52DD8"/>
    <w:rsid w:val="00E5338A"/>
    <w:rsid w:val="00E5339F"/>
    <w:rsid w:val="00E53571"/>
    <w:rsid w:val="00E53923"/>
    <w:rsid w:val="00E53B00"/>
    <w:rsid w:val="00E53C06"/>
    <w:rsid w:val="00E53F91"/>
    <w:rsid w:val="00E5401F"/>
    <w:rsid w:val="00E542D0"/>
    <w:rsid w:val="00E54A54"/>
    <w:rsid w:val="00E54D67"/>
    <w:rsid w:val="00E54D99"/>
    <w:rsid w:val="00E56388"/>
    <w:rsid w:val="00E566B0"/>
    <w:rsid w:val="00E56BA3"/>
    <w:rsid w:val="00E57283"/>
    <w:rsid w:val="00E6052F"/>
    <w:rsid w:val="00E60D53"/>
    <w:rsid w:val="00E60D54"/>
    <w:rsid w:val="00E60D9A"/>
    <w:rsid w:val="00E612B7"/>
    <w:rsid w:val="00E615CE"/>
    <w:rsid w:val="00E615F0"/>
    <w:rsid w:val="00E61635"/>
    <w:rsid w:val="00E6187D"/>
    <w:rsid w:val="00E61F45"/>
    <w:rsid w:val="00E62B20"/>
    <w:rsid w:val="00E62C81"/>
    <w:rsid w:val="00E63055"/>
    <w:rsid w:val="00E63CC4"/>
    <w:rsid w:val="00E643F3"/>
    <w:rsid w:val="00E645C7"/>
    <w:rsid w:val="00E64DD8"/>
    <w:rsid w:val="00E65454"/>
    <w:rsid w:val="00E65573"/>
    <w:rsid w:val="00E65595"/>
    <w:rsid w:val="00E65851"/>
    <w:rsid w:val="00E66498"/>
    <w:rsid w:val="00E66ABD"/>
    <w:rsid w:val="00E66FE2"/>
    <w:rsid w:val="00E671B7"/>
    <w:rsid w:val="00E67C74"/>
    <w:rsid w:val="00E67EDF"/>
    <w:rsid w:val="00E70326"/>
    <w:rsid w:val="00E707E3"/>
    <w:rsid w:val="00E70954"/>
    <w:rsid w:val="00E71323"/>
    <w:rsid w:val="00E7169A"/>
    <w:rsid w:val="00E71F0E"/>
    <w:rsid w:val="00E723BD"/>
    <w:rsid w:val="00E7249C"/>
    <w:rsid w:val="00E72F7B"/>
    <w:rsid w:val="00E73DE4"/>
    <w:rsid w:val="00E73F40"/>
    <w:rsid w:val="00E7409E"/>
    <w:rsid w:val="00E74629"/>
    <w:rsid w:val="00E752EE"/>
    <w:rsid w:val="00E7560E"/>
    <w:rsid w:val="00E75621"/>
    <w:rsid w:val="00E75E22"/>
    <w:rsid w:val="00E7612C"/>
    <w:rsid w:val="00E76BB5"/>
    <w:rsid w:val="00E77C95"/>
    <w:rsid w:val="00E77E8E"/>
    <w:rsid w:val="00E77F36"/>
    <w:rsid w:val="00E805C7"/>
    <w:rsid w:val="00E8083C"/>
    <w:rsid w:val="00E80E5C"/>
    <w:rsid w:val="00E81C26"/>
    <w:rsid w:val="00E83237"/>
    <w:rsid w:val="00E83397"/>
    <w:rsid w:val="00E8379A"/>
    <w:rsid w:val="00E837FB"/>
    <w:rsid w:val="00E8389C"/>
    <w:rsid w:val="00E8419C"/>
    <w:rsid w:val="00E842A8"/>
    <w:rsid w:val="00E8498F"/>
    <w:rsid w:val="00E852FA"/>
    <w:rsid w:val="00E8562F"/>
    <w:rsid w:val="00E86B25"/>
    <w:rsid w:val="00E87D64"/>
    <w:rsid w:val="00E90483"/>
    <w:rsid w:val="00E90995"/>
    <w:rsid w:val="00E90D7A"/>
    <w:rsid w:val="00E90DF0"/>
    <w:rsid w:val="00E910DB"/>
    <w:rsid w:val="00E92CC8"/>
    <w:rsid w:val="00E93C7D"/>
    <w:rsid w:val="00E93D1E"/>
    <w:rsid w:val="00E93E3C"/>
    <w:rsid w:val="00E94B0C"/>
    <w:rsid w:val="00E94DE9"/>
    <w:rsid w:val="00E9533F"/>
    <w:rsid w:val="00E95A8D"/>
    <w:rsid w:val="00E95E52"/>
    <w:rsid w:val="00E96AF2"/>
    <w:rsid w:val="00E97072"/>
    <w:rsid w:val="00E97218"/>
    <w:rsid w:val="00E974AE"/>
    <w:rsid w:val="00E97D06"/>
    <w:rsid w:val="00EA006B"/>
    <w:rsid w:val="00EA0092"/>
    <w:rsid w:val="00EA01C9"/>
    <w:rsid w:val="00EA090A"/>
    <w:rsid w:val="00EA0AAE"/>
    <w:rsid w:val="00EA0C1F"/>
    <w:rsid w:val="00EA1290"/>
    <w:rsid w:val="00EA1583"/>
    <w:rsid w:val="00EA15EE"/>
    <w:rsid w:val="00EA1610"/>
    <w:rsid w:val="00EA18C0"/>
    <w:rsid w:val="00EA197A"/>
    <w:rsid w:val="00EA20A0"/>
    <w:rsid w:val="00EA275E"/>
    <w:rsid w:val="00EA2A52"/>
    <w:rsid w:val="00EA2B76"/>
    <w:rsid w:val="00EA3297"/>
    <w:rsid w:val="00EA3705"/>
    <w:rsid w:val="00EA37DD"/>
    <w:rsid w:val="00EA3845"/>
    <w:rsid w:val="00EA390D"/>
    <w:rsid w:val="00EA3E81"/>
    <w:rsid w:val="00EA4054"/>
    <w:rsid w:val="00EA4365"/>
    <w:rsid w:val="00EA4F2C"/>
    <w:rsid w:val="00EA5463"/>
    <w:rsid w:val="00EA558A"/>
    <w:rsid w:val="00EA5ABA"/>
    <w:rsid w:val="00EA5BEC"/>
    <w:rsid w:val="00EA65E3"/>
    <w:rsid w:val="00EA69F2"/>
    <w:rsid w:val="00EA6B09"/>
    <w:rsid w:val="00EA7252"/>
    <w:rsid w:val="00EA74C6"/>
    <w:rsid w:val="00EB00F1"/>
    <w:rsid w:val="00EB0226"/>
    <w:rsid w:val="00EB023C"/>
    <w:rsid w:val="00EB0EAF"/>
    <w:rsid w:val="00EB1721"/>
    <w:rsid w:val="00EB263E"/>
    <w:rsid w:val="00EB2A35"/>
    <w:rsid w:val="00EB2DAE"/>
    <w:rsid w:val="00EB2F39"/>
    <w:rsid w:val="00EB37EC"/>
    <w:rsid w:val="00EB3A60"/>
    <w:rsid w:val="00EB3A71"/>
    <w:rsid w:val="00EB42DE"/>
    <w:rsid w:val="00EB466E"/>
    <w:rsid w:val="00EB4815"/>
    <w:rsid w:val="00EB4AC8"/>
    <w:rsid w:val="00EB4EA7"/>
    <w:rsid w:val="00EB580B"/>
    <w:rsid w:val="00EB5F7F"/>
    <w:rsid w:val="00EB6B44"/>
    <w:rsid w:val="00EB6EFC"/>
    <w:rsid w:val="00EB70B6"/>
    <w:rsid w:val="00EB7B40"/>
    <w:rsid w:val="00EB7B42"/>
    <w:rsid w:val="00EB7EC3"/>
    <w:rsid w:val="00EB7FC0"/>
    <w:rsid w:val="00EC0381"/>
    <w:rsid w:val="00EC0620"/>
    <w:rsid w:val="00EC07A2"/>
    <w:rsid w:val="00EC0E00"/>
    <w:rsid w:val="00EC1C82"/>
    <w:rsid w:val="00EC2365"/>
    <w:rsid w:val="00EC24BD"/>
    <w:rsid w:val="00EC27B0"/>
    <w:rsid w:val="00EC29B2"/>
    <w:rsid w:val="00EC2B0E"/>
    <w:rsid w:val="00EC2CFD"/>
    <w:rsid w:val="00EC302B"/>
    <w:rsid w:val="00EC350A"/>
    <w:rsid w:val="00EC3A69"/>
    <w:rsid w:val="00EC3B6C"/>
    <w:rsid w:val="00EC40D3"/>
    <w:rsid w:val="00EC463E"/>
    <w:rsid w:val="00EC4901"/>
    <w:rsid w:val="00EC4EBC"/>
    <w:rsid w:val="00EC6070"/>
    <w:rsid w:val="00EC6E3C"/>
    <w:rsid w:val="00EC7529"/>
    <w:rsid w:val="00EC7599"/>
    <w:rsid w:val="00EC790E"/>
    <w:rsid w:val="00EC7A75"/>
    <w:rsid w:val="00ED0258"/>
    <w:rsid w:val="00ED0AF0"/>
    <w:rsid w:val="00ED0C84"/>
    <w:rsid w:val="00ED18CB"/>
    <w:rsid w:val="00ED19D2"/>
    <w:rsid w:val="00ED3256"/>
    <w:rsid w:val="00ED39E4"/>
    <w:rsid w:val="00ED3EC0"/>
    <w:rsid w:val="00ED4143"/>
    <w:rsid w:val="00ED41ED"/>
    <w:rsid w:val="00ED4410"/>
    <w:rsid w:val="00ED49BE"/>
    <w:rsid w:val="00ED513E"/>
    <w:rsid w:val="00ED5228"/>
    <w:rsid w:val="00ED575C"/>
    <w:rsid w:val="00ED5889"/>
    <w:rsid w:val="00ED5D6D"/>
    <w:rsid w:val="00ED607D"/>
    <w:rsid w:val="00ED6C41"/>
    <w:rsid w:val="00ED77F0"/>
    <w:rsid w:val="00EE0016"/>
    <w:rsid w:val="00EE10EA"/>
    <w:rsid w:val="00EE118A"/>
    <w:rsid w:val="00EE16A8"/>
    <w:rsid w:val="00EE1C95"/>
    <w:rsid w:val="00EE3354"/>
    <w:rsid w:val="00EE370E"/>
    <w:rsid w:val="00EE3A0D"/>
    <w:rsid w:val="00EE430B"/>
    <w:rsid w:val="00EE43F0"/>
    <w:rsid w:val="00EE4CD5"/>
    <w:rsid w:val="00EE4DB4"/>
    <w:rsid w:val="00EE572D"/>
    <w:rsid w:val="00EE5A96"/>
    <w:rsid w:val="00EE5C8B"/>
    <w:rsid w:val="00EE7BE5"/>
    <w:rsid w:val="00EE7C0B"/>
    <w:rsid w:val="00EE7CB2"/>
    <w:rsid w:val="00EF04A7"/>
    <w:rsid w:val="00EF0529"/>
    <w:rsid w:val="00EF0555"/>
    <w:rsid w:val="00EF0794"/>
    <w:rsid w:val="00EF2344"/>
    <w:rsid w:val="00EF24D7"/>
    <w:rsid w:val="00EF270C"/>
    <w:rsid w:val="00EF276D"/>
    <w:rsid w:val="00EF3DE5"/>
    <w:rsid w:val="00EF47E1"/>
    <w:rsid w:val="00EF4FEA"/>
    <w:rsid w:val="00EF5835"/>
    <w:rsid w:val="00EF5AD4"/>
    <w:rsid w:val="00EF5FE8"/>
    <w:rsid w:val="00EF6954"/>
    <w:rsid w:val="00EF6E00"/>
    <w:rsid w:val="00EF6F3B"/>
    <w:rsid w:val="00EF79A8"/>
    <w:rsid w:val="00EF7CEA"/>
    <w:rsid w:val="00F000E2"/>
    <w:rsid w:val="00F00721"/>
    <w:rsid w:val="00F016BA"/>
    <w:rsid w:val="00F01C8F"/>
    <w:rsid w:val="00F02202"/>
    <w:rsid w:val="00F0232E"/>
    <w:rsid w:val="00F023AA"/>
    <w:rsid w:val="00F02DC6"/>
    <w:rsid w:val="00F041CC"/>
    <w:rsid w:val="00F04F24"/>
    <w:rsid w:val="00F0513C"/>
    <w:rsid w:val="00F06698"/>
    <w:rsid w:val="00F079A1"/>
    <w:rsid w:val="00F07B69"/>
    <w:rsid w:val="00F07F80"/>
    <w:rsid w:val="00F10116"/>
    <w:rsid w:val="00F1040E"/>
    <w:rsid w:val="00F104EA"/>
    <w:rsid w:val="00F10ABF"/>
    <w:rsid w:val="00F10D54"/>
    <w:rsid w:val="00F10E24"/>
    <w:rsid w:val="00F11145"/>
    <w:rsid w:val="00F1205A"/>
    <w:rsid w:val="00F12390"/>
    <w:rsid w:val="00F13334"/>
    <w:rsid w:val="00F135EE"/>
    <w:rsid w:val="00F135F1"/>
    <w:rsid w:val="00F13D7A"/>
    <w:rsid w:val="00F14026"/>
    <w:rsid w:val="00F149CD"/>
    <w:rsid w:val="00F15498"/>
    <w:rsid w:val="00F15BAF"/>
    <w:rsid w:val="00F15DEE"/>
    <w:rsid w:val="00F1643A"/>
    <w:rsid w:val="00F16545"/>
    <w:rsid w:val="00F168E7"/>
    <w:rsid w:val="00F17421"/>
    <w:rsid w:val="00F17FE5"/>
    <w:rsid w:val="00F2015C"/>
    <w:rsid w:val="00F206C2"/>
    <w:rsid w:val="00F2071E"/>
    <w:rsid w:val="00F20CB3"/>
    <w:rsid w:val="00F211E8"/>
    <w:rsid w:val="00F212CE"/>
    <w:rsid w:val="00F215E4"/>
    <w:rsid w:val="00F21867"/>
    <w:rsid w:val="00F21A32"/>
    <w:rsid w:val="00F21AFB"/>
    <w:rsid w:val="00F22513"/>
    <w:rsid w:val="00F22BF8"/>
    <w:rsid w:val="00F23649"/>
    <w:rsid w:val="00F23AB2"/>
    <w:rsid w:val="00F23BC4"/>
    <w:rsid w:val="00F242B8"/>
    <w:rsid w:val="00F246BC"/>
    <w:rsid w:val="00F2472B"/>
    <w:rsid w:val="00F24784"/>
    <w:rsid w:val="00F2535C"/>
    <w:rsid w:val="00F253DA"/>
    <w:rsid w:val="00F25845"/>
    <w:rsid w:val="00F25BB1"/>
    <w:rsid w:val="00F26336"/>
    <w:rsid w:val="00F30860"/>
    <w:rsid w:val="00F312C2"/>
    <w:rsid w:val="00F31796"/>
    <w:rsid w:val="00F318C4"/>
    <w:rsid w:val="00F324A7"/>
    <w:rsid w:val="00F32511"/>
    <w:rsid w:val="00F32EA5"/>
    <w:rsid w:val="00F33509"/>
    <w:rsid w:val="00F33706"/>
    <w:rsid w:val="00F337FB"/>
    <w:rsid w:val="00F33828"/>
    <w:rsid w:val="00F34665"/>
    <w:rsid w:val="00F35825"/>
    <w:rsid w:val="00F35A24"/>
    <w:rsid w:val="00F35DC6"/>
    <w:rsid w:val="00F35DFB"/>
    <w:rsid w:val="00F35EA4"/>
    <w:rsid w:val="00F3665C"/>
    <w:rsid w:val="00F366A6"/>
    <w:rsid w:val="00F36CC4"/>
    <w:rsid w:val="00F40001"/>
    <w:rsid w:val="00F414E4"/>
    <w:rsid w:val="00F419D3"/>
    <w:rsid w:val="00F4270C"/>
    <w:rsid w:val="00F4345D"/>
    <w:rsid w:val="00F43776"/>
    <w:rsid w:val="00F4377E"/>
    <w:rsid w:val="00F43CA9"/>
    <w:rsid w:val="00F444B7"/>
    <w:rsid w:val="00F44A83"/>
    <w:rsid w:val="00F44B02"/>
    <w:rsid w:val="00F44D7A"/>
    <w:rsid w:val="00F44E24"/>
    <w:rsid w:val="00F46298"/>
    <w:rsid w:val="00F46555"/>
    <w:rsid w:val="00F473BF"/>
    <w:rsid w:val="00F47622"/>
    <w:rsid w:val="00F47709"/>
    <w:rsid w:val="00F478C4"/>
    <w:rsid w:val="00F47C71"/>
    <w:rsid w:val="00F51A2D"/>
    <w:rsid w:val="00F524DA"/>
    <w:rsid w:val="00F537F6"/>
    <w:rsid w:val="00F54B12"/>
    <w:rsid w:val="00F5531E"/>
    <w:rsid w:val="00F55425"/>
    <w:rsid w:val="00F561AE"/>
    <w:rsid w:val="00F56285"/>
    <w:rsid w:val="00F56381"/>
    <w:rsid w:val="00F564A4"/>
    <w:rsid w:val="00F5655A"/>
    <w:rsid w:val="00F567FF"/>
    <w:rsid w:val="00F56980"/>
    <w:rsid w:val="00F56C03"/>
    <w:rsid w:val="00F56E4D"/>
    <w:rsid w:val="00F56FDF"/>
    <w:rsid w:val="00F60569"/>
    <w:rsid w:val="00F60C40"/>
    <w:rsid w:val="00F614B2"/>
    <w:rsid w:val="00F622BF"/>
    <w:rsid w:val="00F62AB9"/>
    <w:rsid w:val="00F63200"/>
    <w:rsid w:val="00F6338E"/>
    <w:rsid w:val="00F63B73"/>
    <w:rsid w:val="00F63E59"/>
    <w:rsid w:val="00F656F0"/>
    <w:rsid w:val="00F657F8"/>
    <w:rsid w:val="00F65CE1"/>
    <w:rsid w:val="00F6672B"/>
    <w:rsid w:val="00F677E9"/>
    <w:rsid w:val="00F67A22"/>
    <w:rsid w:val="00F700E8"/>
    <w:rsid w:val="00F70A70"/>
    <w:rsid w:val="00F71743"/>
    <w:rsid w:val="00F71964"/>
    <w:rsid w:val="00F71A66"/>
    <w:rsid w:val="00F71E0C"/>
    <w:rsid w:val="00F72930"/>
    <w:rsid w:val="00F7294D"/>
    <w:rsid w:val="00F73118"/>
    <w:rsid w:val="00F733F2"/>
    <w:rsid w:val="00F73589"/>
    <w:rsid w:val="00F73C12"/>
    <w:rsid w:val="00F73C64"/>
    <w:rsid w:val="00F73F2A"/>
    <w:rsid w:val="00F74541"/>
    <w:rsid w:val="00F74F23"/>
    <w:rsid w:val="00F750BB"/>
    <w:rsid w:val="00F755C5"/>
    <w:rsid w:val="00F756DE"/>
    <w:rsid w:val="00F75FDA"/>
    <w:rsid w:val="00F76075"/>
    <w:rsid w:val="00F761C8"/>
    <w:rsid w:val="00F7733C"/>
    <w:rsid w:val="00F77428"/>
    <w:rsid w:val="00F8000E"/>
    <w:rsid w:val="00F80A5E"/>
    <w:rsid w:val="00F81BD5"/>
    <w:rsid w:val="00F81F46"/>
    <w:rsid w:val="00F8218E"/>
    <w:rsid w:val="00F8238F"/>
    <w:rsid w:val="00F830F2"/>
    <w:rsid w:val="00F83C0C"/>
    <w:rsid w:val="00F83FD6"/>
    <w:rsid w:val="00F84ECA"/>
    <w:rsid w:val="00F85AD2"/>
    <w:rsid w:val="00F8675D"/>
    <w:rsid w:val="00F86799"/>
    <w:rsid w:val="00F870B8"/>
    <w:rsid w:val="00F875B1"/>
    <w:rsid w:val="00F87F10"/>
    <w:rsid w:val="00F9025C"/>
    <w:rsid w:val="00F90358"/>
    <w:rsid w:val="00F9082E"/>
    <w:rsid w:val="00F90832"/>
    <w:rsid w:val="00F90A9E"/>
    <w:rsid w:val="00F90FAB"/>
    <w:rsid w:val="00F91336"/>
    <w:rsid w:val="00F91355"/>
    <w:rsid w:val="00F914B9"/>
    <w:rsid w:val="00F9170F"/>
    <w:rsid w:val="00F9177F"/>
    <w:rsid w:val="00F9178B"/>
    <w:rsid w:val="00F917D0"/>
    <w:rsid w:val="00F91ADD"/>
    <w:rsid w:val="00F91B83"/>
    <w:rsid w:val="00F91DC2"/>
    <w:rsid w:val="00F91F39"/>
    <w:rsid w:val="00F92296"/>
    <w:rsid w:val="00F92F71"/>
    <w:rsid w:val="00F933FF"/>
    <w:rsid w:val="00F93997"/>
    <w:rsid w:val="00F93C70"/>
    <w:rsid w:val="00F93CFC"/>
    <w:rsid w:val="00F93D1C"/>
    <w:rsid w:val="00F94060"/>
    <w:rsid w:val="00F947A6"/>
    <w:rsid w:val="00F94968"/>
    <w:rsid w:val="00F94DE3"/>
    <w:rsid w:val="00F956A3"/>
    <w:rsid w:val="00F95774"/>
    <w:rsid w:val="00F96388"/>
    <w:rsid w:val="00F96C91"/>
    <w:rsid w:val="00F97528"/>
    <w:rsid w:val="00F9767B"/>
    <w:rsid w:val="00F97B3E"/>
    <w:rsid w:val="00F97E2B"/>
    <w:rsid w:val="00FA0409"/>
    <w:rsid w:val="00FA134F"/>
    <w:rsid w:val="00FA1AC6"/>
    <w:rsid w:val="00FA1E05"/>
    <w:rsid w:val="00FA2BB7"/>
    <w:rsid w:val="00FA3E91"/>
    <w:rsid w:val="00FA4844"/>
    <w:rsid w:val="00FA4B74"/>
    <w:rsid w:val="00FA573B"/>
    <w:rsid w:val="00FA587D"/>
    <w:rsid w:val="00FA5983"/>
    <w:rsid w:val="00FA6019"/>
    <w:rsid w:val="00FA6056"/>
    <w:rsid w:val="00FA6296"/>
    <w:rsid w:val="00FA63D4"/>
    <w:rsid w:val="00FA669E"/>
    <w:rsid w:val="00FA6A5B"/>
    <w:rsid w:val="00FA6F0A"/>
    <w:rsid w:val="00FA74E2"/>
    <w:rsid w:val="00FA79EB"/>
    <w:rsid w:val="00FA7B8E"/>
    <w:rsid w:val="00FB04DA"/>
    <w:rsid w:val="00FB0B07"/>
    <w:rsid w:val="00FB1AA5"/>
    <w:rsid w:val="00FB31B0"/>
    <w:rsid w:val="00FB3783"/>
    <w:rsid w:val="00FB44F4"/>
    <w:rsid w:val="00FB49A1"/>
    <w:rsid w:val="00FB51A8"/>
    <w:rsid w:val="00FB51E9"/>
    <w:rsid w:val="00FB6094"/>
    <w:rsid w:val="00FB690F"/>
    <w:rsid w:val="00FB6C02"/>
    <w:rsid w:val="00FB7889"/>
    <w:rsid w:val="00FC00F0"/>
    <w:rsid w:val="00FC029E"/>
    <w:rsid w:val="00FC096E"/>
    <w:rsid w:val="00FC0B32"/>
    <w:rsid w:val="00FC14E1"/>
    <w:rsid w:val="00FC1995"/>
    <w:rsid w:val="00FC1D36"/>
    <w:rsid w:val="00FC20A0"/>
    <w:rsid w:val="00FC2E97"/>
    <w:rsid w:val="00FC2FB9"/>
    <w:rsid w:val="00FC3356"/>
    <w:rsid w:val="00FC364E"/>
    <w:rsid w:val="00FC3AE6"/>
    <w:rsid w:val="00FC3CDB"/>
    <w:rsid w:val="00FC4901"/>
    <w:rsid w:val="00FC4ABD"/>
    <w:rsid w:val="00FC4D45"/>
    <w:rsid w:val="00FC4E23"/>
    <w:rsid w:val="00FC55B7"/>
    <w:rsid w:val="00FC5621"/>
    <w:rsid w:val="00FC5684"/>
    <w:rsid w:val="00FC599F"/>
    <w:rsid w:val="00FC5AB2"/>
    <w:rsid w:val="00FC64DC"/>
    <w:rsid w:val="00FC68F6"/>
    <w:rsid w:val="00FC6BB7"/>
    <w:rsid w:val="00FC723F"/>
    <w:rsid w:val="00FD03CB"/>
    <w:rsid w:val="00FD0667"/>
    <w:rsid w:val="00FD0D08"/>
    <w:rsid w:val="00FD1B88"/>
    <w:rsid w:val="00FD20D3"/>
    <w:rsid w:val="00FD20D5"/>
    <w:rsid w:val="00FD25CC"/>
    <w:rsid w:val="00FD284E"/>
    <w:rsid w:val="00FD2936"/>
    <w:rsid w:val="00FD2EEC"/>
    <w:rsid w:val="00FD3606"/>
    <w:rsid w:val="00FD3A2B"/>
    <w:rsid w:val="00FD3B6D"/>
    <w:rsid w:val="00FD44C3"/>
    <w:rsid w:val="00FD53D5"/>
    <w:rsid w:val="00FD61CC"/>
    <w:rsid w:val="00FD6554"/>
    <w:rsid w:val="00FD6D0B"/>
    <w:rsid w:val="00FD6D24"/>
    <w:rsid w:val="00FD702A"/>
    <w:rsid w:val="00FD71DF"/>
    <w:rsid w:val="00FD7FBD"/>
    <w:rsid w:val="00FD7FC9"/>
    <w:rsid w:val="00FE081F"/>
    <w:rsid w:val="00FE0CBB"/>
    <w:rsid w:val="00FE17EE"/>
    <w:rsid w:val="00FE1969"/>
    <w:rsid w:val="00FE1B43"/>
    <w:rsid w:val="00FE2461"/>
    <w:rsid w:val="00FE2917"/>
    <w:rsid w:val="00FE2F05"/>
    <w:rsid w:val="00FE2FB0"/>
    <w:rsid w:val="00FE35EB"/>
    <w:rsid w:val="00FE3C87"/>
    <w:rsid w:val="00FE3E00"/>
    <w:rsid w:val="00FE43B7"/>
    <w:rsid w:val="00FE44B2"/>
    <w:rsid w:val="00FE4913"/>
    <w:rsid w:val="00FE603F"/>
    <w:rsid w:val="00FE6699"/>
    <w:rsid w:val="00FE6AB1"/>
    <w:rsid w:val="00FE6BA1"/>
    <w:rsid w:val="00FE761B"/>
    <w:rsid w:val="00FE7739"/>
    <w:rsid w:val="00FE786B"/>
    <w:rsid w:val="00FF0B65"/>
    <w:rsid w:val="00FF1254"/>
    <w:rsid w:val="00FF1709"/>
    <w:rsid w:val="00FF1A2F"/>
    <w:rsid w:val="00FF2461"/>
    <w:rsid w:val="00FF25A9"/>
    <w:rsid w:val="00FF3364"/>
    <w:rsid w:val="00FF3453"/>
    <w:rsid w:val="00FF39E9"/>
    <w:rsid w:val="00FF3EB6"/>
    <w:rsid w:val="00FF44AB"/>
    <w:rsid w:val="00FF5571"/>
    <w:rsid w:val="00FF5FB0"/>
    <w:rsid w:val="00FF69A3"/>
    <w:rsid w:val="00FF7051"/>
    <w:rsid w:val="00FF7055"/>
    <w:rsid w:val="032C8567"/>
    <w:rsid w:val="06EBF9AC"/>
    <w:rsid w:val="1353DADD"/>
    <w:rsid w:val="135C2047"/>
    <w:rsid w:val="15C1A19F"/>
    <w:rsid w:val="1FF6F977"/>
    <w:rsid w:val="21351DAF"/>
    <w:rsid w:val="21C06C81"/>
    <w:rsid w:val="25B7C911"/>
    <w:rsid w:val="29D2A758"/>
    <w:rsid w:val="2F79A1DD"/>
    <w:rsid w:val="2FEC9C1D"/>
    <w:rsid w:val="3182AB6A"/>
    <w:rsid w:val="32E86BCA"/>
    <w:rsid w:val="3C8EE65F"/>
    <w:rsid w:val="3E23AAE8"/>
    <w:rsid w:val="44F87099"/>
    <w:rsid w:val="5053A143"/>
    <w:rsid w:val="543ED311"/>
    <w:rsid w:val="545EFF79"/>
    <w:rsid w:val="5907D159"/>
    <w:rsid w:val="5DB2DE92"/>
    <w:rsid w:val="5F533F60"/>
    <w:rsid w:val="6A98B9F1"/>
    <w:rsid w:val="6BD3FD82"/>
    <w:rsid w:val="6D4A0B83"/>
    <w:rsid w:val="7AA3D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2C8567"/>
  <w15:chartTrackingRefBased/>
  <w15:docId w15:val="{EB8E0C00-E929-4D96-A26B-FBD3421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i-FI"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AB66A8"/>
    <w:pPr>
      <w:spacing w:after="0" w:line="240" w:lineRule="auto"/>
    </w:pPr>
    <w:rPr>
      <w:rFonts w:ascii="Times New Roman" w:eastAsia="Times New Roman" w:hAnsi="Times New Roman" w:cs="Times New Roman"/>
      <w:sz w:val="20"/>
      <w:szCs w:val="20"/>
      <w:lang w:eastAsia="en-GB"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50A"/>
    <w:pPr>
      <w:spacing w:after="240" w:line="240" w:lineRule="auto"/>
      <w:ind w:left="720"/>
      <w:contextualSpacing/>
      <w:jc w:val="both"/>
    </w:pPr>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rsid w:val="00831FEE"/>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31FEE"/>
    <w:rPr>
      <w:rFonts w:ascii="Times New Roman" w:eastAsia="Times New Roman" w:hAnsi="Times New Roman" w:cs="Times New Roman"/>
      <w:sz w:val="20"/>
      <w:szCs w:val="20"/>
      <w:lang w:val="fi-FI"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831FEE"/>
    <w:rPr>
      <w:vertAlign w:val="superscript"/>
    </w:rPr>
  </w:style>
  <w:style w:type="paragraph" w:styleId="Header">
    <w:name w:val="header"/>
    <w:basedOn w:val="Normal"/>
    <w:link w:val="HeaderChar"/>
    <w:uiPriority w:val="99"/>
    <w:unhideWhenUsed/>
    <w:rsid w:val="00831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EE"/>
  </w:style>
  <w:style w:type="paragraph" w:styleId="Footer">
    <w:name w:val="footer"/>
    <w:basedOn w:val="Normal"/>
    <w:link w:val="FooterChar"/>
    <w:uiPriority w:val="99"/>
    <w:unhideWhenUsed/>
    <w:rsid w:val="0083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EE"/>
  </w:style>
  <w:style w:type="paragraph" w:customStyle="1" w:styleId="CharCharChar1">
    <w:name w:val="Char Char Char1"/>
    <w:basedOn w:val="Normal"/>
    <w:link w:val="FootnoteReference"/>
    <w:uiPriority w:val="99"/>
    <w:rsid w:val="00305F66"/>
    <w:pPr>
      <w:spacing w:line="240" w:lineRule="exact"/>
      <w:jc w:val="both"/>
    </w:pPr>
    <w:rPr>
      <w:vertAlign w:val="superscript"/>
    </w:rPr>
  </w:style>
  <w:style w:type="character" w:styleId="CommentReference">
    <w:name w:val="annotation reference"/>
    <w:basedOn w:val="DefaultParagraphFont"/>
    <w:uiPriority w:val="99"/>
    <w:semiHidden/>
    <w:unhideWhenUsed/>
    <w:rsid w:val="006C6FCD"/>
    <w:rPr>
      <w:sz w:val="16"/>
      <w:szCs w:val="16"/>
    </w:rPr>
  </w:style>
  <w:style w:type="paragraph" w:styleId="CommentText">
    <w:name w:val="annotation text"/>
    <w:basedOn w:val="Normal"/>
    <w:link w:val="CommentTextChar"/>
    <w:uiPriority w:val="99"/>
    <w:unhideWhenUsed/>
    <w:rsid w:val="006C6FCD"/>
    <w:pPr>
      <w:spacing w:line="240" w:lineRule="auto"/>
    </w:pPr>
    <w:rPr>
      <w:sz w:val="20"/>
      <w:szCs w:val="20"/>
    </w:rPr>
  </w:style>
  <w:style w:type="character" w:customStyle="1" w:styleId="CommentTextChar">
    <w:name w:val="Comment Text Char"/>
    <w:basedOn w:val="DefaultParagraphFont"/>
    <w:link w:val="CommentText"/>
    <w:uiPriority w:val="99"/>
    <w:rsid w:val="006C6FCD"/>
    <w:rPr>
      <w:sz w:val="20"/>
      <w:szCs w:val="20"/>
    </w:rPr>
  </w:style>
  <w:style w:type="paragraph" w:styleId="CommentSubject">
    <w:name w:val="annotation subject"/>
    <w:basedOn w:val="CommentText"/>
    <w:next w:val="CommentText"/>
    <w:link w:val="CommentSubjectChar"/>
    <w:uiPriority w:val="99"/>
    <w:semiHidden/>
    <w:unhideWhenUsed/>
    <w:rsid w:val="006C6FCD"/>
    <w:rPr>
      <w:b/>
      <w:bCs/>
    </w:rPr>
  </w:style>
  <w:style w:type="character" w:customStyle="1" w:styleId="CommentSubjectChar">
    <w:name w:val="Comment Subject Char"/>
    <w:basedOn w:val="CommentTextChar"/>
    <w:link w:val="CommentSubject"/>
    <w:uiPriority w:val="99"/>
    <w:semiHidden/>
    <w:rsid w:val="006C6FCD"/>
    <w:rPr>
      <w:b/>
      <w:bCs/>
      <w:sz w:val="20"/>
      <w:szCs w:val="20"/>
    </w:rPr>
  </w:style>
  <w:style w:type="character" w:customStyle="1" w:styleId="normaltextrun">
    <w:name w:val="normaltextrun"/>
    <w:basedOn w:val="DefaultParagraphFont"/>
    <w:rsid w:val="00DB10BC"/>
  </w:style>
  <w:style w:type="paragraph" w:customStyle="1" w:styleId="paragraph">
    <w:name w:val="paragraph"/>
    <w:basedOn w:val="Normal"/>
    <w:rsid w:val="00DB10BC"/>
    <w:pPr>
      <w:spacing w:before="100" w:beforeAutospacing="1" w:after="100" w:afterAutospacing="1" w:line="240" w:lineRule="auto"/>
    </w:pPr>
    <w:rPr>
      <w:rFonts w:ascii="Times New Roman" w:eastAsia="Times New Roman" w:hAnsi="Times New Roman" w:cs="Times New Roman"/>
      <w:lang w:eastAsia="fr-BE"/>
    </w:rPr>
  </w:style>
  <w:style w:type="character" w:customStyle="1" w:styleId="Marker">
    <w:name w:val="Marker"/>
    <w:basedOn w:val="DefaultParagraphFont"/>
    <w:rsid w:val="00053B16"/>
    <w:rPr>
      <w:color w:val="0000FF"/>
      <w:shd w:val="clear" w:color="auto" w:fill="auto"/>
    </w:rPr>
  </w:style>
  <w:style w:type="paragraph" w:customStyle="1" w:styleId="Pagedecouverture">
    <w:name w:val="Page de couverture"/>
    <w:basedOn w:val="Normal"/>
    <w:next w:val="Normal"/>
    <w:rsid w:val="00053B16"/>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053B16"/>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053B16"/>
    <w:rPr>
      <w:rFonts w:ascii="Times New Roman" w:hAnsi="Times New Roman" w:cs="Times New Roman"/>
    </w:rPr>
  </w:style>
  <w:style w:type="paragraph" w:customStyle="1" w:styleId="FooterSensitivity">
    <w:name w:val="Footer Sensitivity"/>
    <w:basedOn w:val="Normal"/>
    <w:link w:val="FooterSensitivityChar"/>
    <w:rsid w:val="00053B1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53B16"/>
    <w:rPr>
      <w:rFonts w:ascii="Times New Roman" w:hAnsi="Times New Roman" w:cs="Times New Roman"/>
      <w:b/>
      <w:sz w:val="32"/>
    </w:rPr>
  </w:style>
  <w:style w:type="paragraph" w:customStyle="1" w:styleId="HeaderCoverPage">
    <w:name w:val="Header Cover Page"/>
    <w:basedOn w:val="Normal"/>
    <w:link w:val="HeaderCoverPageChar"/>
    <w:rsid w:val="00053B16"/>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053B16"/>
    <w:rPr>
      <w:rFonts w:ascii="Times New Roman" w:hAnsi="Times New Roman" w:cs="Times New Roman"/>
    </w:rPr>
  </w:style>
  <w:style w:type="paragraph" w:customStyle="1" w:styleId="HeaderSensitivity">
    <w:name w:val="Header Sensitivity"/>
    <w:basedOn w:val="Normal"/>
    <w:link w:val="HeaderSensitivityChar"/>
    <w:rsid w:val="00053B1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53B16"/>
    <w:rPr>
      <w:rFonts w:ascii="Times New Roman" w:hAnsi="Times New Roman" w:cs="Times New Roman"/>
      <w:b/>
      <w:sz w:val="32"/>
    </w:rPr>
  </w:style>
  <w:style w:type="paragraph" w:customStyle="1" w:styleId="HeaderSensitivityRight">
    <w:name w:val="Header Sensitivity Right"/>
    <w:basedOn w:val="Normal"/>
    <w:link w:val="HeaderSensitivityRightChar"/>
    <w:rsid w:val="00053B1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53B16"/>
    <w:rPr>
      <w:rFonts w:ascii="Times New Roman" w:hAnsi="Times New Roman" w:cs="Times New Roman"/>
      <w:sz w:val="28"/>
    </w:rPr>
  </w:style>
  <w:style w:type="paragraph" w:styleId="Revision">
    <w:name w:val="Revision"/>
    <w:hidden/>
    <w:uiPriority w:val="99"/>
    <w:semiHidden/>
    <w:rsid w:val="00EB6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7" ma:contentTypeDescription="Create a new document." ma:contentTypeScope="" ma:versionID="5ec48f089d6a0ce6ae4fc284b134a222">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887e2c0cc0b57d825404764e370f6530"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fd3a2f-a1bc-42a2-bb17-2111beeefa7c}"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A3B23-CDB4-4033-A119-56D3365FB811}">
  <ds:schemaRefs>
    <ds:schemaRef ds:uri="http://schemas.microsoft.com/office/2006/metadata/properties"/>
    <ds:schemaRef ds:uri="http://schemas.microsoft.com/office/infopath/2007/PartnerControls"/>
    <ds:schemaRef ds:uri="e1debc6b-b43f-4dc7-a7b0-dc87a290d3c1"/>
    <ds:schemaRef ds:uri="1bece07b-d03c-423c-b8a0-beed4db0bbc2"/>
  </ds:schemaRefs>
</ds:datastoreItem>
</file>

<file path=customXml/itemProps2.xml><?xml version="1.0" encoding="utf-8"?>
<ds:datastoreItem xmlns:ds="http://schemas.openxmlformats.org/officeDocument/2006/customXml" ds:itemID="{6A899017-07C3-4CCE-BC48-5A156F7D80AF}">
  <ds:schemaRefs>
    <ds:schemaRef ds:uri="http://schemas.microsoft.com/sharepoint/v3/contenttype/forms"/>
  </ds:schemaRefs>
</ds:datastoreItem>
</file>

<file path=customXml/itemProps3.xml><?xml version="1.0" encoding="utf-8"?>
<ds:datastoreItem xmlns:ds="http://schemas.openxmlformats.org/officeDocument/2006/customXml" ds:itemID="{13D0B437-75B7-477D-B498-AED4C213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E65DC-FFB3-413D-9A0E-EB9F63AB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9026</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 Zarina (SG)</dc:creator>
  <cp:keywords/>
  <dc:description/>
  <cp:lastModifiedBy>EC CoDe</cp:lastModifiedBy>
  <cp:revision>14</cp:revision>
  <dcterms:created xsi:type="dcterms:W3CDTF">2025-02-11T16:20:00Z</dcterms:created>
  <dcterms:modified xsi:type="dcterms:W3CDTF">2025-02-25T23:17:00Z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2025-01-31T10:34:32Z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993190f7-0163-4d63-96d0-fc9a3380ba40</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y fmtid="{D5CDD505-2E9C-101B-9397-08002B2CF9AE}" pid="11" name="MediaServiceImageTags">
    <vt:lpwstr/>
  </property>
  <property fmtid="{D5CDD505-2E9C-101B-9397-08002B2CF9AE}" pid="12" name="Level of sensitivity">
    <vt:lpwstr>Standard treatment</vt:lpwstr>
  </property>
  <property fmtid="{D5CDD505-2E9C-101B-9397-08002B2CF9AE}" pid="13" name="First annex">
    <vt:lpwstr>1</vt:lpwstr>
  </property>
  <property fmtid="{D5CDD505-2E9C-101B-9397-08002B2CF9AE}" pid="14" name="Last annex">
    <vt:lpwstr>5</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DocStatus">
    <vt:lpwstr>Green</vt:lpwstr>
  </property>
  <property fmtid="{D5CDD505-2E9C-101B-9397-08002B2CF9AE}" pid="19" name="CPTemplateID">
    <vt:lpwstr>CP-039</vt:lpwstr>
  </property>
  <property fmtid="{D5CDD505-2E9C-101B-9397-08002B2CF9AE}" pid="20" name="Last edited using">
    <vt:lpwstr>LW 9.1, Build 20240808</vt:lpwstr>
  </property>
  <property fmtid="{D5CDD505-2E9C-101B-9397-08002B2CF9AE}" pid="21" name="Created using">
    <vt:lpwstr>LW 9.1, Build 20240808</vt:lpwstr>
  </property>
</Properties>
</file>