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38DBF" w14:textId="4E1F3F41" w:rsidR="00360108" w:rsidRDefault="00D80CC0" w:rsidP="00D80CC0">
      <w:pPr>
        <w:pStyle w:val="Pagedecouverture"/>
        <w:rPr>
          <w:noProof/>
        </w:rPr>
      </w:pPr>
      <w:bookmarkStart w:id="0" w:name="LW_BM_COVERPAGE"/>
      <w:r>
        <w:rPr>
          <w:noProof/>
        </w:rPr>
        <w:pict w14:anchorId="6E30B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73416C86-3A5F-4550-B733-EA1292CA3608" style="width:455.25pt;height:296.25pt">
            <v:imagedata r:id="rId14" o:title=""/>
          </v:shape>
        </w:pict>
      </w:r>
    </w:p>
    <w:bookmarkEnd w:id="0"/>
    <w:p w14:paraId="2F35D273" w14:textId="60240B89" w:rsidR="002B0602" w:rsidRPr="002B0602" w:rsidRDefault="002B0602" w:rsidP="002B0602">
      <w:pPr>
        <w:pStyle w:val="Pagedecouverture"/>
        <w:rPr>
          <w:noProof/>
        </w:rPr>
        <w:sectPr w:rsidR="002B0602" w:rsidRPr="002B0602" w:rsidSect="00D80CC0">
          <w:headerReference w:type="even" r:id="rId15"/>
          <w:headerReference w:type="default" r:id="rId16"/>
          <w:footerReference w:type="even" r:id="rId17"/>
          <w:footerReference w:type="default" r:id="rId18"/>
          <w:headerReference w:type="first" r:id="rId19"/>
          <w:footerReference w:type="first" r:id="rId20"/>
          <w:endnotePr>
            <w:numFmt w:val="lowerLetter"/>
          </w:endnotePr>
          <w:pgSz w:w="11906" w:h="16838"/>
          <w:pgMar w:top="1134" w:right="1417" w:bottom="1134" w:left="1417" w:header="709" w:footer="709" w:gutter="0"/>
          <w:pgNumType w:start="1"/>
          <w:cols w:space="720"/>
          <w:docGrid w:linePitch="326"/>
        </w:sectPr>
      </w:pPr>
    </w:p>
    <w:tbl>
      <w:tblPr>
        <w:tblStyle w:val="TableLetterhead"/>
        <w:tblW w:w="68" w:type="dxa"/>
        <w:tblLook w:val="0620" w:firstRow="1" w:lastRow="0" w:firstColumn="0" w:lastColumn="0" w:noHBand="1" w:noVBand="1"/>
        <w:tblDescription w:val="Acest tabel conține logoul Comisiei Europene în coloana din stânga și informații despre organizația din care face parte semnatarul sau autorul în coloana din dreapta."/>
      </w:tblPr>
      <w:tblGrid>
        <w:gridCol w:w="10"/>
        <w:gridCol w:w="29"/>
        <w:gridCol w:w="29"/>
      </w:tblGrid>
      <w:tr w:rsidR="00360108" w14:paraId="3AD29B8A" w14:textId="77777777" w:rsidTr="00360108">
        <w:trPr>
          <w:cantSplit/>
          <w:trHeight w:val="205"/>
        </w:trPr>
        <w:tc>
          <w:tcPr>
            <w:tcW w:w="10" w:type="dxa"/>
          </w:tcPr>
          <w:p w14:paraId="279157C2" w14:textId="41239113" w:rsidR="00360108" w:rsidRDefault="00360108">
            <w:pPr>
              <w:pStyle w:val="ZFlag"/>
              <w:rPr>
                <w:noProof/>
              </w:rPr>
            </w:pPr>
            <w:bookmarkStart w:id="1" w:name="_GoBack"/>
            <w:bookmarkEnd w:id="1"/>
          </w:p>
        </w:tc>
        <w:tc>
          <w:tcPr>
            <w:tcW w:w="29" w:type="dxa"/>
          </w:tcPr>
          <w:p w14:paraId="1051B132" w14:textId="77777777" w:rsidR="00360108" w:rsidRDefault="00360108">
            <w:pPr>
              <w:pStyle w:val="ZDGName"/>
              <w:rPr>
                <w:b/>
                <w:noProof/>
              </w:rPr>
            </w:pPr>
          </w:p>
        </w:tc>
        <w:tc>
          <w:tcPr>
            <w:tcW w:w="29" w:type="dxa"/>
          </w:tcPr>
          <w:p w14:paraId="59E17F04" w14:textId="19BA04AA" w:rsidR="00360108" w:rsidRDefault="00360108">
            <w:pPr>
              <w:pStyle w:val="ZDGName"/>
              <w:rPr>
                <w:b/>
                <w:noProof/>
              </w:rPr>
            </w:pPr>
          </w:p>
        </w:tc>
      </w:tr>
    </w:tbl>
    <w:p w14:paraId="3F817054" w14:textId="695CD016" w:rsidR="003C442D" w:rsidRPr="00360108" w:rsidRDefault="00D905D6" w:rsidP="00360108">
      <w:pPr>
        <w:rPr>
          <w:noProof/>
        </w:rPr>
      </w:pPr>
      <w:r>
        <w:rPr>
          <w:b/>
          <w:noProof/>
          <w:color w:val="000000"/>
        </w:rPr>
        <w:t>Arachne</w:t>
      </w:r>
    </w:p>
    <w:p w14:paraId="045CC0B1" w14:textId="46121A22" w:rsidR="00D905D6" w:rsidRPr="003C442D" w:rsidRDefault="00D905D6" w:rsidP="003C442D">
      <w:pPr>
        <w:spacing w:before="240" w:line="259" w:lineRule="auto"/>
        <w:rPr>
          <w:rFonts w:eastAsia="Calibri"/>
          <w:b/>
          <w:bCs/>
          <w:noProof/>
          <w:color w:val="000000"/>
        </w:rPr>
      </w:pPr>
      <w:r>
        <w:rPr>
          <w:noProof/>
        </w:rPr>
        <w:t>Arachne este un instrument informatic integrat dezvoltat de Comisia Europeană pentru extragerea datelor (</w:t>
      </w:r>
      <w:r>
        <w:rPr>
          <w:i/>
          <w:iCs/>
          <w:noProof/>
        </w:rPr>
        <w:t>data mining</w:t>
      </w:r>
      <w:r>
        <w:rPr>
          <w:noProof/>
        </w:rPr>
        <w:t>), îmbogățirea datelor (</w:t>
      </w:r>
      <w:r>
        <w:rPr>
          <w:i/>
          <w:iCs/>
          <w:noProof/>
        </w:rPr>
        <w:t>data enrichment</w:t>
      </w:r>
      <w:r>
        <w:rPr>
          <w:noProof/>
        </w:rPr>
        <w:t>) și notarea riscurilor. Obiectivul Arachne este de a pune la dispoziția autorităților statelor membre un instrument operațional de identificare a riscurilor și de sprijinire a acestora în cadrul controalelor administrative și al verificărilor de gestiune.</w:t>
      </w:r>
    </w:p>
    <w:p w14:paraId="7559053D" w14:textId="7D1256AD" w:rsidR="00D905D6" w:rsidRDefault="003C442D" w:rsidP="00400D84">
      <w:pPr>
        <w:spacing w:before="240" w:after="0"/>
        <w:rPr>
          <w:b/>
          <w:bCs/>
          <w:noProof/>
        </w:rPr>
      </w:pPr>
      <w:r>
        <w:rPr>
          <w:b/>
          <w:noProof/>
        </w:rPr>
        <w:t>Lista acronimelor</w:t>
      </w:r>
    </w:p>
    <w:p w14:paraId="24F412AD" w14:textId="77777777" w:rsidR="003C442D" w:rsidRPr="003C442D" w:rsidRDefault="003C442D" w:rsidP="00400D84">
      <w:pPr>
        <w:spacing w:before="240" w:after="0"/>
        <w:rPr>
          <w:b/>
          <w:bCs/>
          <w:noProof/>
        </w:rPr>
      </w:pPr>
    </w:p>
    <w:p w14:paraId="732AF38C" w14:textId="77777777" w:rsidR="00D905D6" w:rsidRDefault="00D905D6" w:rsidP="00400D84">
      <w:pPr>
        <w:spacing w:before="240" w:line="259" w:lineRule="auto"/>
        <w:rPr>
          <w:rFonts w:eastAsia="Calibri"/>
          <w:noProof/>
          <w:color w:val="000000"/>
        </w:rPr>
      </w:pPr>
      <w:r>
        <w:rPr>
          <w:noProof/>
          <w:color w:val="000000"/>
        </w:rPr>
        <w:t>PAC – Politica agricolă comună</w:t>
      </w:r>
    </w:p>
    <w:p w14:paraId="7344CB1A" w14:textId="2CDCF502" w:rsidR="00ED796E" w:rsidRPr="003C442D" w:rsidRDefault="00ED796E" w:rsidP="00400D84">
      <w:pPr>
        <w:spacing w:before="240" w:line="259" w:lineRule="auto"/>
        <w:rPr>
          <w:rFonts w:eastAsia="Calibri"/>
          <w:noProof/>
          <w:color w:val="000000"/>
        </w:rPr>
      </w:pPr>
      <w:r>
        <w:rPr>
          <w:noProof/>
          <w:color w:val="000000"/>
        </w:rPr>
        <w:t>DG AGRI – Direcția Generală Agricultură și Dezvoltare Rurală</w:t>
      </w:r>
    </w:p>
    <w:p w14:paraId="51CE3B9E" w14:textId="77777777" w:rsidR="00D905D6" w:rsidRPr="003C442D" w:rsidRDefault="00D905D6" w:rsidP="00400D84">
      <w:pPr>
        <w:spacing w:before="240" w:line="259" w:lineRule="auto"/>
        <w:rPr>
          <w:rFonts w:eastAsia="Calibri"/>
          <w:noProof/>
          <w:color w:val="000000"/>
        </w:rPr>
      </w:pPr>
      <w:r>
        <w:rPr>
          <w:noProof/>
          <w:color w:val="000000"/>
        </w:rPr>
        <w:t>FEGA – Fondul european de garantare agricolă</w:t>
      </w:r>
    </w:p>
    <w:p w14:paraId="6FD1FCAE" w14:textId="427D4D9D" w:rsidR="00D905D6" w:rsidRPr="003C442D" w:rsidRDefault="00D905D6" w:rsidP="00400D84">
      <w:pPr>
        <w:spacing w:before="240" w:line="259" w:lineRule="auto"/>
        <w:rPr>
          <w:rFonts w:eastAsia="Calibri"/>
          <w:noProof/>
          <w:color w:val="000000"/>
        </w:rPr>
      </w:pPr>
      <w:r>
        <w:rPr>
          <w:noProof/>
          <w:color w:val="000000"/>
        </w:rPr>
        <w:t>FEADR – Fondul european agricol pentru dezvoltare rurală</w:t>
      </w:r>
    </w:p>
    <w:p w14:paraId="65D788B5" w14:textId="186587B8" w:rsidR="00D905D6" w:rsidRPr="003C442D" w:rsidRDefault="00D905D6" w:rsidP="00400D84">
      <w:pPr>
        <w:spacing w:before="240" w:line="259" w:lineRule="auto"/>
        <w:rPr>
          <w:rFonts w:eastAsia="Calibri"/>
          <w:noProof/>
          <w:color w:val="000000"/>
        </w:rPr>
      </w:pPr>
      <w:r>
        <w:rPr>
          <w:noProof/>
          <w:color w:val="000000"/>
        </w:rPr>
        <w:t>IACS – Sistemul integrat de administrare și control [sistemul integrat în conformitate cu articolul 65 alineatul (2) din Regulamentul (UE) 2021/2116]</w:t>
      </w:r>
    </w:p>
    <w:p w14:paraId="18A47E5E" w14:textId="01321DF4" w:rsidR="00D905D6" w:rsidRPr="003C442D" w:rsidRDefault="00D905D6" w:rsidP="00400D84">
      <w:pPr>
        <w:spacing w:before="240" w:line="259" w:lineRule="auto"/>
        <w:rPr>
          <w:rFonts w:eastAsia="Calibri"/>
          <w:noProof/>
          <w:color w:val="000000"/>
        </w:rPr>
      </w:pPr>
      <w:r>
        <w:rPr>
          <w:noProof/>
          <w:color w:val="000000"/>
        </w:rPr>
        <w:t>Neincluse în IACS – Toate măsurile și intervențiile din cadrul PAC în temeiul Regulamentului (UE) 2021/2115 care nu se încadrează în sistemul integrat menționat mai sus</w:t>
      </w:r>
    </w:p>
    <w:p w14:paraId="7990A43A" w14:textId="77777777" w:rsidR="00D905D6" w:rsidRPr="003C442D" w:rsidRDefault="00D905D6" w:rsidP="00400D84">
      <w:pPr>
        <w:spacing w:before="240" w:line="259" w:lineRule="auto"/>
        <w:rPr>
          <w:rFonts w:eastAsia="Calibri"/>
          <w:b/>
          <w:bCs/>
          <w:noProof/>
          <w:color w:val="000000"/>
        </w:rPr>
      </w:pPr>
    </w:p>
    <w:p w14:paraId="3CF93B3C" w14:textId="77777777" w:rsidR="00D905D6" w:rsidRDefault="00D905D6" w:rsidP="00400D84">
      <w:pPr>
        <w:rPr>
          <w:noProof/>
        </w:rPr>
      </w:pPr>
      <w:r>
        <w:rPr>
          <w:noProof/>
        </w:rPr>
        <w:br w:type="page"/>
      </w:r>
    </w:p>
    <w:p w14:paraId="40623182" w14:textId="77777777" w:rsidR="00D905D6" w:rsidRPr="0008402A" w:rsidRDefault="517CEC9A" w:rsidP="00400D84">
      <w:pPr>
        <w:spacing w:before="240"/>
        <w:jc w:val="center"/>
        <w:rPr>
          <w:b/>
          <w:bCs/>
          <w:noProof/>
          <w:sz w:val="28"/>
          <w:szCs w:val="28"/>
        </w:rPr>
      </w:pPr>
      <w:r>
        <w:rPr>
          <w:b/>
          <w:noProof/>
          <w:sz w:val="28"/>
        </w:rPr>
        <w:t>Cuprins</w:t>
      </w:r>
    </w:p>
    <w:sdt>
      <w:sdtPr>
        <w:rPr>
          <w:noProof/>
        </w:rPr>
        <w:id w:val="2088081110"/>
        <w:docPartObj>
          <w:docPartGallery w:val="Table of Contents"/>
          <w:docPartUnique/>
        </w:docPartObj>
      </w:sdtPr>
      <w:sdtEndPr/>
      <w:sdtContent>
        <w:p w14:paraId="407FA9D8" w14:textId="1C7CFD70" w:rsidR="00752A1F" w:rsidRDefault="7B2D6861">
          <w:pPr>
            <w:pStyle w:val="TOC1"/>
            <w:tabs>
              <w:tab w:val="right" w:leader="dot" w:pos="8608"/>
            </w:tabs>
            <w:rPr>
              <w:rFonts w:asciiTheme="minorHAnsi" w:eastAsiaTheme="minorEastAsia" w:hAnsiTheme="minorHAnsi" w:cstheme="minorBidi"/>
              <w:noProof/>
              <w:kern w:val="2"/>
              <w:szCs w:val="24"/>
              <w:lang w:val="en-IE"/>
              <w14:ligatures w14:val="standardContextual"/>
            </w:rPr>
          </w:pPr>
          <w:r>
            <w:rPr>
              <w:noProof/>
            </w:rPr>
            <w:fldChar w:fldCharType="begin"/>
          </w:r>
          <w:r>
            <w:rPr>
              <w:noProof/>
            </w:rPr>
            <w:instrText>TOC \o "1-2" \z \u \h</w:instrText>
          </w:r>
          <w:r>
            <w:rPr>
              <w:noProof/>
            </w:rPr>
            <w:fldChar w:fldCharType="separate"/>
          </w:r>
          <w:hyperlink w:anchor="_Toc190164906" w:history="1">
            <w:r w:rsidR="00752A1F" w:rsidRPr="00797A0E">
              <w:rPr>
                <w:rStyle w:val="Hyperlink"/>
                <w:rFonts w:eastAsia="Calibri"/>
                <w:noProof/>
              </w:rPr>
              <w:t>1.</w:t>
            </w:r>
            <w:r w:rsidR="00752A1F">
              <w:rPr>
                <w:rFonts w:asciiTheme="minorHAnsi" w:eastAsiaTheme="minorEastAsia" w:hAnsiTheme="minorHAnsi" w:cstheme="minorBidi"/>
                <w:noProof/>
                <w:kern w:val="2"/>
                <w:szCs w:val="24"/>
                <w:lang w:val="en-IE"/>
                <w14:ligatures w14:val="standardContextual"/>
              </w:rPr>
              <w:tab/>
            </w:r>
            <w:r w:rsidR="00752A1F" w:rsidRPr="00797A0E">
              <w:rPr>
                <w:rStyle w:val="Hyperlink"/>
                <w:noProof/>
              </w:rPr>
              <w:t>Introducere</w:t>
            </w:r>
            <w:r w:rsidR="00752A1F">
              <w:rPr>
                <w:noProof/>
                <w:webHidden/>
              </w:rPr>
              <w:tab/>
            </w:r>
            <w:r w:rsidR="00752A1F">
              <w:rPr>
                <w:noProof/>
                <w:webHidden/>
              </w:rPr>
              <w:fldChar w:fldCharType="begin"/>
            </w:r>
            <w:r w:rsidR="00752A1F">
              <w:rPr>
                <w:noProof/>
                <w:webHidden/>
              </w:rPr>
              <w:instrText xml:space="preserve"> PAGEREF _Toc190164906 \h </w:instrText>
            </w:r>
            <w:r w:rsidR="00752A1F">
              <w:rPr>
                <w:noProof/>
                <w:webHidden/>
              </w:rPr>
            </w:r>
            <w:r w:rsidR="00752A1F">
              <w:rPr>
                <w:noProof/>
                <w:webHidden/>
              </w:rPr>
              <w:fldChar w:fldCharType="separate"/>
            </w:r>
            <w:r w:rsidR="00674119">
              <w:rPr>
                <w:noProof/>
                <w:webHidden/>
              </w:rPr>
              <w:t>3</w:t>
            </w:r>
            <w:r w:rsidR="00752A1F">
              <w:rPr>
                <w:noProof/>
                <w:webHidden/>
              </w:rPr>
              <w:fldChar w:fldCharType="end"/>
            </w:r>
          </w:hyperlink>
        </w:p>
        <w:p w14:paraId="7CA39776" w14:textId="1B271799" w:rsidR="00752A1F" w:rsidRDefault="00D80CC0">
          <w:pPr>
            <w:pStyle w:val="TOC2"/>
            <w:tabs>
              <w:tab w:val="left" w:pos="1916"/>
              <w:tab w:val="right" w:leader="dot" w:pos="8608"/>
            </w:tabs>
            <w:rPr>
              <w:rFonts w:asciiTheme="minorHAnsi" w:eastAsiaTheme="minorEastAsia" w:hAnsiTheme="minorHAnsi" w:cstheme="minorBidi"/>
              <w:kern w:val="2"/>
              <w:szCs w:val="24"/>
              <w:lang w:val="en-IE"/>
              <w14:ligatures w14:val="standardContextual"/>
            </w:rPr>
          </w:pPr>
          <w:hyperlink w:anchor="_Toc190164907" w:history="1">
            <w:r w:rsidR="00752A1F" w:rsidRPr="00797A0E">
              <w:rPr>
                <w:rStyle w:val="Hyperlink"/>
                <w:rFonts w:eastAsia="Aptos"/>
              </w:rPr>
              <w:t>1.1.</w:t>
            </w:r>
            <w:r w:rsidR="00752A1F">
              <w:rPr>
                <w:rFonts w:asciiTheme="minorHAnsi" w:eastAsiaTheme="minorEastAsia" w:hAnsiTheme="minorHAnsi" w:cstheme="minorBidi"/>
                <w:kern w:val="2"/>
                <w:szCs w:val="24"/>
                <w:lang w:val="en-IE"/>
                <w14:ligatures w14:val="standardContextual"/>
              </w:rPr>
              <w:tab/>
            </w:r>
            <w:r w:rsidR="00752A1F" w:rsidRPr="00797A0E">
              <w:rPr>
                <w:rStyle w:val="Hyperlink"/>
              </w:rPr>
              <w:t>Cadru și context</w:t>
            </w:r>
            <w:r w:rsidR="00752A1F">
              <w:rPr>
                <w:webHidden/>
              </w:rPr>
              <w:tab/>
            </w:r>
            <w:r w:rsidR="00752A1F">
              <w:rPr>
                <w:webHidden/>
              </w:rPr>
              <w:fldChar w:fldCharType="begin"/>
            </w:r>
            <w:r w:rsidR="00752A1F">
              <w:rPr>
                <w:webHidden/>
              </w:rPr>
              <w:instrText xml:space="preserve"> PAGEREF _Toc190164907 \h </w:instrText>
            </w:r>
            <w:r w:rsidR="00752A1F">
              <w:rPr>
                <w:webHidden/>
              </w:rPr>
            </w:r>
            <w:r w:rsidR="00752A1F">
              <w:rPr>
                <w:webHidden/>
              </w:rPr>
              <w:fldChar w:fldCharType="separate"/>
            </w:r>
            <w:r w:rsidR="00674119">
              <w:rPr>
                <w:webHidden/>
              </w:rPr>
              <w:t>3</w:t>
            </w:r>
            <w:r w:rsidR="00752A1F">
              <w:rPr>
                <w:webHidden/>
              </w:rPr>
              <w:fldChar w:fldCharType="end"/>
            </w:r>
          </w:hyperlink>
        </w:p>
        <w:p w14:paraId="2AF67B76" w14:textId="0DD639D5" w:rsidR="00752A1F" w:rsidRDefault="00D80CC0">
          <w:pPr>
            <w:pStyle w:val="TOC2"/>
            <w:tabs>
              <w:tab w:val="left" w:pos="1916"/>
              <w:tab w:val="right" w:leader="dot" w:pos="8608"/>
            </w:tabs>
            <w:rPr>
              <w:rFonts w:asciiTheme="minorHAnsi" w:eastAsiaTheme="minorEastAsia" w:hAnsiTheme="minorHAnsi" w:cstheme="minorBidi"/>
              <w:kern w:val="2"/>
              <w:szCs w:val="24"/>
              <w:lang w:val="en-IE"/>
              <w14:ligatures w14:val="standardContextual"/>
            </w:rPr>
          </w:pPr>
          <w:hyperlink w:anchor="_Toc190164908" w:history="1">
            <w:r w:rsidR="00752A1F" w:rsidRPr="00797A0E">
              <w:rPr>
                <w:rStyle w:val="Hyperlink"/>
              </w:rPr>
              <w:t>1.2.</w:t>
            </w:r>
            <w:r w:rsidR="00752A1F">
              <w:rPr>
                <w:rFonts w:asciiTheme="minorHAnsi" w:eastAsiaTheme="minorEastAsia" w:hAnsiTheme="minorHAnsi" w:cstheme="minorBidi"/>
                <w:kern w:val="2"/>
                <w:szCs w:val="24"/>
                <w:lang w:val="en-IE"/>
                <w14:ligatures w14:val="standardContextual"/>
              </w:rPr>
              <w:tab/>
            </w:r>
            <w:r w:rsidR="00752A1F" w:rsidRPr="00797A0E">
              <w:rPr>
                <w:rStyle w:val="Hyperlink"/>
              </w:rPr>
              <w:t>Obiectivele și domeniul de aplicare al raportului</w:t>
            </w:r>
            <w:r w:rsidR="00752A1F">
              <w:rPr>
                <w:webHidden/>
              </w:rPr>
              <w:tab/>
            </w:r>
            <w:r w:rsidR="00752A1F">
              <w:rPr>
                <w:webHidden/>
              </w:rPr>
              <w:fldChar w:fldCharType="begin"/>
            </w:r>
            <w:r w:rsidR="00752A1F">
              <w:rPr>
                <w:webHidden/>
              </w:rPr>
              <w:instrText xml:space="preserve"> PAGEREF _Toc190164908 \h </w:instrText>
            </w:r>
            <w:r w:rsidR="00752A1F">
              <w:rPr>
                <w:webHidden/>
              </w:rPr>
            </w:r>
            <w:r w:rsidR="00752A1F">
              <w:rPr>
                <w:webHidden/>
              </w:rPr>
              <w:fldChar w:fldCharType="separate"/>
            </w:r>
            <w:r w:rsidR="00674119">
              <w:rPr>
                <w:webHidden/>
              </w:rPr>
              <w:t>4</w:t>
            </w:r>
            <w:r w:rsidR="00752A1F">
              <w:rPr>
                <w:webHidden/>
              </w:rPr>
              <w:fldChar w:fldCharType="end"/>
            </w:r>
          </w:hyperlink>
        </w:p>
        <w:p w14:paraId="4CEB1F6E" w14:textId="6D1074BD" w:rsidR="00752A1F" w:rsidRDefault="00D80CC0">
          <w:pPr>
            <w:pStyle w:val="TOC1"/>
            <w:tabs>
              <w:tab w:val="right" w:leader="dot" w:pos="8608"/>
            </w:tabs>
            <w:rPr>
              <w:rFonts w:asciiTheme="minorHAnsi" w:eastAsiaTheme="minorEastAsia" w:hAnsiTheme="minorHAnsi" w:cstheme="minorBidi"/>
              <w:noProof/>
              <w:kern w:val="2"/>
              <w:szCs w:val="24"/>
              <w:lang w:val="en-IE"/>
              <w14:ligatures w14:val="standardContextual"/>
            </w:rPr>
          </w:pPr>
          <w:hyperlink w:anchor="_Toc190164909" w:history="1">
            <w:r w:rsidR="00752A1F" w:rsidRPr="00797A0E">
              <w:rPr>
                <w:rStyle w:val="Hyperlink"/>
                <w:noProof/>
              </w:rPr>
              <w:t>2.</w:t>
            </w:r>
            <w:r w:rsidR="00752A1F">
              <w:rPr>
                <w:rFonts w:asciiTheme="minorHAnsi" w:eastAsiaTheme="minorEastAsia" w:hAnsiTheme="minorHAnsi" w:cstheme="minorBidi"/>
                <w:noProof/>
                <w:kern w:val="2"/>
                <w:szCs w:val="24"/>
                <w:lang w:val="en-IE"/>
                <w14:ligatures w14:val="standardContextual"/>
              </w:rPr>
              <w:tab/>
            </w:r>
            <w:r w:rsidR="00752A1F" w:rsidRPr="00797A0E">
              <w:rPr>
                <w:rStyle w:val="Hyperlink"/>
                <w:noProof/>
              </w:rPr>
              <w:t>Acțiuni întreprinse de Comisie pentru a permite și a promova utilizarea Arachne pentru PAC</w:t>
            </w:r>
            <w:r w:rsidR="00752A1F">
              <w:rPr>
                <w:noProof/>
                <w:webHidden/>
              </w:rPr>
              <w:tab/>
            </w:r>
            <w:r w:rsidR="00752A1F">
              <w:rPr>
                <w:noProof/>
                <w:webHidden/>
              </w:rPr>
              <w:fldChar w:fldCharType="begin"/>
            </w:r>
            <w:r w:rsidR="00752A1F">
              <w:rPr>
                <w:noProof/>
                <w:webHidden/>
              </w:rPr>
              <w:instrText xml:space="preserve"> PAGEREF _Toc190164909 \h </w:instrText>
            </w:r>
            <w:r w:rsidR="00752A1F">
              <w:rPr>
                <w:noProof/>
                <w:webHidden/>
              </w:rPr>
            </w:r>
            <w:r w:rsidR="00752A1F">
              <w:rPr>
                <w:noProof/>
                <w:webHidden/>
              </w:rPr>
              <w:fldChar w:fldCharType="separate"/>
            </w:r>
            <w:r w:rsidR="00674119">
              <w:rPr>
                <w:noProof/>
                <w:webHidden/>
              </w:rPr>
              <w:t>5</w:t>
            </w:r>
            <w:r w:rsidR="00752A1F">
              <w:rPr>
                <w:noProof/>
                <w:webHidden/>
              </w:rPr>
              <w:fldChar w:fldCharType="end"/>
            </w:r>
          </w:hyperlink>
        </w:p>
        <w:p w14:paraId="73219653" w14:textId="10D6EBDD" w:rsidR="00752A1F" w:rsidRDefault="00D80CC0">
          <w:pPr>
            <w:pStyle w:val="TOC1"/>
            <w:tabs>
              <w:tab w:val="right" w:leader="dot" w:pos="8608"/>
            </w:tabs>
            <w:rPr>
              <w:rFonts w:asciiTheme="minorHAnsi" w:eastAsiaTheme="minorEastAsia" w:hAnsiTheme="minorHAnsi" w:cstheme="minorBidi"/>
              <w:noProof/>
              <w:kern w:val="2"/>
              <w:szCs w:val="24"/>
              <w:lang w:val="en-IE"/>
              <w14:ligatures w14:val="standardContextual"/>
            </w:rPr>
          </w:pPr>
          <w:hyperlink w:anchor="_Toc190164910" w:history="1">
            <w:r w:rsidR="00752A1F" w:rsidRPr="00797A0E">
              <w:rPr>
                <w:rStyle w:val="Hyperlink"/>
                <w:noProof/>
              </w:rPr>
              <w:t>3.</w:t>
            </w:r>
            <w:r w:rsidR="00752A1F">
              <w:rPr>
                <w:rFonts w:asciiTheme="minorHAnsi" w:eastAsiaTheme="minorEastAsia" w:hAnsiTheme="minorHAnsi" w:cstheme="minorBidi"/>
                <w:noProof/>
                <w:kern w:val="2"/>
                <w:szCs w:val="24"/>
                <w:lang w:val="en-IE"/>
                <w14:ligatures w14:val="standardContextual"/>
              </w:rPr>
              <w:tab/>
            </w:r>
            <w:r w:rsidR="00752A1F" w:rsidRPr="00797A0E">
              <w:rPr>
                <w:rStyle w:val="Hyperlink"/>
                <w:noProof/>
              </w:rPr>
              <w:t>Situația actuală: utilizarea actuală a instrumentului de extragere a datelor</w:t>
            </w:r>
            <w:r w:rsidR="00752A1F">
              <w:rPr>
                <w:noProof/>
                <w:webHidden/>
              </w:rPr>
              <w:tab/>
            </w:r>
            <w:r w:rsidR="00752A1F">
              <w:rPr>
                <w:noProof/>
                <w:webHidden/>
              </w:rPr>
              <w:fldChar w:fldCharType="begin"/>
            </w:r>
            <w:r w:rsidR="00752A1F">
              <w:rPr>
                <w:noProof/>
                <w:webHidden/>
              </w:rPr>
              <w:instrText xml:space="preserve"> PAGEREF _Toc190164910 \h </w:instrText>
            </w:r>
            <w:r w:rsidR="00752A1F">
              <w:rPr>
                <w:noProof/>
                <w:webHidden/>
              </w:rPr>
            </w:r>
            <w:r w:rsidR="00752A1F">
              <w:rPr>
                <w:noProof/>
                <w:webHidden/>
              </w:rPr>
              <w:fldChar w:fldCharType="separate"/>
            </w:r>
            <w:r w:rsidR="00674119">
              <w:rPr>
                <w:noProof/>
                <w:webHidden/>
              </w:rPr>
              <w:t>5</w:t>
            </w:r>
            <w:r w:rsidR="00752A1F">
              <w:rPr>
                <w:noProof/>
                <w:webHidden/>
              </w:rPr>
              <w:fldChar w:fldCharType="end"/>
            </w:r>
          </w:hyperlink>
        </w:p>
        <w:p w14:paraId="6A90E669" w14:textId="0D5A3A87" w:rsidR="00752A1F" w:rsidRDefault="00D80CC0">
          <w:pPr>
            <w:pStyle w:val="TOC2"/>
            <w:tabs>
              <w:tab w:val="left" w:pos="1916"/>
              <w:tab w:val="right" w:leader="dot" w:pos="8608"/>
            </w:tabs>
            <w:rPr>
              <w:rFonts w:asciiTheme="minorHAnsi" w:eastAsiaTheme="minorEastAsia" w:hAnsiTheme="minorHAnsi" w:cstheme="minorBidi"/>
              <w:kern w:val="2"/>
              <w:szCs w:val="24"/>
              <w:lang w:val="en-IE"/>
              <w14:ligatures w14:val="standardContextual"/>
            </w:rPr>
          </w:pPr>
          <w:hyperlink w:anchor="_Toc190164911" w:history="1">
            <w:r w:rsidR="00752A1F" w:rsidRPr="00797A0E">
              <w:rPr>
                <w:rStyle w:val="Hyperlink"/>
              </w:rPr>
              <w:t>3.1.</w:t>
            </w:r>
            <w:r w:rsidR="00752A1F">
              <w:rPr>
                <w:rFonts w:asciiTheme="minorHAnsi" w:eastAsiaTheme="minorEastAsia" w:hAnsiTheme="minorHAnsi" w:cstheme="minorBidi"/>
                <w:kern w:val="2"/>
                <w:szCs w:val="24"/>
                <w:lang w:val="en-IE"/>
                <w14:ligatures w14:val="standardContextual"/>
              </w:rPr>
              <w:tab/>
            </w:r>
            <w:r w:rsidR="00752A1F" w:rsidRPr="00797A0E">
              <w:rPr>
                <w:rStyle w:val="Hyperlink"/>
              </w:rPr>
              <w:t>Prezentare generală a implementării și a instalării instrumentului</w:t>
            </w:r>
            <w:r w:rsidR="00752A1F">
              <w:rPr>
                <w:webHidden/>
              </w:rPr>
              <w:tab/>
            </w:r>
            <w:r w:rsidR="00752A1F">
              <w:rPr>
                <w:webHidden/>
              </w:rPr>
              <w:fldChar w:fldCharType="begin"/>
            </w:r>
            <w:r w:rsidR="00752A1F">
              <w:rPr>
                <w:webHidden/>
              </w:rPr>
              <w:instrText xml:space="preserve"> PAGEREF _Toc190164911 \h </w:instrText>
            </w:r>
            <w:r w:rsidR="00752A1F">
              <w:rPr>
                <w:webHidden/>
              </w:rPr>
            </w:r>
            <w:r w:rsidR="00752A1F">
              <w:rPr>
                <w:webHidden/>
              </w:rPr>
              <w:fldChar w:fldCharType="separate"/>
            </w:r>
            <w:r w:rsidR="00674119">
              <w:rPr>
                <w:webHidden/>
              </w:rPr>
              <w:t>5</w:t>
            </w:r>
            <w:r w:rsidR="00752A1F">
              <w:rPr>
                <w:webHidden/>
              </w:rPr>
              <w:fldChar w:fldCharType="end"/>
            </w:r>
          </w:hyperlink>
        </w:p>
        <w:p w14:paraId="53E43883" w14:textId="02A3EFF4" w:rsidR="00752A1F" w:rsidRDefault="00D80CC0">
          <w:pPr>
            <w:pStyle w:val="TOC2"/>
            <w:tabs>
              <w:tab w:val="left" w:pos="1916"/>
              <w:tab w:val="right" w:leader="dot" w:pos="8608"/>
            </w:tabs>
            <w:rPr>
              <w:rFonts w:asciiTheme="minorHAnsi" w:eastAsiaTheme="minorEastAsia" w:hAnsiTheme="minorHAnsi" w:cstheme="minorBidi"/>
              <w:kern w:val="2"/>
              <w:szCs w:val="24"/>
              <w:lang w:val="en-IE"/>
              <w14:ligatures w14:val="standardContextual"/>
            </w:rPr>
          </w:pPr>
          <w:hyperlink w:anchor="_Toc190164912" w:history="1">
            <w:r w:rsidR="00752A1F" w:rsidRPr="00797A0E">
              <w:rPr>
                <w:rStyle w:val="Hyperlink"/>
              </w:rPr>
              <w:t>3.2.</w:t>
            </w:r>
            <w:r w:rsidR="00752A1F">
              <w:rPr>
                <w:rFonts w:asciiTheme="minorHAnsi" w:eastAsiaTheme="minorEastAsia" w:hAnsiTheme="minorHAnsi" w:cstheme="minorBidi"/>
                <w:kern w:val="2"/>
                <w:szCs w:val="24"/>
                <w:lang w:val="en-IE"/>
                <w14:ligatures w14:val="standardContextual"/>
              </w:rPr>
              <w:tab/>
            </w:r>
            <w:r w:rsidR="00752A1F" w:rsidRPr="00797A0E">
              <w:rPr>
                <w:rStyle w:val="Hyperlink"/>
              </w:rPr>
              <w:t>Funcționalitatea și performanța instrumentului</w:t>
            </w:r>
            <w:r w:rsidR="00752A1F">
              <w:rPr>
                <w:webHidden/>
              </w:rPr>
              <w:tab/>
            </w:r>
            <w:r w:rsidR="00752A1F">
              <w:rPr>
                <w:webHidden/>
              </w:rPr>
              <w:fldChar w:fldCharType="begin"/>
            </w:r>
            <w:r w:rsidR="00752A1F">
              <w:rPr>
                <w:webHidden/>
              </w:rPr>
              <w:instrText xml:space="preserve"> PAGEREF _Toc190164912 \h </w:instrText>
            </w:r>
            <w:r w:rsidR="00752A1F">
              <w:rPr>
                <w:webHidden/>
              </w:rPr>
            </w:r>
            <w:r w:rsidR="00752A1F">
              <w:rPr>
                <w:webHidden/>
              </w:rPr>
              <w:fldChar w:fldCharType="separate"/>
            </w:r>
            <w:r w:rsidR="00674119">
              <w:rPr>
                <w:webHidden/>
              </w:rPr>
              <w:t>9</w:t>
            </w:r>
            <w:r w:rsidR="00752A1F">
              <w:rPr>
                <w:webHidden/>
              </w:rPr>
              <w:fldChar w:fldCharType="end"/>
            </w:r>
          </w:hyperlink>
        </w:p>
        <w:p w14:paraId="7558E8C8" w14:textId="3DA684D9" w:rsidR="00752A1F" w:rsidRDefault="00D80CC0">
          <w:pPr>
            <w:pStyle w:val="TOC1"/>
            <w:tabs>
              <w:tab w:val="right" w:leader="dot" w:pos="8608"/>
            </w:tabs>
            <w:rPr>
              <w:rFonts w:asciiTheme="minorHAnsi" w:eastAsiaTheme="minorEastAsia" w:hAnsiTheme="minorHAnsi" w:cstheme="minorBidi"/>
              <w:noProof/>
              <w:kern w:val="2"/>
              <w:szCs w:val="24"/>
              <w:lang w:val="en-IE"/>
              <w14:ligatures w14:val="standardContextual"/>
            </w:rPr>
          </w:pPr>
          <w:hyperlink w:anchor="_Toc190164913" w:history="1">
            <w:r w:rsidR="00752A1F" w:rsidRPr="00797A0E">
              <w:rPr>
                <w:rStyle w:val="Hyperlink"/>
                <w:rFonts w:eastAsia="Aptos" w:cs="Aptos"/>
                <w:noProof/>
              </w:rPr>
              <w:t>4.</w:t>
            </w:r>
            <w:r w:rsidR="00752A1F">
              <w:rPr>
                <w:rFonts w:asciiTheme="minorHAnsi" w:eastAsiaTheme="minorEastAsia" w:hAnsiTheme="minorHAnsi" w:cstheme="minorBidi"/>
                <w:noProof/>
                <w:kern w:val="2"/>
                <w:szCs w:val="24"/>
                <w:lang w:val="en-IE"/>
                <w14:ligatures w14:val="standardContextual"/>
              </w:rPr>
              <w:tab/>
            </w:r>
            <w:r w:rsidR="00752A1F" w:rsidRPr="00797A0E">
              <w:rPr>
                <w:rStyle w:val="Hyperlink"/>
                <w:noProof/>
              </w:rPr>
              <w:t>Utilizarea de către statele membre conform sondajului: oportunități și provocări</w:t>
            </w:r>
            <w:r w:rsidR="00752A1F">
              <w:rPr>
                <w:noProof/>
                <w:webHidden/>
              </w:rPr>
              <w:tab/>
            </w:r>
            <w:r w:rsidR="00752A1F">
              <w:rPr>
                <w:noProof/>
                <w:webHidden/>
              </w:rPr>
              <w:fldChar w:fldCharType="begin"/>
            </w:r>
            <w:r w:rsidR="00752A1F">
              <w:rPr>
                <w:noProof/>
                <w:webHidden/>
              </w:rPr>
              <w:instrText xml:space="preserve"> PAGEREF _Toc190164913 \h </w:instrText>
            </w:r>
            <w:r w:rsidR="00752A1F">
              <w:rPr>
                <w:noProof/>
                <w:webHidden/>
              </w:rPr>
            </w:r>
            <w:r w:rsidR="00752A1F">
              <w:rPr>
                <w:noProof/>
                <w:webHidden/>
              </w:rPr>
              <w:fldChar w:fldCharType="separate"/>
            </w:r>
            <w:r w:rsidR="00674119">
              <w:rPr>
                <w:noProof/>
                <w:webHidden/>
              </w:rPr>
              <w:t>9</w:t>
            </w:r>
            <w:r w:rsidR="00752A1F">
              <w:rPr>
                <w:noProof/>
                <w:webHidden/>
              </w:rPr>
              <w:fldChar w:fldCharType="end"/>
            </w:r>
          </w:hyperlink>
        </w:p>
        <w:p w14:paraId="6EE72FC6" w14:textId="4130698D" w:rsidR="00752A1F" w:rsidRDefault="00D80CC0">
          <w:pPr>
            <w:pStyle w:val="TOC1"/>
            <w:tabs>
              <w:tab w:val="right" w:leader="dot" w:pos="8608"/>
            </w:tabs>
            <w:rPr>
              <w:rFonts w:asciiTheme="minorHAnsi" w:eastAsiaTheme="minorEastAsia" w:hAnsiTheme="minorHAnsi" w:cstheme="minorBidi"/>
              <w:noProof/>
              <w:kern w:val="2"/>
              <w:szCs w:val="24"/>
              <w:lang w:val="en-IE"/>
              <w14:ligatures w14:val="standardContextual"/>
            </w:rPr>
          </w:pPr>
          <w:hyperlink w:anchor="_Toc190164914" w:history="1">
            <w:r w:rsidR="00752A1F" w:rsidRPr="00797A0E">
              <w:rPr>
                <w:rStyle w:val="Hyperlink"/>
                <w:rFonts w:eastAsia="Aptos" w:cs="Aptos"/>
                <w:noProof/>
              </w:rPr>
              <w:t>5.</w:t>
            </w:r>
            <w:r w:rsidR="00752A1F">
              <w:rPr>
                <w:rFonts w:asciiTheme="minorHAnsi" w:eastAsiaTheme="minorEastAsia" w:hAnsiTheme="minorHAnsi" w:cstheme="minorBidi"/>
                <w:noProof/>
                <w:kern w:val="2"/>
                <w:szCs w:val="24"/>
                <w:lang w:val="en-IE"/>
                <w14:ligatures w14:val="standardContextual"/>
              </w:rPr>
              <w:tab/>
            </w:r>
            <w:r w:rsidR="00752A1F" w:rsidRPr="00797A0E">
              <w:rPr>
                <w:rStyle w:val="Hyperlink"/>
                <w:noProof/>
              </w:rPr>
              <w:t>Evaluarea interoperabilității</w:t>
            </w:r>
            <w:r w:rsidR="00752A1F">
              <w:rPr>
                <w:noProof/>
                <w:webHidden/>
              </w:rPr>
              <w:tab/>
            </w:r>
            <w:r w:rsidR="00752A1F">
              <w:rPr>
                <w:noProof/>
                <w:webHidden/>
              </w:rPr>
              <w:fldChar w:fldCharType="begin"/>
            </w:r>
            <w:r w:rsidR="00752A1F">
              <w:rPr>
                <w:noProof/>
                <w:webHidden/>
              </w:rPr>
              <w:instrText xml:space="preserve"> PAGEREF _Toc190164914 \h </w:instrText>
            </w:r>
            <w:r w:rsidR="00752A1F">
              <w:rPr>
                <w:noProof/>
                <w:webHidden/>
              </w:rPr>
            </w:r>
            <w:r w:rsidR="00752A1F">
              <w:rPr>
                <w:noProof/>
                <w:webHidden/>
              </w:rPr>
              <w:fldChar w:fldCharType="separate"/>
            </w:r>
            <w:r w:rsidR="00674119">
              <w:rPr>
                <w:noProof/>
                <w:webHidden/>
              </w:rPr>
              <w:t>13</w:t>
            </w:r>
            <w:r w:rsidR="00752A1F">
              <w:rPr>
                <w:noProof/>
                <w:webHidden/>
              </w:rPr>
              <w:fldChar w:fldCharType="end"/>
            </w:r>
          </w:hyperlink>
        </w:p>
        <w:p w14:paraId="3620A728" w14:textId="57577319" w:rsidR="00752A1F" w:rsidRDefault="00D80CC0">
          <w:pPr>
            <w:pStyle w:val="TOC2"/>
            <w:tabs>
              <w:tab w:val="left" w:pos="1916"/>
              <w:tab w:val="right" w:leader="dot" w:pos="8608"/>
            </w:tabs>
            <w:rPr>
              <w:rFonts w:asciiTheme="minorHAnsi" w:eastAsiaTheme="minorEastAsia" w:hAnsiTheme="minorHAnsi" w:cstheme="minorBidi"/>
              <w:kern w:val="2"/>
              <w:szCs w:val="24"/>
              <w:lang w:val="en-IE"/>
              <w14:ligatures w14:val="standardContextual"/>
            </w:rPr>
          </w:pPr>
          <w:hyperlink w:anchor="_Toc190164915" w:history="1">
            <w:r w:rsidR="00752A1F" w:rsidRPr="00797A0E">
              <w:rPr>
                <w:rStyle w:val="Hyperlink"/>
              </w:rPr>
              <w:t>5.1.</w:t>
            </w:r>
            <w:r w:rsidR="00752A1F">
              <w:rPr>
                <w:rFonts w:asciiTheme="minorHAnsi" w:eastAsiaTheme="minorEastAsia" w:hAnsiTheme="minorHAnsi" w:cstheme="minorBidi"/>
                <w:kern w:val="2"/>
                <w:szCs w:val="24"/>
                <w:lang w:val="en-IE"/>
                <w14:ligatures w14:val="standardContextual"/>
              </w:rPr>
              <w:tab/>
            </w:r>
            <w:r w:rsidR="00752A1F" w:rsidRPr="00797A0E">
              <w:rPr>
                <w:rStyle w:val="Hyperlink"/>
              </w:rPr>
              <w:t>Interoperabilitatea tehnică</w:t>
            </w:r>
            <w:r w:rsidR="00752A1F">
              <w:rPr>
                <w:webHidden/>
              </w:rPr>
              <w:tab/>
            </w:r>
            <w:r w:rsidR="00752A1F">
              <w:rPr>
                <w:webHidden/>
              </w:rPr>
              <w:fldChar w:fldCharType="begin"/>
            </w:r>
            <w:r w:rsidR="00752A1F">
              <w:rPr>
                <w:webHidden/>
              </w:rPr>
              <w:instrText xml:space="preserve"> PAGEREF _Toc190164915 \h </w:instrText>
            </w:r>
            <w:r w:rsidR="00752A1F">
              <w:rPr>
                <w:webHidden/>
              </w:rPr>
            </w:r>
            <w:r w:rsidR="00752A1F">
              <w:rPr>
                <w:webHidden/>
              </w:rPr>
              <w:fldChar w:fldCharType="separate"/>
            </w:r>
            <w:r w:rsidR="00674119">
              <w:rPr>
                <w:webHidden/>
              </w:rPr>
              <w:t>13</w:t>
            </w:r>
            <w:r w:rsidR="00752A1F">
              <w:rPr>
                <w:webHidden/>
              </w:rPr>
              <w:fldChar w:fldCharType="end"/>
            </w:r>
          </w:hyperlink>
        </w:p>
        <w:p w14:paraId="1DB9767C" w14:textId="6DCB2BE8" w:rsidR="00752A1F" w:rsidRDefault="00D80CC0">
          <w:pPr>
            <w:pStyle w:val="TOC2"/>
            <w:tabs>
              <w:tab w:val="left" w:pos="1916"/>
              <w:tab w:val="right" w:leader="dot" w:pos="8608"/>
            </w:tabs>
            <w:rPr>
              <w:rFonts w:asciiTheme="minorHAnsi" w:eastAsiaTheme="minorEastAsia" w:hAnsiTheme="minorHAnsi" w:cstheme="minorBidi"/>
              <w:kern w:val="2"/>
              <w:szCs w:val="24"/>
              <w:lang w:val="en-IE"/>
              <w14:ligatures w14:val="standardContextual"/>
            </w:rPr>
          </w:pPr>
          <w:hyperlink w:anchor="_Toc190164916" w:history="1">
            <w:r w:rsidR="00752A1F" w:rsidRPr="00797A0E">
              <w:rPr>
                <w:rStyle w:val="Hyperlink"/>
              </w:rPr>
              <w:t>5.2.</w:t>
            </w:r>
            <w:r w:rsidR="00752A1F">
              <w:rPr>
                <w:rFonts w:asciiTheme="minorHAnsi" w:eastAsiaTheme="minorEastAsia" w:hAnsiTheme="minorHAnsi" w:cstheme="minorBidi"/>
                <w:kern w:val="2"/>
                <w:szCs w:val="24"/>
                <w:lang w:val="en-IE"/>
                <w14:ligatures w14:val="standardContextual"/>
              </w:rPr>
              <w:tab/>
            </w:r>
            <w:r w:rsidR="00752A1F" w:rsidRPr="00797A0E">
              <w:rPr>
                <w:rStyle w:val="Hyperlink"/>
              </w:rPr>
              <w:t>Interoperabilitatea semantică</w:t>
            </w:r>
            <w:r w:rsidR="00752A1F">
              <w:rPr>
                <w:webHidden/>
              </w:rPr>
              <w:tab/>
            </w:r>
            <w:r w:rsidR="00752A1F">
              <w:rPr>
                <w:webHidden/>
              </w:rPr>
              <w:fldChar w:fldCharType="begin"/>
            </w:r>
            <w:r w:rsidR="00752A1F">
              <w:rPr>
                <w:webHidden/>
              </w:rPr>
              <w:instrText xml:space="preserve"> PAGEREF _Toc190164916 \h </w:instrText>
            </w:r>
            <w:r w:rsidR="00752A1F">
              <w:rPr>
                <w:webHidden/>
              </w:rPr>
            </w:r>
            <w:r w:rsidR="00752A1F">
              <w:rPr>
                <w:webHidden/>
              </w:rPr>
              <w:fldChar w:fldCharType="separate"/>
            </w:r>
            <w:r w:rsidR="00674119">
              <w:rPr>
                <w:webHidden/>
              </w:rPr>
              <w:t>13</w:t>
            </w:r>
            <w:r w:rsidR="00752A1F">
              <w:rPr>
                <w:webHidden/>
              </w:rPr>
              <w:fldChar w:fldCharType="end"/>
            </w:r>
          </w:hyperlink>
        </w:p>
        <w:p w14:paraId="6F033B6D" w14:textId="462A210D" w:rsidR="00752A1F" w:rsidRDefault="00D80CC0">
          <w:pPr>
            <w:pStyle w:val="TOC2"/>
            <w:tabs>
              <w:tab w:val="left" w:pos="1916"/>
              <w:tab w:val="right" w:leader="dot" w:pos="8608"/>
            </w:tabs>
            <w:rPr>
              <w:rFonts w:asciiTheme="minorHAnsi" w:eastAsiaTheme="minorEastAsia" w:hAnsiTheme="minorHAnsi" w:cstheme="minorBidi"/>
              <w:kern w:val="2"/>
              <w:szCs w:val="24"/>
              <w:lang w:val="en-IE"/>
              <w14:ligatures w14:val="standardContextual"/>
            </w:rPr>
          </w:pPr>
          <w:hyperlink w:anchor="_Toc190164917" w:history="1">
            <w:r w:rsidR="00752A1F" w:rsidRPr="00797A0E">
              <w:rPr>
                <w:rStyle w:val="Hyperlink"/>
              </w:rPr>
              <w:t>5.3.</w:t>
            </w:r>
            <w:r w:rsidR="00752A1F">
              <w:rPr>
                <w:rFonts w:asciiTheme="minorHAnsi" w:eastAsiaTheme="minorEastAsia" w:hAnsiTheme="minorHAnsi" w:cstheme="minorBidi"/>
                <w:kern w:val="2"/>
                <w:szCs w:val="24"/>
                <w:lang w:val="en-IE"/>
                <w14:ligatures w14:val="standardContextual"/>
              </w:rPr>
              <w:tab/>
            </w:r>
            <w:r w:rsidR="00752A1F" w:rsidRPr="00797A0E">
              <w:rPr>
                <w:rStyle w:val="Hyperlink"/>
              </w:rPr>
              <w:t>Interoperabilitatea organizațională</w:t>
            </w:r>
            <w:r w:rsidR="00752A1F">
              <w:rPr>
                <w:webHidden/>
              </w:rPr>
              <w:tab/>
            </w:r>
            <w:r w:rsidR="00752A1F">
              <w:rPr>
                <w:webHidden/>
              </w:rPr>
              <w:fldChar w:fldCharType="begin"/>
            </w:r>
            <w:r w:rsidR="00752A1F">
              <w:rPr>
                <w:webHidden/>
              </w:rPr>
              <w:instrText xml:space="preserve"> PAGEREF _Toc190164917 \h </w:instrText>
            </w:r>
            <w:r w:rsidR="00752A1F">
              <w:rPr>
                <w:webHidden/>
              </w:rPr>
            </w:r>
            <w:r w:rsidR="00752A1F">
              <w:rPr>
                <w:webHidden/>
              </w:rPr>
              <w:fldChar w:fldCharType="separate"/>
            </w:r>
            <w:r w:rsidR="00674119">
              <w:rPr>
                <w:webHidden/>
              </w:rPr>
              <w:t>14</w:t>
            </w:r>
            <w:r w:rsidR="00752A1F">
              <w:rPr>
                <w:webHidden/>
              </w:rPr>
              <w:fldChar w:fldCharType="end"/>
            </w:r>
          </w:hyperlink>
        </w:p>
        <w:p w14:paraId="6A0BB044" w14:textId="7CB020E2" w:rsidR="00752A1F" w:rsidRDefault="00D80CC0">
          <w:pPr>
            <w:pStyle w:val="TOC1"/>
            <w:tabs>
              <w:tab w:val="right" w:leader="dot" w:pos="8608"/>
            </w:tabs>
            <w:rPr>
              <w:rFonts w:asciiTheme="minorHAnsi" w:eastAsiaTheme="minorEastAsia" w:hAnsiTheme="minorHAnsi" w:cstheme="minorBidi"/>
              <w:noProof/>
              <w:kern w:val="2"/>
              <w:szCs w:val="24"/>
              <w:lang w:val="en-IE"/>
              <w14:ligatures w14:val="standardContextual"/>
            </w:rPr>
          </w:pPr>
          <w:hyperlink w:anchor="_Toc190164918" w:history="1">
            <w:r w:rsidR="00752A1F" w:rsidRPr="00797A0E">
              <w:rPr>
                <w:rStyle w:val="Hyperlink"/>
                <w:rFonts w:eastAsia="Aptos" w:cs="Aptos"/>
                <w:noProof/>
              </w:rPr>
              <w:t>6.</w:t>
            </w:r>
            <w:r w:rsidR="00752A1F">
              <w:rPr>
                <w:rFonts w:asciiTheme="minorHAnsi" w:eastAsiaTheme="minorEastAsia" w:hAnsiTheme="minorHAnsi" w:cstheme="minorBidi"/>
                <w:noProof/>
                <w:kern w:val="2"/>
                <w:szCs w:val="24"/>
                <w:lang w:val="en-IE"/>
                <w14:ligatures w14:val="standardContextual"/>
              </w:rPr>
              <w:tab/>
            </w:r>
            <w:r w:rsidR="00752A1F" w:rsidRPr="00797A0E">
              <w:rPr>
                <w:rStyle w:val="Hyperlink"/>
                <w:noProof/>
              </w:rPr>
              <w:t>Acțiuni viitoare și perspectivă</w:t>
            </w:r>
            <w:r w:rsidR="00752A1F">
              <w:rPr>
                <w:noProof/>
                <w:webHidden/>
              </w:rPr>
              <w:tab/>
            </w:r>
            <w:r w:rsidR="00752A1F">
              <w:rPr>
                <w:noProof/>
                <w:webHidden/>
              </w:rPr>
              <w:fldChar w:fldCharType="begin"/>
            </w:r>
            <w:r w:rsidR="00752A1F">
              <w:rPr>
                <w:noProof/>
                <w:webHidden/>
              </w:rPr>
              <w:instrText xml:space="preserve"> PAGEREF _Toc190164918 \h </w:instrText>
            </w:r>
            <w:r w:rsidR="00752A1F">
              <w:rPr>
                <w:noProof/>
                <w:webHidden/>
              </w:rPr>
            </w:r>
            <w:r w:rsidR="00752A1F">
              <w:rPr>
                <w:noProof/>
                <w:webHidden/>
              </w:rPr>
              <w:fldChar w:fldCharType="separate"/>
            </w:r>
            <w:r w:rsidR="00674119">
              <w:rPr>
                <w:noProof/>
                <w:webHidden/>
              </w:rPr>
              <w:t>15</w:t>
            </w:r>
            <w:r w:rsidR="00752A1F">
              <w:rPr>
                <w:noProof/>
                <w:webHidden/>
              </w:rPr>
              <w:fldChar w:fldCharType="end"/>
            </w:r>
          </w:hyperlink>
        </w:p>
        <w:p w14:paraId="5D7621A7" w14:textId="67D236EC" w:rsidR="00752A1F" w:rsidRDefault="00D80CC0">
          <w:pPr>
            <w:pStyle w:val="TOC2"/>
            <w:tabs>
              <w:tab w:val="left" w:pos="1916"/>
              <w:tab w:val="right" w:leader="dot" w:pos="8608"/>
            </w:tabs>
            <w:rPr>
              <w:rFonts w:asciiTheme="minorHAnsi" w:eastAsiaTheme="minorEastAsia" w:hAnsiTheme="minorHAnsi" w:cstheme="minorBidi"/>
              <w:kern w:val="2"/>
              <w:szCs w:val="24"/>
              <w:lang w:val="en-IE"/>
              <w14:ligatures w14:val="standardContextual"/>
            </w:rPr>
          </w:pPr>
          <w:hyperlink w:anchor="_Toc190164919" w:history="1">
            <w:r w:rsidR="00752A1F" w:rsidRPr="00797A0E">
              <w:rPr>
                <w:rStyle w:val="Hyperlink"/>
              </w:rPr>
              <w:t>6.1.</w:t>
            </w:r>
            <w:r w:rsidR="00752A1F">
              <w:rPr>
                <w:rFonts w:asciiTheme="minorHAnsi" w:eastAsiaTheme="minorEastAsia" w:hAnsiTheme="minorHAnsi" w:cstheme="minorBidi"/>
                <w:kern w:val="2"/>
                <w:szCs w:val="24"/>
                <w:lang w:val="en-IE"/>
                <w14:ligatures w14:val="standardContextual"/>
              </w:rPr>
              <w:tab/>
            </w:r>
            <w:r w:rsidR="00752A1F" w:rsidRPr="00797A0E">
              <w:rPr>
                <w:rStyle w:val="Hyperlink"/>
              </w:rPr>
              <w:t>Acțiuni viitoare</w:t>
            </w:r>
            <w:r w:rsidR="00752A1F">
              <w:rPr>
                <w:webHidden/>
              </w:rPr>
              <w:tab/>
            </w:r>
            <w:r w:rsidR="00752A1F">
              <w:rPr>
                <w:webHidden/>
              </w:rPr>
              <w:fldChar w:fldCharType="begin"/>
            </w:r>
            <w:r w:rsidR="00752A1F">
              <w:rPr>
                <w:webHidden/>
              </w:rPr>
              <w:instrText xml:space="preserve"> PAGEREF _Toc190164919 \h </w:instrText>
            </w:r>
            <w:r w:rsidR="00752A1F">
              <w:rPr>
                <w:webHidden/>
              </w:rPr>
            </w:r>
            <w:r w:rsidR="00752A1F">
              <w:rPr>
                <w:webHidden/>
              </w:rPr>
              <w:fldChar w:fldCharType="separate"/>
            </w:r>
            <w:r w:rsidR="00674119">
              <w:rPr>
                <w:webHidden/>
              </w:rPr>
              <w:t>15</w:t>
            </w:r>
            <w:r w:rsidR="00752A1F">
              <w:rPr>
                <w:webHidden/>
              </w:rPr>
              <w:fldChar w:fldCharType="end"/>
            </w:r>
          </w:hyperlink>
        </w:p>
        <w:p w14:paraId="17F5F4AA" w14:textId="76267909" w:rsidR="00752A1F" w:rsidRDefault="00D80CC0">
          <w:pPr>
            <w:pStyle w:val="TOC2"/>
            <w:tabs>
              <w:tab w:val="left" w:pos="1916"/>
              <w:tab w:val="right" w:leader="dot" w:pos="8608"/>
            </w:tabs>
            <w:rPr>
              <w:rFonts w:asciiTheme="minorHAnsi" w:eastAsiaTheme="minorEastAsia" w:hAnsiTheme="minorHAnsi" w:cstheme="minorBidi"/>
              <w:kern w:val="2"/>
              <w:szCs w:val="24"/>
              <w:lang w:val="en-IE"/>
              <w14:ligatures w14:val="standardContextual"/>
            </w:rPr>
          </w:pPr>
          <w:hyperlink w:anchor="_Toc190164920" w:history="1">
            <w:r w:rsidR="00752A1F" w:rsidRPr="00797A0E">
              <w:rPr>
                <w:rStyle w:val="Hyperlink"/>
              </w:rPr>
              <w:t>6.2.</w:t>
            </w:r>
            <w:r w:rsidR="00752A1F">
              <w:rPr>
                <w:rFonts w:asciiTheme="minorHAnsi" w:eastAsiaTheme="minorEastAsia" w:hAnsiTheme="minorHAnsi" w:cstheme="minorBidi"/>
                <w:kern w:val="2"/>
                <w:szCs w:val="24"/>
                <w:lang w:val="en-IE"/>
                <w14:ligatures w14:val="standardContextual"/>
              </w:rPr>
              <w:tab/>
            </w:r>
            <w:r w:rsidR="00752A1F" w:rsidRPr="00797A0E">
              <w:rPr>
                <w:rStyle w:val="Hyperlink"/>
              </w:rPr>
              <w:t>Perspectiva pe termen lung</w:t>
            </w:r>
            <w:r w:rsidR="00752A1F">
              <w:rPr>
                <w:webHidden/>
              </w:rPr>
              <w:tab/>
            </w:r>
            <w:r w:rsidR="00752A1F">
              <w:rPr>
                <w:webHidden/>
              </w:rPr>
              <w:fldChar w:fldCharType="begin"/>
            </w:r>
            <w:r w:rsidR="00752A1F">
              <w:rPr>
                <w:webHidden/>
              </w:rPr>
              <w:instrText xml:space="preserve"> PAGEREF _Toc190164920 \h </w:instrText>
            </w:r>
            <w:r w:rsidR="00752A1F">
              <w:rPr>
                <w:webHidden/>
              </w:rPr>
            </w:r>
            <w:r w:rsidR="00752A1F">
              <w:rPr>
                <w:webHidden/>
              </w:rPr>
              <w:fldChar w:fldCharType="separate"/>
            </w:r>
            <w:r w:rsidR="00674119">
              <w:rPr>
                <w:webHidden/>
              </w:rPr>
              <w:t>16</w:t>
            </w:r>
            <w:r w:rsidR="00752A1F">
              <w:rPr>
                <w:webHidden/>
              </w:rPr>
              <w:fldChar w:fldCharType="end"/>
            </w:r>
          </w:hyperlink>
        </w:p>
        <w:p w14:paraId="28C99233" w14:textId="51B7CDF0" w:rsidR="7B2D6861" w:rsidRDefault="7B2D6861" w:rsidP="7B2D6861">
          <w:pPr>
            <w:pStyle w:val="TOC2"/>
            <w:tabs>
              <w:tab w:val="left" w:pos="720"/>
              <w:tab w:val="right" w:leader="dot" w:pos="8610"/>
            </w:tabs>
            <w:rPr>
              <w:rStyle w:val="Hyperlink"/>
            </w:rPr>
          </w:pPr>
          <w:r>
            <w:fldChar w:fldCharType="end"/>
          </w:r>
        </w:p>
      </w:sdtContent>
    </w:sdt>
    <w:p w14:paraId="5C7F7FE9" w14:textId="5F1ECB51" w:rsidR="00D905D6" w:rsidRDefault="00D905D6" w:rsidP="7B2D6861">
      <w:pPr>
        <w:pStyle w:val="TOC1"/>
        <w:tabs>
          <w:tab w:val="right" w:leader="dot" w:pos="9360"/>
        </w:tabs>
        <w:spacing w:before="0" w:after="240"/>
        <w:ind w:left="0" w:firstLine="0"/>
        <w:rPr>
          <w:rStyle w:val="Hyperlink"/>
          <w:noProof/>
        </w:rPr>
      </w:pPr>
    </w:p>
    <w:p w14:paraId="225AF5CC" w14:textId="77777777" w:rsidR="00D905D6" w:rsidRDefault="00D905D6" w:rsidP="00400D84">
      <w:pPr>
        <w:spacing w:before="240"/>
        <w:rPr>
          <w:noProof/>
        </w:rPr>
      </w:pPr>
    </w:p>
    <w:p w14:paraId="16945905" w14:textId="77777777" w:rsidR="00D905D6" w:rsidRDefault="00D905D6" w:rsidP="00400D84">
      <w:pPr>
        <w:spacing w:before="240"/>
        <w:rPr>
          <w:noProof/>
        </w:rPr>
      </w:pPr>
      <w:r>
        <w:rPr>
          <w:noProof/>
        </w:rPr>
        <w:br w:type="page"/>
      </w:r>
    </w:p>
    <w:p w14:paraId="5427DA59" w14:textId="77777777" w:rsidR="00D905D6" w:rsidRDefault="00D905D6" w:rsidP="00400D84">
      <w:pPr>
        <w:spacing w:before="240"/>
        <w:rPr>
          <w:noProof/>
        </w:rPr>
      </w:pPr>
    </w:p>
    <w:p w14:paraId="17F077C1" w14:textId="66A13CCE" w:rsidR="00D905D6" w:rsidRPr="003C442D" w:rsidRDefault="517CEC9A" w:rsidP="003C442D">
      <w:pPr>
        <w:pStyle w:val="Heading1"/>
        <w:rPr>
          <w:rFonts w:eastAsia="Calibri"/>
          <w:noProof/>
        </w:rPr>
      </w:pPr>
      <w:bookmarkStart w:id="2" w:name="_Toc468753468"/>
      <w:bookmarkStart w:id="3" w:name="_Toc190164906"/>
      <w:r>
        <w:rPr>
          <w:noProof/>
        </w:rPr>
        <w:t>Introducere</w:t>
      </w:r>
      <w:bookmarkEnd w:id="2"/>
      <w:bookmarkEnd w:id="3"/>
      <w:r>
        <w:rPr>
          <w:noProof/>
        </w:rPr>
        <w:t xml:space="preserve"> </w:t>
      </w:r>
    </w:p>
    <w:p w14:paraId="7F2EDE68" w14:textId="576C2040" w:rsidR="00D905D6" w:rsidRPr="003C442D" w:rsidRDefault="517CEC9A" w:rsidP="00400D84">
      <w:pPr>
        <w:pStyle w:val="Heading2"/>
        <w:rPr>
          <w:rFonts w:eastAsia="Aptos"/>
          <w:noProof/>
        </w:rPr>
      </w:pPr>
      <w:bookmarkStart w:id="4" w:name="_Toc1759064829"/>
      <w:bookmarkStart w:id="5" w:name="_Toc190164907"/>
      <w:r>
        <w:rPr>
          <w:noProof/>
        </w:rPr>
        <w:t>Cadru și context</w:t>
      </w:r>
      <w:bookmarkEnd w:id="4"/>
      <w:bookmarkEnd w:id="5"/>
      <w:r>
        <w:rPr>
          <w:noProof/>
        </w:rPr>
        <w:t xml:space="preserve"> </w:t>
      </w:r>
    </w:p>
    <w:p w14:paraId="44173DEF" w14:textId="77777777" w:rsidR="00D905D6" w:rsidRDefault="00D905D6" w:rsidP="00400D84">
      <w:pPr>
        <w:spacing w:after="0"/>
        <w:rPr>
          <w:rFonts w:eastAsia="Aptos" w:cs="Aptos"/>
          <w:noProof/>
        </w:rPr>
      </w:pPr>
    </w:p>
    <w:p w14:paraId="4AAFC0EE" w14:textId="07D13787" w:rsidR="00D905D6" w:rsidRDefault="00D905D6" w:rsidP="00400D84">
      <w:pPr>
        <w:spacing w:after="0"/>
        <w:rPr>
          <w:rFonts w:eastAsia="Aptos" w:cs="Aptos"/>
          <w:i/>
          <w:iCs/>
          <w:noProof/>
        </w:rPr>
      </w:pPr>
      <w:r>
        <w:rPr>
          <w:noProof/>
        </w:rPr>
        <w:t>Articolul 59 alineatul (2) din Regulamentul (UE) 2021/2116 al Parlamentului European și al Consiliului (</w:t>
      </w:r>
      <w:r w:rsidR="00DB1AC3">
        <w:rPr>
          <w:rStyle w:val="FootnoteReference"/>
          <w:rFonts w:eastAsia="Aptos" w:cs="Aptos"/>
          <w:noProof/>
        </w:rPr>
        <w:footnoteReference w:id="2"/>
      </w:r>
      <w:r>
        <w:rPr>
          <w:noProof/>
        </w:rPr>
        <w:t>) prevede că „</w:t>
      </w:r>
      <w:r>
        <w:rPr>
          <w:i/>
          <w:noProof/>
        </w:rPr>
        <w:t>[...], Comisia pune la dispoziția statelor membre un instrument de extragere a datelor în vederea evaluării riscurilor prezentate de proiecte, beneficiari, contractanți și contracte, asigurând totodată o sarcină administrativă minimă și o protecție eficace a intereselor financiare ale Uniunii. [...] Până în 2025, Comisia prezintă un raport care evaluează utilizarea instrumentului unic de extragere a datelor și interoperabilitatea acestuia, în vederea utilizării sale generalizate de către statele membre”.</w:t>
      </w:r>
    </w:p>
    <w:p w14:paraId="538952C3" w14:textId="77777777" w:rsidR="00D905D6" w:rsidRDefault="00D905D6" w:rsidP="00400D84">
      <w:pPr>
        <w:spacing w:after="0"/>
        <w:rPr>
          <w:rFonts w:eastAsia="Aptos" w:cs="Aptos"/>
          <w:noProof/>
        </w:rPr>
      </w:pPr>
    </w:p>
    <w:p w14:paraId="5638D6AF" w14:textId="3DFC36D9" w:rsidR="00D905D6" w:rsidRDefault="00D905D6" w:rsidP="00400D84">
      <w:pPr>
        <w:spacing w:after="0"/>
        <w:rPr>
          <w:rFonts w:eastAsia="Aptos" w:cs="Aptos"/>
          <w:noProof/>
        </w:rPr>
      </w:pPr>
      <w:r>
        <w:rPr>
          <w:noProof/>
        </w:rPr>
        <w:t>Statele membre trebuie să instituie sisteme de gestiune și control eficiente care să asigure respectarea legislației Uniunii care reglementează intervențiile Uniunii.</w:t>
      </w:r>
      <w:r w:rsidR="009E6C43">
        <w:rPr>
          <w:i/>
          <w:noProof/>
        </w:rPr>
        <w:t xml:space="preserve"> </w:t>
      </w:r>
      <w:r>
        <w:rPr>
          <w:noProof/>
        </w:rPr>
        <w:t>Trebuie întreprinse acțiunile necesare pentru a asigura buna funcționare a sistemelor lor de gestiune și control și legalitatea și regularitatea cheltuielilor declarate Comisiei. În ceea ce privește fondurile agricole ale UE (FEGA și FEADR), agențiile de plăți sunt responsabile de plata cheltuielilor PAC și, prin urmare, de instituirea sistemelor de gestiune și control la nivelul statelor membre sau la nivelul administrației echivalente.</w:t>
      </w:r>
    </w:p>
    <w:p w14:paraId="5D90DB3A" w14:textId="77777777" w:rsidR="00D905D6" w:rsidRDefault="00D905D6" w:rsidP="00400D84">
      <w:pPr>
        <w:spacing w:after="0"/>
        <w:rPr>
          <w:rFonts w:eastAsia="Aptos" w:cs="Aptos"/>
          <w:i/>
          <w:iCs/>
          <w:noProof/>
        </w:rPr>
      </w:pPr>
    </w:p>
    <w:p w14:paraId="1937303E" w14:textId="539DA20F" w:rsidR="00D905D6" w:rsidRDefault="00D905D6" w:rsidP="00400D84">
      <w:pPr>
        <w:spacing w:after="0"/>
        <w:rPr>
          <w:rFonts w:eastAsia="Aptos" w:cs="Aptos"/>
          <w:noProof/>
        </w:rPr>
      </w:pPr>
      <w:r>
        <w:rPr>
          <w:noProof/>
        </w:rPr>
        <w:t xml:space="preserve">În acest context, Comisia trebuie să pună la dispoziție un instrument de extragere a datelor pentru a ajuta statele membre să instituie sisteme eficiente de gestiune și control pentru PAC. Pentru a îndeplini această cerință legală, Comisia a ales să utilizeze instrumentul Arachne. </w:t>
      </w:r>
    </w:p>
    <w:p w14:paraId="75426AC6" w14:textId="77777777" w:rsidR="00D905D6" w:rsidRDefault="00D905D6" w:rsidP="00400D84">
      <w:pPr>
        <w:spacing w:after="0"/>
        <w:rPr>
          <w:rFonts w:eastAsia="Aptos" w:cs="Aptos"/>
          <w:noProof/>
        </w:rPr>
      </w:pPr>
    </w:p>
    <w:p w14:paraId="10072D3C" w14:textId="11DC399F" w:rsidR="00D905D6" w:rsidRDefault="517CEC9A" w:rsidP="00400D84">
      <w:pPr>
        <w:spacing w:after="0"/>
        <w:rPr>
          <w:rFonts w:eastAsia="Aptos" w:cs="Aptos"/>
          <w:noProof/>
        </w:rPr>
      </w:pPr>
      <w:r>
        <w:rPr>
          <w:noProof/>
        </w:rPr>
        <w:t>Arachne este un instrument informatic integrat pentru extragerea datelor, notarea riscurilor și îmbogățirea datelor, dezvoltat de Comisia Europeană. Obiectivul său este de a sprijini statele membre în ceea ce privește controalele administrative și verificările de gestiune. Arachne îmbogățește datele cu informații aflate la dispoziția publicului pentru a identifica, pe baza unui set de indicatori de risc, proiectele, beneficiarii, contractele, contractanții și subcontractanții care ar putea fi expuși riscurilor de fraudă, conflictelor de interese sau altor abateri (</w:t>
      </w:r>
      <w:r w:rsidR="00D905D6" w:rsidRPr="22D8C6FC">
        <w:rPr>
          <w:rStyle w:val="FootnoteReference"/>
          <w:noProof/>
        </w:rPr>
        <w:footnoteReference w:id="3"/>
      </w:r>
      <w:r>
        <w:rPr>
          <w:noProof/>
        </w:rPr>
        <w:t>). Cu toate acestea, instrumentul nu evaluează comportamentul individual al destinatarilor fondurilor și nu exclude în mod automat beneficiarii sau potențialii beneficiari de la fondurile UE. Instrumentul trimite alerte de risc agențiilor de plăți pentru a le îmbogăți verificările de gestiune, dar nu le furnizează nicio dovadă de eroare, abatere sau fraudă.</w:t>
      </w:r>
    </w:p>
    <w:p w14:paraId="7E5F21A6" w14:textId="77777777" w:rsidR="00D905D6" w:rsidRDefault="00D905D6" w:rsidP="00400D84">
      <w:pPr>
        <w:spacing w:after="0"/>
        <w:rPr>
          <w:noProof/>
        </w:rPr>
      </w:pPr>
    </w:p>
    <w:p w14:paraId="229AC8C1" w14:textId="493E6ED4" w:rsidR="00D905D6" w:rsidRDefault="00D905D6" w:rsidP="00400D84">
      <w:pPr>
        <w:spacing w:after="0"/>
        <w:rPr>
          <w:rFonts w:eastAsia="Aptos" w:cs="Aptos"/>
          <w:noProof/>
        </w:rPr>
      </w:pPr>
      <w:r>
        <w:rPr>
          <w:noProof/>
        </w:rPr>
        <w:t>Pentru punerea în aplicare a intervențiilor și a măsurilor din cadrul PAC, utilizarea Arachne devine importantă în analiza riscurilor care trebuie efectuată la nivelul agențiilor de plăți pentru funcțiile lor principale și, mai precis, pentru procedurile lor de prevenire, detectare și gestionare a fraudei. Agențiile de plăți ar trebui să ia în considerare faptul că rapoartele de risc Arachne sunt utilizate în combinație cu alte date disponibile în sistemele de gestiune și control ale PAC la nivel național și că utilizarea instrumentului este integrată în procedurile lor.</w:t>
      </w:r>
    </w:p>
    <w:p w14:paraId="271459E0" w14:textId="77777777" w:rsidR="00D905D6" w:rsidRDefault="00D905D6" w:rsidP="00400D84">
      <w:pPr>
        <w:spacing w:after="0"/>
        <w:rPr>
          <w:noProof/>
        </w:rPr>
      </w:pPr>
    </w:p>
    <w:p w14:paraId="52C89DF9" w14:textId="359D0519" w:rsidR="00D905D6" w:rsidRDefault="2DA5F926">
      <w:pPr>
        <w:spacing w:after="0" w:line="259" w:lineRule="auto"/>
        <w:rPr>
          <w:noProof/>
        </w:rPr>
      </w:pPr>
      <w:r>
        <w:rPr>
          <w:noProof/>
        </w:rPr>
        <w:t>Pentru a cartografia și a stabili riscul pentru interesele financiare ale UE, datele operaționale ale agențiilor de plăți sunt transmise către Arachne. Aceste date includ informații privind beneficiarii, partenerii de proiect, subcontractanții, furnizorii de servicii, membrii consorțiului și alte persoane implicate. Aceste date operaționale sunt apoi completate în Arachne cu informații din surse de date externe, bazele de date Orbis și World Compliance, care conțin date publicate oficial și disponibile publicului privind întreprinderile și persoanele implicate.</w:t>
      </w:r>
    </w:p>
    <w:p w14:paraId="75612AC0" w14:textId="77777777" w:rsidR="00D905D6" w:rsidRDefault="00D905D6" w:rsidP="00400D84">
      <w:pPr>
        <w:spacing w:after="0"/>
        <w:rPr>
          <w:noProof/>
        </w:rPr>
      </w:pPr>
    </w:p>
    <w:p w14:paraId="2BB20B07" w14:textId="1FDCE4C0" w:rsidR="00D905D6" w:rsidRDefault="00D905D6" w:rsidP="00400D84">
      <w:pPr>
        <w:spacing w:after="0"/>
        <w:rPr>
          <w:noProof/>
        </w:rPr>
      </w:pPr>
      <w:r>
        <w:rPr>
          <w:noProof/>
        </w:rPr>
        <w:t>Orbis furnizează informații privind întreprinderile, cum ar fi date financiare, adrese, date istorice și informații privind acționarii, conducerea și personalul-cheie. World Compliance oferă informații precum profilurile persoanelor expuse politic, ale familiilor și asociaților acestora; o listă a sancțiunilor, inclusiv persoanele și întreprinderile cu cel mai mare grad de risc și o listă a măsurilor de asigurare a respectării legislației, care include informațiile primite de la autoritățile guvernamentale și de reglementare și conținutul avertismentelor și al acțiunilor adoptate împotriva persoanelor și a întreprinderilor.</w:t>
      </w:r>
    </w:p>
    <w:p w14:paraId="685DC802" w14:textId="77777777" w:rsidR="00D905D6" w:rsidRDefault="00D905D6" w:rsidP="00400D84">
      <w:pPr>
        <w:spacing w:after="0"/>
        <w:rPr>
          <w:noProof/>
        </w:rPr>
      </w:pPr>
    </w:p>
    <w:p w14:paraId="4C32DBAE" w14:textId="77777777" w:rsidR="00D905D6" w:rsidRDefault="00D905D6" w:rsidP="00400D84">
      <w:pPr>
        <w:spacing w:after="0"/>
        <w:rPr>
          <w:rFonts w:eastAsia="Aptos" w:cs="Aptos"/>
          <w:noProof/>
        </w:rPr>
      </w:pPr>
    </w:p>
    <w:p w14:paraId="5622771B" w14:textId="57E787CB" w:rsidR="00D905D6" w:rsidRDefault="00D905D6" w:rsidP="00400D84">
      <w:pPr>
        <w:spacing w:after="0"/>
        <w:rPr>
          <w:rFonts w:eastAsia="Aptos" w:cs="Aptos"/>
          <w:noProof/>
        </w:rPr>
      </w:pPr>
      <w:r>
        <w:rPr>
          <w:noProof/>
        </w:rPr>
        <w:t>Comisia Europeană oferă Arachne gratuit agențiilor de plăți și garantează asistență tehnică și instruire în statele membre.</w:t>
      </w:r>
    </w:p>
    <w:p w14:paraId="034018EF" w14:textId="77777777" w:rsidR="00D905D6" w:rsidRDefault="00D905D6" w:rsidP="00400D84">
      <w:pPr>
        <w:spacing w:after="0"/>
        <w:rPr>
          <w:rFonts w:eastAsia="Aptos" w:cs="Aptos"/>
          <w:noProof/>
        </w:rPr>
      </w:pPr>
    </w:p>
    <w:p w14:paraId="4D093F4C" w14:textId="77777777" w:rsidR="00D905D6" w:rsidRDefault="00D905D6" w:rsidP="00400D84">
      <w:pPr>
        <w:pStyle w:val="ListParagraph"/>
        <w:spacing w:after="0"/>
        <w:jc w:val="both"/>
        <w:rPr>
          <w:noProof/>
        </w:rPr>
      </w:pPr>
    </w:p>
    <w:p w14:paraId="5D0D60F5" w14:textId="4EC93C0C" w:rsidR="00D905D6" w:rsidRPr="003C442D" w:rsidRDefault="517CEC9A" w:rsidP="003C442D">
      <w:pPr>
        <w:pStyle w:val="Heading2"/>
        <w:rPr>
          <w:noProof/>
        </w:rPr>
      </w:pPr>
      <w:bookmarkStart w:id="6" w:name="_Toc1072142022"/>
      <w:bookmarkStart w:id="7" w:name="_Toc190164908"/>
      <w:r>
        <w:rPr>
          <w:noProof/>
        </w:rPr>
        <w:t>Obiectivele și domeniul de aplicare al raportului</w:t>
      </w:r>
      <w:bookmarkEnd w:id="6"/>
      <w:bookmarkEnd w:id="7"/>
      <w:r>
        <w:rPr>
          <w:noProof/>
        </w:rPr>
        <w:t xml:space="preserve"> </w:t>
      </w:r>
    </w:p>
    <w:p w14:paraId="654D9182" w14:textId="7DC10008" w:rsidR="00D905D6" w:rsidRDefault="00D905D6" w:rsidP="00400D84">
      <w:pPr>
        <w:spacing w:after="0"/>
        <w:rPr>
          <w:rFonts w:eastAsia="Aptos" w:cs="Aptos"/>
          <w:noProof/>
        </w:rPr>
      </w:pPr>
      <w:r>
        <w:rPr>
          <w:noProof/>
        </w:rPr>
        <w:t xml:space="preserve">Obiectivul prezentului raport este de a evalua utilizarea actuală a Arachne pentru PAC, interoperabilitatea acestuia cu instrumentele și sistemele actuale utilizate de statele membre și de a oferi recomandări cu privire la utilizarea sa viitoare. </w:t>
      </w:r>
    </w:p>
    <w:p w14:paraId="561FAA3B" w14:textId="77777777" w:rsidR="00E57B31" w:rsidRDefault="00E57B31" w:rsidP="00400D84">
      <w:pPr>
        <w:spacing w:after="0"/>
        <w:rPr>
          <w:rFonts w:eastAsia="Aptos" w:cs="Aptos"/>
          <w:noProof/>
        </w:rPr>
      </w:pPr>
    </w:p>
    <w:p w14:paraId="26D16878" w14:textId="0E563E41" w:rsidR="00E57B31" w:rsidRDefault="1AA4BA69" w:rsidP="00E57B31">
      <w:pPr>
        <w:spacing w:after="0"/>
        <w:rPr>
          <w:rFonts w:eastAsia="Aptos" w:cs="Aptos"/>
          <w:noProof/>
        </w:rPr>
      </w:pPr>
      <w:r>
        <w:rPr>
          <w:noProof/>
        </w:rPr>
        <w:t xml:space="preserve">Pentru a întocmi prezentul raport, în iulie 2024, serviciile Comisiei (DG AGRI) au adresat tuturor statelor membre un sondaj privind utilizarea Arachne și interoperabilitatea acestuia. Statelor membre li s-au solicitat informații cu privire la modul în care utilizează sistemul. De asemenea, li s-a cerut să sugereze orice îmbunătățire sau cerință care ar facilita utilizarea Arachne. Rezultatele acestui sondaj au fost prezentate statelor membre în cadrul unei reuniuni a grupului de experți, la 20 septembrie 2024, iar rezultatele discuțiilor fac parte din prezentul raport. </w:t>
      </w:r>
    </w:p>
    <w:p w14:paraId="6BD427C1" w14:textId="77777777" w:rsidR="00D905D6" w:rsidRDefault="00D905D6" w:rsidP="00400D84">
      <w:pPr>
        <w:spacing w:after="0"/>
        <w:rPr>
          <w:rFonts w:eastAsia="Aptos" w:cs="Aptos"/>
          <w:noProof/>
        </w:rPr>
      </w:pPr>
    </w:p>
    <w:p w14:paraId="4505F6CC" w14:textId="15EBB55F" w:rsidR="00D905D6" w:rsidRDefault="067465A4" w:rsidP="00400D84">
      <w:pPr>
        <w:spacing w:after="0"/>
        <w:rPr>
          <w:rFonts w:eastAsia="Aptos" w:cs="Aptos"/>
          <w:noProof/>
        </w:rPr>
      </w:pPr>
      <w:r>
        <w:rPr>
          <w:noProof/>
        </w:rPr>
        <w:t>Raportul este împărțit în șase părți. Capitolul 2 explică acțiunile întreprinse de Comisie pentru a permite și a promova utilizarea Arachne. A treia și a patra parte a raportului descriu situația actuală și evidențiază oportunitățile și provocările asociate utilizării instrumentului Arachne. A cincea secțiune prezintă interoperabilitatea cu instrumentele actuale utilizate de statele membre. Raportul se încheie cu prezentarea etapelor următoare și a perspectivei pe termen lung în ceea ce privește utilizarea Arachne, oferind o viziune pentru dezvoltarea și instalarea viitoare a instrumentului.</w:t>
      </w:r>
    </w:p>
    <w:p w14:paraId="10D9C84E" w14:textId="77777777" w:rsidR="00D905D6" w:rsidRDefault="00D905D6" w:rsidP="00400D84">
      <w:pPr>
        <w:spacing w:after="0"/>
        <w:rPr>
          <w:rFonts w:eastAsia="Aptos" w:cs="Aptos"/>
          <w:noProof/>
        </w:rPr>
      </w:pPr>
    </w:p>
    <w:p w14:paraId="0DE603CC" w14:textId="20B09276" w:rsidR="00D905D6" w:rsidRPr="0044611E" w:rsidRDefault="517CEC9A" w:rsidP="0044611E">
      <w:pPr>
        <w:pStyle w:val="Heading1"/>
        <w:rPr>
          <w:noProof/>
        </w:rPr>
      </w:pPr>
      <w:bookmarkStart w:id="8" w:name="_Toc721472382"/>
      <w:bookmarkStart w:id="9" w:name="_Toc190164909"/>
      <w:r>
        <w:rPr>
          <w:noProof/>
        </w:rPr>
        <w:t>Acțiuni întreprinse de Comisie pentru a permite și a promova utilizarea Arachne pentru PAC</w:t>
      </w:r>
      <w:bookmarkEnd w:id="8"/>
      <w:bookmarkEnd w:id="9"/>
    </w:p>
    <w:p w14:paraId="4C2C6A12" w14:textId="77777777" w:rsidR="00D905D6" w:rsidRDefault="00D905D6" w:rsidP="00400D84">
      <w:pPr>
        <w:spacing w:after="0"/>
        <w:rPr>
          <w:rFonts w:eastAsia="Aptos" w:cs="Aptos"/>
          <w:noProof/>
        </w:rPr>
      </w:pPr>
    </w:p>
    <w:p w14:paraId="5EEE20E2" w14:textId="0C41AC2F" w:rsidR="00D905D6" w:rsidRDefault="00D905D6" w:rsidP="00400D84">
      <w:pPr>
        <w:spacing w:line="278" w:lineRule="auto"/>
        <w:rPr>
          <w:noProof/>
        </w:rPr>
      </w:pPr>
      <w:r>
        <w:rPr>
          <w:noProof/>
        </w:rPr>
        <w:t>În conformitate cu cadrul legislativ, Comisia întreprinde o varietate de acțiuni pentru a promova și a permite utilizarea Arachne de către statele membre pentru cheltuielile PAC.</w:t>
      </w:r>
    </w:p>
    <w:p w14:paraId="707070F7" w14:textId="554BD40F" w:rsidR="00D905D6" w:rsidRDefault="31F31385" w:rsidP="55001977">
      <w:pPr>
        <w:spacing w:after="0"/>
        <w:rPr>
          <w:noProof/>
        </w:rPr>
      </w:pPr>
      <w:r>
        <w:rPr>
          <w:noProof/>
        </w:rPr>
        <w:t xml:space="preserve">Pentru a permite utilizarea instrumentului pentru cheltuielile PAC, Comisia a definit specificațiile cerințelor pentru dezvoltare (proprietarul final și alte punctaje de risc relevante pentru plățile incluse în IACS) în 2021. Principala evoluție a vizat o funcție care să permită încărcarea și descărcarea automată a datelor, având în vedere volumul de date privind plățile în cadrul IACS. Încărcarea automată a datelor a devenit disponibilă începând din februarie 2024. La data prezentului raport, descărcarea automată este în curs de testare de către unele state membre. </w:t>
      </w:r>
    </w:p>
    <w:p w14:paraId="24AA9F08" w14:textId="77777777" w:rsidR="00D905D6" w:rsidRDefault="00D905D6" w:rsidP="00400D84">
      <w:pPr>
        <w:spacing w:after="0"/>
        <w:rPr>
          <w:noProof/>
        </w:rPr>
      </w:pPr>
    </w:p>
    <w:p w14:paraId="40A3AD94" w14:textId="46E43B91" w:rsidR="00D905D6" w:rsidRDefault="00D905D6" w:rsidP="55001977">
      <w:pPr>
        <w:spacing w:after="0"/>
        <w:rPr>
          <w:noProof/>
        </w:rPr>
      </w:pPr>
      <w:r>
        <w:rPr>
          <w:noProof/>
        </w:rPr>
        <w:t>Pe parcursul acestui proces, Comisia a oferit în permanență autorităților statelor membre cursuri de formare și funcții de asistență tehnică, atât înainte ca acestea să înceapă să utilizeze instrumentul, cât și în timpul utilizării acestuia. În plus, au fost organizate discuții și schimburi de bune practici în cadrul reuniunilor grupurilor de experți pentru chestiuni orizontale privind PAC (de exemplu, cea organizată la 20 septembrie 2024 pentru autoritățile statelor membre, în principal pentru agențiile de plăți) și ale Rețelei de învățare a agențiilor de plăți (subgrupul pentru combaterea fraudei și a conflictelor de interese), precum și alte discuții bilaterale și ateliere la cererea statelor membre.</w:t>
      </w:r>
    </w:p>
    <w:p w14:paraId="6246DF08" w14:textId="77777777" w:rsidR="00D905D6" w:rsidRDefault="00D905D6" w:rsidP="00400D84">
      <w:pPr>
        <w:spacing w:after="0"/>
        <w:rPr>
          <w:noProof/>
        </w:rPr>
      </w:pPr>
    </w:p>
    <w:p w14:paraId="53E70EB2" w14:textId="6DC4ED4F" w:rsidR="00D905D6" w:rsidRDefault="00D905D6" w:rsidP="00400D84">
      <w:pPr>
        <w:spacing w:after="0"/>
        <w:rPr>
          <w:noProof/>
        </w:rPr>
      </w:pPr>
      <w:r>
        <w:rPr>
          <w:noProof/>
        </w:rPr>
        <w:t>Majoritatea acestor discuții se referă la politica și procedurile agențiilor de plăți în materie de combatere a fraudei, a conflictelor de interese și de eludare a normelor.</w:t>
      </w:r>
    </w:p>
    <w:p w14:paraId="622BA5DE" w14:textId="77777777" w:rsidR="00D905D6" w:rsidRDefault="00D905D6" w:rsidP="00400D84">
      <w:pPr>
        <w:spacing w:after="0"/>
        <w:rPr>
          <w:noProof/>
        </w:rPr>
      </w:pPr>
    </w:p>
    <w:p w14:paraId="3F87225F" w14:textId="36D0E93C" w:rsidR="00D905D6" w:rsidRDefault="00D905D6" w:rsidP="00400D84">
      <w:pPr>
        <w:spacing w:after="0"/>
        <w:rPr>
          <w:noProof/>
        </w:rPr>
      </w:pPr>
      <w:r>
        <w:rPr>
          <w:noProof/>
        </w:rPr>
        <w:t>Aceste eforturi vor continua până la realizarea utilizării depline a Arachne pentru cheltuielile PAC.</w:t>
      </w:r>
    </w:p>
    <w:p w14:paraId="6F9D01F5" w14:textId="77777777" w:rsidR="00862B78" w:rsidRDefault="00862B78" w:rsidP="00400D84">
      <w:pPr>
        <w:spacing w:after="0"/>
        <w:rPr>
          <w:noProof/>
        </w:rPr>
      </w:pPr>
    </w:p>
    <w:p w14:paraId="3E3E5F7E" w14:textId="77777777" w:rsidR="00D905D6" w:rsidRDefault="00D905D6" w:rsidP="00400D84">
      <w:pPr>
        <w:spacing w:after="0"/>
        <w:rPr>
          <w:noProof/>
        </w:rPr>
      </w:pPr>
    </w:p>
    <w:p w14:paraId="79E23B76" w14:textId="70562814" w:rsidR="00D905D6" w:rsidRPr="0044611E" w:rsidRDefault="517CEC9A" w:rsidP="0044611E">
      <w:pPr>
        <w:pStyle w:val="Heading1"/>
        <w:rPr>
          <w:noProof/>
        </w:rPr>
      </w:pPr>
      <w:bookmarkStart w:id="10" w:name="_Toc1578211476"/>
      <w:bookmarkStart w:id="11" w:name="_Toc190164910"/>
      <w:r>
        <w:rPr>
          <w:noProof/>
        </w:rPr>
        <w:t>Situația actuală: utilizarea actuală a instrumentului de extragere a datelor</w:t>
      </w:r>
      <w:bookmarkEnd w:id="10"/>
      <w:bookmarkEnd w:id="11"/>
      <w:r>
        <w:rPr>
          <w:noProof/>
        </w:rPr>
        <w:t xml:space="preserve"> </w:t>
      </w:r>
    </w:p>
    <w:p w14:paraId="77102423" w14:textId="77777777" w:rsidR="00D905D6" w:rsidRDefault="00D905D6" w:rsidP="00400D84">
      <w:pPr>
        <w:spacing w:after="0"/>
        <w:rPr>
          <w:rFonts w:eastAsia="Aptos" w:cs="Aptos"/>
          <w:b/>
          <w:bCs/>
          <w:noProof/>
        </w:rPr>
      </w:pPr>
    </w:p>
    <w:p w14:paraId="6564F439" w14:textId="3CFE475B" w:rsidR="00D905D6" w:rsidRPr="0041611A" w:rsidRDefault="517CEC9A" w:rsidP="0041611A">
      <w:pPr>
        <w:pStyle w:val="Heading2"/>
        <w:rPr>
          <w:noProof/>
        </w:rPr>
      </w:pPr>
      <w:bookmarkStart w:id="12" w:name="_Toc181571939"/>
      <w:bookmarkStart w:id="13" w:name="_Toc1064182989"/>
      <w:bookmarkStart w:id="14" w:name="_Toc190164911"/>
      <w:bookmarkEnd w:id="12"/>
      <w:r>
        <w:rPr>
          <w:noProof/>
        </w:rPr>
        <w:t>Prezentare generală a implementării și a instalării instrumentului</w:t>
      </w:r>
      <w:bookmarkEnd w:id="13"/>
      <w:bookmarkEnd w:id="14"/>
      <w:r>
        <w:rPr>
          <w:noProof/>
        </w:rPr>
        <w:t xml:space="preserve"> </w:t>
      </w:r>
    </w:p>
    <w:p w14:paraId="6CFA223E" w14:textId="77777777" w:rsidR="00D905D6" w:rsidRDefault="00D905D6" w:rsidP="00400D84">
      <w:pPr>
        <w:pStyle w:val="ListParagraph"/>
        <w:spacing w:after="0"/>
        <w:rPr>
          <w:rFonts w:eastAsia="Aptos" w:cs="Aptos"/>
          <w:b/>
          <w:bCs/>
          <w:noProof/>
        </w:rPr>
      </w:pPr>
    </w:p>
    <w:p w14:paraId="3E94A3BA" w14:textId="430F2F07" w:rsidR="00D905D6" w:rsidRPr="0041611A" w:rsidRDefault="00D905D6">
      <w:pPr>
        <w:spacing w:after="0" w:line="259" w:lineRule="auto"/>
        <w:rPr>
          <w:noProof/>
        </w:rPr>
      </w:pPr>
      <w:r>
        <w:rPr>
          <w:noProof/>
        </w:rPr>
        <w:t>Arachne utilizează un model de tip „entități-relații” (</w:t>
      </w:r>
      <w:r>
        <w:rPr>
          <w:i/>
          <w:iCs/>
          <w:noProof/>
        </w:rPr>
        <w:t>entity-relationship model</w:t>
      </w:r>
      <w:r>
        <w:rPr>
          <w:noProof/>
        </w:rPr>
        <w:t>) pentru a-și organiza și gestiona datele. Sistemul integrează date interne provenite de la statele membre și date externe din surse precum Orbis și World Compliance. Datele sunt apoi corelate și îmbogățite pentru a calcula punctajele de risc pentru proiecte și contracte, oferind astfel utilizatorului o evaluare detaliată a riscurilor pentru datele solicitate. Sistemul include, de asemenea, un modul de gestionare a utilizatorilor pentru izolarea datelor și autentificare.</w:t>
      </w:r>
    </w:p>
    <w:p w14:paraId="42C7AD11" w14:textId="77777777" w:rsidR="0044611E" w:rsidRDefault="0044611E" w:rsidP="00400D84">
      <w:pPr>
        <w:spacing w:after="0"/>
        <w:rPr>
          <w:rFonts w:eastAsia="Aptos" w:cs="Aptos"/>
          <w:b/>
          <w:bCs/>
          <w:i/>
          <w:iCs/>
          <w:noProof/>
        </w:rPr>
      </w:pPr>
    </w:p>
    <w:p w14:paraId="27883443" w14:textId="77777777" w:rsidR="0044611E" w:rsidRDefault="0044611E" w:rsidP="00400D84">
      <w:pPr>
        <w:spacing w:after="0"/>
        <w:rPr>
          <w:rFonts w:eastAsia="Aptos" w:cs="Aptos"/>
          <w:b/>
          <w:bCs/>
          <w:i/>
          <w:iCs/>
          <w:noProof/>
        </w:rPr>
      </w:pPr>
    </w:p>
    <w:p w14:paraId="39B74ABC" w14:textId="77777777" w:rsidR="0044611E" w:rsidRDefault="0044611E" w:rsidP="00400D84">
      <w:pPr>
        <w:spacing w:after="0"/>
        <w:rPr>
          <w:rFonts w:eastAsia="Aptos" w:cs="Aptos"/>
          <w:b/>
          <w:bCs/>
          <w:i/>
          <w:iCs/>
          <w:noProof/>
        </w:rPr>
      </w:pPr>
    </w:p>
    <w:p w14:paraId="25D8A374" w14:textId="77777777" w:rsidR="00862B78" w:rsidRDefault="00862B78">
      <w:pPr>
        <w:spacing w:after="0"/>
        <w:jc w:val="left"/>
        <w:rPr>
          <w:rFonts w:eastAsia="Aptos" w:cs="Aptos"/>
          <w:b/>
          <w:bCs/>
          <w:i/>
          <w:iCs/>
          <w:noProof/>
        </w:rPr>
      </w:pPr>
      <w:r>
        <w:rPr>
          <w:noProof/>
        </w:rPr>
        <w:br w:type="page"/>
      </w:r>
    </w:p>
    <w:p w14:paraId="7F82C829" w14:textId="756103B8" w:rsidR="00D905D6" w:rsidRDefault="00D905D6" w:rsidP="00400D84">
      <w:pPr>
        <w:spacing w:after="0"/>
        <w:rPr>
          <w:rFonts w:eastAsia="Aptos" w:cs="Aptos"/>
          <w:b/>
          <w:bCs/>
          <w:i/>
          <w:iCs/>
          <w:noProof/>
        </w:rPr>
      </w:pPr>
      <w:r>
        <w:rPr>
          <w:b/>
          <w:i/>
          <w:noProof/>
        </w:rPr>
        <w:t>Statistici privind utilizarea Arachne pentru PAC (</w:t>
      </w:r>
      <w:r w:rsidR="004C6397">
        <w:rPr>
          <w:rStyle w:val="FootnoteReference"/>
          <w:rFonts w:eastAsia="Aptos" w:cs="Aptos"/>
          <w:b/>
          <w:bCs/>
          <w:i/>
          <w:iCs/>
          <w:noProof/>
        </w:rPr>
        <w:footnoteReference w:id="4"/>
      </w:r>
      <w:r>
        <w:rPr>
          <w:b/>
          <w:i/>
          <w:noProof/>
        </w:rPr>
        <w:t xml:space="preserve">) </w:t>
      </w:r>
    </w:p>
    <w:p w14:paraId="5745BD10" w14:textId="77777777" w:rsidR="00D905D6" w:rsidRDefault="00D905D6" w:rsidP="00400D84">
      <w:pPr>
        <w:spacing w:after="0" w:line="257" w:lineRule="auto"/>
        <w:rPr>
          <w:rFonts w:eastAsia="Aptos" w:cs="Aptos"/>
          <w:b/>
          <w:bCs/>
          <w:noProof/>
        </w:rPr>
      </w:pPr>
    </w:p>
    <w:p w14:paraId="2972E582" w14:textId="54FB10AC" w:rsidR="00D905D6" w:rsidRDefault="00D179EF" w:rsidP="00400D84">
      <w:pPr>
        <w:spacing w:line="257" w:lineRule="auto"/>
        <w:rPr>
          <w:noProof/>
        </w:rPr>
      </w:pPr>
      <w:r w:rsidRPr="00D179EF">
        <w:rPr>
          <w:noProof/>
          <w:lang w:val="en-GB" w:eastAsia="en-GB"/>
        </w:rPr>
        <w:drawing>
          <wp:inline distT="0" distB="0" distL="0" distR="0" wp14:anchorId="06F403D4" wp14:editId="1A8A52F2">
            <wp:extent cx="5472430" cy="2957830"/>
            <wp:effectExtent l="0" t="0" r="0" b="0"/>
            <wp:docPr id="17628079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2430" cy="2957830"/>
                    </a:xfrm>
                    <a:prstGeom prst="rect">
                      <a:avLst/>
                    </a:prstGeom>
                    <a:noFill/>
                    <a:ln>
                      <a:noFill/>
                    </a:ln>
                  </pic:spPr>
                </pic:pic>
              </a:graphicData>
            </a:graphic>
          </wp:inline>
        </w:drawing>
      </w:r>
    </w:p>
    <w:p w14:paraId="37DB65C6" w14:textId="23528683" w:rsidR="00D905D6" w:rsidRDefault="75EBAA29" w:rsidP="00400D84">
      <w:pPr>
        <w:spacing w:after="0" w:line="257" w:lineRule="auto"/>
        <w:rPr>
          <w:noProof/>
        </w:rPr>
      </w:pPr>
      <w:r>
        <w:rPr>
          <w:noProof/>
        </w:rPr>
        <w:t xml:space="preserve">În ceea ce privește cheltuielile PAC, graficul arată că 11 state membre utilizează întregul potențial al instrumentului (încărcare și utilizare). Alte trei state membre încarcă deja date în instrument. Cu toate acestea, ele nu utilizează încă datele îmbogățite disponibile din Arachne. Șapte state membre au urmat doar un curs introductiv de formare și urmează să înceapă încărcarea și utilizarea instrumentului. La momentul întocmirii prezentului raport, celelalte șase state membre au solicitat cursuri introductive de formare. </w:t>
      </w:r>
    </w:p>
    <w:p w14:paraId="4C7C61BD" w14:textId="77777777" w:rsidR="002A65D9" w:rsidRDefault="002A65D9" w:rsidP="00400D84">
      <w:pPr>
        <w:spacing w:after="0" w:line="257" w:lineRule="auto"/>
        <w:rPr>
          <w:noProof/>
        </w:rPr>
      </w:pPr>
    </w:p>
    <w:p w14:paraId="7C692D14" w14:textId="2FFF028B" w:rsidR="00944039" w:rsidRDefault="75A47F4C" w:rsidP="00400D84">
      <w:pPr>
        <w:spacing w:after="0" w:line="257" w:lineRule="auto"/>
        <w:rPr>
          <w:noProof/>
        </w:rPr>
      </w:pPr>
      <w:r>
        <w:rPr>
          <w:noProof/>
        </w:rPr>
        <w:t xml:space="preserve">Trei dintre cele 11 state membre care utilizează Arachne testează capacitățile instrumentului pentru intervențiile FEGA incluse în IACS. </w:t>
      </w:r>
    </w:p>
    <w:p w14:paraId="5B9ED297" w14:textId="77777777" w:rsidR="00862B78" w:rsidRDefault="00862B78" w:rsidP="00400D84">
      <w:pPr>
        <w:spacing w:after="0" w:line="257" w:lineRule="auto"/>
        <w:rPr>
          <w:noProof/>
        </w:rPr>
      </w:pPr>
    </w:p>
    <w:p w14:paraId="76DC2396" w14:textId="65139CFC" w:rsidR="00D905D6" w:rsidRDefault="3E65B5C2" w:rsidP="00400D84">
      <w:pPr>
        <w:spacing w:after="0" w:line="257" w:lineRule="auto"/>
        <w:rPr>
          <w:noProof/>
        </w:rPr>
      </w:pPr>
      <w:r>
        <w:rPr>
          <w:noProof/>
        </w:rPr>
        <w:t xml:space="preserve">În ceea ce privește etapele „Utilizare și încărcare” și „Încărcare”, referitor la perioada de programare 2014-2022, Arachne a fost utilizat pentru 17 programe de dezvoltare rurală. Pentru perioada actuală 2023-2027, instrumentul este deja utilizat pentru cheltuielile de dezvoltare rurală din cadrul unui plan strategic PAC. Sunt acoperite 167 731 de proiecte și 139 911 beneficiari. </w:t>
      </w:r>
    </w:p>
    <w:p w14:paraId="764E1658" w14:textId="77777777" w:rsidR="00D905D6" w:rsidRDefault="00D905D6" w:rsidP="00400D84">
      <w:pPr>
        <w:spacing w:line="257" w:lineRule="auto"/>
        <w:rPr>
          <w:noProof/>
        </w:rPr>
      </w:pPr>
      <w:r>
        <w:rPr>
          <w:noProof/>
          <w:sz w:val="22"/>
        </w:rPr>
        <w:t xml:space="preserve"> </w:t>
      </w:r>
    </w:p>
    <w:p w14:paraId="2CBC1AB1" w14:textId="020C88EE" w:rsidR="00D905D6" w:rsidRDefault="517CEC9A" w:rsidP="7B2D6861">
      <w:pPr>
        <w:keepNext/>
        <w:spacing w:line="257" w:lineRule="auto"/>
        <w:rPr>
          <w:rFonts w:eastAsia="Aptos" w:cs="Aptos"/>
          <w:b/>
          <w:bCs/>
          <w:i/>
          <w:iCs/>
          <w:noProof/>
        </w:rPr>
      </w:pPr>
      <w:r>
        <w:rPr>
          <w:b/>
          <w:i/>
          <w:noProof/>
        </w:rPr>
        <w:t>Statistici privind încărcarea datelor privind PAC (</w:t>
      </w:r>
      <w:r w:rsidR="004C6397" w:rsidRPr="2E6B9931">
        <w:rPr>
          <w:rStyle w:val="FootnoteReference"/>
          <w:rFonts w:eastAsia="Aptos" w:cs="Aptos"/>
          <w:b/>
          <w:bCs/>
          <w:i/>
          <w:iCs/>
          <w:noProof/>
        </w:rPr>
        <w:footnoteReference w:id="5"/>
      </w:r>
      <w:r>
        <w:rPr>
          <w:b/>
          <w:i/>
          <w:noProof/>
        </w:rPr>
        <w:t>)</w:t>
      </w:r>
    </w:p>
    <w:p w14:paraId="3990314E" w14:textId="06836CD1" w:rsidR="00862B78" w:rsidRDefault="00D179EF" w:rsidP="2E6B9931">
      <w:pPr>
        <w:spacing w:line="257" w:lineRule="auto"/>
        <w:rPr>
          <w:noProof/>
        </w:rPr>
      </w:pPr>
      <w:r w:rsidRPr="00D179EF">
        <w:rPr>
          <w:noProof/>
          <w:lang w:val="en-GB" w:eastAsia="en-GB"/>
        </w:rPr>
        <w:drawing>
          <wp:inline distT="0" distB="0" distL="0" distR="0" wp14:anchorId="12236382" wp14:editId="149B4B60">
            <wp:extent cx="5472430" cy="2635885"/>
            <wp:effectExtent l="0" t="0" r="0" b="0"/>
            <wp:docPr id="13964941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2430" cy="2635885"/>
                    </a:xfrm>
                    <a:prstGeom prst="rect">
                      <a:avLst/>
                    </a:prstGeom>
                    <a:noFill/>
                    <a:ln>
                      <a:noFill/>
                    </a:ln>
                  </pic:spPr>
                </pic:pic>
              </a:graphicData>
            </a:graphic>
          </wp:inline>
        </w:drawing>
      </w:r>
      <w:r w:rsidR="317D8496">
        <w:rPr>
          <w:noProof/>
        </w:rPr>
        <w:cr/>
      </w:r>
      <w:r w:rsidR="317D8496">
        <w:rPr>
          <w:noProof/>
        </w:rPr>
        <w:br/>
      </w:r>
    </w:p>
    <w:p w14:paraId="421C9055" w14:textId="5C8370EE" w:rsidR="317D8496" w:rsidRDefault="65E474AF" w:rsidP="2E6B9931">
      <w:pPr>
        <w:spacing w:line="257" w:lineRule="auto"/>
        <w:rPr>
          <w:noProof/>
        </w:rPr>
      </w:pPr>
      <w:r>
        <w:rPr>
          <w:noProof/>
        </w:rPr>
        <w:t>Potențialul instrumentului constă în bazele sale de date îmbunătățite. Acest proces nu a fost încă finalizat cu încărcarea completă a datelor de către statele membre pentru toate fondurile. Bazele de date utilizate în Arachne sunt transversale și se completează reciproc. Pentru a profita de capacitățile instrumentului, statele membre trebuie să încarce date. Statisticile de mai sus arată că Arachne captează deja date din mai multe programe de dezvoltare rurală și măsuri de piață din cadrul PAC. Cu toate acestea, încărcarea datelor în ceea ce privește plățile incluse în IACS abia începe, inclusiv din cauza faptului că funcția de încărcare automată a datelor, necesară pentru încărcarea datelor IACS, a devenit disponibilă în februarie 2024.</w:t>
      </w:r>
    </w:p>
    <w:p w14:paraId="6D9A1E1B" w14:textId="00E0FF0A" w:rsidR="2E6B9931" w:rsidRDefault="2E6B9931" w:rsidP="2E6B9931">
      <w:pPr>
        <w:spacing w:line="257" w:lineRule="auto"/>
        <w:rPr>
          <w:noProof/>
        </w:rPr>
      </w:pPr>
    </w:p>
    <w:p w14:paraId="798A3F09" w14:textId="7B1E828E" w:rsidR="00E85772" w:rsidRDefault="00E85772" w:rsidP="00E85772">
      <w:pPr>
        <w:spacing w:line="257" w:lineRule="auto"/>
        <w:rPr>
          <w:noProof/>
        </w:rPr>
      </w:pPr>
    </w:p>
    <w:p w14:paraId="02BDE9DA" w14:textId="482A4583" w:rsidR="008649FF" w:rsidRDefault="65523C79" w:rsidP="7B2D6861">
      <w:pPr>
        <w:keepNext/>
        <w:spacing w:line="257" w:lineRule="auto"/>
        <w:rPr>
          <w:noProof/>
        </w:rPr>
      </w:pPr>
      <w:r>
        <w:rPr>
          <w:b/>
          <w:i/>
          <w:noProof/>
        </w:rPr>
        <w:t>Statistici privind utilizarea Arachne de către utilizatorii din departamentele pentru agricultură (</w:t>
      </w:r>
      <w:r w:rsidR="008649FF">
        <w:rPr>
          <w:rStyle w:val="FootnoteReference"/>
          <w:rFonts w:eastAsia="Aptos" w:cs="Aptos"/>
          <w:b/>
          <w:bCs/>
          <w:i/>
          <w:iCs/>
          <w:noProof/>
        </w:rPr>
        <w:footnoteReference w:id="6"/>
      </w:r>
      <w:r>
        <w:rPr>
          <w:b/>
          <w:i/>
          <w:noProof/>
        </w:rPr>
        <w:t>)</w:t>
      </w:r>
    </w:p>
    <w:p w14:paraId="6794B1AD" w14:textId="24B99BE8" w:rsidR="00862B78" w:rsidRDefault="006717D6" w:rsidP="2E6B9931">
      <w:pPr>
        <w:spacing w:line="257" w:lineRule="auto"/>
        <w:rPr>
          <w:noProof/>
        </w:rPr>
      </w:pPr>
      <w:r w:rsidRPr="006717D6">
        <w:rPr>
          <w:noProof/>
          <w:lang w:val="en-GB" w:eastAsia="en-GB"/>
        </w:rPr>
        <w:drawing>
          <wp:inline distT="0" distB="0" distL="0" distR="0" wp14:anchorId="09FA9B64" wp14:editId="4B140888">
            <wp:extent cx="5472430" cy="2792095"/>
            <wp:effectExtent l="0" t="0" r="0" b="8255"/>
            <wp:docPr id="1204130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2430" cy="2792095"/>
                    </a:xfrm>
                    <a:prstGeom prst="rect">
                      <a:avLst/>
                    </a:prstGeom>
                    <a:noFill/>
                    <a:ln>
                      <a:noFill/>
                    </a:ln>
                  </pic:spPr>
                </pic:pic>
              </a:graphicData>
            </a:graphic>
          </wp:inline>
        </w:drawing>
      </w:r>
    </w:p>
    <w:p w14:paraId="7FD28A08" w14:textId="37A2E9BC" w:rsidR="00E50C9B" w:rsidRDefault="15DD6C56" w:rsidP="2E6B9931">
      <w:pPr>
        <w:spacing w:line="257" w:lineRule="auto"/>
        <w:rPr>
          <w:noProof/>
        </w:rPr>
      </w:pPr>
      <w:r>
        <w:rPr>
          <w:noProof/>
        </w:rPr>
        <w:cr/>
      </w:r>
      <w:r>
        <w:rPr>
          <w:noProof/>
        </w:rPr>
        <w:br/>
      </w:r>
      <w:r w:rsidR="00414EFA" w:rsidRPr="00414EFA">
        <w:rPr>
          <w:noProof/>
          <w:lang w:val="en-GB" w:eastAsia="en-GB"/>
        </w:rPr>
        <w:drawing>
          <wp:inline distT="0" distB="0" distL="0" distR="0" wp14:anchorId="51400815" wp14:editId="1711F922">
            <wp:extent cx="5472430" cy="2997835"/>
            <wp:effectExtent l="0" t="0" r="0" b="0"/>
            <wp:docPr id="51531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2430" cy="2997835"/>
                    </a:xfrm>
                    <a:prstGeom prst="rect">
                      <a:avLst/>
                    </a:prstGeom>
                    <a:noFill/>
                    <a:ln>
                      <a:noFill/>
                    </a:ln>
                  </pic:spPr>
                </pic:pic>
              </a:graphicData>
            </a:graphic>
          </wp:inline>
        </w:drawing>
      </w:r>
      <w:r>
        <w:rPr>
          <w:noProof/>
        </w:rPr>
        <w:cr/>
      </w:r>
      <w:r>
        <w:rPr>
          <w:noProof/>
        </w:rPr>
        <w:br/>
      </w:r>
    </w:p>
    <w:p w14:paraId="32FE9DB8" w14:textId="59C10D27" w:rsidR="00D905D6" w:rsidRDefault="78A6092C" w:rsidP="00400D84">
      <w:pPr>
        <w:spacing w:line="257" w:lineRule="auto"/>
        <w:rPr>
          <w:noProof/>
        </w:rPr>
      </w:pPr>
      <w:r>
        <w:rPr>
          <w:noProof/>
        </w:rPr>
        <w:t xml:space="preserve">Din statistici reiese în mod clar că nu toate statele membre care furnizează date instrumentului utilizează sistemul, deși, de-a lungul anilor, s-a înregistrat un progres treptat în legătură cu numărul de utilizatori și de conexiuni la instrument în ceea ce privește cheltuielile PAC. Statele membre depun eforturi substanțiale pentru a furniza date. Comisia va continua să încurajeze statele membre să valorifice în continuare potențialul Arachne, și anume să îl utilizeze pentru procedurile agențiilor de plăți în materie de evaluare a riscurilor și de prevenire, detectare și gestionare a fraudei. </w:t>
      </w:r>
    </w:p>
    <w:p w14:paraId="1FFB48E3" w14:textId="77777777" w:rsidR="00D905D6" w:rsidRPr="00F45C04" w:rsidRDefault="00D905D6" w:rsidP="00F45C04">
      <w:pPr>
        <w:spacing w:after="0"/>
        <w:rPr>
          <w:rFonts w:eastAsia="Aptos" w:cs="Aptos"/>
          <w:b/>
          <w:bCs/>
          <w:noProof/>
        </w:rPr>
      </w:pPr>
    </w:p>
    <w:p w14:paraId="0627E770" w14:textId="7B2EA662" w:rsidR="00D905D6" w:rsidRPr="00ED796E" w:rsidRDefault="517CEC9A" w:rsidP="00ED796E">
      <w:pPr>
        <w:pStyle w:val="Heading2"/>
        <w:rPr>
          <w:noProof/>
        </w:rPr>
      </w:pPr>
      <w:bookmarkStart w:id="15" w:name="_Toc442993428"/>
      <w:bookmarkStart w:id="16" w:name="_Toc190164912"/>
      <w:r>
        <w:rPr>
          <w:noProof/>
        </w:rPr>
        <w:t>Funcționalitatea și performanța instrumentului</w:t>
      </w:r>
      <w:bookmarkEnd w:id="15"/>
      <w:bookmarkEnd w:id="16"/>
    </w:p>
    <w:p w14:paraId="43E6654A" w14:textId="77777777" w:rsidR="00D905D6" w:rsidRDefault="00D905D6" w:rsidP="00400D84">
      <w:pPr>
        <w:pStyle w:val="ListParagraph"/>
        <w:spacing w:after="0"/>
        <w:rPr>
          <w:rFonts w:eastAsia="Aptos" w:cs="Aptos"/>
          <w:b/>
          <w:bCs/>
          <w:noProof/>
        </w:rPr>
      </w:pPr>
    </w:p>
    <w:p w14:paraId="455B3795" w14:textId="399FB384" w:rsidR="00D905D6" w:rsidRDefault="00D905D6" w:rsidP="00400D84">
      <w:pPr>
        <w:spacing w:line="257" w:lineRule="auto"/>
        <w:rPr>
          <w:noProof/>
        </w:rPr>
      </w:pPr>
      <w:r>
        <w:rPr>
          <w:noProof/>
        </w:rPr>
        <w:t xml:space="preserve">Arachne este un instrument puternic, care urmărește să furnizeze indicatori de risc cu valoare ridicată, îmbunătățind verificările de gestiune. El creează o bază de date cuprinzătoare și completă a proiectelor implementate în cadrul fondurilor UE, îmbogățind datele cu informații accesibile publicului. În ceea ce privește utilizarea instrumentului pentru cheltuielile PAC, dezvoltarea critică a funcționalităților de încărcare și descărcare automată a datelor a devenit disponibilă în cursul anului 2024. Cu toate acestea, pentru a utiliza aceste funcționalități de încărcare și descărcare automată a unor volume masive de date IACS, statele membre trebuie să dezvolte un software. Până în prezent, statele membre au efectuat patru încărcări de date IACS. Două state membre testează descărcarea automată a datelor din Arachne. Restul descărcărilor atât pentru cheltuielile incluse în IACS, cât și pentru cele neincluse în IACS au fost efectuate manual. </w:t>
      </w:r>
    </w:p>
    <w:p w14:paraId="0CF0777D" w14:textId="4D13BA53" w:rsidR="00D905D6" w:rsidRDefault="517CEC9A" w:rsidP="003A2940">
      <w:pPr>
        <w:pStyle w:val="ListParagraph"/>
        <w:spacing w:line="257" w:lineRule="auto"/>
        <w:ind w:left="0"/>
        <w:jc w:val="both"/>
        <w:rPr>
          <w:rFonts w:ascii="Times New Roman" w:hAnsi="Times New Roman" w:cs="Times New Roman"/>
          <w:noProof/>
        </w:rPr>
      </w:pPr>
      <w:r>
        <w:rPr>
          <w:rFonts w:ascii="Times New Roman" w:hAnsi="Times New Roman"/>
          <w:noProof/>
        </w:rPr>
        <w:t>Arachne poate fi uneori problematic din cauza numărului mare de indicatori de risc pe care îi produce, ceea ce face dificilă utilizarea sa fără o înțelegere aprofundată a instrumentului. În plus, intervalul de timp necesar pentru ca instrumentul să genereze rezultate poate fi lung. După încărcarea datelor, rezultatele sunt furnizate săptămânal. Totuși, acest interval de timp poate cauza întârzieri suplimentare în procesul de autorizare al agenției de plăți.</w:t>
      </w:r>
    </w:p>
    <w:p w14:paraId="6EF14EED" w14:textId="77777777" w:rsidR="00F45C04" w:rsidRPr="003A2940" w:rsidRDefault="00F45C04" w:rsidP="003A2940">
      <w:pPr>
        <w:pStyle w:val="ListParagraph"/>
        <w:spacing w:line="257" w:lineRule="auto"/>
        <w:ind w:left="0"/>
        <w:jc w:val="both"/>
        <w:rPr>
          <w:rFonts w:ascii="Times New Roman" w:eastAsia="Aptos" w:hAnsi="Times New Roman" w:cs="Times New Roman"/>
          <w:noProof/>
        </w:rPr>
      </w:pPr>
    </w:p>
    <w:p w14:paraId="0024B6C7" w14:textId="0E4EEAF6" w:rsidR="00D905D6" w:rsidRPr="0044611E" w:rsidRDefault="517CEC9A" w:rsidP="7B2D6861">
      <w:pPr>
        <w:pStyle w:val="Heading1"/>
        <w:rPr>
          <w:rFonts w:eastAsia="Aptos" w:cs="Aptos"/>
          <w:noProof/>
        </w:rPr>
      </w:pPr>
      <w:bookmarkStart w:id="17" w:name="_Toc787074574"/>
      <w:bookmarkStart w:id="18" w:name="_Toc190164913"/>
      <w:r>
        <w:rPr>
          <w:noProof/>
        </w:rPr>
        <w:t>Utilizarea de către statele membre conform sondajului: oportunități și provocări</w:t>
      </w:r>
      <w:bookmarkEnd w:id="17"/>
      <w:bookmarkEnd w:id="18"/>
      <w:r>
        <w:rPr>
          <w:noProof/>
        </w:rPr>
        <w:t xml:space="preserve"> </w:t>
      </w:r>
    </w:p>
    <w:p w14:paraId="1B84A4E5" w14:textId="5287876F" w:rsidR="00D905D6" w:rsidRPr="00E05609" w:rsidRDefault="4FD17D5B" w:rsidP="00400D84">
      <w:pPr>
        <w:rPr>
          <w:noProof/>
        </w:rPr>
      </w:pPr>
      <w:r>
        <w:rPr>
          <w:noProof/>
        </w:rPr>
        <w:t>După cum s-a menționat deja, în perioada iulie-august 2024, Comisia a efectuat un sondaj privind utilizarea Arachne în vederea obținerii de informații pentru viitoarele acțiuni aferente proiectului, pentru a răspunde mai bine nevoilor statelor membre.</w:t>
      </w:r>
    </w:p>
    <w:p w14:paraId="2D1B6598" w14:textId="4D87CC36" w:rsidR="008F3595" w:rsidRDefault="00D905D6" w:rsidP="00400D84">
      <w:pPr>
        <w:rPr>
          <w:noProof/>
        </w:rPr>
      </w:pPr>
      <w:r>
        <w:rPr>
          <w:noProof/>
        </w:rPr>
        <w:t xml:space="preserve">În total, au fost furnizate 25 de răspunsuri care au fost pregătite fie la nivelul statelor membre (reprezentând mai multe agenții de plăți), fie la nivelul agențiilor de plăți. Un număr de 15 state membre/agenții de plăți (60 %) au declarat că utilizează Arachne la momentul actual. Pentru 8 dintre acestea (53 %), utilizarea instrumentului Arachne este obligatorie în conformitate cu procedurile lor interne. În ceea ce privește frecvența utilizării, potrivit acestor 15 răspunsuri, 1 stat membru/agenție de plăți (7 %) îl utilizează zilnic, 40 % dintre acestea îl utilizează săptămânal, iar alte 2 state membre/agenții de plăți cel puțin lunar. </w:t>
      </w:r>
    </w:p>
    <w:p w14:paraId="68DF0DAD" w14:textId="779BF8DB" w:rsidR="002A312F" w:rsidRPr="002B5C30" w:rsidRDefault="30D17310" w:rsidP="2E6B9931">
      <w:pPr>
        <w:keepNext/>
        <w:rPr>
          <w:i/>
          <w:iCs/>
          <w:noProof/>
        </w:rPr>
      </w:pPr>
      <w:r>
        <w:rPr>
          <w:b/>
          <w:i/>
          <w:noProof/>
        </w:rPr>
        <w:t>Frecvența utilizării Arachne în rândul a 15 state membre/agenții de plăți (PAC)</w:t>
      </w:r>
      <w:r>
        <w:rPr>
          <w:i/>
          <w:noProof/>
        </w:rPr>
        <w:t> (</w:t>
      </w:r>
      <w:r w:rsidR="004C6397" w:rsidRPr="2E6B9931">
        <w:rPr>
          <w:rStyle w:val="FootnoteReference"/>
          <w:i/>
          <w:iCs/>
          <w:noProof/>
        </w:rPr>
        <w:footnoteReference w:id="7"/>
      </w:r>
      <w:r>
        <w:rPr>
          <w:i/>
          <w:noProof/>
        </w:rPr>
        <w:t>)</w:t>
      </w:r>
    </w:p>
    <w:p w14:paraId="6A38ADEA" w14:textId="2A7A7233" w:rsidR="008F3595" w:rsidRDefault="00D179EF" w:rsidP="00400D84">
      <w:pPr>
        <w:rPr>
          <w:noProof/>
        </w:rPr>
      </w:pPr>
      <w:r w:rsidRPr="00D179EF">
        <w:rPr>
          <w:noProof/>
          <w:lang w:val="en-GB" w:eastAsia="en-GB"/>
        </w:rPr>
        <w:drawing>
          <wp:inline distT="0" distB="0" distL="0" distR="0" wp14:anchorId="77878A09" wp14:editId="25F45C02">
            <wp:extent cx="4381500" cy="2543175"/>
            <wp:effectExtent l="0" t="0" r="0" b="9525"/>
            <wp:docPr id="20554105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0" cy="2543175"/>
                    </a:xfrm>
                    <a:prstGeom prst="rect">
                      <a:avLst/>
                    </a:prstGeom>
                    <a:noFill/>
                    <a:ln>
                      <a:noFill/>
                    </a:ln>
                  </pic:spPr>
                </pic:pic>
              </a:graphicData>
            </a:graphic>
          </wp:inline>
        </w:drawing>
      </w:r>
    </w:p>
    <w:p w14:paraId="4AB6AC4D" w14:textId="5EC77692" w:rsidR="00D905D6" w:rsidRDefault="005D4ADB" w:rsidP="7B2D6861">
      <w:pPr>
        <w:rPr>
          <w:noProof/>
        </w:rPr>
      </w:pPr>
      <w:r>
        <w:rPr>
          <w:noProof/>
        </w:rPr>
        <w:t>În ceea ce privește fondurile agricole ale UE, agențiile de plăți sunt principalii utilizatori ai Arachne. Cu toate acestea, în jumătate din cazurile raportate, organismele de certificare, responsabile cu certificarea sistemelor de gestiune și control ale agențiilor de plăți, utilizează, de asemenea, Arachne.</w:t>
      </w:r>
    </w:p>
    <w:p w14:paraId="5CFCD64B" w14:textId="77777777" w:rsidR="00D905D6" w:rsidRDefault="00D905D6" w:rsidP="00400D84">
      <w:pPr>
        <w:rPr>
          <w:noProof/>
        </w:rPr>
      </w:pPr>
      <w:r>
        <w:rPr>
          <w:noProof/>
        </w:rPr>
        <w:t xml:space="preserve">27 % dintre agențiile de plăți care utilizează în prezent Arachne și care au participat la sondaj au declarat că utilizează instrumentul atât pentru cheltuielile incluse în IACS, cât și pentru cele neincluse în IACS, în timp ce restul agențiilor de plăți îl utilizează numai pentru cheltuielile neincluse în IACS. </w:t>
      </w:r>
    </w:p>
    <w:p w14:paraId="6AB5F0A8" w14:textId="54F6A359" w:rsidR="00D905D6" w:rsidRDefault="00D905D6" w:rsidP="00400D84">
      <w:pPr>
        <w:rPr>
          <w:noProof/>
        </w:rPr>
      </w:pPr>
      <w:r>
        <w:rPr>
          <w:noProof/>
        </w:rPr>
        <w:t>Arachne este utilizat în principal în scopuri de detectare a fraudei, a conflictelor de interese și a dublei finanțări. Principalii indicatori utilizați sunt legați de identificarea legăturilor dintre diferitele părți interesate, de concentrarea ajutoarelor, de caracterul rezonabil al costurilor, precum și de alte alerte legate de neîndeplinirea obligațiilor de plată și de reputație și de indicatori privind IMM-urile și start-up-urile.</w:t>
      </w:r>
    </w:p>
    <w:p w14:paraId="37A15BF4" w14:textId="1612DCE9" w:rsidR="004C6397" w:rsidRDefault="2EB0FBD1" w:rsidP="7B2D6861">
      <w:pPr>
        <w:keepNext/>
        <w:rPr>
          <w:noProof/>
        </w:rPr>
      </w:pPr>
      <w:r>
        <w:rPr>
          <w:b/>
          <w:i/>
          <w:noProof/>
        </w:rPr>
        <w:t>Scopul principal al utilizării Arachne (PAC) (</w:t>
      </w:r>
      <w:r w:rsidR="004C6397" w:rsidRPr="7B2D6861">
        <w:rPr>
          <w:rStyle w:val="FootnoteReference"/>
          <w:b/>
          <w:bCs/>
          <w:i/>
          <w:iCs/>
          <w:noProof/>
        </w:rPr>
        <w:footnoteReference w:id="8"/>
      </w:r>
      <w:r>
        <w:rPr>
          <w:b/>
          <w:i/>
          <w:noProof/>
        </w:rPr>
        <w:t>)</w:t>
      </w:r>
    </w:p>
    <w:p w14:paraId="0FEC48B0" w14:textId="7F80CD21" w:rsidR="002A312F" w:rsidRDefault="00414EFA" w:rsidP="00400D84">
      <w:pPr>
        <w:rPr>
          <w:noProof/>
        </w:rPr>
      </w:pPr>
      <w:r w:rsidRPr="00414EFA">
        <w:rPr>
          <w:noProof/>
          <w:lang w:val="en-GB" w:eastAsia="en-GB"/>
        </w:rPr>
        <w:drawing>
          <wp:inline distT="0" distB="0" distL="0" distR="0" wp14:anchorId="27BD580C" wp14:editId="3CDA4A45">
            <wp:extent cx="5472430" cy="3471545"/>
            <wp:effectExtent l="0" t="0" r="0" b="0"/>
            <wp:docPr id="1878084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2430" cy="3471545"/>
                    </a:xfrm>
                    <a:prstGeom prst="rect">
                      <a:avLst/>
                    </a:prstGeom>
                    <a:noFill/>
                    <a:ln>
                      <a:noFill/>
                    </a:ln>
                  </pic:spPr>
                </pic:pic>
              </a:graphicData>
            </a:graphic>
          </wp:inline>
        </w:drawing>
      </w:r>
    </w:p>
    <w:p w14:paraId="60DE4F12" w14:textId="46A97355" w:rsidR="00D905D6" w:rsidRDefault="00D905D6" w:rsidP="00400D84">
      <w:pPr>
        <w:rPr>
          <w:noProof/>
        </w:rPr>
      </w:pPr>
      <w:r>
        <w:rPr>
          <w:noProof/>
        </w:rPr>
        <w:t>Agențiile de plăți care utilizează Arachne au declarat că îl utilizează în principal pentru a verifica condițiile de eligibilitate și pentru a obține eșantionul controalelor lor la fața locului. O treime dintre aceste agenții de plăți au declarat că au identificat cazuri de abatere și de fraudă pe baza informațiilor furnizate de Arachne, iar marea majoritate a acestora sunt mulțumite de utilizarea acestuia.</w:t>
      </w:r>
    </w:p>
    <w:p w14:paraId="4B8C50E9" w14:textId="43264CF4" w:rsidR="00D905D6" w:rsidRDefault="00D905D6" w:rsidP="00400D84">
      <w:pPr>
        <w:rPr>
          <w:noProof/>
        </w:rPr>
      </w:pPr>
      <w:r>
        <w:rPr>
          <w:noProof/>
        </w:rPr>
        <w:t>Cu toate acestea, agențiile de plăți care utilizează Arachne au identificat mai multe domenii în care sunt necesare îmbunătățiri, în ceea ce privește ușurința utilizării instrumentului (interfață mai intuitivă, funcționalități ale ecranelor și ale tablourilor de bord, îmbunătățirea facilităților de căutare), disponibilitatea datelor (disponibilitatea mai rapidă a unor date mai complete și încărcate mai frecvent) și rezultatele obținute cu ajutorul instrumentului (dezvoltarea modulului pentru IMM-uri, îmbunătățirea rapoartelor obținute). Per ansamblu, ușurința de a extrage datele din Arachne pentru a fi integrate în sistemele agențiilor de plăți a fost evaluată la un nivel scăzut și doar jumătate dintre agențiile de plăți care utilizează Arachne s-au declarat dispuse să dezvolte un software de încărcare și descărcare a datelor IACS.</w:t>
      </w:r>
    </w:p>
    <w:p w14:paraId="6108DFA5" w14:textId="128AEB2C" w:rsidR="00D905D6" w:rsidRDefault="00D905D6" w:rsidP="00400D84">
      <w:pPr>
        <w:rPr>
          <w:noProof/>
        </w:rPr>
      </w:pPr>
      <w:r>
        <w:rPr>
          <w:noProof/>
        </w:rPr>
        <w:t xml:space="preserve">În ceea ce privește agențiile de plăți care au declarat că nu utilizează Arachne, niciuna dintre ele nu a utilizat instrumentul în trecut, iar 7 (70 %) intenționează să îl utilizeze în viitor, dintre care 5 atât pentru cheltuielile incluse în IACS, cât și pentru cele neincluse în IACS. Capacitățile tehnice disponibile ale agențiilor de plăți reprezintă o constrângere pentru jumătate dintre acestea, fiind, în unele cazuri, motivul pentru care au avut în vedere utilizarea Arachne numai pentru cheltuielile neincluse în IACS. </w:t>
      </w:r>
    </w:p>
    <w:p w14:paraId="2C78B773" w14:textId="5A69C5D5" w:rsidR="00D905D6" w:rsidRDefault="00D905D6" w:rsidP="00400D84">
      <w:pPr>
        <w:rPr>
          <w:noProof/>
        </w:rPr>
      </w:pPr>
      <w:r>
        <w:rPr>
          <w:noProof/>
        </w:rPr>
        <w:t xml:space="preserve">În cele din urmă, jumătate dintre toate agențiile de plăți care au contribuit la sondaj au declarat că utilizează alte instrumente de extragere a datelor la nivel național sau că au integrat factori de risc în alte sisteme informatice ale agenției de plăți. Unele dintre aceste agenții de plăți sporesc disponibilitatea datelor istorice relevante la nivel național ale instrumentelor lor, spre deosebire de Arachne. </w:t>
      </w:r>
    </w:p>
    <w:p w14:paraId="61D7637F" w14:textId="77777777" w:rsidR="004C6397" w:rsidRDefault="004C6397" w:rsidP="00400D84">
      <w:pPr>
        <w:rPr>
          <w:noProof/>
        </w:rPr>
      </w:pPr>
    </w:p>
    <w:p w14:paraId="38BDAD69" w14:textId="45A3240C" w:rsidR="004C6397" w:rsidRPr="002B5C30" w:rsidRDefault="004C6397" w:rsidP="00400D84">
      <w:pPr>
        <w:rPr>
          <w:b/>
          <w:bCs/>
          <w:i/>
          <w:iCs/>
          <w:noProof/>
        </w:rPr>
      </w:pPr>
      <w:r>
        <w:rPr>
          <w:b/>
          <w:i/>
          <w:noProof/>
        </w:rPr>
        <w:t>Satisfacția generală cu privire la utilizarea Arachne (PAC) (</w:t>
      </w:r>
      <w:r>
        <w:rPr>
          <w:rStyle w:val="FootnoteReference"/>
          <w:b/>
          <w:bCs/>
          <w:i/>
          <w:iCs/>
          <w:noProof/>
        </w:rPr>
        <w:footnoteReference w:id="9"/>
      </w:r>
      <w:r>
        <w:rPr>
          <w:b/>
          <w:i/>
          <w:noProof/>
        </w:rPr>
        <w:t>)</w:t>
      </w:r>
    </w:p>
    <w:p w14:paraId="32C99688" w14:textId="77777777" w:rsidR="004C6397" w:rsidRDefault="004C6397" w:rsidP="00400D84">
      <w:pPr>
        <w:rPr>
          <w:noProof/>
        </w:rPr>
      </w:pPr>
    </w:p>
    <w:p w14:paraId="2D1B1BF3" w14:textId="5DE51BAE" w:rsidR="004C6397" w:rsidRDefault="009E6C43" w:rsidP="00400D84">
      <w:pPr>
        <w:rPr>
          <w:noProof/>
        </w:rPr>
      </w:pPr>
      <w:r>
        <w:rPr>
          <w:noProof/>
          <w:lang w:val="en-GB" w:eastAsia="en-GB"/>
        </w:rPr>
        <w:drawing>
          <wp:inline distT="0" distB="0" distL="0" distR="0" wp14:anchorId="593B4C21" wp14:editId="52E47D1B">
            <wp:extent cx="5099481" cy="2547519"/>
            <wp:effectExtent l="0" t="0" r="6350" b="5715"/>
            <wp:docPr id="1898142109" name="Chart 1">
              <a:extLst xmlns:a="http://schemas.openxmlformats.org/drawingml/2006/main">
                <a:ext uri="{FF2B5EF4-FFF2-40B4-BE49-F238E27FC236}">
                  <a16:creationId xmlns:a16="http://schemas.microsoft.com/office/drawing/2014/main" id="{2705C45F-F0D0-C9E3-FAF7-398AEECE8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E228FF2" w14:textId="2F7B903F" w:rsidR="00D905D6" w:rsidRDefault="00D905D6" w:rsidP="00400D84">
      <w:pPr>
        <w:rPr>
          <w:noProof/>
        </w:rPr>
      </w:pPr>
      <w:r>
        <w:rPr>
          <w:noProof/>
        </w:rPr>
        <w:t xml:space="preserve">Aceste rezultate sintetizate permit o înțelegere mai profundă a provocărilor și a obstacolelor cu care se confruntă statele membre în utilizarea Arachne pentru fondurile agricole ale UE. Mai multe dintre aceste aspecte sunt deja abordate fie prin intermediul proiectului Comisiei privind instrumentul Arachne (de exemplu, îmbunătățirea interfeței, sporirea funcționalităților, eficiența încărcării datelor sau îmbunătățirea rapoartelor Arachne), fie prin intermediul dezvoltărilor în curs ale Arachne de către Comisie (de exemplu, modulul pentru IMM-uri). </w:t>
      </w:r>
    </w:p>
    <w:p w14:paraId="7EF8F03B" w14:textId="0B1C1C95" w:rsidR="00D905D6" w:rsidRDefault="00D905D6" w:rsidP="00400D84">
      <w:pPr>
        <w:rPr>
          <w:noProof/>
        </w:rPr>
      </w:pPr>
      <w:r>
        <w:rPr>
          <w:noProof/>
        </w:rPr>
        <w:t>Problemele de interoperabilitate și capacitățile tehnice au fost identificate ca obstacole relevante pe care statele membre și DG AGRI trebuie să le abordeze pentru a permite utilizarea eficientă a Arachne (a se vedea, de asemenea, analiza suplimentară în acest sens din capitolul 5). Aceasta este, de asemenea, o prioritate a Comisiei stabilită la articolul 36 alineatul (6) din Regulamentul (UE, Euratom) 2024/2509 al Parlamentului European și al Consiliului (</w:t>
      </w:r>
      <w:r w:rsidR="00702D84">
        <w:rPr>
          <w:rStyle w:val="FootnoteReference"/>
          <w:noProof/>
        </w:rPr>
        <w:footnoteReference w:id="10"/>
      </w:r>
      <w:r>
        <w:rPr>
          <w:noProof/>
        </w:rPr>
        <w:t>).</w:t>
      </w:r>
    </w:p>
    <w:p w14:paraId="2F2505EA" w14:textId="6CBB4CBB" w:rsidR="00D905D6" w:rsidRDefault="00D905D6" w:rsidP="00400D84">
      <w:pPr>
        <w:spacing w:after="0"/>
        <w:rPr>
          <w:noProof/>
        </w:rPr>
      </w:pPr>
      <w:r>
        <w:rPr>
          <w:noProof/>
        </w:rPr>
        <w:t>În același timp, sondajul arată un mesaj pozitiv clar cu privire la utilitatea actuală și satisfacția în ceea ce privește utilizarea Arachne. Aceasta va fi îmbunătățită în mod semnificativ prin furnizarea obligatorie de date, prevăzută, de asemenea, în regulamentul menționat mai sus. Disponibilitatea informațiilor din toate statele membre va îmbogăți în mod semnificativ instrumentul Comisiei de extragere a datelor și va soluționa problemele cu care se confruntă agențiile de plăți în ceea ce privește datele incomplete și neactualizate. Ca într-un cerc virtuos, se așteaptă ca acest lucru să încurajeze o utilizare generalizată de către statele membre atât pentru cheltuielile incluse în IACS, cât și pentru cele neincluse în IACS. În conformitate cu dispoziția menționată și cu rezultatele sondajului, Comisia va colabora îndeaproape, în mod prioritar, cu agențiile de plăți pentru a analiza potențialele funcționalități ale Arachne pentru cheltuielile incluse în IACS și pentru a promova interoperabilitatea sistemelor naționale cu instrumentul Comisiei de extragere a datelor.</w:t>
      </w:r>
    </w:p>
    <w:p w14:paraId="0D6A08EF" w14:textId="77777777" w:rsidR="00862B78" w:rsidRDefault="00862B78" w:rsidP="00400D84">
      <w:pPr>
        <w:spacing w:after="0"/>
        <w:rPr>
          <w:noProof/>
        </w:rPr>
      </w:pPr>
    </w:p>
    <w:p w14:paraId="3A60ACDD" w14:textId="2006E4FA" w:rsidR="00D905D6" w:rsidRPr="0044611E" w:rsidRDefault="517CEC9A" w:rsidP="7B2D6861">
      <w:pPr>
        <w:pStyle w:val="Heading1"/>
        <w:rPr>
          <w:rFonts w:eastAsia="Aptos" w:cs="Aptos"/>
          <w:noProof/>
        </w:rPr>
      </w:pPr>
      <w:bookmarkStart w:id="20" w:name="_Toc1507682177"/>
      <w:bookmarkStart w:id="21" w:name="_Toc190164914"/>
      <w:r>
        <w:rPr>
          <w:noProof/>
        </w:rPr>
        <w:t>Evaluarea interoperabilității</w:t>
      </w:r>
      <w:bookmarkEnd w:id="20"/>
      <w:bookmarkEnd w:id="21"/>
      <w:r>
        <w:rPr>
          <w:noProof/>
        </w:rPr>
        <w:t xml:space="preserve"> </w:t>
      </w:r>
    </w:p>
    <w:p w14:paraId="29D45F5F" w14:textId="6610A25E" w:rsidR="00D905D6" w:rsidRPr="00F45C04" w:rsidRDefault="517CEC9A" w:rsidP="00F45C04">
      <w:pPr>
        <w:pStyle w:val="Heading2"/>
        <w:rPr>
          <w:noProof/>
        </w:rPr>
      </w:pPr>
      <w:bookmarkStart w:id="22" w:name="_Toc181571943"/>
      <w:bookmarkStart w:id="23" w:name="_Toc705784225"/>
      <w:bookmarkStart w:id="24" w:name="_Toc190164915"/>
      <w:bookmarkEnd w:id="22"/>
      <w:r>
        <w:rPr>
          <w:noProof/>
        </w:rPr>
        <w:t>Interoperabilitatea tehnică</w:t>
      </w:r>
      <w:bookmarkEnd w:id="23"/>
      <w:bookmarkEnd w:id="24"/>
      <w:r>
        <w:rPr>
          <w:noProof/>
        </w:rPr>
        <w:t xml:space="preserve"> </w:t>
      </w:r>
    </w:p>
    <w:p w14:paraId="536F716A" w14:textId="77777777" w:rsidR="00D905D6" w:rsidRDefault="00D905D6" w:rsidP="00400D84">
      <w:pPr>
        <w:spacing w:after="0"/>
        <w:rPr>
          <w:rFonts w:eastAsia="Aptos" w:cs="Aptos"/>
          <w:noProof/>
        </w:rPr>
      </w:pPr>
      <w:r>
        <w:rPr>
          <w:noProof/>
        </w:rPr>
        <w:t>Arachne este conceput pentru a face schimb de date cu alte sisteme și surse de date utilizând formatul xml. Acest format este utilizat și acceptat pe scară largă, facilitând integrarea instrumentului cu alte sisteme. Arhitectura tehnică a instrumentului permite transmiterea de câmpuri de date în conformitate cu domeniul de aplicare solicitat al Arachne.</w:t>
      </w:r>
    </w:p>
    <w:p w14:paraId="755EDE79" w14:textId="77777777" w:rsidR="00D905D6" w:rsidRDefault="00D905D6" w:rsidP="00400D84">
      <w:pPr>
        <w:spacing w:after="0"/>
        <w:rPr>
          <w:noProof/>
        </w:rPr>
      </w:pPr>
      <w:r>
        <w:rPr>
          <w:noProof/>
        </w:rPr>
        <w:t xml:space="preserve"> </w:t>
      </w:r>
    </w:p>
    <w:p w14:paraId="5389C888" w14:textId="44A11438" w:rsidR="00D905D6" w:rsidRDefault="00D905D6" w:rsidP="00400D84">
      <w:pPr>
        <w:spacing w:after="0"/>
        <w:rPr>
          <w:noProof/>
        </w:rPr>
      </w:pPr>
      <w:r>
        <w:rPr>
          <w:noProof/>
        </w:rPr>
        <w:t>Capacitatea instrumentului de a interacționa cu alte sisteme și surse de date este consolidată și mai mult prin furnizarea de către serviciile Comisiei a asistenței tehnice pentru instalarea inițială a instrumentului de notare a riscurilor Arachne, precum și a asistenței tehnice pentru a permite agenției de plăți să transmită date în formatul xml solicitat.</w:t>
      </w:r>
    </w:p>
    <w:p w14:paraId="67DEFDEB" w14:textId="77777777" w:rsidR="00D905D6" w:rsidRDefault="00D905D6" w:rsidP="00400D84">
      <w:pPr>
        <w:spacing w:after="0"/>
        <w:rPr>
          <w:rFonts w:eastAsia="Aptos" w:cs="Aptos"/>
          <w:noProof/>
        </w:rPr>
      </w:pPr>
    </w:p>
    <w:p w14:paraId="70C00B84" w14:textId="0AE0E530" w:rsidR="00D905D6" w:rsidRPr="00F45C04" w:rsidRDefault="0F640502" w:rsidP="00F45C04">
      <w:pPr>
        <w:pStyle w:val="Heading2"/>
        <w:rPr>
          <w:noProof/>
        </w:rPr>
      </w:pPr>
      <w:bookmarkStart w:id="25" w:name="_Toc329005940"/>
      <w:bookmarkStart w:id="26" w:name="_Toc190164916"/>
      <w:r>
        <w:rPr>
          <w:noProof/>
        </w:rPr>
        <w:t>Interoperabilitatea semantică</w:t>
      </w:r>
      <w:bookmarkEnd w:id="25"/>
      <w:bookmarkEnd w:id="26"/>
      <w:r>
        <w:rPr>
          <w:noProof/>
        </w:rPr>
        <w:t xml:space="preserve"> </w:t>
      </w:r>
    </w:p>
    <w:p w14:paraId="591CF096" w14:textId="050ACDB6" w:rsidR="00D905D6" w:rsidRDefault="00D905D6" w:rsidP="00400D84">
      <w:pPr>
        <w:spacing w:after="0"/>
        <w:rPr>
          <w:rFonts w:eastAsia="Aptos" w:cs="Aptos"/>
          <w:noProof/>
        </w:rPr>
      </w:pPr>
      <w:r>
        <w:rPr>
          <w:noProof/>
        </w:rPr>
        <w:t>Capacitatea Arachne de a înțelege și de a interpreta date din diferite surse este esențială pentru utilizarea eficace a acestuia. Instrumentul utilizează o abordare de notare a riscurilor pentru a analiza datele, ceea ce necesită armonizarea și standardizarea datelor din diferite surse.</w:t>
      </w:r>
    </w:p>
    <w:p w14:paraId="46469291" w14:textId="77777777" w:rsidR="00D905D6" w:rsidRDefault="00D905D6" w:rsidP="00400D84">
      <w:pPr>
        <w:spacing w:after="0"/>
        <w:rPr>
          <w:noProof/>
        </w:rPr>
      </w:pPr>
      <w:r>
        <w:rPr>
          <w:noProof/>
        </w:rPr>
        <w:t xml:space="preserve"> </w:t>
      </w:r>
    </w:p>
    <w:p w14:paraId="1C71A9FB" w14:textId="77777777" w:rsidR="00D905D6" w:rsidRPr="001B59A1" w:rsidRDefault="00D905D6" w:rsidP="00400D84">
      <w:pPr>
        <w:spacing w:after="0"/>
        <w:rPr>
          <w:noProof/>
          <w:szCs w:val="24"/>
        </w:rPr>
      </w:pPr>
      <w:r>
        <w:rPr>
          <w:noProof/>
        </w:rPr>
        <w:t xml:space="preserve">Interoperabilitatea semantică a instrumentului este facilitată de utilizarea surselor externe de date, </w:t>
      </w:r>
      <w:r>
        <w:rPr>
          <w:noProof/>
          <w:color w:val="000000"/>
        </w:rPr>
        <w:t>Orbis, listele</w:t>
      </w:r>
      <w:r>
        <w:rPr>
          <w:noProof/>
        </w:rPr>
        <w:t xml:space="preserve"> de sancțiuni </w:t>
      </w:r>
      <w:r>
        <w:rPr>
          <w:noProof/>
          <w:color w:val="000000"/>
        </w:rPr>
        <w:t>și World Compliance</w:t>
      </w:r>
      <w:r>
        <w:rPr>
          <w:noProof/>
        </w:rPr>
        <w:t>. Aceste surse de date sunt publicate oficial și puse la dispoziția publicului, asigurând un nivel ridicat de calitate și fiabilitate a datelor.</w:t>
      </w:r>
    </w:p>
    <w:p w14:paraId="4F92CBD6" w14:textId="77777777" w:rsidR="00D905D6" w:rsidRPr="001B59A1" w:rsidRDefault="00D905D6" w:rsidP="00400D84">
      <w:pPr>
        <w:spacing w:after="0"/>
        <w:rPr>
          <w:noProof/>
          <w:szCs w:val="24"/>
        </w:rPr>
      </w:pPr>
      <w:r>
        <w:rPr>
          <w:noProof/>
        </w:rPr>
        <w:t xml:space="preserve"> </w:t>
      </w:r>
    </w:p>
    <w:p w14:paraId="4DA2BFC9" w14:textId="6C38D229" w:rsidR="00D905D6" w:rsidRDefault="00D905D6" w:rsidP="00400D84">
      <w:pPr>
        <w:spacing w:after="0"/>
        <w:rPr>
          <w:noProof/>
        </w:rPr>
      </w:pPr>
      <w:r>
        <w:rPr>
          <w:noProof/>
        </w:rPr>
        <w:t>Serviciile Comisiei au creat, de asemenea, un site web dedicat (</w:t>
      </w:r>
      <w:r w:rsidRPr="71D8D88C">
        <w:rPr>
          <w:rStyle w:val="FootnoteReference"/>
          <w:rFonts w:eastAsia="Aptos" w:cs="Aptos"/>
          <w:noProof/>
        </w:rPr>
        <w:footnoteReference w:id="11"/>
      </w:r>
      <w:r>
        <w:rPr>
          <w:noProof/>
        </w:rPr>
        <w:t>) pentru a explica procesul și scopul analizei datelor, care include informații privind protecția datelor și drepturile persoanelor vizate. Acest site oferă o înțelegere comună a datelor utilizate în cadrul instrumentului, facilitând armonizarea și standardizarea datelor din diferite surse.</w:t>
      </w:r>
    </w:p>
    <w:p w14:paraId="77A46333" w14:textId="77777777" w:rsidR="00D905D6" w:rsidRDefault="00D905D6" w:rsidP="00400D84">
      <w:pPr>
        <w:spacing w:after="0"/>
        <w:rPr>
          <w:noProof/>
        </w:rPr>
      </w:pPr>
      <w:r>
        <w:rPr>
          <w:noProof/>
        </w:rPr>
        <w:t xml:space="preserve"> </w:t>
      </w:r>
    </w:p>
    <w:p w14:paraId="787E8BEB" w14:textId="77777777" w:rsidR="00D905D6" w:rsidRDefault="00D905D6" w:rsidP="00400D84">
      <w:pPr>
        <w:spacing w:after="0"/>
        <w:rPr>
          <w:noProof/>
        </w:rPr>
      </w:pPr>
      <w:r>
        <w:rPr>
          <w:noProof/>
        </w:rPr>
        <w:t>Cu toate acestea, interoperabilitatea semantică a instrumentului ar putea fi îmbunătățită și mai mult prin dezvoltarea unor standarde și formate de date comune pentru schimbul de date între diferite sisteme și surse de date. Acest lucru ar facilita integrarea instrumentului cu alte sisteme și ar asigura coerența și acuratețea datelor utilizate în abordarea de notare a riscurilor.</w:t>
      </w:r>
    </w:p>
    <w:p w14:paraId="29CAA1E5" w14:textId="77777777" w:rsidR="00D905D6" w:rsidRDefault="00D905D6" w:rsidP="00400D84">
      <w:pPr>
        <w:spacing w:after="0"/>
        <w:rPr>
          <w:noProof/>
        </w:rPr>
      </w:pPr>
      <w:r>
        <w:rPr>
          <w:noProof/>
        </w:rPr>
        <w:t xml:space="preserve"> </w:t>
      </w:r>
    </w:p>
    <w:p w14:paraId="5DB19AD7" w14:textId="77777777" w:rsidR="00D905D6" w:rsidRDefault="00D905D6" w:rsidP="00400D84">
      <w:pPr>
        <w:spacing w:after="0"/>
        <w:rPr>
          <w:noProof/>
        </w:rPr>
      </w:pPr>
      <w:r>
        <w:rPr>
          <w:noProof/>
        </w:rPr>
        <w:t>În general, instrumentul de notare a riscurilor Arachne demonstrează un nivel bun de interoperabilitate tehnică și semantică.</w:t>
      </w:r>
    </w:p>
    <w:p w14:paraId="018E2358" w14:textId="77777777" w:rsidR="00D905D6" w:rsidRDefault="00D905D6" w:rsidP="00400D84">
      <w:pPr>
        <w:spacing w:after="0"/>
        <w:rPr>
          <w:rFonts w:eastAsia="Aptos" w:cs="Aptos"/>
          <w:noProof/>
        </w:rPr>
      </w:pPr>
    </w:p>
    <w:p w14:paraId="44EE9666" w14:textId="20114629" w:rsidR="00D905D6" w:rsidRPr="00F45C04" w:rsidRDefault="517CEC9A" w:rsidP="00F45C04">
      <w:pPr>
        <w:pStyle w:val="Heading2"/>
        <w:rPr>
          <w:noProof/>
        </w:rPr>
      </w:pPr>
      <w:bookmarkStart w:id="27" w:name="_Toc1331098484"/>
      <w:bookmarkStart w:id="28" w:name="_Toc190164917"/>
      <w:r>
        <w:rPr>
          <w:noProof/>
        </w:rPr>
        <w:t>Interoperabilitatea organizațională</w:t>
      </w:r>
      <w:bookmarkEnd w:id="27"/>
      <w:bookmarkEnd w:id="28"/>
    </w:p>
    <w:p w14:paraId="100CA013" w14:textId="77777777" w:rsidR="00D905D6" w:rsidRDefault="00D905D6" w:rsidP="00400D84">
      <w:pPr>
        <w:spacing w:after="0"/>
        <w:rPr>
          <w:rFonts w:eastAsia="Aptos" w:cs="Aptos"/>
          <w:noProof/>
          <w:lang w:val="it-IT"/>
        </w:rPr>
      </w:pPr>
    </w:p>
    <w:p w14:paraId="4F65AFC0" w14:textId="77777777" w:rsidR="00D905D6" w:rsidRDefault="00D905D6" w:rsidP="00400D84">
      <w:pPr>
        <w:spacing w:after="0"/>
        <w:rPr>
          <w:rFonts w:eastAsia="Aptos" w:cs="Aptos"/>
          <w:noProof/>
        </w:rPr>
      </w:pPr>
      <w:r>
        <w:rPr>
          <w:noProof/>
        </w:rPr>
        <w:t>Integrarea Arachne în fluxurile de lucru și procesele existente este esențială pentru adoptarea și utilizarea sa eficace de către autoritățile de management. Prezenta secțiune evaluează interoperabilitatea organizațională a instrumentului și identifică orice obstacol organizațional sau cultural în calea adoptării.</w:t>
      </w:r>
    </w:p>
    <w:p w14:paraId="0B143118" w14:textId="77777777" w:rsidR="00D905D6" w:rsidRDefault="00D905D6" w:rsidP="00400D84">
      <w:pPr>
        <w:spacing w:after="0"/>
        <w:rPr>
          <w:rFonts w:eastAsia="Aptos" w:cs="Aptos"/>
          <w:noProof/>
        </w:rPr>
      </w:pPr>
      <w:r>
        <w:rPr>
          <w:noProof/>
        </w:rPr>
        <w:t xml:space="preserve"> </w:t>
      </w:r>
    </w:p>
    <w:p w14:paraId="20AC1F1E" w14:textId="0FC5A397" w:rsidR="00D905D6" w:rsidRDefault="00D905D6" w:rsidP="00400D84">
      <w:pPr>
        <w:spacing w:after="0"/>
        <w:rPr>
          <w:rFonts w:eastAsia="Aptos" w:cs="Aptos"/>
          <w:i/>
          <w:iCs/>
          <w:noProof/>
        </w:rPr>
      </w:pPr>
      <w:r>
        <w:rPr>
          <w:i/>
          <w:noProof/>
        </w:rPr>
        <w:t>Integrarea cu fluxurile de lucru și procesele existente</w:t>
      </w:r>
    </w:p>
    <w:p w14:paraId="06327A9F" w14:textId="77777777" w:rsidR="00D905D6" w:rsidRDefault="00D905D6" w:rsidP="00400D84">
      <w:pPr>
        <w:spacing w:after="0"/>
        <w:rPr>
          <w:rFonts w:eastAsia="Aptos" w:cs="Aptos"/>
          <w:noProof/>
        </w:rPr>
      </w:pPr>
      <w:r>
        <w:rPr>
          <w:noProof/>
        </w:rPr>
        <w:t xml:space="preserve"> </w:t>
      </w:r>
    </w:p>
    <w:p w14:paraId="5996EC7E" w14:textId="6DD3EAD4" w:rsidR="00D905D6" w:rsidRDefault="00D905D6" w:rsidP="00400D84">
      <w:pPr>
        <w:spacing w:after="0"/>
        <w:rPr>
          <w:rFonts w:eastAsia="Aptos" w:cs="Aptos"/>
          <w:noProof/>
        </w:rPr>
      </w:pPr>
      <w:r>
        <w:rPr>
          <w:noProof/>
        </w:rPr>
        <w:t>Arachne este conceput pentru a sprijini agențiile de plăți în procesele lor de verificare a gestiunii, astfel cum se prevede la articolul 125 alineatul (4) litera (c) din Regulamentul (UE) nr. 1303/2013 al Parlamentului European și al Consiliului (</w:t>
      </w:r>
      <w:r w:rsidR="00CB605B">
        <w:rPr>
          <w:rStyle w:val="FootnoteReference"/>
          <w:rFonts w:eastAsia="Aptos" w:cs="Aptos"/>
          <w:noProof/>
        </w:rPr>
        <w:footnoteReference w:id="12"/>
      </w:r>
      <w:r>
        <w:rPr>
          <w:noProof/>
        </w:rPr>
        <w:t>). Integrarea instrumentului cu fluxurile de lucru și procesele existente este facilitată de sprijinul și orientările oferite de către serviciile Comisiei agențiilor de plăți.</w:t>
      </w:r>
    </w:p>
    <w:p w14:paraId="0DFB8999" w14:textId="77777777" w:rsidR="00D905D6" w:rsidRDefault="00D905D6" w:rsidP="00400D84">
      <w:pPr>
        <w:spacing w:after="0"/>
        <w:rPr>
          <w:rFonts w:eastAsia="Aptos" w:cs="Aptos"/>
          <w:noProof/>
        </w:rPr>
      </w:pPr>
      <w:r>
        <w:rPr>
          <w:noProof/>
        </w:rPr>
        <w:t xml:space="preserve"> </w:t>
      </w:r>
    </w:p>
    <w:p w14:paraId="05DA74AC" w14:textId="658E0D60" w:rsidR="00D905D6" w:rsidRDefault="00D905D6" w:rsidP="00400D84">
      <w:pPr>
        <w:spacing w:after="0"/>
        <w:rPr>
          <w:rFonts w:eastAsia="Aptos" w:cs="Aptos"/>
          <w:noProof/>
        </w:rPr>
      </w:pPr>
      <w:r>
        <w:rPr>
          <w:noProof/>
        </w:rPr>
        <w:t>Manualul de utilizare al instrumentului și materialele de instruire referitoare la acesta sunt concepute pentru a ajuta agențiile de plăți să integreze instrumentul în fluxurile de lucru și procesele lor existente. Serviciile Comisiei oferă, de asemenea, sprijin continuu pentru a facilita utilizarea eficientă a instrumentului, inclusiv consiliere cu privire la modul de integrare a instrumentului în procesele zilnice de verificare a gestiunii.</w:t>
      </w:r>
    </w:p>
    <w:p w14:paraId="28BAA5E7" w14:textId="77777777" w:rsidR="00D905D6" w:rsidRDefault="00D905D6" w:rsidP="00400D84">
      <w:pPr>
        <w:spacing w:after="0"/>
        <w:rPr>
          <w:rFonts w:eastAsia="Aptos" w:cs="Aptos"/>
          <w:noProof/>
        </w:rPr>
      </w:pPr>
      <w:r>
        <w:rPr>
          <w:noProof/>
        </w:rPr>
        <w:t xml:space="preserve"> </w:t>
      </w:r>
    </w:p>
    <w:p w14:paraId="1B7B6A55" w14:textId="1F812FF5" w:rsidR="00D905D6" w:rsidRDefault="00D905D6" w:rsidP="00400D84">
      <w:pPr>
        <w:spacing w:after="0"/>
        <w:rPr>
          <w:rFonts w:eastAsia="Aptos" w:cs="Aptos"/>
          <w:i/>
          <w:iCs/>
          <w:noProof/>
        </w:rPr>
      </w:pPr>
      <w:r>
        <w:rPr>
          <w:i/>
          <w:noProof/>
        </w:rPr>
        <w:t>Obstacole organizaționale sau culturale în calea adoptării</w:t>
      </w:r>
    </w:p>
    <w:p w14:paraId="68AB096E" w14:textId="77777777" w:rsidR="00D905D6" w:rsidRDefault="00D905D6" w:rsidP="00400D84">
      <w:pPr>
        <w:spacing w:after="0"/>
        <w:rPr>
          <w:rFonts w:eastAsia="Aptos" w:cs="Aptos"/>
          <w:noProof/>
        </w:rPr>
      </w:pPr>
      <w:r>
        <w:rPr>
          <w:noProof/>
        </w:rPr>
        <w:t xml:space="preserve"> </w:t>
      </w:r>
    </w:p>
    <w:p w14:paraId="0495B6E7" w14:textId="069EC50E" w:rsidR="00D905D6" w:rsidRDefault="00D905D6" w:rsidP="00400D84">
      <w:pPr>
        <w:spacing w:after="0"/>
        <w:rPr>
          <w:rFonts w:eastAsia="Aptos" w:cs="Aptos"/>
          <w:noProof/>
        </w:rPr>
      </w:pPr>
      <w:r>
        <w:rPr>
          <w:noProof/>
        </w:rPr>
        <w:t>În pofida modului în care este conceput instrumentul și a sprijinului disponibil pentru integrarea cu fluxurile de lucru și procesele existente, pot exista obstacole organizaționale sau culturale în calea adoptării. De exemplu, este posibil ca agențiile de plăți să fie nevoite să își adapteze fluxurile de lucru și procesele existente pentru a ține seama de abordarea instrumentului în ceea ce privește notarea riscurilor.</w:t>
      </w:r>
    </w:p>
    <w:p w14:paraId="7E966BA5" w14:textId="77777777" w:rsidR="00D905D6" w:rsidRDefault="00D905D6" w:rsidP="00400D84">
      <w:pPr>
        <w:spacing w:after="0"/>
        <w:rPr>
          <w:rFonts w:eastAsia="Aptos" w:cs="Aptos"/>
          <w:noProof/>
        </w:rPr>
      </w:pPr>
      <w:r>
        <w:rPr>
          <w:noProof/>
        </w:rPr>
        <w:t xml:space="preserve"> </w:t>
      </w:r>
    </w:p>
    <w:p w14:paraId="6BAC8DD4" w14:textId="30D931D5" w:rsidR="00D905D6" w:rsidRDefault="00D905D6" w:rsidP="00400D84">
      <w:pPr>
        <w:spacing w:after="0"/>
        <w:rPr>
          <w:rFonts w:eastAsia="Aptos" w:cs="Aptos"/>
          <w:noProof/>
        </w:rPr>
      </w:pPr>
      <w:r>
        <w:rPr>
          <w:noProof/>
        </w:rPr>
        <w:t xml:space="preserve">În plus, utilizarea instrumentului poate necesita modificări ale culturii organizaționale a agențiilor de plăți, cum ar fi un accent mai mare pe gestionarea riscurilor și pe procese decizionale bazate pe date. </w:t>
      </w:r>
    </w:p>
    <w:p w14:paraId="55C9E5A4" w14:textId="77777777" w:rsidR="00D905D6" w:rsidRDefault="00D905D6" w:rsidP="00400D84">
      <w:pPr>
        <w:spacing w:after="0"/>
        <w:rPr>
          <w:rFonts w:eastAsia="Aptos" w:cs="Aptos"/>
          <w:noProof/>
        </w:rPr>
      </w:pPr>
      <w:r>
        <w:rPr>
          <w:noProof/>
        </w:rPr>
        <w:t xml:space="preserve"> </w:t>
      </w:r>
    </w:p>
    <w:p w14:paraId="3D7BA683" w14:textId="6FFD849C" w:rsidR="00D905D6" w:rsidRDefault="00D905D6" w:rsidP="00400D84">
      <w:pPr>
        <w:spacing w:after="0"/>
        <w:rPr>
          <w:rFonts w:eastAsia="Aptos" w:cs="Aptos"/>
          <w:i/>
          <w:iCs/>
          <w:noProof/>
        </w:rPr>
      </w:pPr>
      <w:r>
        <w:rPr>
          <w:i/>
          <w:noProof/>
        </w:rPr>
        <w:t>Beneficiile adoptării</w:t>
      </w:r>
    </w:p>
    <w:p w14:paraId="4BAFB293" w14:textId="77777777" w:rsidR="00D905D6" w:rsidRDefault="00D905D6" w:rsidP="00400D84">
      <w:pPr>
        <w:spacing w:after="0"/>
        <w:rPr>
          <w:rFonts w:eastAsia="Aptos" w:cs="Aptos"/>
          <w:noProof/>
        </w:rPr>
      </w:pPr>
      <w:r>
        <w:rPr>
          <w:noProof/>
        </w:rPr>
        <w:t xml:space="preserve"> </w:t>
      </w:r>
    </w:p>
    <w:p w14:paraId="2E629A14" w14:textId="428958D9" w:rsidR="00D905D6" w:rsidRDefault="00D905D6" w:rsidP="00400D84">
      <w:pPr>
        <w:spacing w:after="0"/>
        <w:rPr>
          <w:rFonts w:eastAsia="Aptos" w:cs="Aptos"/>
          <w:noProof/>
        </w:rPr>
      </w:pPr>
      <w:r>
        <w:rPr>
          <w:noProof/>
        </w:rPr>
        <w:t>În pofida potențialelor obstacole în calea adoptării, Arachne oferă mai multe beneficii agențiilor de plăți, printre care:</w:t>
      </w:r>
    </w:p>
    <w:p w14:paraId="17BDC197" w14:textId="77777777" w:rsidR="00D905D6" w:rsidRDefault="00D905D6" w:rsidP="003C442D">
      <w:pPr>
        <w:pStyle w:val="ListDash2"/>
        <w:rPr>
          <w:rFonts w:eastAsia="Aptos"/>
          <w:noProof/>
        </w:rPr>
      </w:pPr>
      <w:r>
        <w:rPr>
          <w:noProof/>
        </w:rPr>
        <w:t xml:space="preserve">îmbunătățirea eficienței și a eficacității proceselor de verificare a gestiunii; </w:t>
      </w:r>
    </w:p>
    <w:p w14:paraId="65B88CE7" w14:textId="77777777" w:rsidR="00D905D6" w:rsidRPr="003C442D" w:rsidRDefault="00D905D6" w:rsidP="003C442D">
      <w:pPr>
        <w:pStyle w:val="ListDash2"/>
        <w:numPr>
          <w:ilvl w:val="0"/>
          <w:numId w:val="23"/>
        </w:numPr>
        <w:rPr>
          <w:rFonts w:eastAsia="Aptos"/>
          <w:noProof/>
        </w:rPr>
      </w:pPr>
      <w:r>
        <w:rPr>
          <w:noProof/>
        </w:rPr>
        <w:t xml:space="preserve">îmbunătățirea gestionării riscurilor și un proces decizional bazat pe date; </w:t>
      </w:r>
    </w:p>
    <w:p w14:paraId="1BF48161" w14:textId="2DF50445" w:rsidR="00D905D6" w:rsidRPr="00876FA6" w:rsidRDefault="00D905D6" w:rsidP="00876FA6">
      <w:pPr>
        <w:pStyle w:val="ListDash2"/>
        <w:numPr>
          <w:ilvl w:val="0"/>
          <w:numId w:val="24"/>
        </w:numPr>
        <w:rPr>
          <w:rFonts w:eastAsia="Aptos"/>
          <w:noProof/>
        </w:rPr>
      </w:pPr>
      <w:r>
        <w:rPr>
          <w:noProof/>
        </w:rPr>
        <w:t>sporirea gradului de conformare cu reglementările și cerințele UE.</w:t>
      </w:r>
    </w:p>
    <w:p w14:paraId="0E1424F5" w14:textId="140EE63E" w:rsidR="00D905D6" w:rsidRDefault="00D905D6" w:rsidP="00400D84">
      <w:pPr>
        <w:spacing w:after="0"/>
        <w:rPr>
          <w:rFonts w:eastAsia="Aptos" w:cs="Aptos"/>
          <w:noProof/>
        </w:rPr>
      </w:pPr>
      <w:r>
        <w:rPr>
          <w:noProof/>
        </w:rPr>
        <w:t>În general, Arachne demonstrează un nivel bun de interoperabilitate organizațională, cu o proiectare și un sprijin care facilitează integrarea cu fluxurile de lucru și procesele existente.</w:t>
      </w:r>
      <w:r w:rsidR="009E6C43">
        <w:rPr>
          <w:noProof/>
        </w:rPr>
        <w:t xml:space="preserve"> </w:t>
      </w:r>
      <w:r>
        <w:rPr>
          <w:noProof/>
        </w:rPr>
        <w:t>Cu toate acestea, este posibil ca agențiile de plăți să trebuiască să abordeze obstacolele organizaționale sau culturale din calea adoptării și să investească timp și resurse în instruire și în consolidarea capacităților pentru a asigura adoptarea și utilizarea eficace a instrumentului.</w:t>
      </w:r>
    </w:p>
    <w:p w14:paraId="58721111" w14:textId="77777777" w:rsidR="00876FA6" w:rsidRDefault="00876FA6" w:rsidP="00400D84">
      <w:pPr>
        <w:spacing w:after="0"/>
        <w:rPr>
          <w:rFonts w:eastAsia="Aptos" w:cs="Aptos"/>
          <w:noProof/>
        </w:rPr>
      </w:pPr>
    </w:p>
    <w:p w14:paraId="35DA7FC1" w14:textId="32598081" w:rsidR="00D905D6" w:rsidRPr="0044611E" w:rsidRDefault="25484D54" w:rsidP="7B2D6861">
      <w:pPr>
        <w:pStyle w:val="Heading1"/>
        <w:rPr>
          <w:rFonts w:eastAsia="Aptos" w:cs="Aptos"/>
          <w:noProof/>
        </w:rPr>
      </w:pPr>
      <w:bookmarkStart w:id="29" w:name="_Toc995478873"/>
      <w:bookmarkStart w:id="30" w:name="_Toc190164918"/>
      <w:r>
        <w:rPr>
          <w:noProof/>
        </w:rPr>
        <w:t>Acțiuni viitoare și perspectivă</w:t>
      </w:r>
      <w:bookmarkEnd w:id="29"/>
      <w:bookmarkEnd w:id="30"/>
    </w:p>
    <w:p w14:paraId="51B41F73" w14:textId="208E9B35" w:rsidR="00D905D6" w:rsidRPr="008F3595" w:rsidRDefault="25484D54" w:rsidP="00F45C04">
      <w:pPr>
        <w:pStyle w:val="Heading2"/>
        <w:rPr>
          <w:noProof/>
        </w:rPr>
      </w:pPr>
      <w:bookmarkStart w:id="31" w:name="_Toc181571948"/>
      <w:bookmarkStart w:id="32" w:name="_Toc1790562789"/>
      <w:bookmarkStart w:id="33" w:name="_Toc190164919"/>
      <w:bookmarkEnd w:id="31"/>
      <w:r>
        <w:rPr>
          <w:noProof/>
        </w:rPr>
        <w:t>Acțiuni viitoare</w:t>
      </w:r>
      <w:bookmarkEnd w:id="32"/>
      <w:bookmarkEnd w:id="33"/>
    </w:p>
    <w:p w14:paraId="06275B64" w14:textId="77777777" w:rsidR="00D905D6" w:rsidRDefault="00D905D6" w:rsidP="00400D84">
      <w:pPr>
        <w:pStyle w:val="ListParagraph"/>
        <w:spacing w:after="0"/>
        <w:rPr>
          <w:rFonts w:eastAsia="Aptos" w:cs="Aptos"/>
          <w:noProof/>
        </w:rPr>
      </w:pPr>
    </w:p>
    <w:p w14:paraId="2EE9D249" w14:textId="0EB3DA09" w:rsidR="00D905D6" w:rsidRDefault="00D905D6" w:rsidP="003C442D">
      <w:pPr>
        <w:pStyle w:val="ListNumber2"/>
        <w:rPr>
          <w:rFonts w:eastAsia="Aptos"/>
          <w:noProof/>
        </w:rPr>
      </w:pPr>
      <w:r>
        <w:rPr>
          <w:noProof/>
          <w:u w:val="single"/>
        </w:rPr>
        <w:t>Continuarea schimbului de practici între agențiile de plăți</w:t>
      </w:r>
      <w:r>
        <w:rPr>
          <w:noProof/>
        </w:rPr>
        <w:t xml:space="preserve"> – Statele membre care au început să utilizeze Arachne ar trebui să își împărtășească în mod activ experiența și să ofere consiliere cu privire la modul de utilizare eficace a instrumentului. Aceste schimburi pot fi realizate cu ocazia reuniunilor grupurilor de experți organizate de Comisie, prin intermediul unor sondaje specifice, dar și în cadrul Rețelei de învățare a agențiilor de plăți (subgrupul pentru combaterea fraudei și a conflictelor de interese). </w:t>
      </w:r>
    </w:p>
    <w:p w14:paraId="5B3514E2" w14:textId="4C0B0504" w:rsidR="00D905D6" w:rsidRPr="005E31A6" w:rsidRDefault="00D905D6" w:rsidP="003C442D">
      <w:pPr>
        <w:pStyle w:val="ListNumber2"/>
        <w:rPr>
          <w:rFonts w:eastAsia="Aptos"/>
          <w:noProof/>
        </w:rPr>
      </w:pPr>
      <w:r>
        <w:rPr>
          <w:noProof/>
          <w:u w:val="single"/>
        </w:rPr>
        <w:t>Utilizarea instrumentului de către organismele de certificare</w:t>
      </w:r>
      <w:r>
        <w:rPr>
          <w:noProof/>
        </w:rPr>
        <w:t xml:space="preserve"> – Organismele de certificare ar trebui, de asemenea, încurajate să utilizeze acest instrument pentru a asigura coerența în cadrul auditului sistemelor de control și gestiune.</w:t>
      </w:r>
    </w:p>
    <w:p w14:paraId="1E6EFE31" w14:textId="0F24CED7" w:rsidR="00D905D6" w:rsidRPr="003F1516" w:rsidRDefault="00D905D6" w:rsidP="003C442D">
      <w:pPr>
        <w:pStyle w:val="ListNumber2"/>
        <w:rPr>
          <w:rFonts w:eastAsia="Aptos"/>
          <w:noProof/>
        </w:rPr>
      </w:pPr>
      <w:r>
        <w:rPr>
          <w:noProof/>
          <w:u w:val="single"/>
        </w:rPr>
        <w:t xml:space="preserve">Integrarea automată cu bazele de date ale agențiilor de plăți </w:t>
      </w:r>
      <w:r>
        <w:rPr>
          <w:noProof/>
        </w:rPr>
        <w:t>– Statele membre și Comisia ar trebui să consolideze resursele pentru realizarea automatizării transferului de date către Arachne din bazele de date naționale, ceea ce va simplifica procesele administrative și va reduce sarcina asupra statelor membre.</w:t>
      </w:r>
      <w:r w:rsidR="009E6C43">
        <w:rPr>
          <w:noProof/>
        </w:rPr>
        <w:t xml:space="preserve"> </w:t>
      </w:r>
    </w:p>
    <w:p w14:paraId="231A5A58" w14:textId="671025C6" w:rsidR="00D905D6" w:rsidRPr="002178B8" w:rsidRDefault="00D905D6" w:rsidP="003C442D">
      <w:pPr>
        <w:pStyle w:val="ListNumber2"/>
        <w:rPr>
          <w:rFonts w:eastAsia="Aptos" w:cs="Aptos"/>
          <w:noProof/>
        </w:rPr>
      </w:pPr>
      <w:r>
        <w:rPr>
          <w:noProof/>
          <w:u w:val="single"/>
        </w:rPr>
        <w:t>Disponibilitatea unor date complete și exacte</w:t>
      </w:r>
      <w:r>
        <w:rPr>
          <w:noProof/>
        </w:rPr>
        <w:t xml:space="preserve"> – Asigurarea </w:t>
      </w:r>
      <w:r>
        <w:rPr>
          <w:rStyle w:val="normaltextrun"/>
          <w:noProof/>
        </w:rPr>
        <w:t>actualizării continue a unor date complete, exacte și de înaltă calitate este esențială pentru eficacitatea Arachne, care depinde de implementarea proiectului Arachne al Comisiei. Pe lângă eforturile continue ale Comisiei de a dezvolta în continuare instrumentul, realizarea generală a proiectului depinde de încărcarea datelor de către statele membre, care ar trebui să fie asigurată treptat de toate statele membre.</w:t>
      </w:r>
      <w:r w:rsidR="009E6C43">
        <w:rPr>
          <w:rStyle w:val="normaltextrun"/>
          <w:noProof/>
        </w:rPr>
        <w:t xml:space="preserve"> </w:t>
      </w:r>
    </w:p>
    <w:p w14:paraId="4508B2D1" w14:textId="5CD70B4A" w:rsidR="00D905D6" w:rsidRPr="00796B45" w:rsidRDefault="00D905D6" w:rsidP="003C442D">
      <w:pPr>
        <w:pStyle w:val="ListNumber2"/>
        <w:rPr>
          <w:rFonts w:eastAsia="Aptos"/>
          <w:noProof/>
        </w:rPr>
      </w:pPr>
      <w:r>
        <w:rPr>
          <w:noProof/>
          <w:u w:val="single"/>
        </w:rPr>
        <w:t>Adaptarea instrumentului la fondurile agricole ale UE</w:t>
      </w:r>
      <w:r>
        <w:rPr>
          <w:noProof/>
        </w:rPr>
        <w:t xml:space="preserve"> – Pe măsură ce tot mai multe state membre utilizează Arachne, funcționalitățile ar trebui adaptate progresiv pentru fondurile agricole ale UE, ca răspuns la nevoile și feedbackul din partea statelor membre. Acest lucru include determinarea celor mai relevanți factori de risc pentru fondurile agricole ale UE. Aceste dezvoltări ulterioare vor trebui să se bazeze pe schimburi periodice de bune practici prin intermediul atelierelor continue și al altor forumuri organizate la nivelul UE sau la cererea statelor membre la nivel bilateral. </w:t>
      </w:r>
    </w:p>
    <w:p w14:paraId="79C0D563" w14:textId="2862572C" w:rsidR="00D905D6" w:rsidRDefault="00D905D6" w:rsidP="003C442D">
      <w:pPr>
        <w:pStyle w:val="ListNumber2"/>
        <w:rPr>
          <w:rFonts w:eastAsia="Aptos"/>
          <w:noProof/>
        </w:rPr>
      </w:pPr>
      <w:r>
        <w:rPr>
          <w:noProof/>
          <w:u w:val="single"/>
        </w:rPr>
        <w:t>Îmbunătățiri tehnice ale instrumentului</w:t>
      </w:r>
      <w:r>
        <w:rPr>
          <w:noProof/>
        </w:rPr>
        <w:t xml:space="preserve"> – Ar trebui avute în vedere îmbunătăți ale interfeței cu utilizatorul și ale experienței utilizatorului (cum ar fi tutoriale pe ecran, sfaturi ecran, secțiuni de ajutor, utilizarea roboților de chat cu ajutorul inteligenței artificiale) în cadrul întregului proiectul Arachne al Comisiei. </w:t>
      </w:r>
    </w:p>
    <w:p w14:paraId="75C73285" w14:textId="10442A92" w:rsidR="00D905D6" w:rsidRPr="00862B78" w:rsidRDefault="00D905D6" w:rsidP="00862B78">
      <w:pPr>
        <w:pStyle w:val="ListNumber2"/>
        <w:spacing w:line="259" w:lineRule="auto"/>
        <w:rPr>
          <w:rFonts w:eastAsia="Aptos"/>
          <w:noProof/>
          <w:u w:val="single"/>
        </w:rPr>
      </w:pPr>
      <w:r>
        <w:rPr>
          <w:noProof/>
          <w:u w:val="single"/>
        </w:rPr>
        <w:t>Consolidarea în continuare a interoperabilității</w:t>
      </w:r>
      <w:r>
        <w:rPr>
          <w:noProof/>
        </w:rPr>
        <w:t xml:space="preserve"> </w:t>
      </w:r>
      <w:r>
        <w:rPr>
          <w:noProof/>
          <w:u w:val="single"/>
        </w:rPr>
        <w:t>dintre Arachne și alte instrumente de extragere a datelor utilizate la nivel național</w:t>
      </w:r>
      <w:r>
        <w:rPr>
          <w:noProof/>
        </w:rPr>
        <w:t xml:space="preserve"> – Statele membre ar trebui să se implice activ în această dezvoltare pentru a beneficia de valoarea adăugată a Arachne, care permite identificarea conexiunilor transfrontaliere, precum și detectarea finanțărilor din partea UE anterioare implicate, care ar putea să nu fie ușor accesibile prin intermediul altor instrumente de extragere a datelor. </w:t>
      </w:r>
    </w:p>
    <w:p w14:paraId="75EA0662" w14:textId="77777777" w:rsidR="00D905D6" w:rsidRPr="005143B8" w:rsidRDefault="00D905D6" w:rsidP="00400D84">
      <w:pPr>
        <w:spacing w:after="0"/>
        <w:ind w:left="360"/>
        <w:rPr>
          <w:rFonts w:eastAsia="Aptos" w:cs="Aptos"/>
          <w:noProof/>
        </w:rPr>
      </w:pPr>
    </w:p>
    <w:p w14:paraId="07C8F367" w14:textId="34990ECD" w:rsidR="544481EC" w:rsidRDefault="544481EC" w:rsidP="00862B78">
      <w:pPr>
        <w:spacing w:after="0"/>
        <w:rPr>
          <w:rFonts w:eastAsia="Aptos" w:cs="Aptos"/>
          <w:noProof/>
        </w:rPr>
      </w:pPr>
      <w:r>
        <w:rPr>
          <w:noProof/>
        </w:rPr>
        <w:t>Comisia este de părere că autoritățile statelor membre, în special agențiile de plăți, își pot îmbunătăți substanțial procedurile actuale de analiză a riscurilor și de prevenire a fraudei prin adoptarea și utilizarea sistematică a instrumentului Arachne. Rezultatele reuniunii grupului de experți din 20 septembrie 2024 au arătat posibila eficiență și eficacitate a acestui instrument în ceea ce privește prevenirea și detectarea abaterilor și identificarea riscului de fraudă pentru PAC. Cu toate acestea, utilizarea sa ar putea fi extinsă și îmbunătățită.</w:t>
      </w:r>
    </w:p>
    <w:p w14:paraId="2E03D75D" w14:textId="77777777" w:rsidR="00D905D6" w:rsidRPr="00751F20" w:rsidRDefault="00D905D6" w:rsidP="00400D84">
      <w:pPr>
        <w:spacing w:after="0"/>
        <w:rPr>
          <w:rFonts w:eastAsia="Aptos" w:cs="Aptos"/>
          <w:noProof/>
        </w:rPr>
      </w:pPr>
    </w:p>
    <w:p w14:paraId="6469C4B4" w14:textId="30047473" w:rsidR="00D905D6" w:rsidRPr="00F45C04" w:rsidRDefault="517CEC9A" w:rsidP="00F45C04">
      <w:pPr>
        <w:pStyle w:val="Heading2"/>
        <w:rPr>
          <w:noProof/>
        </w:rPr>
      </w:pPr>
      <w:bookmarkStart w:id="34" w:name="_Toc1388568149"/>
      <w:bookmarkStart w:id="35" w:name="_Toc190164920"/>
      <w:r>
        <w:rPr>
          <w:noProof/>
        </w:rPr>
        <w:t>Perspectiva pe termen lung</w:t>
      </w:r>
      <w:bookmarkEnd w:id="34"/>
      <w:bookmarkEnd w:id="35"/>
    </w:p>
    <w:p w14:paraId="79BE3C58" w14:textId="77777777" w:rsidR="00D905D6" w:rsidRPr="00D267AB" w:rsidRDefault="00D905D6" w:rsidP="00D267AB">
      <w:pPr>
        <w:spacing w:after="0"/>
        <w:rPr>
          <w:rFonts w:eastAsia="Aptos" w:cs="Aptos"/>
          <w:noProof/>
        </w:rPr>
      </w:pPr>
    </w:p>
    <w:p w14:paraId="3756DF16" w14:textId="50813B9F" w:rsidR="00DD2090" w:rsidRDefault="002A779D" w:rsidP="00862B78">
      <w:pPr>
        <w:pStyle w:val="ListNumber2"/>
        <w:numPr>
          <w:ilvl w:val="0"/>
          <w:numId w:val="0"/>
        </w:numPr>
        <w:spacing w:line="259" w:lineRule="auto"/>
        <w:rPr>
          <w:rFonts w:eastAsia="Aptos"/>
          <w:noProof/>
        </w:rPr>
      </w:pPr>
      <w:r>
        <w:rPr>
          <w:noProof/>
        </w:rPr>
        <w:t xml:space="preserve">În conformitate cu articolul 36 alineatul (6) și cu articolul 277 alineatul (5) din Regulamentul (UE, Euratom) 2024/2509, statele membre vor trebui să alimenteze Arachne cu date – printre altele privind cheltuielile PAC – cel târziu începând cu programele de după 2027. Utilizarea integrată a Arachne ca instrument esențial în sistemele de gestiune și control ale PAC la nivelul statelor membre, pentru îmbunătățirea gestionării riscurilor, a monitorizării conformității și a procesului decizional bazat pe date, este o alegere logică și inevitabilă a administrației naționale responsabile de cheltuielile UE în cadrul gestiunii partajate a FEGA și FEADR. Exploatând Arachne, autoritățile pot automatiza detectarea riscurilor potențiale, asigurând evaluări mai rapide și mai precise. În plus, utilizând Arachne, autoritățile naționale pot avea acces la seturi de date diverse și de mari dimensiuni. Acest lucru ar putea reduce și mai mult riscul tentativelor frauduloase de accesare a fondurilor UE. </w:t>
      </w:r>
    </w:p>
    <w:p w14:paraId="41E07774" w14:textId="5557CC6D" w:rsidR="00860301" w:rsidRPr="00862B78" w:rsidRDefault="00DD2090" w:rsidP="00862B78">
      <w:pPr>
        <w:pStyle w:val="ListNumber2"/>
        <w:numPr>
          <w:ilvl w:val="0"/>
          <w:numId w:val="0"/>
        </w:numPr>
        <w:rPr>
          <w:rFonts w:eastAsia="Aptos"/>
          <w:noProof/>
        </w:rPr>
      </w:pPr>
      <w:r>
        <w:rPr>
          <w:noProof/>
        </w:rPr>
        <w:t xml:space="preserve">Având în vedere responsabilitățile comune în ceea ce privește protejarea intereselor financiare ale Uniunii, Comisia va continua să colaboreze cu autoritățile statelor membre pentru a utiliza pe deplin Arachne. În acest sens, punerea în aplicare a măsurilor suplimentare identificate în prezentul raport va fi monitorizată și, dacă este necesar, va fi dezvoltată sau revizuită în continuare în cursul implementării generale a proiectului Arachne al Comisiei. </w:t>
      </w:r>
    </w:p>
    <w:sectPr w:rsidR="00860301" w:rsidRPr="00862B78" w:rsidSect="00360108">
      <w:headerReference w:type="even" r:id="rId28"/>
      <w:headerReference w:type="default" r:id="rId29"/>
      <w:footerReference w:type="even" r:id="rId30"/>
      <w:footerReference w:type="default" r:id="rId31"/>
      <w:headerReference w:type="first" r:id="rId32"/>
      <w:footerReference w:type="first" r:id="rId33"/>
      <w:endnotePr>
        <w:numFmt w:val="lowerLetter"/>
      </w:endnotePr>
      <w:pgSz w:w="11906" w:h="16838"/>
      <w:pgMar w:top="1020" w:right="1701" w:bottom="1020" w:left="1587" w:header="601" w:footer="107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CCB284" w14:textId="77777777" w:rsidR="00F926AB" w:rsidRDefault="00F926AB">
      <w:pPr>
        <w:spacing w:after="0"/>
      </w:pPr>
      <w:r>
        <w:separator/>
      </w:r>
    </w:p>
  </w:endnote>
  <w:endnote w:type="continuationSeparator" w:id="0">
    <w:p w14:paraId="51F0BDB6" w14:textId="77777777" w:rsidR="00F926AB" w:rsidRDefault="00F926AB">
      <w:pPr>
        <w:spacing w:after="0"/>
      </w:pPr>
      <w:r>
        <w:continuationSeparator/>
      </w:r>
    </w:p>
  </w:endnote>
  <w:endnote w:type="continuationNotice" w:id="1">
    <w:p w14:paraId="02482C8B" w14:textId="77777777" w:rsidR="00F926AB" w:rsidRDefault="00F926A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BADE2" w14:textId="2F96DD99" w:rsidR="00D80CC0" w:rsidRPr="00D80CC0" w:rsidRDefault="00D80CC0" w:rsidP="00D80CC0">
    <w:pPr>
      <w:pStyle w:val="FooterCoverPage"/>
      <w:rPr>
        <w:rFonts w:ascii="Arial" w:hAnsi="Arial" w:cs="Arial"/>
        <w:b/>
        <w:sz w:val="48"/>
      </w:rPr>
    </w:pPr>
    <w:r w:rsidRPr="00D80CC0">
      <w:rPr>
        <w:rFonts w:ascii="Arial" w:hAnsi="Arial" w:cs="Arial"/>
        <w:b/>
        <w:sz w:val="48"/>
      </w:rPr>
      <w:t>RO</w:t>
    </w:r>
    <w:r w:rsidRPr="00D80CC0">
      <w:rPr>
        <w:rFonts w:ascii="Arial" w:hAnsi="Arial" w:cs="Arial"/>
        <w:b/>
        <w:sz w:val="48"/>
      </w:rPr>
      <w:tab/>
    </w:r>
    <w:r w:rsidRPr="00D80CC0">
      <w:rPr>
        <w:rFonts w:ascii="Arial" w:hAnsi="Arial" w:cs="Arial"/>
        <w:b/>
        <w:sz w:val="48"/>
      </w:rPr>
      <w:tab/>
    </w:r>
    <w:r w:rsidRPr="00D80CC0">
      <w:tab/>
    </w:r>
    <w:r w:rsidRPr="00D80CC0">
      <w:rPr>
        <w:rFonts w:ascii="Arial" w:hAnsi="Arial" w:cs="Arial"/>
        <w:b/>
        <w:sz w:val="48"/>
      </w:rPr>
      <w:t>RO</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517CB" w14:textId="6961FB3C" w:rsidR="00D80CC0" w:rsidRPr="00D80CC0" w:rsidRDefault="00D80CC0" w:rsidP="00D80CC0">
    <w:pPr>
      <w:pStyle w:val="FooterCoverPage"/>
      <w:rPr>
        <w:rFonts w:ascii="Arial" w:hAnsi="Arial" w:cs="Arial"/>
        <w:b/>
        <w:sz w:val="48"/>
      </w:rPr>
    </w:pPr>
    <w:r w:rsidRPr="00D80CC0">
      <w:rPr>
        <w:rFonts w:ascii="Arial" w:hAnsi="Arial" w:cs="Arial"/>
        <w:b/>
        <w:sz w:val="48"/>
      </w:rPr>
      <w:t>RO</w:t>
    </w:r>
    <w:r w:rsidRPr="00D80CC0">
      <w:rPr>
        <w:rFonts w:ascii="Arial" w:hAnsi="Arial" w:cs="Arial"/>
        <w:b/>
        <w:sz w:val="48"/>
      </w:rPr>
      <w:tab/>
    </w:r>
    <w:r w:rsidRPr="00D80CC0">
      <w:rPr>
        <w:rFonts w:ascii="Arial" w:hAnsi="Arial" w:cs="Arial"/>
        <w:b/>
        <w:sz w:val="48"/>
      </w:rPr>
      <w:tab/>
    </w:r>
    <w:r w:rsidRPr="00D80CC0">
      <w:tab/>
    </w:r>
    <w:r w:rsidRPr="00D80CC0">
      <w:rPr>
        <w:rFonts w:ascii="Arial" w:hAnsi="Arial" w:cs="Arial"/>
        <w:b/>
        <w:sz w:val="48"/>
      </w:rPr>
      <w:t>RO</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D77E6" w14:textId="77777777" w:rsidR="00D80CC0" w:rsidRPr="00D80CC0" w:rsidRDefault="00D80CC0" w:rsidP="00D80CC0">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C6041" w14:textId="77777777" w:rsidR="00360108" w:rsidRDefault="00360108">
    <w:pPr>
      <w:pStyle w:val="FooterLine"/>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62599" w14:textId="7D44294B" w:rsidR="00360108" w:rsidRDefault="00360108">
    <w:pPr>
      <w:pStyle w:val="FooterLine"/>
      <w:jc w:val="center"/>
    </w:pPr>
    <w:r>
      <w:fldChar w:fldCharType="begin"/>
    </w:r>
    <w:r>
      <w:instrText>PAGE   \* MERGEFORMAT</w:instrText>
    </w:r>
    <w:r>
      <w:fldChar w:fldCharType="separate"/>
    </w:r>
    <w:r w:rsidR="00D80CC0">
      <w:rPr>
        <w:noProof/>
      </w:rP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7588659"/>
      <w:docPartObj>
        <w:docPartGallery w:val="Page Numbers (Bottom of Page)"/>
        <w:docPartUnique/>
      </w:docPartObj>
    </w:sdtPr>
    <w:sdtEndPr>
      <w:rPr>
        <w:noProof/>
      </w:rPr>
    </w:sdtEndPr>
    <w:sdtContent>
      <w:p w14:paraId="4C97CFA4" w14:textId="46DB091A" w:rsidR="001658DA" w:rsidRDefault="001658DA">
        <w:pPr>
          <w:pStyle w:val="Footer"/>
          <w:jc w:val="center"/>
        </w:pPr>
        <w:r>
          <w:fldChar w:fldCharType="begin"/>
        </w:r>
        <w:r>
          <w:instrText xml:space="preserve"> PAGE   \* MERGEFORMAT </w:instrText>
        </w:r>
        <w:r>
          <w:fldChar w:fldCharType="separate"/>
        </w:r>
        <w:r w:rsidR="00D80CC0">
          <w:rPr>
            <w:noProof/>
          </w:rPr>
          <w:t>1</w:t>
        </w:r>
        <w:r>
          <w:fldChar w:fldCharType="end"/>
        </w:r>
      </w:p>
    </w:sdtContent>
  </w:sdt>
  <w:p w14:paraId="6462DB49" w14:textId="670BD92F" w:rsidR="00360108" w:rsidRDefault="00360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3BC97A" w14:textId="77777777" w:rsidR="00F926AB" w:rsidRDefault="00F926AB">
      <w:pPr>
        <w:spacing w:after="0"/>
      </w:pPr>
      <w:r>
        <w:separator/>
      </w:r>
    </w:p>
  </w:footnote>
  <w:footnote w:type="continuationSeparator" w:id="0">
    <w:p w14:paraId="306B5C99" w14:textId="77777777" w:rsidR="00F926AB" w:rsidRDefault="00F926AB">
      <w:pPr>
        <w:spacing w:after="0"/>
      </w:pPr>
      <w:r>
        <w:continuationSeparator/>
      </w:r>
    </w:p>
  </w:footnote>
  <w:footnote w:type="continuationNotice" w:id="1">
    <w:p w14:paraId="2EA48D06" w14:textId="77777777" w:rsidR="00F926AB" w:rsidRDefault="00F926AB">
      <w:pPr>
        <w:spacing w:after="0"/>
      </w:pPr>
    </w:p>
  </w:footnote>
  <w:footnote w:id="2">
    <w:p w14:paraId="0A18241A" w14:textId="6A2CA067" w:rsidR="00DB1AC3" w:rsidRPr="00E364A6" w:rsidRDefault="00DB1AC3">
      <w:pPr>
        <w:pStyle w:val="FootnoteText"/>
      </w:pPr>
      <w:r>
        <w:t>(</w:t>
      </w:r>
      <w:r>
        <w:rPr>
          <w:rStyle w:val="FootnoteReference"/>
        </w:rPr>
        <w:footnoteRef/>
      </w:r>
      <w:r>
        <w:t>)</w:t>
      </w:r>
      <w:r>
        <w:tab/>
        <w:t>Regulamentul (UE) 2021/2116 al Parlamentului European și al Consiliului din 2 decembrie 2021 privind finanțarea, gestionarea și monitorizarea politicii agricole comune și de abrogare a Regulamentului (UE) nr. 1306/2013 (JO L 435, 6.12.2021, p. 187).</w:t>
      </w:r>
    </w:p>
  </w:footnote>
  <w:footnote w:id="3">
    <w:p w14:paraId="2BCE25BB" w14:textId="04646AB0" w:rsidR="00D905D6" w:rsidRPr="00705DD0" w:rsidRDefault="004C6397" w:rsidP="00400D84">
      <w:pPr>
        <w:spacing w:after="0"/>
        <w:rPr>
          <w:sz w:val="20"/>
        </w:rPr>
      </w:pPr>
      <w:r>
        <w:t>(</w:t>
      </w:r>
      <w:r>
        <w:rPr>
          <w:rStyle w:val="FootnoteReference"/>
        </w:rPr>
        <w:footnoteRef/>
      </w:r>
      <w:r>
        <w:t xml:space="preserve">) </w:t>
      </w:r>
      <w:r>
        <w:rPr>
          <w:sz w:val="20"/>
        </w:rPr>
        <w:t xml:space="preserve">Constituie „abatere” orice încălcare a unei dispoziții de drept comunitar, ca urmare a unei acțiuni sau omisiuni a unui agent economic, care poate sau ar putea prejudicia bugetul general al Comunităților sau bugetele gestionate de acestea, fie prin diminuarea sau pierderea veniturilor acumulate din resurse proprii, colectate direct în numele Comunităților, fie prin cheltuieli nejustificate [articolul 1 alineatul (2) din Regulamentul (CE, Euratom) nr. 2988/95 al Consiliului]. </w:t>
      </w:r>
    </w:p>
    <w:p w14:paraId="1E8A42FD" w14:textId="77777777" w:rsidR="00D905D6" w:rsidRPr="00CB642F" w:rsidRDefault="00D905D6" w:rsidP="00400D84">
      <w:pPr>
        <w:spacing w:after="0"/>
        <w:rPr>
          <w:sz w:val="20"/>
        </w:rPr>
      </w:pPr>
    </w:p>
    <w:p w14:paraId="3938A566" w14:textId="77777777" w:rsidR="00D905D6" w:rsidRPr="00CB642F" w:rsidRDefault="00D905D6" w:rsidP="00400D84">
      <w:pPr>
        <w:spacing w:after="0"/>
        <w:rPr>
          <w:sz w:val="20"/>
        </w:rPr>
      </w:pPr>
      <w:r>
        <w:rPr>
          <w:sz w:val="20"/>
        </w:rPr>
        <w:t>Frauda este o abatere comisă în mod intenționat și constituie o infracțiune. Atunci când raportează Comisiei o abatere, statele membre trebuie să indice dacă se suspectează sau se constată vreo fraudă în fiecare caz.</w:t>
      </w:r>
    </w:p>
  </w:footnote>
  <w:footnote w:id="4">
    <w:p w14:paraId="4023B258" w14:textId="359860A2" w:rsidR="004C6397" w:rsidRPr="002B5C30" w:rsidRDefault="004C6397">
      <w:pPr>
        <w:pStyle w:val="FootnoteText"/>
      </w:pPr>
      <w:r>
        <w:t>(</w:t>
      </w:r>
      <w:r>
        <w:rPr>
          <w:rStyle w:val="FootnoteReference"/>
        </w:rPr>
        <w:footnoteRef/>
      </w:r>
      <w:r>
        <w:t>)</w:t>
      </w:r>
      <w:r>
        <w:tab/>
        <w:t>Sursă: statistici Arachne – septembrie 2024.</w:t>
      </w:r>
    </w:p>
  </w:footnote>
  <w:footnote w:id="5">
    <w:p w14:paraId="53582D8B" w14:textId="5035FF85" w:rsidR="004C6397" w:rsidRPr="002B5C30" w:rsidRDefault="004C6397">
      <w:pPr>
        <w:pStyle w:val="FootnoteText"/>
      </w:pPr>
      <w:r>
        <w:t>(</w:t>
      </w:r>
      <w:r>
        <w:rPr>
          <w:rStyle w:val="FootnoteReference"/>
        </w:rPr>
        <w:footnoteRef/>
      </w:r>
      <w:r>
        <w:t>)</w:t>
      </w:r>
      <w:r>
        <w:tab/>
        <w:t>Sursă: statistici Arachne – septembrie 2024.</w:t>
      </w:r>
    </w:p>
  </w:footnote>
  <w:footnote w:id="6">
    <w:p w14:paraId="1DD058A2" w14:textId="0B1C3158" w:rsidR="00A10AAB" w:rsidRPr="00B14391" w:rsidRDefault="7B2D6861" w:rsidP="7B2D6861">
      <w:pPr>
        <w:rPr>
          <w:sz w:val="22"/>
          <w:szCs w:val="22"/>
        </w:rPr>
      </w:pPr>
      <w:r>
        <w:rPr>
          <w:sz w:val="22"/>
        </w:rPr>
        <w:t>(</w:t>
      </w:r>
      <w:r>
        <w:rPr>
          <w:rStyle w:val="FootnoteReference"/>
          <w:sz w:val="22"/>
          <w:szCs w:val="22"/>
        </w:rPr>
        <w:footnoteRef/>
      </w:r>
      <w:r>
        <w:rPr>
          <w:sz w:val="22"/>
        </w:rPr>
        <w:t>)</w:t>
      </w:r>
      <w:r>
        <w:tab/>
      </w:r>
      <w:r>
        <w:rPr>
          <w:sz w:val="20"/>
        </w:rPr>
        <w:t>Sursă: statistici Arachne – noiembrie 2024. Statisticile privind utilizatorii se bazează pe profilurile de utilizator. Orice utilizator care are acces la cel puțin un program agricol este inclus în listă. Cu toate acestea, atunci când utilizatorii se conectează la Arachne, nu se poate stabili care este proiectul sau programul specific pe care îl accesează. Prin urmare, dacă un utilizator are acces atât la un program agricol, cât și la un program ESIF, el va figura pe lista utilizatorilor PAC. În consecință, numărul de sesiuni și acțiuni înregistrate poate fi supraestimat, deoarece utilizatorul ar putea, de asemenea, să se conecteze numai pentru proiectele ESIF.</w:t>
      </w:r>
    </w:p>
  </w:footnote>
  <w:footnote w:id="7">
    <w:p w14:paraId="042C4FE7" w14:textId="5D042114" w:rsidR="004C6397" w:rsidRPr="002B5C30" w:rsidRDefault="004C6397">
      <w:pPr>
        <w:pStyle w:val="FootnoteText"/>
      </w:pPr>
      <w:r>
        <w:t>(</w:t>
      </w:r>
      <w:r>
        <w:rPr>
          <w:rStyle w:val="FootnoteReference"/>
        </w:rPr>
        <w:footnoteRef/>
      </w:r>
      <w:r>
        <w:t>)</w:t>
      </w:r>
      <w:r>
        <w:tab/>
        <w:t>Sursă: sondajul Comisiei privind utilizarea Arachne – iulie 2024.</w:t>
      </w:r>
    </w:p>
  </w:footnote>
  <w:footnote w:id="8">
    <w:p w14:paraId="18DD1163" w14:textId="7CA24E35" w:rsidR="004C6397" w:rsidRPr="002B5C30" w:rsidRDefault="004C6397">
      <w:pPr>
        <w:pStyle w:val="FootnoteText"/>
      </w:pPr>
      <w:r>
        <w:t>(</w:t>
      </w:r>
      <w:r>
        <w:rPr>
          <w:rStyle w:val="FootnoteReference"/>
        </w:rPr>
        <w:footnoteRef/>
      </w:r>
      <w:r>
        <w:t>)</w:t>
      </w:r>
      <w:r>
        <w:tab/>
      </w:r>
      <w:bookmarkStart w:id="19" w:name="_Hlk181979476"/>
      <w:r>
        <w:t>Sursă: sondajul Comisiei privind utilizarea Arachne – iulie 2024.</w:t>
      </w:r>
      <w:bookmarkEnd w:id="19"/>
    </w:p>
  </w:footnote>
  <w:footnote w:id="9">
    <w:p w14:paraId="46CD7972" w14:textId="400623EF" w:rsidR="004C6397" w:rsidRPr="002B5C30" w:rsidRDefault="004C6397">
      <w:pPr>
        <w:pStyle w:val="FootnoteText"/>
      </w:pPr>
      <w:r>
        <w:t>(</w:t>
      </w:r>
      <w:r>
        <w:rPr>
          <w:rStyle w:val="FootnoteReference"/>
        </w:rPr>
        <w:footnoteRef/>
      </w:r>
      <w:r>
        <w:t>)</w:t>
      </w:r>
      <w:r>
        <w:tab/>
        <w:t>Sursă: sondajul Comisiei privind utilizarea Arachne – iulie 2024.</w:t>
      </w:r>
    </w:p>
  </w:footnote>
  <w:footnote w:id="10">
    <w:p w14:paraId="06959072" w14:textId="0878C6CC" w:rsidR="00702D84" w:rsidRPr="00E364A6" w:rsidRDefault="00702D84">
      <w:pPr>
        <w:pStyle w:val="FootnoteText"/>
      </w:pPr>
      <w:r>
        <w:t>(</w:t>
      </w:r>
      <w:r>
        <w:rPr>
          <w:rStyle w:val="FootnoteReference"/>
        </w:rPr>
        <w:footnoteRef/>
      </w:r>
      <w:r>
        <w:t>)</w:t>
      </w:r>
      <w:r>
        <w:tab/>
        <w:t>Regulamentul (UE, Euratom) 2024/2509 al Parlamentului European și al Consiliului din 23 septembrie 2024 privind normele financiare aplicabile bugetului general al Uniunii (reformare) (JO L, 2024/2509, 26.9.2024).</w:t>
      </w:r>
    </w:p>
  </w:footnote>
  <w:footnote w:id="11">
    <w:p w14:paraId="7C3ACA27" w14:textId="5FEAFDB1" w:rsidR="71D8D88C" w:rsidRDefault="00CB605B" w:rsidP="00862B78">
      <w:pPr>
        <w:pStyle w:val="FootnoteText"/>
        <w:ind w:left="0" w:firstLine="0"/>
      </w:pPr>
      <w:r>
        <w:t>(</w:t>
      </w:r>
      <w:r>
        <w:rPr>
          <w:rStyle w:val="FootnoteReference"/>
        </w:rPr>
        <w:footnoteRef/>
      </w:r>
      <w:r>
        <w:t xml:space="preserve">) </w:t>
      </w:r>
      <w:hyperlink r:id="rId1" w:history="1">
        <w:r>
          <w:rPr>
            <w:rStyle w:val="Hyperlink"/>
          </w:rPr>
          <w:t>Fondul social european Plus (FSE+) – Ocuparea Forței de Muncă, Afaceri Sociale și Incluziune – Comisia Europeană</w:t>
        </w:r>
      </w:hyperlink>
      <w:r>
        <w:t>.</w:t>
      </w:r>
    </w:p>
  </w:footnote>
  <w:footnote w:id="12">
    <w:p w14:paraId="6BF857A1" w14:textId="4B9BDB18" w:rsidR="00CB605B" w:rsidRPr="00E364A6" w:rsidRDefault="00CB605B">
      <w:pPr>
        <w:pStyle w:val="FootnoteText"/>
      </w:pPr>
      <w:r>
        <w:t>(</w:t>
      </w:r>
      <w:r>
        <w:rPr>
          <w:rStyle w:val="FootnoteReference"/>
        </w:rPr>
        <w:footnoteRef/>
      </w:r>
      <w:r>
        <w:t>)</w:t>
      </w:r>
      <w:r>
        <w:tab/>
        <w:t>Regulamentul (UE) nr. 1303/2013 al Parlamentului European și al Consiliului din 17 decembrie 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 (JO L 347, 20.12.2013, p. 320).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A1F5F" w14:textId="77777777" w:rsidR="00D80CC0" w:rsidRPr="00D80CC0" w:rsidRDefault="00D80CC0" w:rsidP="00D80CC0">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41AC8" w14:textId="77777777" w:rsidR="00D80CC0" w:rsidRPr="00D80CC0" w:rsidRDefault="00D80CC0" w:rsidP="00D80CC0">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DD1C8" w14:textId="77777777" w:rsidR="00D80CC0" w:rsidRPr="00D80CC0" w:rsidRDefault="00D80CC0" w:rsidP="00D80CC0">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DD4BF" w14:textId="77777777" w:rsidR="00360108" w:rsidRDefault="003601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52B8C" w14:textId="77777777" w:rsidR="00360108" w:rsidRDefault="0036010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FF7CC" w14:textId="77777777" w:rsidR="00360108" w:rsidRDefault="003601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900F7"/>
    <w:multiLevelType w:val="multilevel"/>
    <w:tmpl w:val="40A8F48A"/>
    <w:name w:val="ListDash4Numbering"/>
    <w:lvl w:ilvl="0">
      <w:start w:val="1"/>
      <w:numFmt w:val="bullet"/>
      <w:pStyle w:val="ListDash4"/>
      <w:lvlText w:val="–"/>
      <w:lvlJc w:val="left"/>
      <w:pPr>
        <w:tabs>
          <w:tab w:val="num" w:pos="1361"/>
        </w:tabs>
        <w:ind w:left="1361" w:hanging="284"/>
      </w:pPr>
      <w:rPr>
        <w:rFonts w:ascii="Times New Roman" w:hAnsi="Times New Roman"/>
      </w:rPr>
    </w:lvl>
    <w:lvl w:ilvl="1">
      <w:start w:val="1"/>
      <w:numFmt w:val="bullet"/>
      <w:pStyle w:val="ListDash4Level2"/>
      <w:lvlText w:val="–"/>
      <w:lvlJc w:val="left"/>
      <w:pPr>
        <w:tabs>
          <w:tab w:val="num" w:pos="1644"/>
        </w:tabs>
        <w:ind w:left="1644" w:hanging="283"/>
      </w:pPr>
      <w:rPr>
        <w:rFonts w:ascii="Times New Roman" w:hAnsi="Times New Roman"/>
      </w:rPr>
    </w:lvl>
    <w:lvl w:ilvl="2">
      <w:start w:val="1"/>
      <w:numFmt w:val="bullet"/>
      <w:pStyle w:val="ListDash4Level3"/>
      <w:lvlText w:val="–"/>
      <w:lvlJc w:val="left"/>
      <w:pPr>
        <w:tabs>
          <w:tab w:val="num" w:pos="1928"/>
        </w:tabs>
        <w:ind w:left="1928" w:hanging="284"/>
      </w:pPr>
      <w:rPr>
        <w:rFonts w:ascii="Times New Roman" w:hAnsi="Times New Roman"/>
      </w:rPr>
    </w:lvl>
    <w:lvl w:ilvl="3">
      <w:start w:val="1"/>
      <w:numFmt w:val="bullet"/>
      <w:pStyle w:val="ListDash4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EFB7115"/>
    <w:multiLevelType w:val="multilevel"/>
    <w:tmpl w:val="C1648FFC"/>
    <w:name w:val="ListNumber3Numbering"/>
    <w:lvl w:ilvl="0">
      <w:start w:val="1"/>
      <w:numFmt w:val="decimal"/>
      <w:pStyle w:val="ListNumber3"/>
      <w:lvlText w:val="(%1)"/>
      <w:lvlJc w:val="left"/>
      <w:pPr>
        <w:tabs>
          <w:tab w:val="num" w:pos="1786"/>
        </w:tabs>
        <w:ind w:left="1786" w:hanging="709"/>
      </w:pPr>
    </w:lvl>
    <w:lvl w:ilvl="1">
      <w:start w:val="1"/>
      <w:numFmt w:val="lowerLetter"/>
      <w:pStyle w:val="ListNumber3Level2"/>
      <w:lvlText w:val="(%2)"/>
      <w:lvlJc w:val="left"/>
      <w:pPr>
        <w:tabs>
          <w:tab w:val="num" w:pos="2494"/>
        </w:tabs>
        <w:ind w:left="2494" w:hanging="708"/>
      </w:pPr>
    </w:lvl>
    <w:lvl w:ilvl="2">
      <w:start w:val="1"/>
      <w:numFmt w:val="bullet"/>
      <w:pStyle w:val="ListNumber3Level3"/>
      <w:lvlText w:val="–"/>
      <w:lvlJc w:val="left"/>
      <w:pPr>
        <w:tabs>
          <w:tab w:val="num" w:pos="3203"/>
        </w:tabs>
        <w:ind w:left="3203" w:hanging="709"/>
      </w:pPr>
      <w:rPr>
        <w:rFonts w:ascii="Times New Roman" w:hAnsi="Times New Roman"/>
      </w:rPr>
    </w:lvl>
    <w:lvl w:ilvl="3">
      <w:start w:val="1"/>
      <w:numFmt w:val="bullet"/>
      <w:pStyle w:val="ListNumber3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15:restartNumberingAfterBreak="0">
    <w:nsid w:val="120B7201"/>
    <w:multiLevelType w:val="multilevel"/>
    <w:tmpl w:val="00C4D5B2"/>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15:restartNumberingAfterBreak="0">
    <w:nsid w:val="120B8345"/>
    <w:multiLevelType w:val="multilevel"/>
    <w:tmpl w:val="BE14AF78"/>
    <w:name w:val="TableListNumberNumbering"/>
    <w:lvl w:ilvl="0">
      <w:start w:val="1"/>
      <w:numFmt w:val="decimal"/>
      <w:pStyle w:val="TableListNumber"/>
      <w:lvlText w:val="(%1)"/>
      <w:lvlJc w:val="left"/>
      <w:pPr>
        <w:tabs>
          <w:tab w:val="num" w:pos="454"/>
        </w:tabs>
        <w:ind w:left="454" w:hanging="454"/>
      </w:pPr>
    </w:lvl>
    <w:lvl w:ilvl="1">
      <w:start w:val="1"/>
      <w:numFmt w:val="lowerLetter"/>
      <w:pStyle w:val="TableListNumberLevel2"/>
      <w:lvlText w:val="(%2)"/>
      <w:lvlJc w:val="left"/>
      <w:pPr>
        <w:tabs>
          <w:tab w:val="num" w:pos="907"/>
        </w:tabs>
        <w:ind w:left="907" w:hanging="453"/>
      </w:pPr>
    </w:lvl>
    <w:lvl w:ilvl="2">
      <w:start w:val="1"/>
      <w:numFmt w:val="bullet"/>
      <w:pStyle w:val="TableListNumberLevel3"/>
      <w:lvlText w:val="–"/>
      <w:lvlJc w:val="left"/>
      <w:pPr>
        <w:tabs>
          <w:tab w:val="num" w:pos="1361"/>
        </w:tabs>
        <w:ind w:left="1361" w:hanging="454"/>
      </w:pPr>
      <w:rPr>
        <w:rFonts w:ascii="Times New Roman" w:hAnsi="Times New Roman"/>
      </w:rPr>
    </w:lvl>
    <w:lvl w:ilvl="3">
      <w:start w:val="1"/>
      <w:numFmt w:val="bullet"/>
      <w:pStyle w:val="TableListNumberLevel4"/>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15:restartNumberingAfterBreak="0">
    <w:nsid w:val="1262685D"/>
    <w:multiLevelType w:val="multilevel"/>
    <w:tmpl w:val="E06408E6"/>
    <w:name w:val="ListBullet4Numbering"/>
    <w:lvl w:ilvl="0">
      <w:start w:val="1"/>
      <w:numFmt w:val="bullet"/>
      <w:pStyle w:val="ListBullet4"/>
      <w:lvlText w:val=""/>
      <w:lvlJc w:val="left"/>
      <w:pPr>
        <w:tabs>
          <w:tab w:val="num" w:pos="1361"/>
        </w:tabs>
        <w:ind w:left="1361" w:hanging="284"/>
      </w:pPr>
      <w:rPr>
        <w:rFonts w:ascii="Symbol" w:hAnsi="Symbol"/>
      </w:rPr>
    </w:lvl>
    <w:lvl w:ilvl="1">
      <w:start w:val="1"/>
      <w:numFmt w:val="bullet"/>
      <w:pStyle w:val="ListBullet4Level2"/>
      <w:lvlText w:val=""/>
      <w:lvlJc w:val="left"/>
      <w:pPr>
        <w:tabs>
          <w:tab w:val="num" w:pos="1644"/>
        </w:tabs>
        <w:ind w:left="1644" w:hanging="283"/>
      </w:pPr>
      <w:rPr>
        <w:rFonts w:ascii="Symbol" w:hAnsi="Symbol"/>
      </w:rPr>
    </w:lvl>
    <w:lvl w:ilvl="2">
      <w:start w:val="1"/>
      <w:numFmt w:val="bullet"/>
      <w:pStyle w:val="ListBullet4Level3"/>
      <w:lvlText w:val=""/>
      <w:lvlJc w:val="left"/>
      <w:pPr>
        <w:tabs>
          <w:tab w:val="num" w:pos="1928"/>
        </w:tabs>
        <w:ind w:left="1928" w:hanging="284"/>
      </w:pPr>
      <w:rPr>
        <w:rFonts w:ascii="Symbol" w:hAnsi="Symbol"/>
      </w:rPr>
    </w:lvl>
    <w:lvl w:ilvl="3">
      <w:start w:val="1"/>
      <w:numFmt w:val="bullet"/>
      <w:pStyle w:val="ListBullet4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15:restartNumberingAfterBreak="0">
    <w:nsid w:val="143D0A16"/>
    <w:multiLevelType w:val="multilevel"/>
    <w:tmpl w:val="3A1CBCA0"/>
    <w:name w:val="ListBullet3Numbering"/>
    <w:lvl w:ilvl="0">
      <w:start w:val="1"/>
      <w:numFmt w:val="bullet"/>
      <w:pStyle w:val="ListBullet3"/>
      <w:lvlText w:val=""/>
      <w:lvlJc w:val="left"/>
      <w:pPr>
        <w:tabs>
          <w:tab w:val="num" w:pos="1361"/>
        </w:tabs>
        <w:ind w:left="1361" w:hanging="284"/>
      </w:pPr>
      <w:rPr>
        <w:rFonts w:ascii="Symbol" w:hAnsi="Symbol"/>
      </w:rPr>
    </w:lvl>
    <w:lvl w:ilvl="1">
      <w:start w:val="1"/>
      <w:numFmt w:val="bullet"/>
      <w:pStyle w:val="ListBullet3Level2"/>
      <w:lvlText w:val=""/>
      <w:lvlJc w:val="left"/>
      <w:pPr>
        <w:tabs>
          <w:tab w:val="num" w:pos="1644"/>
        </w:tabs>
        <w:ind w:left="1644" w:hanging="283"/>
      </w:pPr>
      <w:rPr>
        <w:rFonts w:ascii="Symbol" w:hAnsi="Symbol"/>
      </w:rPr>
    </w:lvl>
    <w:lvl w:ilvl="2">
      <w:start w:val="1"/>
      <w:numFmt w:val="bullet"/>
      <w:pStyle w:val="ListBullet3Level3"/>
      <w:lvlText w:val=""/>
      <w:lvlJc w:val="left"/>
      <w:pPr>
        <w:tabs>
          <w:tab w:val="num" w:pos="1928"/>
        </w:tabs>
        <w:ind w:left="1928" w:hanging="284"/>
      </w:pPr>
      <w:rPr>
        <w:rFonts w:ascii="Symbol" w:hAnsi="Symbol"/>
      </w:rPr>
    </w:lvl>
    <w:lvl w:ilvl="3">
      <w:start w:val="1"/>
      <w:numFmt w:val="bullet"/>
      <w:pStyle w:val="ListBullet3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15:restartNumberingAfterBreak="0">
    <w:nsid w:val="163535A7"/>
    <w:multiLevelType w:val="multilevel"/>
    <w:tmpl w:val="20000025"/>
    <w:name w:val="EurolookHeading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2F0AC5"/>
    <w:multiLevelType w:val="multilevel"/>
    <w:tmpl w:val="C15C5C4C"/>
    <w:name w:val="ListNumber2Numbering"/>
    <w:lvl w:ilvl="0">
      <w:start w:val="1"/>
      <w:numFmt w:val="decimal"/>
      <w:pStyle w:val="ListNumber2"/>
      <w:lvlText w:val="(%1)"/>
      <w:lvlJc w:val="left"/>
      <w:pPr>
        <w:tabs>
          <w:tab w:val="num" w:pos="709"/>
        </w:tabs>
        <w:ind w:left="709" w:hanging="709"/>
      </w:pPr>
    </w:lvl>
    <w:lvl w:ilvl="1">
      <w:start w:val="1"/>
      <w:numFmt w:val="lowerLetter"/>
      <w:pStyle w:val="ListNumber2Level2"/>
      <w:lvlText w:val="(%2)"/>
      <w:lvlJc w:val="left"/>
      <w:pPr>
        <w:tabs>
          <w:tab w:val="num" w:pos="1417"/>
        </w:tabs>
        <w:ind w:left="1417" w:hanging="708"/>
      </w:pPr>
    </w:lvl>
    <w:lvl w:ilvl="2">
      <w:start w:val="1"/>
      <w:numFmt w:val="bullet"/>
      <w:pStyle w:val="ListNumber2Level3"/>
      <w:lvlText w:val="–"/>
      <w:lvlJc w:val="left"/>
      <w:pPr>
        <w:tabs>
          <w:tab w:val="num" w:pos="2126"/>
        </w:tabs>
        <w:ind w:left="2126" w:hanging="709"/>
      </w:pPr>
      <w:rPr>
        <w:rFonts w:ascii="Times New Roman" w:hAnsi="Times New Roman"/>
      </w:rPr>
    </w:lvl>
    <w:lvl w:ilvl="3">
      <w:start w:val="1"/>
      <w:numFmt w:val="bullet"/>
      <w:pStyle w:val="ListNumber2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15:restartNumberingAfterBreak="0">
    <w:nsid w:val="1C7B624F"/>
    <w:multiLevelType w:val="multilevel"/>
    <w:tmpl w:val="6FE8AEB8"/>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15:restartNumberingAfterBreak="0">
    <w:nsid w:val="2C8DFDF8"/>
    <w:multiLevelType w:val="multilevel"/>
    <w:tmpl w:val="1BB45248"/>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15:restartNumberingAfterBreak="0">
    <w:nsid w:val="2D293CE3"/>
    <w:multiLevelType w:val="multilevel"/>
    <w:tmpl w:val="9AD2E67E"/>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15:restartNumberingAfterBreak="0">
    <w:nsid w:val="2D293CF4"/>
    <w:multiLevelType w:val="multilevel"/>
    <w:tmpl w:val="AC083A5E"/>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15:restartNumberingAfterBreak="0">
    <w:nsid w:val="36324F1E"/>
    <w:multiLevelType w:val="multilevel"/>
    <w:tmpl w:val="38AEFA24"/>
    <w:name w:val="ListDash3Numbering"/>
    <w:lvl w:ilvl="0">
      <w:start w:val="1"/>
      <w:numFmt w:val="bullet"/>
      <w:pStyle w:val="ListDash3"/>
      <w:lvlText w:val="–"/>
      <w:lvlJc w:val="left"/>
      <w:pPr>
        <w:tabs>
          <w:tab w:val="num" w:pos="1361"/>
        </w:tabs>
        <w:ind w:left="1361" w:hanging="284"/>
      </w:pPr>
      <w:rPr>
        <w:rFonts w:ascii="Times New Roman" w:hAnsi="Times New Roman"/>
      </w:rPr>
    </w:lvl>
    <w:lvl w:ilvl="1">
      <w:start w:val="1"/>
      <w:numFmt w:val="bullet"/>
      <w:pStyle w:val="ListDash3Level2"/>
      <w:lvlText w:val="–"/>
      <w:lvlJc w:val="left"/>
      <w:pPr>
        <w:tabs>
          <w:tab w:val="num" w:pos="1644"/>
        </w:tabs>
        <w:ind w:left="1644" w:hanging="283"/>
      </w:pPr>
      <w:rPr>
        <w:rFonts w:ascii="Times New Roman" w:hAnsi="Times New Roman"/>
      </w:rPr>
    </w:lvl>
    <w:lvl w:ilvl="2">
      <w:start w:val="1"/>
      <w:numFmt w:val="bullet"/>
      <w:pStyle w:val="ListDash3Level3"/>
      <w:lvlText w:val="–"/>
      <w:lvlJc w:val="left"/>
      <w:pPr>
        <w:tabs>
          <w:tab w:val="num" w:pos="1928"/>
        </w:tabs>
        <w:ind w:left="1928" w:hanging="284"/>
      </w:pPr>
      <w:rPr>
        <w:rFonts w:ascii="Times New Roman" w:hAnsi="Times New Roman"/>
      </w:rPr>
    </w:lvl>
    <w:lvl w:ilvl="3">
      <w:start w:val="1"/>
      <w:numFmt w:val="bullet"/>
      <w:pStyle w:val="ListDash3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15:restartNumberingAfterBreak="0">
    <w:nsid w:val="37CB1E1C"/>
    <w:multiLevelType w:val="multilevel"/>
    <w:tmpl w:val="5E344928"/>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15:restartNumberingAfterBreak="0">
    <w:nsid w:val="3A7730C4"/>
    <w:multiLevelType w:val="multilevel"/>
    <w:tmpl w:val="79DA2648"/>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15:restartNumberingAfterBreak="0">
    <w:nsid w:val="429E662A"/>
    <w:multiLevelType w:val="multilevel"/>
    <w:tmpl w:val="0F708ADA"/>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15:restartNumberingAfterBreak="0">
    <w:nsid w:val="4E1A63DF"/>
    <w:multiLevelType w:val="multilevel"/>
    <w:tmpl w:val="FA0C29A8"/>
    <w:name w:val="TableListBulletNumbering"/>
    <w:lvl w:ilvl="0">
      <w:start w:val="1"/>
      <w:numFmt w:val="bullet"/>
      <w:pStyle w:val="TableListBullet"/>
      <w:lvlText w:val=""/>
      <w:lvlJc w:val="left"/>
      <w:pPr>
        <w:tabs>
          <w:tab w:val="num" w:pos="283"/>
        </w:tabs>
        <w:ind w:left="283" w:hanging="283"/>
      </w:pPr>
      <w:rPr>
        <w:rFonts w:ascii="Symbol" w:hAnsi="Symbol"/>
      </w:rPr>
    </w:lvl>
    <w:lvl w:ilvl="1">
      <w:start w:val="1"/>
      <w:numFmt w:val="bullet"/>
      <w:pStyle w:val="TableListBulletLevel2"/>
      <w:lvlText w:val=""/>
      <w:lvlJc w:val="left"/>
      <w:pPr>
        <w:tabs>
          <w:tab w:val="num" w:pos="567"/>
        </w:tabs>
        <w:ind w:left="567" w:hanging="284"/>
      </w:pPr>
      <w:rPr>
        <w:rFonts w:ascii="Symbol" w:hAnsi="Symbol"/>
      </w:rPr>
    </w:lvl>
    <w:lvl w:ilvl="2">
      <w:start w:val="1"/>
      <w:numFmt w:val="bullet"/>
      <w:pStyle w:val="TableListBulletLevel3"/>
      <w:lvlText w:val=""/>
      <w:lvlJc w:val="left"/>
      <w:pPr>
        <w:tabs>
          <w:tab w:val="num" w:pos="850"/>
        </w:tabs>
        <w:ind w:left="850" w:hanging="283"/>
      </w:pPr>
      <w:rPr>
        <w:rFonts w:ascii="Symbol" w:hAnsi="Symbol"/>
      </w:rPr>
    </w:lvl>
    <w:lvl w:ilvl="3">
      <w:start w:val="1"/>
      <w:numFmt w:val="bullet"/>
      <w:pStyle w:val="Table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15:restartNumberingAfterBreak="0">
    <w:nsid w:val="4E1A982C"/>
    <w:multiLevelType w:val="multilevel"/>
    <w:tmpl w:val="CA244D92"/>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15:restartNumberingAfterBreak="0">
    <w:nsid w:val="5072619B"/>
    <w:multiLevelType w:val="multilevel"/>
    <w:tmpl w:val="8202FC4E"/>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15:restartNumberingAfterBreak="0">
    <w:nsid w:val="50729B52"/>
    <w:multiLevelType w:val="multilevel"/>
    <w:tmpl w:val="BDECB134"/>
    <w:name w:val="TableListDashNumbering"/>
    <w:lvl w:ilvl="0">
      <w:start w:val="1"/>
      <w:numFmt w:val="bullet"/>
      <w:pStyle w:val="TableListDash"/>
      <w:lvlText w:val="–"/>
      <w:lvlJc w:val="left"/>
      <w:pPr>
        <w:tabs>
          <w:tab w:val="num" w:pos="283"/>
        </w:tabs>
        <w:ind w:left="283" w:hanging="283"/>
      </w:pPr>
      <w:rPr>
        <w:rFonts w:ascii="Times New Roman" w:hAnsi="Times New Roman"/>
      </w:rPr>
    </w:lvl>
    <w:lvl w:ilvl="1">
      <w:start w:val="1"/>
      <w:numFmt w:val="bullet"/>
      <w:pStyle w:val="TableListDashLevel2"/>
      <w:lvlText w:val="–"/>
      <w:lvlJc w:val="left"/>
      <w:pPr>
        <w:tabs>
          <w:tab w:val="num" w:pos="567"/>
        </w:tabs>
        <w:ind w:left="567" w:hanging="284"/>
      </w:pPr>
      <w:rPr>
        <w:rFonts w:ascii="Times New Roman" w:hAnsi="Times New Roman"/>
      </w:rPr>
    </w:lvl>
    <w:lvl w:ilvl="2">
      <w:start w:val="1"/>
      <w:numFmt w:val="bullet"/>
      <w:pStyle w:val="TableListDashLevel3"/>
      <w:lvlText w:val="–"/>
      <w:lvlJc w:val="left"/>
      <w:pPr>
        <w:tabs>
          <w:tab w:val="num" w:pos="850"/>
        </w:tabs>
        <w:ind w:left="850" w:hanging="283"/>
      </w:pPr>
      <w:rPr>
        <w:rFonts w:ascii="Times New Roman" w:hAnsi="Times New Roman"/>
      </w:rPr>
    </w:lvl>
    <w:lvl w:ilvl="3">
      <w:start w:val="1"/>
      <w:numFmt w:val="bullet"/>
      <w:pStyle w:val="Table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15:restartNumberingAfterBreak="0">
    <w:nsid w:val="6977472E"/>
    <w:multiLevelType w:val="multilevel"/>
    <w:tmpl w:val="7486A646"/>
    <w:name w:val="ListNumber4Numbering"/>
    <w:lvl w:ilvl="0">
      <w:start w:val="1"/>
      <w:numFmt w:val="decimal"/>
      <w:pStyle w:val="ListNumber4"/>
      <w:lvlText w:val="(%1)"/>
      <w:lvlJc w:val="left"/>
      <w:pPr>
        <w:tabs>
          <w:tab w:val="num" w:pos="1786"/>
        </w:tabs>
        <w:ind w:left="1786" w:hanging="709"/>
      </w:pPr>
    </w:lvl>
    <w:lvl w:ilvl="1">
      <w:start w:val="1"/>
      <w:numFmt w:val="lowerLetter"/>
      <w:pStyle w:val="ListNumber4Level2"/>
      <w:lvlText w:val="(%2)"/>
      <w:lvlJc w:val="left"/>
      <w:pPr>
        <w:tabs>
          <w:tab w:val="num" w:pos="2494"/>
        </w:tabs>
        <w:ind w:left="2494" w:hanging="708"/>
      </w:pPr>
    </w:lvl>
    <w:lvl w:ilvl="2">
      <w:start w:val="1"/>
      <w:numFmt w:val="bullet"/>
      <w:pStyle w:val="ListNumber4Level3"/>
      <w:lvlText w:val="–"/>
      <w:lvlJc w:val="left"/>
      <w:pPr>
        <w:tabs>
          <w:tab w:val="num" w:pos="3203"/>
        </w:tabs>
        <w:ind w:left="3203" w:hanging="709"/>
      </w:pPr>
      <w:rPr>
        <w:rFonts w:ascii="Times New Roman" w:hAnsi="Times New Roman"/>
      </w:rPr>
    </w:lvl>
    <w:lvl w:ilvl="3">
      <w:start w:val="1"/>
      <w:numFmt w:val="bullet"/>
      <w:pStyle w:val="ListNumber4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15:restartNumberingAfterBreak="0">
    <w:nsid w:val="7C65145E"/>
    <w:multiLevelType w:val="multilevel"/>
    <w:tmpl w:val="8D5433E0"/>
    <w:name w:val="EurolookHeading"/>
    <w:lvl w:ilvl="0">
      <w:start w:val="1"/>
      <w:numFmt w:val="decimal"/>
      <w:pStyle w:val="Heading1"/>
      <w:lvlText w:val="%1."/>
      <w:lvlJc w:val="left"/>
      <w:pPr>
        <w:tabs>
          <w:tab w:val="num" w:pos="482"/>
        </w:tabs>
        <w:ind w:left="482" w:hanging="482"/>
      </w:pPr>
      <w:rPr>
        <w:rFonts w:hint="default"/>
      </w:rPr>
    </w:lvl>
    <w:lvl w:ilvl="1">
      <w:start w:val="1"/>
      <w:numFmt w:val="decimal"/>
      <w:pStyle w:val="Heading2"/>
      <w:lvlText w:val="%1.%2."/>
      <w:lvlJc w:val="left"/>
      <w:pPr>
        <w:tabs>
          <w:tab w:val="num" w:pos="1077"/>
        </w:tabs>
        <w:ind w:left="1077" w:hanging="595"/>
      </w:pPr>
      <w:rPr>
        <w:rFonts w:hint="default"/>
      </w:rPr>
    </w:lvl>
    <w:lvl w:ilvl="2">
      <w:start w:val="1"/>
      <w:numFmt w:val="decimal"/>
      <w:pStyle w:val="Heading3"/>
      <w:lvlText w:val="%1.%2.%3."/>
      <w:lvlJc w:val="left"/>
      <w:pPr>
        <w:tabs>
          <w:tab w:val="num" w:pos="1922"/>
        </w:tabs>
        <w:ind w:left="1922" w:hanging="845"/>
      </w:pPr>
      <w:rPr>
        <w:rFonts w:hint="default"/>
      </w:rPr>
    </w:lvl>
    <w:lvl w:ilvl="3">
      <w:start w:val="1"/>
      <w:numFmt w:val="decimal"/>
      <w:pStyle w:val="Heading4"/>
      <w:lvlText w:val="%1.%2.%3.%4."/>
      <w:lvlJc w:val="left"/>
      <w:pPr>
        <w:tabs>
          <w:tab w:val="num" w:pos="1922"/>
        </w:tabs>
        <w:ind w:left="1922" w:hanging="845"/>
      </w:pPr>
      <w:rPr>
        <w:rFonts w:hint="default"/>
      </w:rPr>
    </w:lvl>
    <w:lvl w:ilvl="4">
      <w:start w:val="1"/>
      <w:numFmt w:val="decimal"/>
      <w:pStyle w:val="Heading5"/>
      <w:lvlText w:val="%1.%2.%3.%4.%5."/>
      <w:lvlJc w:val="left"/>
      <w:pPr>
        <w:tabs>
          <w:tab w:val="num" w:pos="1922"/>
        </w:tabs>
        <w:ind w:left="1922" w:hanging="845"/>
      </w:pPr>
      <w:rPr>
        <w:rFonts w:hint="default"/>
      </w:rPr>
    </w:lvl>
    <w:lvl w:ilvl="5">
      <w:start w:val="1"/>
      <w:numFmt w:val="decimal"/>
      <w:pStyle w:val="Heading6"/>
      <w:lvlText w:val="%1.%2.%3.%4.%5.%6."/>
      <w:lvlJc w:val="left"/>
      <w:pPr>
        <w:tabs>
          <w:tab w:val="num" w:pos="1922"/>
        </w:tabs>
        <w:ind w:left="1922" w:hanging="845"/>
      </w:pPr>
      <w:rPr>
        <w:rFonts w:hint="default"/>
      </w:rPr>
    </w:lvl>
    <w:lvl w:ilvl="6">
      <w:start w:val="1"/>
      <w:numFmt w:val="decimal"/>
      <w:pStyle w:val="Heading7"/>
      <w:lvlText w:val="%1.%2.%3.%4.%5.%6.%7."/>
      <w:lvlJc w:val="left"/>
      <w:pPr>
        <w:tabs>
          <w:tab w:val="num" w:pos="1922"/>
        </w:tabs>
        <w:ind w:left="1922" w:hanging="845"/>
      </w:pPr>
      <w:rPr>
        <w:rFonts w:hint="default"/>
      </w:rPr>
    </w:lvl>
    <w:lvl w:ilvl="7">
      <w:start w:val="1"/>
      <w:numFmt w:val="decimal"/>
      <w:pStyle w:val="Heading8"/>
      <w:lvlText w:val="%1.%2.%3.%4.%5.%6.%7.%8."/>
      <w:lvlJc w:val="left"/>
      <w:pPr>
        <w:tabs>
          <w:tab w:val="num" w:pos="1922"/>
        </w:tabs>
        <w:ind w:left="1922" w:hanging="845"/>
      </w:pPr>
      <w:rPr>
        <w:rFonts w:hint="default"/>
      </w:rPr>
    </w:lvl>
    <w:lvl w:ilvl="8">
      <w:start w:val="1"/>
      <w:numFmt w:val="decimal"/>
      <w:pStyle w:val="Heading9"/>
      <w:lvlText w:val="%1.%2.%3.%4.%5.%6.%7.%8.%9."/>
      <w:lvlJc w:val="left"/>
      <w:pPr>
        <w:tabs>
          <w:tab w:val="num" w:pos="1922"/>
        </w:tabs>
        <w:ind w:left="1922" w:hanging="845"/>
      </w:pPr>
      <w:rPr>
        <w:rFonts w:hint="default"/>
      </w:rPr>
    </w:lvl>
  </w:abstractNum>
  <w:abstractNum w:abstractNumId="22" w15:restartNumberingAfterBreak="0">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0"/>
  </w:num>
  <w:num w:numId="2">
    <w:abstractNumId w:val="12"/>
  </w:num>
  <w:num w:numId="3">
    <w:abstractNumId w:val="8"/>
  </w:num>
  <w:num w:numId="4">
    <w:abstractNumId w:val="13"/>
  </w:num>
  <w:num w:numId="5">
    <w:abstractNumId w:val="18"/>
  </w:num>
  <w:num w:numId="6">
    <w:abstractNumId w:val="20"/>
  </w:num>
  <w:num w:numId="7">
    <w:abstractNumId w:val="1"/>
  </w:num>
  <w:num w:numId="8">
    <w:abstractNumId w:val="7"/>
  </w:num>
  <w:num w:numId="9">
    <w:abstractNumId w:val="15"/>
  </w:num>
  <w:num w:numId="10">
    <w:abstractNumId w:val="2"/>
  </w:num>
  <w:num w:numId="11">
    <w:abstractNumId w:val="4"/>
  </w:num>
  <w:num w:numId="12">
    <w:abstractNumId w:val="5"/>
  </w:num>
  <w:num w:numId="13">
    <w:abstractNumId w:val="9"/>
  </w:num>
  <w:num w:numId="14">
    <w:abstractNumId w:val="14"/>
  </w:num>
  <w:num w:numId="15">
    <w:abstractNumId w:val="17"/>
  </w:num>
  <w:num w:numId="16">
    <w:abstractNumId w:val="21"/>
  </w:num>
  <w:num w:numId="17">
    <w:abstractNumId w:val="10"/>
  </w:num>
  <w:num w:numId="18">
    <w:abstractNumId w:val="11"/>
  </w:num>
  <w:num w:numId="19">
    <w:abstractNumId w:val="22"/>
  </w:num>
  <w:num w:numId="20">
    <w:abstractNumId w:val="16"/>
  </w:num>
  <w:num w:numId="21">
    <w:abstractNumId w:val="19"/>
  </w:num>
  <w:num w:numId="22">
    <w:abstractNumId w:val="3"/>
  </w:num>
  <w:num w:numId="23">
    <w:abstractNumId w:val="8"/>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4">
    <w:abstractNumId w:val="8"/>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5">
    <w:abstractNumId w:val="21"/>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1"/>
  </w:num>
  <w:num w:numId="29">
    <w:abstractNumId w:val="21"/>
  </w:num>
  <w:num w:numId="30">
    <w:abstractNumId w:val="21"/>
  </w:num>
  <w:num w:numId="31">
    <w:abstractNumId w:val="21"/>
  </w:num>
  <w:num w:numId="32">
    <w:abstractNumId w:val="21"/>
  </w:num>
  <w:num w:numId="33">
    <w:abstractNumId w:val="6"/>
  </w:num>
  <w:num w:numId="34">
    <w:abstractNumId w:val="21"/>
  </w:num>
  <w:num w:numId="35">
    <w:abstractNumId w:val="21"/>
  </w:num>
  <w:num w:numId="36">
    <w:abstractNumId w:val="21"/>
  </w:num>
  <w:num w:numId="37">
    <w:abstractNumId w:val="21"/>
  </w:num>
  <w:num w:numId="38">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12289"/>
  </w:hdrShapeDefaults>
  <w:footnotePr>
    <w:footnote w:id="-1"/>
    <w:footnote w:id="0"/>
    <w:footnote w:id="1"/>
  </w:footnotePr>
  <w:endnotePr>
    <w:numFmt w:val="lowerLette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73416C86-3A5F-4550-B733-EA1292CA3608"/>
    <w:docVar w:name="LW_COVERPAGE_TYPE" w:val="1"/>
    <w:docVar w:name="LW_CROSSREFERENCE" w:val="&lt;UNUSED&gt;"/>
    <w:docVar w:name="LW_DocType" w:val="EUROLOOK"/>
    <w:docVar w:name="LW_EMISSION" w:val="28.2.2025"/>
    <w:docVar w:name="LW_EMISSION_ISODATE" w:val="2025-02-28"/>
    <w:docVar w:name="LW_EMISSION_LOCATION" w:val="BRX"/>
    <w:docVar w:name="LW_EMISSION_PREFIX" w:val="Bruxelles, "/>
    <w:docVar w:name="LW_EMISSION_SUFFIX" w:val=" "/>
    <w:docVar w:name="LW_ID_DOCTYPE_NONLW" w:val="CP-003"/>
    <w:docVar w:name="LW_LANGUE" w:val="RO"/>
    <w:docVar w:name="LW_LEVEL_OF_SENSITIVITY" w:val="Standard treatment"/>
    <w:docVar w:name="LW_NOM.INST" w:val="COMISIA EUROPEAN\u258?"/>
    <w:docVar w:name="LW_NOM.INST_JOINTDOC" w:val="&lt;EMPTY&gt;"/>
    <w:docVar w:name="LW_PART_NBR" w:val="1"/>
    <w:docVar w:name="LW_PART_NBR_TOTAL" w:val="1"/>
    <w:docVar w:name="LW_REF.INST.NEW" w:val="COM"/>
    <w:docVar w:name="LW_REF.INST.NEW_ADOPTED" w:val="final"/>
    <w:docVar w:name="LW_REF.INST.NEW_TEXT" w:val="(2025) 58"/>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privind implementarea ARACHNE pentru cheltuielile PAC"/>
    <w:docVar w:name="LW_TYPE.DOC.CP" w:val="RAPORT AL COMISIEI"/>
    <w:docVar w:name="LwApiVersions" w:val="LW4CoDe 1.24.5.0; LW 9.0, Build 20240221"/>
  </w:docVars>
  <w:rsids>
    <w:rsidRoot w:val="00D905D6"/>
    <w:rsid w:val="0005E73A"/>
    <w:rsid w:val="000903CC"/>
    <w:rsid w:val="000958E3"/>
    <w:rsid w:val="000B1C45"/>
    <w:rsid w:val="000C24C2"/>
    <w:rsid w:val="000D11B8"/>
    <w:rsid w:val="000D80DD"/>
    <w:rsid w:val="000E2E88"/>
    <w:rsid w:val="000F22B5"/>
    <w:rsid w:val="000F349D"/>
    <w:rsid w:val="001002FC"/>
    <w:rsid w:val="0014156B"/>
    <w:rsid w:val="00155B15"/>
    <w:rsid w:val="001658DA"/>
    <w:rsid w:val="00166856"/>
    <w:rsid w:val="001A19A0"/>
    <w:rsid w:val="001B59A1"/>
    <w:rsid w:val="001B6704"/>
    <w:rsid w:val="001D1948"/>
    <w:rsid w:val="001E28B0"/>
    <w:rsid w:val="001E37F6"/>
    <w:rsid w:val="00222EEC"/>
    <w:rsid w:val="00223079"/>
    <w:rsid w:val="0023149A"/>
    <w:rsid w:val="002527C1"/>
    <w:rsid w:val="00282CED"/>
    <w:rsid w:val="002874D7"/>
    <w:rsid w:val="002A312F"/>
    <w:rsid w:val="002A65D9"/>
    <w:rsid w:val="002A779D"/>
    <w:rsid w:val="002B0602"/>
    <w:rsid w:val="002B5C30"/>
    <w:rsid w:val="002E2C80"/>
    <w:rsid w:val="002F2AD1"/>
    <w:rsid w:val="002F481B"/>
    <w:rsid w:val="002F56BB"/>
    <w:rsid w:val="002F7675"/>
    <w:rsid w:val="00314D5E"/>
    <w:rsid w:val="00322399"/>
    <w:rsid w:val="0034014F"/>
    <w:rsid w:val="003527CA"/>
    <w:rsid w:val="00360108"/>
    <w:rsid w:val="003631B7"/>
    <w:rsid w:val="00395323"/>
    <w:rsid w:val="003A2940"/>
    <w:rsid w:val="003C442D"/>
    <w:rsid w:val="003C6A8E"/>
    <w:rsid w:val="00400D84"/>
    <w:rsid w:val="00414EFA"/>
    <w:rsid w:val="00415CFE"/>
    <w:rsid w:val="0041611A"/>
    <w:rsid w:val="00441F52"/>
    <w:rsid w:val="00444EC3"/>
    <w:rsid w:val="0044611E"/>
    <w:rsid w:val="0045655E"/>
    <w:rsid w:val="0046137E"/>
    <w:rsid w:val="004631CA"/>
    <w:rsid w:val="0047603A"/>
    <w:rsid w:val="004844C5"/>
    <w:rsid w:val="0048793C"/>
    <w:rsid w:val="004B15EB"/>
    <w:rsid w:val="004C05B8"/>
    <w:rsid w:val="004C6397"/>
    <w:rsid w:val="00521AEA"/>
    <w:rsid w:val="00542260"/>
    <w:rsid w:val="00560666"/>
    <w:rsid w:val="005708F4"/>
    <w:rsid w:val="005D2B49"/>
    <w:rsid w:val="005D4ADB"/>
    <w:rsid w:val="005E328F"/>
    <w:rsid w:val="005F257A"/>
    <w:rsid w:val="005F60F8"/>
    <w:rsid w:val="006248E1"/>
    <w:rsid w:val="00632B34"/>
    <w:rsid w:val="006717D6"/>
    <w:rsid w:val="00674119"/>
    <w:rsid w:val="00683BAC"/>
    <w:rsid w:val="006B006F"/>
    <w:rsid w:val="006D48FA"/>
    <w:rsid w:val="006DE478"/>
    <w:rsid w:val="006E3E7B"/>
    <w:rsid w:val="006F4455"/>
    <w:rsid w:val="00702D84"/>
    <w:rsid w:val="007045D7"/>
    <w:rsid w:val="00705DD0"/>
    <w:rsid w:val="00706834"/>
    <w:rsid w:val="00710A6F"/>
    <w:rsid w:val="007252E8"/>
    <w:rsid w:val="00734694"/>
    <w:rsid w:val="00735728"/>
    <w:rsid w:val="00752A1F"/>
    <w:rsid w:val="007659CB"/>
    <w:rsid w:val="007818F7"/>
    <w:rsid w:val="007831A4"/>
    <w:rsid w:val="007A6501"/>
    <w:rsid w:val="007C5663"/>
    <w:rsid w:val="007C6EB7"/>
    <w:rsid w:val="007F2B56"/>
    <w:rsid w:val="008004D0"/>
    <w:rsid w:val="00820F81"/>
    <w:rsid w:val="00837202"/>
    <w:rsid w:val="00860301"/>
    <w:rsid w:val="00862B78"/>
    <w:rsid w:val="008649FF"/>
    <w:rsid w:val="00866522"/>
    <w:rsid w:val="008710A1"/>
    <w:rsid w:val="00876FA6"/>
    <w:rsid w:val="00880806"/>
    <w:rsid w:val="008815E0"/>
    <w:rsid w:val="00884509"/>
    <w:rsid w:val="00890388"/>
    <w:rsid w:val="008C70C8"/>
    <w:rsid w:val="008D479E"/>
    <w:rsid w:val="008F0D3F"/>
    <w:rsid w:val="008F3595"/>
    <w:rsid w:val="00901A9A"/>
    <w:rsid w:val="009111FE"/>
    <w:rsid w:val="0094360B"/>
    <w:rsid w:val="00944039"/>
    <w:rsid w:val="00951FAF"/>
    <w:rsid w:val="00953719"/>
    <w:rsid w:val="00957489"/>
    <w:rsid w:val="009B0677"/>
    <w:rsid w:val="009E6C43"/>
    <w:rsid w:val="00A00E15"/>
    <w:rsid w:val="00A10AAB"/>
    <w:rsid w:val="00A25F97"/>
    <w:rsid w:val="00A37DAB"/>
    <w:rsid w:val="00A50EA9"/>
    <w:rsid w:val="00A55585"/>
    <w:rsid w:val="00A66589"/>
    <w:rsid w:val="00AD0AB2"/>
    <w:rsid w:val="00AE2BFA"/>
    <w:rsid w:val="00AF2833"/>
    <w:rsid w:val="00AF3F2E"/>
    <w:rsid w:val="00B07FEB"/>
    <w:rsid w:val="00B14391"/>
    <w:rsid w:val="00B1523E"/>
    <w:rsid w:val="00B22436"/>
    <w:rsid w:val="00B31AB9"/>
    <w:rsid w:val="00B34D06"/>
    <w:rsid w:val="00B37539"/>
    <w:rsid w:val="00B471CD"/>
    <w:rsid w:val="00B472BC"/>
    <w:rsid w:val="00B55B32"/>
    <w:rsid w:val="00B66818"/>
    <w:rsid w:val="00B92D03"/>
    <w:rsid w:val="00BC2311"/>
    <w:rsid w:val="00BC72B6"/>
    <w:rsid w:val="00BD5436"/>
    <w:rsid w:val="00C05B37"/>
    <w:rsid w:val="00C24C18"/>
    <w:rsid w:val="00C32553"/>
    <w:rsid w:val="00C663C9"/>
    <w:rsid w:val="00C862A8"/>
    <w:rsid w:val="00CB443B"/>
    <w:rsid w:val="00CB605B"/>
    <w:rsid w:val="00CB642F"/>
    <w:rsid w:val="00CC7C0C"/>
    <w:rsid w:val="00CD35BC"/>
    <w:rsid w:val="00CD714B"/>
    <w:rsid w:val="00CF5543"/>
    <w:rsid w:val="00CF6656"/>
    <w:rsid w:val="00D179EF"/>
    <w:rsid w:val="00D25F49"/>
    <w:rsid w:val="00D267AB"/>
    <w:rsid w:val="00D427B9"/>
    <w:rsid w:val="00D615CE"/>
    <w:rsid w:val="00D80CC0"/>
    <w:rsid w:val="00D905D6"/>
    <w:rsid w:val="00DB1AC3"/>
    <w:rsid w:val="00DB7A57"/>
    <w:rsid w:val="00DCCFA6"/>
    <w:rsid w:val="00DD2090"/>
    <w:rsid w:val="00DF9CD2"/>
    <w:rsid w:val="00E05609"/>
    <w:rsid w:val="00E35792"/>
    <w:rsid w:val="00E364A6"/>
    <w:rsid w:val="00E365C5"/>
    <w:rsid w:val="00E50C9B"/>
    <w:rsid w:val="00E56390"/>
    <w:rsid w:val="00E57B31"/>
    <w:rsid w:val="00E60946"/>
    <w:rsid w:val="00E60DC6"/>
    <w:rsid w:val="00E75AB5"/>
    <w:rsid w:val="00E85772"/>
    <w:rsid w:val="00E930B5"/>
    <w:rsid w:val="00EA1ADD"/>
    <w:rsid w:val="00EA4124"/>
    <w:rsid w:val="00EB6A29"/>
    <w:rsid w:val="00EC0C2A"/>
    <w:rsid w:val="00ED49EB"/>
    <w:rsid w:val="00ED796E"/>
    <w:rsid w:val="00EE3B3A"/>
    <w:rsid w:val="00EE47FC"/>
    <w:rsid w:val="00EF73A5"/>
    <w:rsid w:val="00F03213"/>
    <w:rsid w:val="00F03976"/>
    <w:rsid w:val="00F29BD1"/>
    <w:rsid w:val="00F36AD9"/>
    <w:rsid w:val="00F444CA"/>
    <w:rsid w:val="00F45C04"/>
    <w:rsid w:val="00F80C6F"/>
    <w:rsid w:val="00F85A1C"/>
    <w:rsid w:val="00F92407"/>
    <w:rsid w:val="00F926AB"/>
    <w:rsid w:val="00FC667A"/>
    <w:rsid w:val="00FF1828"/>
    <w:rsid w:val="0140732D"/>
    <w:rsid w:val="02280EC3"/>
    <w:rsid w:val="0287172B"/>
    <w:rsid w:val="02FD4B49"/>
    <w:rsid w:val="03021BD4"/>
    <w:rsid w:val="0337124E"/>
    <w:rsid w:val="03A0D189"/>
    <w:rsid w:val="040FDEA0"/>
    <w:rsid w:val="04701AF7"/>
    <w:rsid w:val="04C0BCF4"/>
    <w:rsid w:val="052BC80D"/>
    <w:rsid w:val="05B21FAC"/>
    <w:rsid w:val="067465A4"/>
    <w:rsid w:val="06C5D04C"/>
    <w:rsid w:val="075E323D"/>
    <w:rsid w:val="08885FF9"/>
    <w:rsid w:val="08D16D30"/>
    <w:rsid w:val="08D46113"/>
    <w:rsid w:val="08DF128D"/>
    <w:rsid w:val="09152692"/>
    <w:rsid w:val="09A39E14"/>
    <w:rsid w:val="0A3C3A62"/>
    <w:rsid w:val="0A3E773A"/>
    <w:rsid w:val="0A6616D1"/>
    <w:rsid w:val="0AFCD819"/>
    <w:rsid w:val="0B6D38C5"/>
    <w:rsid w:val="0BE836BF"/>
    <w:rsid w:val="0C84CF63"/>
    <w:rsid w:val="0CE92BEC"/>
    <w:rsid w:val="0D808D72"/>
    <w:rsid w:val="0E1E637C"/>
    <w:rsid w:val="0F640502"/>
    <w:rsid w:val="1004E1A0"/>
    <w:rsid w:val="1012E53C"/>
    <w:rsid w:val="10C8E30E"/>
    <w:rsid w:val="1192CC32"/>
    <w:rsid w:val="1194550F"/>
    <w:rsid w:val="11D2BE7F"/>
    <w:rsid w:val="11F2F8B0"/>
    <w:rsid w:val="121BD78D"/>
    <w:rsid w:val="12F40B82"/>
    <w:rsid w:val="13655959"/>
    <w:rsid w:val="143C6E1F"/>
    <w:rsid w:val="15DD6C56"/>
    <w:rsid w:val="161A0F3E"/>
    <w:rsid w:val="165B1EB3"/>
    <w:rsid w:val="166D94C0"/>
    <w:rsid w:val="16B82C8C"/>
    <w:rsid w:val="16CE53CD"/>
    <w:rsid w:val="16D4CCC6"/>
    <w:rsid w:val="1843FF0F"/>
    <w:rsid w:val="18A22CA2"/>
    <w:rsid w:val="199D0A66"/>
    <w:rsid w:val="1AA4BA69"/>
    <w:rsid w:val="1AB06384"/>
    <w:rsid w:val="1ADC4E5F"/>
    <w:rsid w:val="1B9803C6"/>
    <w:rsid w:val="1B9D401A"/>
    <w:rsid w:val="1CC90523"/>
    <w:rsid w:val="1D2E1D85"/>
    <w:rsid w:val="1DBD2507"/>
    <w:rsid w:val="1E61DC85"/>
    <w:rsid w:val="1EE9C73A"/>
    <w:rsid w:val="1F0DD307"/>
    <w:rsid w:val="1FEB6942"/>
    <w:rsid w:val="20392A9C"/>
    <w:rsid w:val="20F5F1A5"/>
    <w:rsid w:val="21916863"/>
    <w:rsid w:val="22372A33"/>
    <w:rsid w:val="2274BF0D"/>
    <w:rsid w:val="2410D361"/>
    <w:rsid w:val="24AD8DD3"/>
    <w:rsid w:val="250437E3"/>
    <w:rsid w:val="25484D54"/>
    <w:rsid w:val="25AA6A84"/>
    <w:rsid w:val="266AB947"/>
    <w:rsid w:val="27138587"/>
    <w:rsid w:val="278992B0"/>
    <w:rsid w:val="27DAA6C2"/>
    <w:rsid w:val="27E0FB0A"/>
    <w:rsid w:val="28307C78"/>
    <w:rsid w:val="2906AC0C"/>
    <w:rsid w:val="291E3741"/>
    <w:rsid w:val="298406EA"/>
    <w:rsid w:val="2A0E74EF"/>
    <w:rsid w:val="2AC4A00E"/>
    <w:rsid w:val="2BA384FC"/>
    <w:rsid w:val="2CC42909"/>
    <w:rsid w:val="2D29D5C2"/>
    <w:rsid w:val="2D5D60EC"/>
    <w:rsid w:val="2D6ED6C0"/>
    <w:rsid w:val="2DA5F926"/>
    <w:rsid w:val="2DE9E94B"/>
    <w:rsid w:val="2E53B836"/>
    <w:rsid w:val="2E6B9931"/>
    <w:rsid w:val="2EB0FBD1"/>
    <w:rsid w:val="2EE9A4E2"/>
    <w:rsid w:val="2F02F251"/>
    <w:rsid w:val="2F6D5808"/>
    <w:rsid w:val="2FCA31FA"/>
    <w:rsid w:val="30315F05"/>
    <w:rsid w:val="305EE1F3"/>
    <w:rsid w:val="30A021D6"/>
    <w:rsid w:val="30D17310"/>
    <w:rsid w:val="30F12358"/>
    <w:rsid w:val="31374688"/>
    <w:rsid w:val="317D8496"/>
    <w:rsid w:val="31E795E6"/>
    <w:rsid w:val="31F31385"/>
    <w:rsid w:val="33162FD5"/>
    <w:rsid w:val="335DB1B4"/>
    <w:rsid w:val="33D372A6"/>
    <w:rsid w:val="33FECC7E"/>
    <w:rsid w:val="342D53FA"/>
    <w:rsid w:val="345953D4"/>
    <w:rsid w:val="349E4DEB"/>
    <w:rsid w:val="34F1EBEB"/>
    <w:rsid w:val="358D9CD4"/>
    <w:rsid w:val="378BA593"/>
    <w:rsid w:val="381993AD"/>
    <w:rsid w:val="392033F3"/>
    <w:rsid w:val="39AB8906"/>
    <w:rsid w:val="39F67DFF"/>
    <w:rsid w:val="3A31BE5F"/>
    <w:rsid w:val="3A38A7F5"/>
    <w:rsid w:val="3A8F81A9"/>
    <w:rsid w:val="3AA17178"/>
    <w:rsid w:val="3B5AC36C"/>
    <w:rsid w:val="3E38AEB3"/>
    <w:rsid w:val="3E5FE9F8"/>
    <w:rsid w:val="3E65B5C2"/>
    <w:rsid w:val="3EA3B8E7"/>
    <w:rsid w:val="3F2F1057"/>
    <w:rsid w:val="4035737A"/>
    <w:rsid w:val="418CD74D"/>
    <w:rsid w:val="41AC265D"/>
    <w:rsid w:val="420078BD"/>
    <w:rsid w:val="420503A9"/>
    <w:rsid w:val="42668FB8"/>
    <w:rsid w:val="42C91655"/>
    <w:rsid w:val="42D29468"/>
    <w:rsid w:val="43096F6C"/>
    <w:rsid w:val="435E8F0A"/>
    <w:rsid w:val="44B0B3CA"/>
    <w:rsid w:val="46ADE358"/>
    <w:rsid w:val="479456C5"/>
    <w:rsid w:val="47982A57"/>
    <w:rsid w:val="47F4806B"/>
    <w:rsid w:val="48B828F6"/>
    <w:rsid w:val="48C44ABB"/>
    <w:rsid w:val="48CA096B"/>
    <w:rsid w:val="48CCAB63"/>
    <w:rsid w:val="49B98FC2"/>
    <w:rsid w:val="49BF0F12"/>
    <w:rsid w:val="49DE5D23"/>
    <w:rsid w:val="4A0FF77C"/>
    <w:rsid w:val="4BE12F50"/>
    <w:rsid w:val="4C0D3E39"/>
    <w:rsid w:val="4DFA3573"/>
    <w:rsid w:val="4E095647"/>
    <w:rsid w:val="4E94F57C"/>
    <w:rsid w:val="4F5644B1"/>
    <w:rsid w:val="4F809623"/>
    <w:rsid w:val="4FD17D5B"/>
    <w:rsid w:val="5075C50F"/>
    <w:rsid w:val="50B86E90"/>
    <w:rsid w:val="517CEC9A"/>
    <w:rsid w:val="518154D1"/>
    <w:rsid w:val="518495C0"/>
    <w:rsid w:val="538B6B4B"/>
    <w:rsid w:val="53A0AC3B"/>
    <w:rsid w:val="544481EC"/>
    <w:rsid w:val="55001977"/>
    <w:rsid w:val="555CFEF7"/>
    <w:rsid w:val="55A7DB2B"/>
    <w:rsid w:val="561E1DEA"/>
    <w:rsid w:val="567E8517"/>
    <w:rsid w:val="581B1378"/>
    <w:rsid w:val="58584288"/>
    <w:rsid w:val="588E88DE"/>
    <w:rsid w:val="58F13C58"/>
    <w:rsid w:val="5A318306"/>
    <w:rsid w:val="5A43295E"/>
    <w:rsid w:val="5A96CAA7"/>
    <w:rsid w:val="5BBB9AE9"/>
    <w:rsid w:val="5C450A5F"/>
    <w:rsid w:val="5C8AA354"/>
    <w:rsid w:val="5D0E64D5"/>
    <w:rsid w:val="5E19BA0D"/>
    <w:rsid w:val="5E49AC84"/>
    <w:rsid w:val="5E65409B"/>
    <w:rsid w:val="5F77DC24"/>
    <w:rsid w:val="5FD04DBB"/>
    <w:rsid w:val="62072DCC"/>
    <w:rsid w:val="62733DD6"/>
    <w:rsid w:val="63926AD2"/>
    <w:rsid w:val="63E054F6"/>
    <w:rsid w:val="6462D094"/>
    <w:rsid w:val="64E2B3B7"/>
    <w:rsid w:val="652B3044"/>
    <w:rsid w:val="65523C79"/>
    <w:rsid w:val="657BCE46"/>
    <w:rsid w:val="65E474AF"/>
    <w:rsid w:val="66BA67B7"/>
    <w:rsid w:val="674BD475"/>
    <w:rsid w:val="6751259D"/>
    <w:rsid w:val="67AA20A3"/>
    <w:rsid w:val="67FA6DEE"/>
    <w:rsid w:val="67FCF294"/>
    <w:rsid w:val="691B4F76"/>
    <w:rsid w:val="691D6498"/>
    <w:rsid w:val="694E5DF7"/>
    <w:rsid w:val="6AC10A2E"/>
    <w:rsid w:val="6B57699B"/>
    <w:rsid w:val="6C460A23"/>
    <w:rsid w:val="6CE09670"/>
    <w:rsid w:val="6CF978D7"/>
    <w:rsid w:val="6D5F3533"/>
    <w:rsid w:val="6DE5672F"/>
    <w:rsid w:val="6E17ADC2"/>
    <w:rsid w:val="6F9B7F03"/>
    <w:rsid w:val="6FACE2DE"/>
    <w:rsid w:val="702DFBCB"/>
    <w:rsid w:val="7059BBBF"/>
    <w:rsid w:val="715BA026"/>
    <w:rsid w:val="718AAFDE"/>
    <w:rsid w:val="71D8D88C"/>
    <w:rsid w:val="72C28B9B"/>
    <w:rsid w:val="731EC1C9"/>
    <w:rsid w:val="73B3DB94"/>
    <w:rsid w:val="73E2BD12"/>
    <w:rsid w:val="7431851D"/>
    <w:rsid w:val="7477F9D0"/>
    <w:rsid w:val="7582C62D"/>
    <w:rsid w:val="75A47F4C"/>
    <w:rsid w:val="75B7C017"/>
    <w:rsid w:val="75EBAA29"/>
    <w:rsid w:val="764B11CA"/>
    <w:rsid w:val="76796EBE"/>
    <w:rsid w:val="7682FD91"/>
    <w:rsid w:val="76CD2453"/>
    <w:rsid w:val="76E031C9"/>
    <w:rsid w:val="76F4C84B"/>
    <w:rsid w:val="7741ADC5"/>
    <w:rsid w:val="77D07071"/>
    <w:rsid w:val="789896CF"/>
    <w:rsid w:val="78A1DEF9"/>
    <w:rsid w:val="78A6092C"/>
    <w:rsid w:val="797788A0"/>
    <w:rsid w:val="79913EF9"/>
    <w:rsid w:val="79B97DD5"/>
    <w:rsid w:val="79F3F66B"/>
    <w:rsid w:val="7A04501B"/>
    <w:rsid w:val="7ACDA7FD"/>
    <w:rsid w:val="7B2D6861"/>
    <w:rsid w:val="7C8DD009"/>
    <w:rsid w:val="7E4B82B5"/>
    <w:rsid w:val="7F293508"/>
    <w:rsid w:val="7F357CC2"/>
    <w:rsid w:val="7F87F02E"/>
    <w:rsid w:val="7FAA0E20"/>
    <w:rsid w:val="7FF739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DE51E73"/>
  <w15:docId w15:val="{440F16B4-429D-4172-8E0D-41EA7F945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ro-RO" w:eastAsia="en-I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10" w:qFormat="1"/>
    <w:lsdException w:name="heading 4" w:uiPriority="10" w:qFormat="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35"/>
    <w:lsdException w:name="List Number" w:uiPriority="30"/>
    <w:lsdException w:name="List 2" w:semiHidden="1"/>
    <w:lsdException w:name="List 3" w:semiHidden="1"/>
    <w:lsdException w:name="List 4" w:semiHidden="1"/>
    <w:lsdException w:name="List 5" w:semiHidden="1"/>
    <w:lsdException w:name="List Bullet 2" w:uiPriority="35"/>
    <w:lsdException w:name="List Bullet 3" w:uiPriority="35"/>
    <w:lsdException w:name="List Bullet 4" w:uiPriority="35"/>
    <w:lsdException w:name="List Bullet 5" w:semiHidden="1"/>
    <w:lsdException w:name="List Number 2" w:uiPriority="30"/>
    <w:lsdException w:name="List Number 3" w:uiPriority="30"/>
    <w:lsdException w:name="List Number 4" w:uiPriority="30"/>
    <w:lsdException w:name="List Number 5" w:semiHidden="1"/>
    <w:lsdException w:name="Title"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0"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jc w:val="both"/>
    </w:pPr>
  </w:style>
  <w:style w:type="paragraph" w:styleId="Heading1">
    <w:name w:val="heading 1"/>
    <w:basedOn w:val="Normal"/>
    <w:next w:val="Text1"/>
    <w:uiPriority w:val="10"/>
    <w:qFormat/>
    <w:pPr>
      <w:keepNext/>
      <w:numPr>
        <w:numId w:val="16"/>
      </w:numPr>
      <w:spacing w:before="240"/>
      <w:outlineLvl w:val="0"/>
    </w:pPr>
    <w:rPr>
      <w:b/>
      <w:smallCaps/>
    </w:rPr>
  </w:style>
  <w:style w:type="paragraph" w:styleId="Heading2">
    <w:name w:val="heading 2"/>
    <w:basedOn w:val="Normal"/>
    <w:next w:val="Text2"/>
    <w:uiPriority w:val="10"/>
    <w:qFormat/>
    <w:pPr>
      <w:keepNext/>
      <w:numPr>
        <w:ilvl w:val="1"/>
        <w:numId w:val="16"/>
      </w:numPr>
      <w:outlineLvl w:val="1"/>
    </w:pPr>
    <w:rPr>
      <w:b/>
    </w:rPr>
  </w:style>
  <w:style w:type="paragraph" w:styleId="Heading3">
    <w:name w:val="heading 3"/>
    <w:basedOn w:val="Normal"/>
    <w:next w:val="Text3"/>
    <w:uiPriority w:val="10"/>
    <w:qFormat/>
    <w:pPr>
      <w:keepNext/>
      <w:numPr>
        <w:ilvl w:val="2"/>
        <w:numId w:val="16"/>
      </w:numPr>
      <w:outlineLvl w:val="2"/>
    </w:pPr>
    <w:rPr>
      <w:i/>
    </w:rPr>
  </w:style>
  <w:style w:type="paragraph" w:styleId="Heading4">
    <w:name w:val="heading 4"/>
    <w:basedOn w:val="Normal"/>
    <w:next w:val="Text4"/>
    <w:uiPriority w:val="10"/>
    <w:qFormat/>
    <w:pPr>
      <w:keepNext/>
      <w:numPr>
        <w:ilvl w:val="3"/>
        <w:numId w:val="16"/>
      </w:numPr>
      <w:outlineLvl w:val="3"/>
    </w:pPr>
  </w:style>
  <w:style w:type="paragraph" w:styleId="Heading5">
    <w:name w:val="heading 5"/>
    <w:basedOn w:val="Normal"/>
    <w:next w:val="Normal"/>
    <w:semiHidden/>
    <w:pPr>
      <w:keepNext/>
      <w:numPr>
        <w:ilvl w:val="4"/>
        <w:numId w:val="16"/>
      </w:numPr>
      <w:outlineLvl w:val="4"/>
    </w:pPr>
  </w:style>
  <w:style w:type="paragraph" w:styleId="Heading6">
    <w:name w:val="heading 6"/>
    <w:basedOn w:val="Normal"/>
    <w:next w:val="Normal"/>
    <w:semiHidden/>
    <w:pPr>
      <w:keepNext/>
      <w:numPr>
        <w:ilvl w:val="5"/>
        <w:numId w:val="16"/>
      </w:numPr>
      <w:outlineLvl w:val="5"/>
    </w:pPr>
  </w:style>
  <w:style w:type="paragraph" w:styleId="Heading7">
    <w:name w:val="heading 7"/>
    <w:basedOn w:val="Normal"/>
    <w:next w:val="Normal"/>
    <w:semiHidden/>
    <w:pPr>
      <w:keepNext/>
      <w:numPr>
        <w:ilvl w:val="6"/>
        <w:numId w:val="16"/>
      </w:numPr>
      <w:outlineLvl w:val="6"/>
    </w:pPr>
  </w:style>
  <w:style w:type="paragraph" w:styleId="Heading8">
    <w:name w:val="heading 8"/>
    <w:basedOn w:val="Normal"/>
    <w:next w:val="Normal"/>
    <w:semiHidden/>
    <w:pPr>
      <w:keepNext/>
      <w:numPr>
        <w:ilvl w:val="7"/>
        <w:numId w:val="16"/>
      </w:numPr>
      <w:outlineLvl w:val="7"/>
    </w:pPr>
  </w:style>
  <w:style w:type="paragraph" w:styleId="Heading9">
    <w:name w:val="heading 9"/>
    <w:basedOn w:val="Normal"/>
    <w:next w:val="Normal"/>
    <w:semiHidden/>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ceholderText1">
    <w:name w:val="Placeholder Text1"/>
    <w:basedOn w:val="DefaultParagraphFont"/>
    <w:semiHidden/>
    <w:rPr>
      <w:color w:val="288061"/>
    </w:rPr>
  </w:style>
  <w:style w:type="character" w:customStyle="1" w:styleId="Heading1Char">
    <w:name w:val="Heading 1 Char"/>
    <w:rsid w:val="00D905D6"/>
    <w:rPr>
      <w:b/>
      <w:smallCaps/>
    </w:rPr>
  </w:style>
  <w:style w:type="character" w:customStyle="1" w:styleId="Heading2Char">
    <w:name w:val="Heading 2 Char"/>
    <w:rsid w:val="00D905D6"/>
    <w:rPr>
      <w:b/>
    </w:rPr>
  </w:style>
  <w:style w:type="paragraph" w:styleId="ListParagraph">
    <w:name w:val="List Paragraph"/>
    <w:basedOn w:val="Normal"/>
    <w:qFormat/>
    <w:rsid w:val="00D905D6"/>
    <w:pPr>
      <w:spacing w:after="160" w:line="279" w:lineRule="auto"/>
      <w:ind w:left="720"/>
      <w:contextualSpacing/>
      <w:jc w:val="left"/>
    </w:pPr>
    <w:rPr>
      <w:rFonts w:ascii="Aptos" w:eastAsia="MS Mincho" w:hAnsi="Aptos" w:cs="Arial"/>
      <w:szCs w:val="24"/>
      <w:lang w:eastAsia="en-GB"/>
    </w:rPr>
  </w:style>
  <w:style w:type="character" w:customStyle="1" w:styleId="normaltextrun">
    <w:name w:val="normaltextrun"/>
    <w:basedOn w:val="DefaultParagraphFont"/>
    <w:rsid w:val="00D905D6"/>
  </w:style>
  <w:style w:type="character" w:styleId="Hyperlink">
    <w:name w:val="Hyperlink"/>
    <w:uiPriority w:val="99"/>
    <w:rsid w:val="00D905D6"/>
    <w:rPr>
      <w:color w:val="467886"/>
      <w:u w:val="single"/>
    </w:rPr>
  </w:style>
  <w:style w:type="character" w:customStyle="1" w:styleId="BodyPlaceholderText">
    <w:name w:val="BodyPlaceholderText"/>
    <w:basedOn w:val="PlaceholderText2"/>
    <w:semiHidden/>
    <w:rPr>
      <w:color w:val="3366CC"/>
    </w:rPr>
  </w:style>
  <w:style w:type="character" w:customStyle="1" w:styleId="CrossReference">
    <w:name w:val="Cross Reference"/>
    <w:basedOn w:val="DefaultParagraphFont"/>
    <w:semiHidden/>
    <w:rPr>
      <w:i/>
    </w:rPr>
  </w:style>
  <w:style w:type="character" w:styleId="FootnoteReference">
    <w:name w:val="footnote reference"/>
    <w:semiHidden/>
    <w:rPr>
      <w:vertAlign w:val="superscript"/>
    </w:rPr>
  </w:style>
  <w:style w:type="character" w:customStyle="1" w:styleId="InstructionBlue">
    <w:name w:val="InstructionBlue"/>
    <w:semiHidden/>
    <w:rPr>
      <w:i/>
      <w:color w:val="3366CC"/>
    </w:rPr>
  </w:style>
  <w:style w:type="character" w:customStyle="1" w:styleId="InstructionPlaceholder">
    <w:name w:val="InstructionPlaceholder"/>
    <w:semiHidden/>
    <w:rPr>
      <w:color w:val="CB3535"/>
    </w:rPr>
  </w:style>
  <w:style w:type="character" w:customStyle="1" w:styleId="InstructionRed">
    <w:name w:val="InstructionRed"/>
    <w:semiHidden/>
    <w:rPr>
      <w:i/>
      <w:color w:val="CB3535"/>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PlaceholderText2">
    <w:name w:val="Placeholder Text2"/>
    <w:basedOn w:val="DefaultParagraphFont"/>
    <w:semiHidden/>
    <w:rPr>
      <w:color w:val="288061"/>
    </w:rPr>
  </w:style>
  <w:style w:type="paragraph" w:customStyle="1" w:styleId="AfterTable">
    <w:name w:val="After Table"/>
    <w:semiHidden/>
    <w:rPr>
      <w:sz w:val="4"/>
    </w:rPr>
  </w:style>
  <w:style w:type="paragraph" w:customStyle="1" w:styleId="AnnexTitle">
    <w:name w:val="AnnexTitle"/>
    <w:basedOn w:val="Normal"/>
    <w:next w:val="Normal"/>
    <w:uiPriority w:val="45"/>
    <w:qFormat/>
    <w:pPr>
      <w:pageBreakBefore/>
      <w:numPr>
        <w:numId w:val="19"/>
      </w:numPr>
      <w:spacing w:after="480"/>
      <w:outlineLvl w:val="0"/>
    </w:pPr>
    <w:rPr>
      <w:b/>
      <w:sz w:val="32"/>
    </w:rPr>
  </w:style>
  <w:style w:type="paragraph" w:styleId="Caption">
    <w:name w:val="caption"/>
    <w:basedOn w:val="Normal"/>
    <w:next w:val="Normal"/>
    <w:semiHidden/>
    <w:pPr>
      <w:spacing w:before="160"/>
    </w:pPr>
    <w:rPr>
      <w:i/>
      <w:sz w:val="22"/>
    </w:rPr>
  </w:style>
  <w:style w:type="paragraph" w:styleId="Closing">
    <w:name w:val="Closing"/>
    <w:basedOn w:val="Normal"/>
    <w:next w:val="Signature"/>
    <w:semiHidden/>
    <w:pPr>
      <w:tabs>
        <w:tab w:val="left" w:pos="5102"/>
      </w:tabs>
      <w:spacing w:before="240"/>
      <w:ind w:left="5102"/>
      <w:jc w:val="left"/>
    </w:pPr>
  </w:style>
  <w:style w:type="paragraph" w:customStyle="1" w:styleId="ClosingL">
    <w:name w:val="ClosingL"/>
    <w:basedOn w:val="Normal"/>
    <w:next w:val="Signature"/>
    <w:semiHidden/>
    <w:pPr>
      <w:spacing w:before="240"/>
      <w:jc w:val="left"/>
    </w:pPr>
  </w:style>
  <w:style w:type="paragraph" w:customStyle="1" w:styleId="ConfidentialUE">
    <w:name w:val="Confidential UE"/>
    <w:basedOn w:val="Normal"/>
    <w:semiHidden/>
    <w:pPr>
      <w:spacing w:after="0"/>
      <w:jc w:val="center"/>
    </w:pPr>
    <w:rPr>
      <w:b/>
      <w:caps/>
      <w:sz w:val="32"/>
      <w:bdr w:val="single" w:sz="18" w:space="0" w:color="auto"/>
    </w:rPr>
  </w:style>
  <w:style w:type="paragraph" w:customStyle="1" w:styleId="Contact">
    <w:name w:val="Contact"/>
    <w:basedOn w:val="Normal"/>
    <w:semiHidden/>
    <w:pPr>
      <w:spacing w:before="480" w:after="0"/>
      <w:ind w:left="567" w:hanging="567"/>
      <w:contextualSpacing/>
      <w:jc w:val="left"/>
    </w:pPr>
  </w:style>
  <w:style w:type="paragraph" w:customStyle="1" w:styleId="ContNum">
    <w:name w:val="ContNum"/>
    <w:basedOn w:val="Normal"/>
    <w:uiPriority w:val="20"/>
    <w:qFormat/>
    <w:pPr>
      <w:numPr>
        <w:numId w:val="18"/>
      </w:numPr>
    </w:pPr>
  </w:style>
  <w:style w:type="paragraph" w:customStyle="1" w:styleId="ContNumLevel2">
    <w:name w:val="ContNum (Level 2)"/>
    <w:basedOn w:val="Normal"/>
    <w:uiPriority w:val="20"/>
    <w:pPr>
      <w:numPr>
        <w:ilvl w:val="1"/>
        <w:numId w:val="18"/>
      </w:numPr>
    </w:pPr>
  </w:style>
  <w:style w:type="paragraph" w:customStyle="1" w:styleId="ContNumLevel3">
    <w:name w:val="ContNum (Level 3)"/>
    <w:basedOn w:val="Normal"/>
    <w:uiPriority w:val="20"/>
    <w:pPr>
      <w:numPr>
        <w:ilvl w:val="2"/>
        <w:numId w:val="18"/>
      </w:numPr>
    </w:pPr>
  </w:style>
  <w:style w:type="paragraph" w:customStyle="1" w:styleId="Copies">
    <w:name w:val="Copies"/>
    <w:basedOn w:val="Normal"/>
    <w:semiHidden/>
    <w:pPr>
      <w:tabs>
        <w:tab w:val="left" w:pos="5669"/>
      </w:tabs>
      <w:spacing w:before="480" w:after="0"/>
      <w:ind w:left="1531" w:hanging="1531"/>
      <w:contextualSpacing/>
      <w:jc w:val="left"/>
    </w:pPr>
  </w:style>
  <w:style w:type="paragraph" w:styleId="Date">
    <w:name w:val="Date"/>
    <w:basedOn w:val="Normal"/>
    <w:next w:val="References"/>
    <w:semiHidden/>
    <w:pPr>
      <w:spacing w:after="0"/>
      <w:ind w:left="5102" w:right="-567"/>
      <w:jc w:val="left"/>
    </w:pPr>
  </w:style>
  <w:style w:type="paragraph" w:customStyle="1" w:styleId="Designator">
    <w:name w:val="Designator"/>
    <w:basedOn w:val="Normal"/>
    <w:semiHidden/>
    <w:pPr>
      <w:spacing w:after="0"/>
      <w:jc w:val="center"/>
    </w:pPr>
    <w:rPr>
      <w:b/>
      <w:caps/>
      <w:sz w:val="32"/>
    </w:rPr>
  </w:style>
  <w:style w:type="paragraph" w:customStyle="1" w:styleId="DoubSign">
    <w:name w:val="DoubSign"/>
    <w:basedOn w:val="Normal"/>
    <w:semiHidden/>
    <w:pPr>
      <w:spacing w:before="1200" w:after="0"/>
      <w:jc w:val="left"/>
    </w:pPr>
  </w:style>
  <w:style w:type="paragraph" w:customStyle="1" w:styleId="EmptyParagraph">
    <w:name w:val="Empty Paragraph"/>
    <w:basedOn w:val="Normal"/>
    <w:next w:val="Normal"/>
    <w:semiHidden/>
    <w:pPr>
      <w:spacing w:before="240"/>
    </w:pPr>
  </w:style>
  <w:style w:type="paragraph" w:customStyle="1" w:styleId="Enclosures">
    <w:name w:val="Enclosures"/>
    <w:basedOn w:val="Normal"/>
    <w:semiHidden/>
    <w:pPr>
      <w:keepNext/>
      <w:keepLines/>
      <w:tabs>
        <w:tab w:val="left" w:pos="5669"/>
      </w:tabs>
      <w:spacing w:before="480" w:after="0"/>
      <w:ind w:left="1531" w:hanging="1531"/>
      <w:contextualSpacing/>
      <w:jc w:val="left"/>
    </w:pPr>
  </w:style>
  <w:style w:type="paragraph" w:styleId="EndnoteText">
    <w:name w:val="endnote text"/>
    <w:basedOn w:val="Normal"/>
    <w:semiHidden/>
    <w:pPr>
      <w:spacing w:after="120"/>
      <w:ind w:left="357" w:hanging="357"/>
    </w:pPr>
    <w:rPr>
      <w:sz w:val="20"/>
    </w:rPr>
  </w:style>
  <w:style w:type="paragraph" w:customStyle="1" w:styleId="FigureBody">
    <w:name w:val="Figure Body"/>
    <w:basedOn w:val="Normal"/>
    <w:next w:val="FigureSource"/>
    <w:uiPriority w:val="99"/>
    <w:semiHidden/>
    <w:unhideWhenUsed/>
    <w:pPr>
      <w:keepNext/>
      <w:spacing w:after="40"/>
    </w:pPr>
  </w:style>
  <w:style w:type="paragraph" w:customStyle="1" w:styleId="FigureBody1">
    <w:name w:val="Figure Body 1"/>
    <w:basedOn w:val="Text1"/>
    <w:next w:val="FigureSource1"/>
    <w:uiPriority w:val="99"/>
    <w:semiHidden/>
    <w:unhideWhenUsed/>
    <w:pPr>
      <w:keepNext/>
      <w:spacing w:after="40"/>
    </w:pPr>
  </w:style>
  <w:style w:type="paragraph" w:customStyle="1" w:styleId="FigureBody2">
    <w:name w:val="Figure Body 2"/>
    <w:basedOn w:val="Text2"/>
    <w:next w:val="FigureSource2"/>
    <w:uiPriority w:val="99"/>
    <w:semiHidden/>
    <w:unhideWhenUsed/>
    <w:pPr>
      <w:keepNext/>
      <w:spacing w:after="40"/>
    </w:pPr>
  </w:style>
  <w:style w:type="paragraph" w:customStyle="1" w:styleId="FigureBody3">
    <w:name w:val="Figure Body 3"/>
    <w:basedOn w:val="Text3"/>
    <w:next w:val="FigureSource3"/>
    <w:uiPriority w:val="99"/>
    <w:semiHidden/>
    <w:unhideWhenUsed/>
    <w:pPr>
      <w:keepNext/>
      <w:spacing w:after="40"/>
    </w:pPr>
  </w:style>
  <w:style w:type="paragraph" w:customStyle="1" w:styleId="FigureBody4">
    <w:name w:val="Figure Body 4"/>
    <w:basedOn w:val="Text4"/>
    <w:next w:val="FigureSource4"/>
    <w:uiPriority w:val="99"/>
    <w:semiHidden/>
    <w:unhideWhenUsed/>
    <w:pPr>
      <w:keepNext/>
      <w:spacing w:after="40"/>
    </w:pPr>
  </w:style>
  <w:style w:type="paragraph" w:customStyle="1" w:styleId="FigureSource">
    <w:name w:val="Figure Source"/>
    <w:basedOn w:val="Normal"/>
    <w:next w:val="Normal"/>
    <w:uiPriority w:val="99"/>
    <w:semiHidden/>
    <w:unhideWhenUsed/>
    <w:rPr>
      <w:sz w:val="20"/>
    </w:rPr>
  </w:style>
  <w:style w:type="paragraph" w:customStyle="1" w:styleId="FigureSource1">
    <w:name w:val="Figure Source 1"/>
    <w:basedOn w:val="Text1"/>
    <w:next w:val="Text1"/>
    <w:uiPriority w:val="99"/>
    <w:semiHidden/>
    <w:unhideWhenUsed/>
    <w:rPr>
      <w:sz w:val="20"/>
    </w:rPr>
  </w:style>
  <w:style w:type="paragraph" w:customStyle="1" w:styleId="FigureSource2">
    <w:name w:val="Figure Source 2"/>
    <w:basedOn w:val="Text2"/>
    <w:next w:val="Text2"/>
    <w:uiPriority w:val="99"/>
    <w:semiHidden/>
    <w:unhideWhenUsed/>
    <w:rPr>
      <w:sz w:val="20"/>
    </w:rPr>
  </w:style>
  <w:style w:type="paragraph" w:customStyle="1" w:styleId="FigureSource3">
    <w:name w:val="Figure Source 3"/>
    <w:basedOn w:val="Text3"/>
    <w:next w:val="Text3"/>
    <w:uiPriority w:val="99"/>
    <w:semiHidden/>
    <w:unhideWhenUsed/>
    <w:rPr>
      <w:sz w:val="20"/>
    </w:rPr>
  </w:style>
  <w:style w:type="paragraph" w:customStyle="1" w:styleId="FigureSource4">
    <w:name w:val="Figure Source 4"/>
    <w:basedOn w:val="Text4"/>
    <w:next w:val="Text4"/>
    <w:uiPriority w:val="99"/>
    <w:semiHidden/>
    <w:unhideWhenUsed/>
    <w:rPr>
      <w:sz w:val="20"/>
    </w:rPr>
  </w:style>
  <w:style w:type="paragraph" w:customStyle="1" w:styleId="FigureTitle">
    <w:name w:val="Figure Title"/>
    <w:basedOn w:val="Normal"/>
    <w:next w:val="FigureBody"/>
    <w:uiPriority w:val="99"/>
    <w:semiHidden/>
    <w:unhideWhenUsed/>
    <w:pPr>
      <w:keepNext/>
      <w:spacing w:after="120"/>
    </w:pPr>
    <w:rPr>
      <w:b/>
      <w:i/>
    </w:rPr>
  </w:style>
  <w:style w:type="paragraph" w:customStyle="1" w:styleId="FigureTitle1">
    <w:name w:val="Figure Title 1"/>
    <w:basedOn w:val="Text1"/>
    <w:next w:val="FigureBody1"/>
    <w:uiPriority w:val="99"/>
    <w:semiHidden/>
    <w:unhideWhenUsed/>
    <w:pPr>
      <w:keepNext/>
      <w:spacing w:after="120"/>
    </w:pPr>
    <w:rPr>
      <w:b/>
      <w:i/>
    </w:rPr>
  </w:style>
  <w:style w:type="paragraph" w:customStyle="1" w:styleId="FigureTitle2">
    <w:name w:val="Figure Title 2"/>
    <w:basedOn w:val="Text2"/>
    <w:next w:val="FigureBody2"/>
    <w:uiPriority w:val="99"/>
    <w:semiHidden/>
    <w:unhideWhenUsed/>
    <w:pPr>
      <w:keepNext/>
      <w:spacing w:after="120"/>
    </w:pPr>
    <w:rPr>
      <w:b/>
      <w:i/>
    </w:rPr>
  </w:style>
  <w:style w:type="paragraph" w:customStyle="1" w:styleId="FigureTitle3">
    <w:name w:val="Figure Title 3"/>
    <w:basedOn w:val="Text3"/>
    <w:next w:val="FigureBody3"/>
    <w:uiPriority w:val="99"/>
    <w:semiHidden/>
    <w:unhideWhenUsed/>
    <w:pPr>
      <w:keepNext/>
      <w:spacing w:after="120"/>
    </w:pPr>
    <w:rPr>
      <w:b/>
      <w:i/>
    </w:rPr>
  </w:style>
  <w:style w:type="paragraph" w:customStyle="1" w:styleId="FigureTitle4">
    <w:name w:val="Figure Title 4"/>
    <w:basedOn w:val="Text4"/>
    <w:next w:val="FigureBody4"/>
    <w:uiPriority w:val="99"/>
    <w:semiHidden/>
    <w:unhideWhenUsed/>
    <w:pPr>
      <w:keepNext/>
      <w:spacing w:after="120"/>
    </w:pPr>
    <w:rPr>
      <w:b/>
      <w:i/>
    </w:rPr>
  </w:style>
  <w:style w:type="paragraph" w:styleId="Footer">
    <w:name w:val="footer"/>
    <w:basedOn w:val="Normal"/>
    <w:link w:val="FooterChar"/>
    <w:uiPriority w:val="99"/>
    <w:pPr>
      <w:spacing w:after="0"/>
      <w:ind w:right="-567"/>
      <w:jc w:val="left"/>
    </w:pPr>
    <w:rPr>
      <w:sz w:val="16"/>
    </w:rPr>
  </w:style>
  <w:style w:type="paragraph" w:customStyle="1" w:styleId="FooterLine">
    <w:name w:val="Footer Line"/>
    <w:basedOn w:val="Footer"/>
    <w:next w:val="Footer"/>
    <w:semiHidden/>
    <w:pPr>
      <w:tabs>
        <w:tab w:val="right" w:pos="8646"/>
      </w:tabs>
      <w:spacing w:before="120"/>
      <w:ind w:right="0"/>
    </w:pPr>
  </w:style>
  <w:style w:type="paragraph" w:styleId="FootnoteText">
    <w:name w:val="footnote text"/>
    <w:basedOn w:val="Normal"/>
    <w:semiHidden/>
    <w:pPr>
      <w:spacing w:after="120"/>
      <w:ind w:left="357" w:hanging="357"/>
    </w:pPr>
    <w:rPr>
      <w:sz w:val="20"/>
    </w:rPr>
  </w:style>
  <w:style w:type="paragraph" w:customStyle="1" w:styleId="LegalNumPar">
    <w:name w:val="LegalNumPar"/>
    <w:basedOn w:val="Normal"/>
    <w:uiPriority w:val="20"/>
    <w:qFormat/>
    <w:pPr>
      <w:numPr>
        <w:numId w:val="17"/>
      </w:numPr>
      <w:spacing w:line="360" w:lineRule="auto"/>
    </w:pPr>
  </w:style>
  <w:style w:type="paragraph" w:customStyle="1" w:styleId="LegalNumPar2">
    <w:name w:val="LegalNumPar2"/>
    <w:basedOn w:val="Normal"/>
    <w:uiPriority w:val="20"/>
    <w:pPr>
      <w:numPr>
        <w:ilvl w:val="1"/>
        <w:numId w:val="17"/>
      </w:numPr>
      <w:spacing w:line="360" w:lineRule="auto"/>
    </w:pPr>
  </w:style>
  <w:style w:type="paragraph" w:customStyle="1" w:styleId="LegalNumPar3">
    <w:name w:val="LegalNumPar3"/>
    <w:basedOn w:val="Normal"/>
    <w:uiPriority w:val="20"/>
    <w:pPr>
      <w:numPr>
        <w:ilvl w:val="2"/>
        <w:numId w:val="17"/>
      </w:numPr>
      <w:spacing w:line="360" w:lineRule="auto"/>
    </w:pPr>
  </w:style>
  <w:style w:type="paragraph" w:styleId="ListBullet">
    <w:name w:val="List Bullet"/>
    <w:basedOn w:val="Normal"/>
    <w:uiPriority w:val="35"/>
    <w:pPr>
      <w:numPr>
        <w:numId w:val="15"/>
      </w:numPr>
    </w:pPr>
  </w:style>
  <w:style w:type="paragraph" w:customStyle="1" w:styleId="ListBulletLevel2">
    <w:name w:val="List Bullet (Level 2)"/>
    <w:basedOn w:val="Normal"/>
    <w:uiPriority w:val="35"/>
    <w:semiHidden/>
    <w:unhideWhenUsed/>
    <w:pPr>
      <w:numPr>
        <w:ilvl w:val="1"/>
        <w:numId w:val="15"/>
      </w:numPr>
    </w:pPr>
  </w:style>
  <w:style w:type="paragraph" w:customStyle="1" w:styleId="ListBulletLevel3">
    <w:name w:val="List Bullet (Level 3)"/>
    <w:basedOn w:val="Normal"/>
    <w:uiPriority w:val="35"/>
    <w:semiHidden/>
    <w:unhideWhenUsed/>
    <w:pPr>
      <w:numPr>
        <w:ilvl w:val="2"/>
        <w:numId w:val="15"/>
      </w:numPr>
    </w:pPr>
  </w:style>
  <w:style w:type="paragraph" w:customStyle="1" w:styleId="ListBulletLevel4">
    <w:name w:val="List Bullet (Level 4)"/>
    <w:basedOn w:val="Normal"/>
    <w:uiPriority w:val="35"/>
    <w:semiHidden/>
    <w:unhideWhenUsed/>
    <w:pPr>
      <w:numPr>
        <w:ilvl w:val="3"/>
        <w:numId w:val="15"/>
      </w:numPr>
    </w:pPr>
  </w:style>
  <w:style w:type="paragraph" w:customStyle="1" w:styleId="ListBullet1">
    <w:name w:val="List Bullet 1"/>
    <w:basedOn w:val="Text1"/>
    <w:uiPriority w:val="35"/>
    <w:pPr>
      <w:numPr>
        <w:numId w:val="14"/>
      </w:numPr>
    </w:pPr>
  </w:style>
  <w:style w:type="paragraph" w:customStyle="1" w:styleId="ListBullet1Level2">
    <w:name w:val="List Bullet 1 (Level 2)"/>
    <w:basedOn w:val="Text1"/>
    <w:uiPriority w:val="35"/>
    <w:semiHidden/>
    <w:unhideWhenUsed/>
    <w:pPr>
      <w:numPr>
        <w:ilvl w:val="1"/>
        <w:numId w:val="14"/>
      </w:numPr>
    </w:pPr>
  </w:style>
  <w:style w:type="paragraph" w:customStyle="1" w:styleId="ListBullet1Level3">
    <w:name w:val="List Bullet 1 (Level 3)"/>
    <w:basedOn w:val="Text1"/>
    <w:uiPriority w:val="35"/>
    <w:semiHidden/>
    <w:unhideWhenUsed/>
    <w:pPr>
      <w:numPr>
        <w:ilvl w:val="2"/>
        <w:numId w:val="14"/>
      </w:numPr>
    </w:pPr>
  </w:style>
  <w:style w:type="paragraph" w:customStyle="1" w:styleId="ListBullet1Level4">
    <w:name w:val="List Bullet 1 (Level 4)"/>
    <w:basedOn w:val="Text1"/>
    <w:uiPriority w:val="35"/>
    <w:semiHidden/>
    <w:unhideWhenUsed/>
    <w:pPr>
      <w:numPr>
        <w:ilvl w:val="3"/>
        <w:numId w:val="14"/>
      </w:numPr>
    </w:pPr>
  </w:style>
  <w:style w:type="paragraph" w:styleId="ListBullet2">
    <w:name w:val="List Bullet 2"/>
    <w:basedOn w:val="Text2"/>
    <w:uiPriority w:val="35"/>
    <w:pPr>
      <w:numPr>
        <w:numId w:val="13"/>
      </w:numPr>
    </w:pPr>
  </w:style>
  <w:style w:type="paragraph" w:customStyle="1" w:styleId="ListBullet2Level2">
    <w:name w:val="List Bullet 2 (Level 2)"/>
    <w:basedOn w:val="Text2"/>
    <w:uiPriority w:val="35"/>
    <w:semiHidden/>
    <w:unhideWhenUsed/>
    <w:pPr>
      <w:numPr>
        <w:ilvl w:val="1"/>
        <w:numId w:val="13"/>
      </w:numPr>
    </w:pPr>
  </w:style>
  <w:style w:type="paragraph" w:customStyle="1" w:styleId="ListBullet2Level3">
    <w:name w:val="List Bullet 2 (Level 3)"/>
    <w:basedOn w:val="Text2"/>
    <w:uiPriority w:val="35"/>
    <w:semiHidden/>
    <w:unhideWhenUsed/>
    <w:pPr>
      <w:numPr>
        <w:ilvl w:val="2"/>
        <w:numId w:val="13"/>
      </w:numPr>
    </w:pPr>
  </w:style>
  <w:style w:type="paragraph" w:customStyle="1" w:styleId="ListBullet2Level4">
    <w:name w:val="List Bullet 2 (Level 4)"/>
    <w:basedOn w:val="Text2"/>
    <w:uiPriority w:val="35"/>
    <w:semiHidden/>
    <w:unhideWhenUsed/>
    <w:pPr>
      <w:numPr>
        <w:ilvl w:val="3"/>
        <w:numId w:val="13"/>
      </w:numPr>
    </w:pPr>
  </w:style>
  <w:style w:type="paragraph" w:styleId="ListBullet3">
    <w:name w:val="List Bullet 3"/>
    <w:basedOn w:val="Text3"/>
    <w:uiPriority w:val="35"/>
    <w:pPr>
      <w:numPr>
        <w:numId w:val="12"/>
      </w:numPr>
    </w:pPr>
  </w:style>
  <w:style w:type="paragraph" w:customStyle="1" w:styleId="ListBullet3Level2">
    <w:name w:val="List Bullet 3 (Level 2)"/>
    <w:basedOn w:val="Text3"/>
    <w:uiPriority w:val="35"/>
    <w:semiHidden/>
    <w:unhideWhenUsed/>
    <w:pPr>
      <w:numPr>
        <w:ilvl w:val="1"/>
        <w:numId w:val="12"/>
      </w:numPr>
    </w:pPr>
  </w:style>
  <w:style w:type="paragraph" w:customStyle="1" w:styleId="ListBullet3Level3">
    <w:name w:val="List Bullet 3 (Level 3)"/>
    <w:basedOn w:val="Text3"/>
    <w:uiPriority w:val="35"/>
    <w:semiHidden/>
    <w:unhideWhenUsed/>
    <w:pPr>
      <w:numPr>
        <w:ilvl w:val="2"/>
        <w:numId w:val="12"/>
      </w:numPr>
    </w:pPr>
  </w:style>
  <w:style w:type="paragraph" w:customStyle="1" w:styleId="ListBullet3Level4">
    <w:name w:val="List Bullet 3 (Level 4)"/>
    <w:basedOn w:val="Text3"/>
    <w:uiPriority w:val="35"/>
    <w:semiHidden/>
    <w:unhideWhenUsed/>
    <w:pPr>
      <w:numPr>
        <w:ilvl w:val="3"/>
        <w:numId w:val="12"/>
      </w:numPr>
    </w:pPr>
  </w:style>
  <w:style w:type="paragraph" w:styleId="ListBullet4">
    <w:name w:val="List Bullet 4"/>
    <w:basedOn w:val="Text4"/>
    <w:uiPriority w:val="35"/>
    <w:pPr>
      <w:numPr>
        <w:numId w:val="11"/>
      </w:numPr>
    </w:pPr>
  </w:style>
  <w:style w:type="paragraph" w:customStyle="1" w:styleId="ListBullet4Level2">
    <w:name w:val="List Bullet 4 (Level 2)"/>
    <w:basedOn w:val="Text4"/>
    <w:uiPriority w:val="35"/>
    <w:semiHidden/>
    <w:unhideWhenUsed/>
    <w:pPr>
      <w:numPr>
        <w:ilvl w:val="1"/>
        <w:numId w:val="11"/>
      </w:numPr>
    </w:pPr>
  </w:style>
  <w:style w:type="paragraph" w:customStyle="1" w:styleId="ListBullet4Level3">
    <w:name w:val="List Bullet 4 (Level 3)"/>
    <w:basedOn w:val="Text4"/>
    <w:uiPriority w:val="35"/>
    <w:semiHidden/>
    <w:unhideWhenUsed/>
    <w:pPr>
      <w:numPr>
        <w:ilvl w:val="2"/>
        <w:numId w:val="11"/>
      </w:numPr>
    </w:pPr>
  </w:style>
  <w:style w:type="paragraph" w:customStyle="1" w:styleId="ListBullet4Level4">
    <w:name w:val="List Bullet 4 (Level 4)"/>
    <w:basedOn w:val="Text4"/>
    <w:uiPriority w:val="35"/>
    <w:semiHidden/>
    <w:unhideWhenUsed/>
    <w:pPr>
      <w:numPr>
        <w:ilvl w:val="3"/>
        <w:numId w:val="11"/>
      </w:numPr>
    </w:pPr>
  </w:style>
  <w:style w:type="paragraph" w:customStyle="1" w:styleId="ListDash">
    <w:name w:val="List Dash"/>
    <w:basedOn w:val="Normal"/>
    <w:uiPriority w:val="35"/>
    <w:pPr>
      <w:numPr>
        <w:numId w:val="5"/>
      </w:numPr>
    </w:pPr>
  </w:style>
  <w:style w:type="paragraph" w:customStyle="1" w:styleId="ListDashLevel2">
    <w:name w:val="List Dash (Level 2)"/>
    <w:basedOn w:val="Normal"/>
    <w:semiHidden/>
    <w:unhideWhenUsed/>
    <w:pPr>
      <w:numPr>
        <w:ilvl w:val="1"/>
        <w:numId w:val="5"/>
      </w:numPr>
    </w:pPr>
  </w:style>
  <w:style w:type="paragraph" w:customStyle="1" w:styleId="ListDashLevel3">
    <w:name w:val="List Dash (Level 3)"/>
    <w:basedOn w:val="Normal"/>
    <w:semiHidden/>
    <w:unhideWhenUsed/>
    <w:pPr>
      <w:numPr>
        <w:ilvl w:val="2"/>
        <w:numId w:val="5"/>
      </w:numPr>
    </w:pPr>
  </w:style>
  <w:style w:type="paragraph" w:customStyle="1" w:styleId="ListDashLevel4">
    <w:name w:val="List Dash (Level 4)"/>
    <w:basedOn w:val="Normal"/>
    <w:semiHidden/>
    <w:unhideWhenUsed/>
    <w:pPr>
      <w:numPr>
        <w:ilvl w:val="3"/>
        <w:numId w:val="5"/>
      </w:numPr>
    </w:pPr>
  </w:style>
  <w:style w:type="paragraph" w:customStyle="1" w:styleId="ListDash1">
    <w:name w:val="List Dash 1"/>
    <w:basedOn w:val="Text1"/>
    <w:uiPriority w:val="35"/>
    <w:pPr>
      <w:numPr>
        <w:numId w:val="4"/>
      </w:numPr>
    </w:pPr>
  </w:style>
  <w:style w:type="paragraph" w:customStyle="1" w:styleId="ListDash1Level2">
    <w:name w:val="List Dash 1 (Level 2)"/>
    <w:basedOn w:val="Text1"/>
    <w:uiPriority w:val="35"/>
    <w:semiHidden/>
    <w:unhideWhenUsed/>
    <w:pPr>
      <w:numPr>
        <w:ilvl w:val="1"/>
        <w:numId w:val="4"/>
      </w:numPr>
    </w:pPr>
  </w:style>
  <w:style w:type="paragraph" w:customStyle="1" w:styleId="ListDash1Level3">
    <w:name w:val="List Dash 1 (Level 3)"/>
    <w:basedOn w:val="Text1"/>
    <w:uiPriority w:val="35"/>
    <w:semiHidden/>
    <w:unhideWhenUsed/>
    <w:pPr>
      <w:numPr>
        <w:ilvl w:val="2"/>
        <w:numId w:val="4"/>
      </w:numPr>
    </w:pPr>
  </w:style>
  <w:style w:type="paragraph" w:customStyle="1" w:styleId="ListDash1Level4">
    <w:name w:val="List Dash 1 (Level 4)"/>
    <w:basedOn w:val="Text1"/>
    <w:uiPriority w:val="35"/>
    <w:semiHidden/>
    <w:unhideWhenUsed/>
    <w:pPr>
      <w:numPr>
        <w:ilvl w:val="3"/>
        <w:numId w:val="4"/>
      </w:numPr>
    </w:pPr>
  </w:style>
  <w:style w:type="paragraph" w:customStyle="1" w:styleId="ListDash2">
    <w:name w:val="List Dash 2"/>
    <w:basedOn w:val="Text2"/>
    <w:uiPriority w:val="35"/>
    <w:pPr>
      <w:numPr>
        <w:numId w:val="3"/>
      </w:numPr>
    </w:pPr>
  </w:style>
  <w:style w:type="paragraph" w:customStyle="1" w:styleId="ListDash2Level2">
    <w:name w:val="List Dash 2 (Level 2)"/>
    <w:basedOn w:val="Text2"/>
    <w:uiPriority w:val="35"/>
    <w:semiHidden/>
    <w:unhideWhenUsed/>
    <w:pPr>
      <w:numPr>
        <w:ilvl w:val="1"/>
        <w:numId w:val="3"/>
      </w:numPr>
    </w:pPr>
  </w:style>
  <w:style w:type="paragraph" w:customStyle="1" w:styleId="ListDash2Level3">
    <w:name w:val="List Dash 2 (Level 3)"/>
    <w:basedOn w:val="Text2"/>
    <w:uiPriority w:val="35"/>
    <w:semiHidden/>
    <w:unhideWhenUsed/>
    <w:pPr>
      <w:numPr>
        <w:ilvl w:val="2"/>
        <w:numId w:val="3"/>
      </w:numPr>
    </w:pPr>
  </w:style>
  <w:style w:type="paragraph" w:customStyle="1" w:styleId="ListDash2Level4">
    <w:name w:val="List Dash 2 (Level 4)"/>
    <w:basedOn w:val="Text2"/>
    <w:uiPriority w:val="35"/>
    <w:semiHidden/>
    <w:unhideWhenUsed/>
    <w:pPr>
      <w:numPr>
        <w:ilvl w:val="3"/>
        <w:numId w:val="3"/>
      </w:numPr>
    </w:pPr>
  </w:style>
  <w:style w:type="paragraph" w:customStyle="1" w:styleId="ListDash3">
    <w:name w:val="List Dash 3"/>
    <w:basedOn w:val="Text3"/>
    <w:uiPriority w:val="35"/>
    <w:pPr>
      <w:numPr>
        <w:numId w:val="2"/>
      </w:numPr>
    </w:pPr>
  </w:style>
  <w:style w:type="paragraph" w:customStyle="1" w:styleId="ListDash3Level2">
    <w:name w:val="List Dash 3 (Level 2)"/>
    <w:basedOn w:val="Text3"/>
    <w:uiPriority w:val="35"/>
    <w:semiHidden/>
    <w:unhideWhenUsed/>
    <w:pPr>
      <w:numPr>
        <w:ilvl w:val="1"/>
        <w:numId w:val="2"/>
      </w:numPr>
    </w:pPr>
  </w:style>
  <w:style w:type="paragraph" w:customStyle="1" w:styleId="ListDash3Level3">
    <w:name w:val="List Dash 3 (Level 3)"/>
    <w:basedOn w:val="Text3"/>
    <w:uiPriority w:val="35"/>
    <w:semiHidden/>
    <w:unhideWhenUsed/>
    <w:pPr>
      <w:numPr>
        <w:ilvl w:val="2"/>
        <w:numId w:val="2"/>
      </w:numPr>
    </w:pPr>
  </w:style>
  <w:style w:type="paragraph" w:customStyle="1" w:styleId="ListDash3Level4">
    <w:name w:val="List Dash 3 (Level 4)"/>
    <w:basedOn w:val="Text3"/>
    <w:uiPriority w:val="35"/>
    <w:semiHidden/>
    <w:unhideWhenUsed/>
    <w:pPr>
      <w:numPr>
        <w:ilvl w:val="3"/>
        <w:numId w:val="2"/>
      </w:numPr>
    </w:pPr>
  </w:style>
  <w:style w:type="paragraph" w:customStyle="1" w:styleId="ListDash4">
    <w:name w:val="List Dash 4"/>
    <w:basedOn w:val="Text4"/>
    <w:uiPriority w:val="35"/>
    <w:pPr>
      <w:numPr>
        <w:numId w:val="1"/>
      </w:numPr>
    </w:pPr>
  </w:style>
  <w:style w:type="paragraph" w:customStyle="1" w:styleId="ListDash4Level2">
    <w:name w:val="List Dash 4 (Level 2)"/>
    <w:basedOn w:val="Text4"/>
    <w:uiPriority w:val="35"/>
    <w:semiHidden/>
    <w:unhideWhenUsed/>
    <w:pPr>
      <w:numPr>
        <w:ilvl w:val="1"/>
        <w:numId w:val="1"/>
      </w:numPr>
    </w:pPr>
  </w:style>
  <w:style w:type="paragraph" w:customStyle="1" w:styleId="ListDash4Level3">
    <w:name w:val="List Dash 4 (Level 3)"/>
    <w:basedOn w:val="Text4"/>
    <w:uiPriority w:val="35"/>
    <w:semiHidden/>
    <w:unhideWhenUsed/>
    <w:pPr>
      <w:numPr>
        <w:ilvl w:val="2"/>
        <w:numId w:val="1"/>
      </w:numPr>
    </w:pPr>
  </w:style>
  <w:style w:type="paragraph" w:customStyle="1" w:styleId="ListDash4Level4">
    <w:name w:val="List Dash 4 (Level 4)"/>
    <w:basedOn w:val="Text4"/>
    <w:uiPriority w:val="35"/>
    <w:semiHidden/>
    <w:unhideWhenUsed/>
    <w:pPr>
      <w:numPr>
        <w:ilvl w:val="3"/>
        <w:numId w:val="1"/>
      </w:numPr>
    </w:pPr>
  </w:style>
  <w:style w:type="paragraph" w:styleId="ListNumber">
    <w:name w:val="List Number"/>
    <w:basedOn w:val="Normal"/>
    <w:uiPriority w:val="30"/>
    <w:pPr>
      <w:numPr>
        <w:numId w:val="10"/>
      </w:numPr>
    </w:pPr>
  </w:style>
  <w:style w:type="paragraph" w:customStyle="1" w:styleId="ListNumberLevel2">
    <w:name w:val="List Number (Level 2)"/>
    <w:basedOn w:val="Normal"/>
    <w:uiPriority w:val="30"/>
    <w:pPr>
      <w:numPr>
        <w:ilvl w:val="1"/>
        <w:numId w:val="10"/>
      </w:numPr>
    </w:pPr>
  </w:style>
  <w:style w:type="paragraph" w:customStyle="1" w:styleId="ListNumberLevel3">
    <w:name w:val="List Number (Level 3)"/>
    <w:basedOn w:val="Normal"/>
    <w:uiPriority w:val="30"/>
    <w:pPr>
      <w:numPr>
        <w:ilvl w:val="2"/>
        <w:numId w:val="10"/>
      </w:numPr>
    </w:pPr>
  </w:style>
  <w:style w:type="paragraph" w:customStyle="1" w:styleId="ListNumberLevel4">
    <w:name w:val="List Number (Level 4)"/>
    <w:basedOn w:val="Normal"/>
    <w:uiPriority w:val="30"/>
    <w:pPr>
      <w:numPr>
        <w:ilvl w:val="3"/>
        <w:numId w:val="10"/>
      </w:numPr>
    </w:pPr>
  </w:style>
  <w:style w:type="paragraph" w:customStyle="1" w:styleId="ListNumber1">
    <w:name w:val="List Number 1"/>
    <w:basedOn w:val="Text1"/>
    <w:uiPriority w:val="30"/>
    <w:pPr>
      <w:numPr>
        <w:numId w:val="9"/>
      </w:numPr>
    </w:pPr>
  </w:style>
  <w:style w:type="paragraph" w:customStyle="1" w:styleId="ListNumber1Level2">
    <w:name w:val="List Number 1 (Level 2)"/>
    <w:basedOn w:val="Text1"/>
    <w:uiPriority w:val="30"/>
    <w:semiHidden/>
    <w:unhideWhenUsed/>
    <w:pPr>
      <w:numPr>
        <w:ilvl w:val="1"/>
        <w:numId w:val="9"/>
      </w:numPr>
    </w:pPr>
  </w:style>
  <w:style w:type="paragraph" w:customStyle="1" w:styleId="ListNumber1Level3">
    <w:name w:val="List Number 1 (Level 3)"/>
    <w:basedOn w:val="Text1"/>
    <w:uiPriority w:val="30"/>
    <w:semiHidden/>
    <w:unhideWhenUsed/>
    <w:pPr>
      <w:numPr>
        <w:ilvl w:val="2"/>
        <w:numId w:val="9"/>
      </w:numPr>
    </w:pPr>
  </w:style>
  <w:style w:type="paragraph" w:customStyle="1" w:styleId="ListNumber1Level4">
    <w:name w:val="List Number 1 (Level 4)"/>
    <w:basedOn w:val="Text1"/>
    <w:uiPriority w:val="30"/>
    <w:semiHidden/>
    <w:unhideWhenUsed/>
    <w:pPr>
      <w:numPr>
        <w:ilvl w:val="3"/>
        <w:numId w:val="9"/>
      </w:numPr>
    </w:pPr>
  </w:style>
  <w:style w:type="paragraph" w:styleId="ListNumber2">
    <w:name w:val="List Number 2"/>
    <w:basedOn w:val="Text2"/>
    <w:uiPriority w:val="30"/>
    <w:pPr>
      <w:numPr>
        <w:numId w:val="8"/>
      </w:numPr>
    </w:pPr>
  </w:style>
  <w:style w:type="paragraph" w:customStyle="1" w:styleId="ListNumber2Level2">
    <w:name w:val="List Number 2 (Level 2)"/>
    <w:basedOn w:val="Text2"/>
    <w:uiPriority w:val="30"/>
    <w:semiHidden/>
    <w:unhideWhenUsed/>
    <w:pPr>
      <w:numPr>
        <w:ilvl w:val="1"/>
        <w:numId w:val="8"/>
      </w:numPr>
    </w:pPr>
  </w:style>
  <w:style w:type="paragraph" w:customStyle="1" w:styleId="ListNumber2Level3">
    <w:name w:val="List Number 2 (Level 3)"/>
    <w:basedOn w:val="Text2"/>
    <w:uiPriority w:val="30"/>
    <w:semiHidden/>
    <w:unhideWhenUsed/>
    <w:pPr>
      <w:numPr>
        <w:ilvl w:val="2"/>
        <w:numId w:val="8"/>
      </w:numPr>
    </w:pPr>
  </w:style>
  <w:style w:type="paragraph" w:customStyle="1" w:styleId="ListNumber2Level4">
    <w:name w:val="List Number 2 (Level 4)"/>
    <w:basedOn w:val="Text2"/>
    <w:uiPriority w:val="30"/>
    <w:semiHidden/>
    <w:unhideWhenUsed/>
    <w:pPr>
      <w:numPr>
        <w:ilvl w:val="3"/>
        <w:numId w:val="8"/>
      </w:numPr>
    </w:pPr>
  </w:style>
  <w:style w:type="paragraph" w:styleId="ListNumber3">
    <w:name w:val="List Number 3"/>
    <w:basedOn w:val="Text3"/>
    <w:uiPriority w:val="30"/>
    <w:pPr>
      <w:numPr>
        <w:numId w:val="7"/>
      </w:numPr>
    </w:pPr>
  </w:style>
  <w:style w:type="paragraph" w:customStyle="1" w:styleId="ListNumber3Level2">
    <w:name w:val="List Number 3 (Level 2)"/>
    <w:basedOn w:val="Text3"/>
    <w:uiPriority w:val="30"/>
    <w:semiHidden/>
    <w:unhideWhenUsed/>
    <w:pPr>
      <w:numPr>
        <w:ilvl w:val="1"/>
        <w:numId w:val="7"/>
      </w:numPr>
    </w:pPr>
  </w:style>
  <w:style w:type="paragraph" w:customStyle="1" w:styleId="ListNumber3Level3">
    <w:name w:val="List Number 3 (Level 3)"/>
    <w:basedOn w:val="Text3"/>
    <w:uiPriority w:val="30"/>
    <w:semiHidden/>
    <w:unhideWhenUsed/>
    <w:pPr>
      <w:numPr>
        <w:ilvl w:val="2"/>
        <w:numId w:val="7"/>
      </w:numPr>
    </w:pPr>
  </w:style>
  <w:style w:type="paragraph" w:customStyle="1" w:styleId="ListNumber3Level4">
    <w:name w:val="List Number 3 (Level 4)"/>
    <w:basedOn w:val="Text3"/>
    <w:uiPriority w:val="30"/>
    <w:semiHidden/>
    <w:unhideWhenUsed/>
    <w:pPr>
      <w:numPr>
        <w:ilvl w:val="3"/>
        <w:numId w:val="7"/>
      </w:numPr>
    </w:pPr>
  </w:style>
  <w:style w:type="paragraph" w:styleId="ListNumber4">
    <w:name w:val="List Number 4"/>
    <w:basedOn w:val="Text4"/>
    <w:uiPriority w:val="30"/>
    <w:pPr>
      <w:numPr>
        <w:numId w:val="6"/>
      </w:numPr>
    </w:pPr>
  </w:style>
  <w:style w:type="paragraph" w:customStyle="1" w:styleId="ListNumber4Level2">
    <w:name w:val="List Number 4 (Level 2)"/>
    <w:basedOn w:val="Text4"/>
    <w:uiPriority w:val="30"/>
    <w:semiHidden/>
    <w:unhideWhenUsed/>
    <w:pPr>
      <w:numPr>
        <w:ilvl w:val="1"/>
        <w:numId w:val="6"/>
      </w:numPr>
    </w:pPr>
  </w:style>
  <w:style w:type="paragraph" w:customStyle="1" w:styleId="ListNumber4Level3">
    <w:name w:val="List Number 4 (Level 3)"/>
    <w:basedOn w:val="Text4"/>
    <w:uiPriority w:val="30"/>
    <w:semiHidden/>
    <w:unhideWhenUsed/>
    <w:pPr>
      <w:numPr>
        <w:ilvl w:val="2"/>
        <w:numId w:val="6"/>
      </w:numPr>
    </w:pPr>
  </w:style>
  <w:style w:type="paragraph" w:customStyle="1" w:styleId="ListNumber4Level4">
    <w:name w:val="List Number 4 (Level 4)"/>
    <w:basedOn w:val="Text4"/>
    <w:uiPriority w:val="30"/>
    <w:semiHidden/>
    <w:unhideWhenUsed/>
    <w:pPr>
      <w:numPr>
        <w:ilvl w:val="3"/>
        <w:numId w:val="6"/>
      </w:numPr>
    </w:pPr>
  </w:style>
  <w:style w:type="paragraph" w:customStyle="1" w:styleId="Marking">
    <w:name w:val="Marking"/>
    <w:basedOn w:val="Normal"/>
    <w:semiHidden/>
    <w:pPr>
      <w:ind w:left="5102" w:right="-680"/>
      <w:contextualSpacing/>
      <w:jc w:val="left"/>
    </w:pPr>
    <w:rPr>
      <w:sz w:val="28"/>
    </w:rPr>
  </w:style>
  <w:style w:type="paragraph" w:customStyle="1" w:styleId="NoteAddressee">
    <w:name w:val="NoteAddressee"/>
    <w:basedOn w:val="Normal"/>
    <w:semiHidden/>
    <w:pPr>
      <w:spacing w:after="720"/>
      <w:contextualSpacing/>
      <w:jc w:val="center"/>
    </w:pPr>
    <w:rPr>
      <w:b/>
      <w:smallCaps/>
    </w:rPr>
  </w:style>
  <w:style w:type="paragraph" w:customStyle="1" w:styleId="NoteColumn">
    <w:name w:val="NoteColumn"/>
    <w:basedOn w:val="Normal"/>
    <w:semiHidden/>
    <w:pPr>
      <w:tabs>
        <w:tab w:val="left" w:pos="850"/>
        <w:tab w:val="left" w:pos="1570"/>
        <w:tab w:val="left" w:pos="5102"/>
        <w:tab w:val="left" w:pos="5822"/>
      </w:tabs>
      <w:spacing w:after="720"/>
      <w:ind w:left="680"/>
      <w:jc w:val="left"/>
    </w:pPr>
    <w:rPr>
      <w:b/>
      <w:smallCaps/>
    </w:rPr>
  </w:style>
  <w:style w:type="paragraph" w:customStyle="1" w:styleId="NoteHead">
    <w:name w:val="NoteHead"/>
    <w:basedOn w:val="Normal"/>
    <w:semiHidden/>
    <w:pPr>
      <w:spacing w:before="720" w:after="720"/>
      <w:contextualSpacing/>
      <w:jc w:val="center"/>
    </w:pPr>
    <w:rPr>
      <w:b/>
      <w:smallCaps/>
    </w:rPr>
  </w:style>
  <w:style w:type="paragraph" w:customStyle="1" w:styleId="NoteList">
    <w:name w:val="NoteList"/>
    <w:basedOn w:val="Normal"/>
    <w:semiHidden/>
    <w:pPr>
      <w:tabs>
        <w:tab w:val="left" w:pos="5822"/>
      </w:tabs>
      <w:spacing w:before="720" w:after="720"/>
      <w:ind w:left="5102" w:hanging="3118"/>
      <w:contextualSpacing/>
      <w:jc w:val="left"/>
    </w:pPr>
    <w:rPr>
      <w:b/>
      <w:smallCaps/>
    </w:rPr>
  </w:style>
  <w:style w:type="paragraph" w:customStyle="1" w:styleId="NoteTitle">
    <w:name w:val="NoteTitle"/>
    <w:basedOn w:val="Normal"/>
    <w:semiHidden/>
    <w:pPr>
      <w:spacing w:before="720" w:after="360"/>
      <w:contextualSpacing/>
      <w:jc w:val="center"/>
    </w:pPr>
    <w:rPr>
      <w:b/>
      <w:smallCaps/>
    </w:rPr>
  </w:style>
  <w:style w:type="paragraph" w:customStyle="1" w:styleId="NumPar1">
    <w:name w:val="NumPar 1"/>
    <w:basedOn w:val="Heading1"/>
    <w:uiPriority w:val="20"/>
    <w:qFormat/>
    <w:pPr>
      <w:keepNext w:val="0"/>
      <w:spacing w:before="0"/>
      <w:outlineLvl w:val="9"/>
    </w:pPr>
    <w:rPr>
      <w:b w:val="0"/>
      <w:smallCaps w:val="0"/>
    </w:rPr>
  </w:style>
  <w:style w:type="paragraph" w:customStyle="1" w:styleId="NumPar2">
    <w:name w:val="NumPar 2"/>
    <w:basedOn w:val="Heading2"/>
    <w:uiPriority w:val="20"/>
    <w:qFormat/>
    <w:pPr>
      <w:keepNext w:val="0"/>
      <w:outlineLvl w:val="9"/>
    </w:pPr>
    <w:rPr>
      <w:b w:val="0"/>
    </w:rPr>
  </w:style>
  <w:style w:type="paragraph" w:customStyle="1" w:styleId="NumPar3">
    <w:name w:val="NumPar 3"/>
    <w:basedOn w:val="Heading3"/>
    <w:uiPriority w:val="20"/>
    <w:qFormat/>
    <w:pPr>
      <w:keepNext w:val="0"/>
      <w:outlineLvl w:val="9"/>
    </w:pPr>
    <w:rPr>
      <w:i w:val="0"/>
    </w:rPr>
  </w:style>
  <w:style w:type="paragraph" w:customStyle="1" w:styleId="NumPar4">
    <w:name w:val="NumPar 4"/>
    <w:basedOn w:val="Heading4"/>
    <w:uiPriority w:val="20"/>
    <w:qFormat/>
    <w:pPr>
      <w:keepNext w:val="0"/>
      <w:outlineLvl w:val="9"/>
    </w:pPr>
  </w:style>
  <w:style w:type="paragraph" w:customStyle="1" w:styleId="Participants">
    <w:name w:val="Participants"/>
    <w:basedOn w:val="Normal"/>
    <w:semiHidden/>
    <w:pPr>
      <w:tabs>
        <w:tab w:val="left" w:pos="2551"/>
        <w:tab w:val="left" w:pos="2835"/>
        <w:tab w:val="left" w:pos="5669"/>
        <w:tab w:val="left" w:pos="6378"/>
        <w:tab w:val="left" w:pos="6803"/>
      </w:tabs>
      <w:spacing w:before="480" w:after="0"/>
      <w:ind w:left="1531" w:hanging="1531"/>
      <w:contextualSpacing/>
      <w:jc w:val="left"/>
    </w:pPr>
  </w:style>
  <w:style w:type="paragraph" w:customStyle="1" w:styleId="References">
    <w:name w:val="References"/>
    <w:basedOn w:val="Normal"/>
    <w:semiHidden/>
    <w:pPr>
      <w:ind w:left="5102" w:right="-567"/>
      <w:contextualSpacing/>
      <w:jc w:val="left"/>
    </w:pPr>
    <w:rPr>
      <w:sz w:val="20"/>
    </w:rPr>
  </w:style>
  <w:style w:type="paragraph" w:customStyle="1" w:styleId="Releasable">
    <w:name w:val="Releasable"/>
    <w:basedOn w:val="Normal"/>
    <w:semiHidden/>
    <w:pPr>
      <w:spacing w:after="0"/>
      <w:jc w:val="center"/>
    </w:pPr>
    <w:rPr>
      <w:b/>
      <w:caps/>
      <w:sz w:val="32"/>
    </w:rPr>
  </w:style>
  <w:style w:type="paragraph" w:customStyle="1" w:styleId="RUE">
    <w:name w:val="RUE"/>
    <w:basedOn w:val="Normal"/>
    <w:semiHidden/>
    <w:pPr>
      <w:spacing w:after="0"/>
      <w:jc w:val="center"/>
    </w:pPr>
    <w:rPr>
      <w:b/>
      <w:caps/>
      <w:sz w:val="32"/>
      <w:bdr w:val="single" w:sz="18" w:space="0" w:color="auto"/>
    </w:rPr>
  </w:style>
  <w:style w:type="paragraph" w:customStyle="1" w:styleId="SecretUE">
    <w:name w:val="Secret UE"/>
    <w:basedOn w:val="Normal"/>
    <w:semiHidden/>
    <w:pPr>
      <w:spacing w:after="0"/>
      <w:jc w:val="center"/>
    </w:pPr>
    <w:rPr>
      <w:b/>
      <w:caps/>
      <w:color w:val="FF0000"/>
      <w:sz w:val="32"/>
      <w:bdr w:val="single" w:sz="18" w:space="0" w:color="FF0000"/>
    </w:rPr>
  </w:style>
  <w:style w:type="paragraph" w:styleId="Signature">
    <w:name w:val="Signature"/>
    <w:basedOn w:val="Normal"/>
    <w:semiHidden/>
    <w:pPr>
      <w:spacing w:before="1200" w:after="0"/>
      <w:ind w:left="5102"/>
      <w:jc w:val="center"/>
    </w:pPr>
  </w:style>
  <w:style w:type="paragraph" w:customStyle="1" w:styleId="SignatureL">
    <w:name w:val="SignatureL"/>
    <w:basedOn w:val="Normal"/>
    <w:semiHidden/>
    <w:pPr>
      <w:spacing w:before="1200" w:after="0"/>
      <w:jc w:val="left"/>
    </w:pPr>
  </w:style>
  <w:style w:type="paragraph" w:customStyle="1" w:styleId="Subject">
    <w:name w:val="Subject"/>
    <w:basedOn w:val="Normal"/>
    <w:semiHidden/>
    <w:pPr>
      <w:spacing w:after="480"/>
      <w:ind w:left="1191" w:hanging="1191"/>
      <w:contextualSpacing/>
      <w:jc w:val="left"/>
    </w:pPr>
    <w:rPr>
      <w:b/>
    </w:rPr>
  </w:style>
  <w:style w:type="paragraph" w:customStyle="1" w:styleId="TableListBullet">
    <w:name w:val="Table List Bullet"/>
    <w:basedOn w:val="TableText"/>
    <w:uiPriority w:val="55"/>
    <w:pPr>
      <w:numPr>
        <w:numId w:val="20"/>
      </w:numPr>
    </w:pPr>
  </w:style>
  <w:style w:type="paragraph" w:customStyle="1" w:styleId="TableListBulletLevel2">
    <w:name w:val="Table List Bullet (Level 2)"/>
    <w:basedOn w:val="TableText"/>
    <w:uiPriority w:val="55"/>
    <w:semiHidden/>
    <w:unhideWhenUsed/>
    <w:pPr>
      <w:numPr>
        <w:ilvl w:val="1"/>
        <w:numId w:val="20"/>
      </w:numPr>
    </w:pPr>
  </w:style>
  <w:style w:type="paragraph" w:customStyle="1" w:styleId="TableListBulletLevel3">
    <w:name w:val="Table List Bullet (Level 3)"/>
    <w:basedOn w:val="TableText"/>
    <w:uiPriority w:val="55"/>
    <w:semiHidden/>
    <w:unhideWhenUsed/>
    <w:pPr>
      <w:numPr>
        <w:ilvl w:val="2"/>
        <w:numId w:val="20"/>
      </w:numPr>
    </w:pPr>
  </w:style>
  <w:style w:type="paragraph" w:customStyle="1" w:styleId="TableListBulletLevel4">
    <w:name w:val="Table List Bullet (Level 4)"/>
    <w:basedOn w:val="TableText"/>
    <w:uiPriority w:val="55"/>
    <w:semiHidden/>
    <w:unhideWhenUsed/>
    <w:pPr>
      <w:numPr>
        <w:ilvl w:val="3"/>
        <w:numId w:val="20"/>
      </w:numPr>
    </w:pPr>
  </w:style>
  <w:style w:type="paragraph" w:customStyle="1" w:styleId="TableListDash">
    <w:name w:val="Table List Dash"/>
    <w:basedOn w:val="TableText"/>
    <w:uiPriority w:val="55"/>
    <w:pPr>
      <w:numPr>
        <w:numId w:val="21"/>
      </w:numPr>
    </w:pPr>
  </w:style>
  <w:style w:type="paragraph" w:customStyle="1" w:styleId="TableListDashLevel2">
    <w:name w:val="Table List Dash (Level 2)"/>
    <w:basedOn w:val="TableText"/>
    <w:uiPriority w:val="55"/>
    <w:semiHidden/>
    <w:unhideWhenUsed/>
    <w:pPr>
      <w:numPr>
        <w:ilvl w:val="1"/>
        <w:numId w:val="21"/>
      </w:numPr>
    </w:pPr>
  </w:style>
  <w:style w:type="paragraph" w:customStyle="1" w:styleId="TableListDashLevel3">
    <w:name w:val="Table List Dash (Level 3)"/>
    <w:basedOn w:val="TableText"/>
    <w:uiPriority w:val="55"/>
    <w:semiHidden/>
    <w:unhideWhenUsed/>
    <w:pPr>
      <w:numPr>
        <w:ilvl w:val="2"/>
        <w:numId w:val="21"/>
      </w:numPr>
    </w:pPr>
  </w:style>
  <w:style w:type="paragraph" w:customStyle="1" w:styleId="TableListDashLevel4">
    <w:name w:val="Table List Dash (Level 4)"/>
    <w:basedOn w:val="TableText"/>
    <w:uiPriority w:val="55"/>
    <w:semiHidden/>
    <w:unhideWhenUsed/>
    <w:pPr>
      <w:numPr>
        <w:ilvl w:val="3"/>
        <w:numId w:val="21"/>
      </w:numPr>
    </w:pPr>
  </w:style>
  <w:style w:type="paragraph" w:customStyle="1" w:styleId="TableListNumber">
    <w:name w:val="Table List Number"/>
    <w:basedOn w:val="TableText"/>
    <w:uiPriority w:val="55"/>
    <w:pPr>
      <w:numPr>
        <w:numId w:val="22"/>
      </w:numPr>
    </w:pPr>
  </w:style>
  <w:style w:type="paragraph" w:customStyle="1" w:styleId="TableListNumberLevel2">
    <w:name w:val="Table List Number (Level 2)"/>
    <w:basedOn w:val="TableText"/>
    <w:uiPriority w:val="55"/>
    <w:semiHidden/>
    <w:unhideWhenUsed/>
    <w:pPr>
      <w:numPr>
        <w:ilvl w:val="1"/>
        <w:numId w:val="22"/>
      </w:numPr>
    </w:pPr>
  </w:style>
  <w:style w:type="paragraph" w:customStyle="1" w:styleId="TableListNumberLevel3">
    <w:name w:val="Table List Number (Level 3)"/>
    <w:basedOn w:val="TableText"/>
    <w:uiPriority w:val="55"/>
    <w:semiHidden/>
    <w:unhideWhenUsed/>
    <w:pPr>
      <w:numPr>
        <w:ilvl w:val="2"/>
        <w:numId w:val="22"/>
      </w:numPr>
    </w:pPr>
  </w:style>
  <w:style w:type="paragraph" w:customStyle="1" w:styleId="TableListNumberLevel4">
    <w:name w:val="Table List Number (Level 4)"/>
    <w:basedOn w:val="TableText"/>
    <w:uiPriority w:val="55"/>
    <w:semiHidden/>
    <w:unhideWhenUsed/>
    <w:pPr>
      <w:numPr>
        <w:ilvl w:val="3"/>
        <w:numId w:val="22"/>
      </w:numPr>
    </w:pPr>
  </w:style>
  <w:style w:type="paragraph" w:customStyle="1" w:styleId="TableSource">
    <w:name w:val="Table Source"/>
    <w:basedOn w:val="Normal"/>
    <w:next w:val="Normal"/>
    <w:uiPriority w:val="99"/>
    <w:semiHidden/>
    <w:unhideWhenUsed/>
    <w:rPr>
      <w:sz w:val="20"/>
    </w:rPr>
  </w:style>
  <w:style w:type="paragraph" w:customStyle="1" w:styleId="TableSource1">
    <w:name w:val="Table Source 1"/>
    <w:basedOn w:val="Text1"/>
    <w:next w:val="Text1"/>
    <w:uiPriority w:val="99"/>
    <w:semiHidden/>
    <w:unhideWhenUsed/>
    <w:rPr>
      <w:sz w:val="20"/>
    </w:rPr>
  </w:style>
  <w:style w:type="paragraph" w:customStyle="1" w:styleId="TableSource2">
    <w:name w:val="Table Source 2"/>
    <w:basedOn w:val="Text2"/>
    <w:next w:val="Text2"/>
    <w:uiPriority w:val="99"/>
    <w:semiHidden/>
    <w:unhideWhenUsed/>
    <w:rPr>
      <w:sz w:val="20"/>
    </w:rPr>
  </w:style>
  <w:style w:type="paragraph" w:customStyle="1" w:styleId="TableSource3">
    <w:name w:val="Table Source 3"/>
    <w:basedOn w:val="Text3"/>
    <w:next w:val="Text3"/>
    <w:uiPriority w:val="99"/>
    <w:semiHidden/>
    <w:unhideWhenUsed/>
    <w:rPr>
      <w:sz w:val="20"/>
    </w:rPr>
  </w:style>
  <w:style w:type="paragraph" w:customStyle="1" w:styleId="TableSource4">
    <w:name w:val="Table Source 4"/>
    <w:basedOn w:val="Text4"/>
    <w:next w:val="Text4"/>
    <w:uiPriority w:val="99"/>
    <w:semiHidden/>
    <w:unhideWhenUsed/>
    <w:rPr>
      <w:sz w:val="20"/>
    </w:rPr>
  </w:style>
  <w:style w:type="paragraph" w:customStyle="1" w:styleId="TableText">
    <w:name w:val="Table Text"/>
    <w:basedOn w:val="Normal"/>
    <w:uiPriority w:val="50"/>
    <w:qFormat/>
    <w:pPr>
      <w:spacing w:before="60" w:after="60"/>
      <w:jc w:val="left"/>
    </w:pPr>
  </w:style>
  <w:style w:type="paragraph" w:customStyle="1" w:styleId="TableTitle">
    <w:name w:val="Table Title"/>
    <w:basedOn w:val="Normal"/>
    <w:uiPriority w:val="99"/>
    <w:semiHidden/>
    <w:unhideWhenUsed/>
    <w:pPr>
      <w:keepNext/>
      <w:spacing w:after="120"/>
    </w:pPr>
    <w:rPr>
      <w:b/>
      <w:i/>
    </w:rPr>
  </w:style>
  <w:style w:type="paragraph" w:customStyle="1" w:styleId="TableTitle1">
    <w:name w:val="Table Title 1"/>
    <w:basedOn w:val="Text1"/>
    <w:uiPriority w:val="99"/>
    <w:semiHidden/>
    <w:unhideWhenUsed/>
    <w:pPr>
      <w:keepNext/>
      <w:spacing w:after="120"/>
    </w:pPr>
    <w:rPr>
      <w:b/>
      <w:i/>
    </w:rPr>
  </w:style>
  <w:style w:type="paragraph" w:customStyle="1" w:styleId="TableTitle2">
    <w:name w:val="Table Title 2"/>
    <w:basedOn w:val="Text2"/>
    <w:uiPriority w:val="99"/>
    <w:semiHidden/>
    <w:unhideWhenUsed/>
    <w:pPr>
      <w:keepNext/>
      <w:spacing w:after="120"/>
    </w:pPr>
    <w:rPr>
      <w:b/>
      <w:i/>
    </w:rPr>
  </w:style>
  <w:style w:type="paragraph" w:customStyle="1" w:styleId="TableTitle3">
    <w:name w:val="Table Title 3"/>
    <w:basedOn w:val="Text3"/>
    <w:uiPriority w:val="99"/>
    <w:semiHidden/>
    <w:unhideWhenUsed/>
    <w:pPr>
      <w:keepNext/>
      <w:spacing w:after="120"/>
    </w:pPr>
    <w:rPr>
      <w:b/>
      <w:i/>
    </w:rPr>
  </w:style>
  <w:style w:type="paragraph" w:customStyle="1" w:styleId="TableTitle4">
    <w:name w:val="Table Title 4"/>
    <w:basedOn w:val="Text4"/>
    <w:uiPriority w:val="99"/>
    <w:semiHidden/>
    <w:unhideWhenUsed/>
    <w:pPr>
      <w:keepNext/>
      <w:spacing w:after="120"/>
    </w:pPr>
    <w:rPr>
      <w:b/>
      <w:i/>
    </w:rPr>
  </w:style>
  <w:style w:type="paragraph" w:customStyle="1" w:styleId="Text1">
    <w:name w:val="Text 1"/>
    <w:basedOn w:val="Normal"/>
    <w:qFormat/>
    <w:pPr>
      <w:ind w:left="482"/>
    </w:pPr>
  </w:style>
  <w:style w:type="paragraph" w:customStyle="1" w:styleId="Text2">
    <w:name w:val="Text 2"/>
    <w:basedOn w:val="Normal"/>
    <w:qFormat/>
    <w:pPr>
      <w:ind w:left="1077"/>
    </w:pPr>
  </w:style>
  <w:style w:type="paragraph" w:customStyle="1" w:styleId="Text3">
    <w:name w:val="Text 3"/>
    <w:basedOn w:val="Normal"/>
    <w:qFormat/>
    <w:pPr>
      <w:ind w:left="1077"/>
    </w:pPr>
  </w:style>
  <w:style w:type="paragraph" w:customStyle="1" w:styleId="Text4">
    <w:name w:val="Text 4"/>
    <w:basedOn w:val="Normal"/>
    <w:qFormat/>
    <w:pPr>
      <w:ind w:left="1077"/>
    </w:pPr>
  </w:style>
  <w:style w:type="paragraph" w:styleId="TOC1">
    <w:name w:val="toc 1"/>
    <w:basedOn w:val="Normal"/>
    <w:next w:val="Normal"/>
    <w:uiPriority w:val="39"/>
    <w:rsid w:val="7B2D6861"/>
    <w:pPr>
      <w:spacing w:before="120" w:after="120"/>
      <w:ind w:left="482" w:right="720" w:hanging="482"/>
    </w:pPr>
  </w:style>
  <w:style w:type="paragraph" w:styleId="TOC2">
    <w:name w:val="toc 2"/>
    <w:basedOn w:val="Normal"/>
    <w:next w:val="Normal"/>
    <w:uiPriority w:val="39"/>
    <w:rsid w:val="7B2D6861"/>
    <w:pPr>
      <w:spacing w:before="60" w:after="60"/>
      <w:ind w:left="1077" w:right="720" w:hanging="595"/>
    </w:pPr>
    <w:rPr>
      <w:noProof/>
    </w:r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rPr>
      <w:caps/>
    </w:rPr>
  </w:style>
  <w:style w:type="paragraph" w:styleId="TOC7">
    <w:name w:val="toc 7"/>
    <w:basedOn w:val="Normal"/>
    <w:next w:val="Normal"/>
    <w:semiHidden/>
    <w:pPr>
      <w:tabs>
        <w:tab w:val="left" w:pos="3685"/>
      </w:tabs>
      <w:spacing w:after="0"/>
      <w:ind w:left="2880" w:hanging="1349"/>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TrsSecretUE">
    <w:name w:val="Très Secret UE"/>
    <w:basedOn w:val="Normal"/>
    <w:semiHidden/>
    <w:pPr>
      <w:spacing w:after="0"/>
      <w:jc w:val="center"/>
    </w:pPr>
    <w:rPr>
      <w:b/>
      <w:caps/>
      <w:color w:val="FF0000"/>
      <w:sz w:val="32"/>
      <w:bdr w:val="single" w:sz="18" w:space="0" w:color="FF0000"/>
    </w:rPr>
  </w:style>
  <w:style w:type="paragraph" w:customStyle="1" w:styleId="YReferences">
    <w:name w:val="YReferences"/>
    <w:basedOn w:val="Normal"/>
    <w:semiHidden/>
    <w:pPr>
      <w:spacing w:after="480"/>
      <w:ind w:left="1191" w:hanging="1191"/>
      <w:contextualSpacing/>
    </w:pPr>
  </w:style>
  <w:style w:type="paragraph" w:customStyle="1" w:styleId="ZCom">
    <w:name w:val="Z_Com"/>
    <w:basedOn w:val="Normal"/>
    <w:next w:val="ZDGName"/>
    <w:semiHidden/>
    <w:pPr>
      <w:widowControl w:val="0"/>
      <w:spacing w:before="90" w:after="0"/>
      <w:ind w:right="85"/>
      <w:jc w:val="left"/>
    </w:pPr>
  </w:style>
  <w:style w:type="paragraph" w:customStyle="1" w:styleId="ZDGName">
    <w:name w:val="Z_DGName"/>
    <w:basedOn w:val="Normal"/>
    <w:semiHidden/>
    <w:pPr>
      <w:widowControl w:val="0"/>
      <w:spacing w:after="0"/>
      <w:ind w:right="85"/>
      <w:jc w:val="left"/>
    </w:pPr>
    <w:rPr>
      <w:sz w:val="16"/>
    </w:rPr>
  </w:style>
  <w:style w:type="paragraph" w:customStyle="1" w:styleId="ZFlag">
    <w:name w:val="Z_Flag"/>
    <w:basedOn w:val="Normal"/>
    <w:next w:val="Normal"/>
    <w:semiHidden/>
    <w:pPr>
      <w:widowControl w:val="0"/>
      <w:spacing w:after="0"/>
      <w:ind w:right="85"/>
    </w:pPr>
  </w:style>
  <w:style w:type="paragraph" w:styleId="Header">
    <w:name w:val="header"/>
    <w:basedOn w:val="Normal"/>
    <w:link w:val="HeaderChar"/>
    <w:semiHidden/>
    <w:pPr>
      <w:tabs>
        <w:tab w:val="center" w:pos="4150"/>
        <w:tab w:val="right" w:pos="8306"/>
      </w:tabs>
      <w:spacing w:after="0"/>
    </w:pPr>
  </w:style>
  <w:style w:type="character" w:customStyle="1" w:styleId="HeaderChar">
    <w:name w:val="Header Char"/>
    <w:basedOn w:val="DefaultParagraphFont"/>
    <w:link w:val="Header"/>
    <w:semiHidden/>
    <w:rPr>
      <w:sz w:val="24"/>
    </w:rPr>
  </w:style>
  <w:style w:type="table" w:customStyle="1" w:styleId="EurolookClassicBlue">
    <w:name w:val="Eurolook Classic Blue"/>
    <w:basedOn w:val="TableNormal"/>
    <w:uiPriority w:val="80"/>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Blue1">
    <w:name w:val="Eurolook Classic Blue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Blue2">
    <w:name w:val="Eurolook Classic Blue 2"/>
    <w:basedOn w:val="TableNormal"/>
    <w:semiHidden/>
    <w:unhideWhenUsed/>
    <w:pPr>
      <w:spacing w:after="240"/>
    </w:pPr>
    <w:tblPr>
      <w:tblStyleRowBandSize w:val="1"/>
      <w:tblStyleColBandSize w:val="1"/>
      <w:tblInd w:w="1077"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Blue3">
    <w:name w:val="Eurolook Classic Blue 3"/>
    <w:basedOn w:val="TableNormal"/>
    <w:semiHidden/>
    <w:unhideWhenUsed/>
    <w:pPr>
      <w:spacing w:after="240"/>
    </w:pPr>
    <w:tblPr>
      <w:tblStyleRowBandSize w:val="1"/>
      <w:tblStyleColBandSize w:val="1"/>
      <w:tblInd w:w="1077"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Blue4">
    <w:name w:val="Eurolook Classic Blue 4"/>
    <w:basedOn w:val="TableNormal"/>
    <w:semiHidden/>
    <w:unhideWhenUsed/>
    <w:pPr>
      <w:spacing w:after="240"/>
    </w:pPr>
    <w:tblPr>
      <w:tblStyleRowBandSize w:val="1"/>
      <w:tblStyleColBandSize w:val="1"/>
      <w:tblInd w:w="1077"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Grey">
    <w:name w:val="Eurolook Classic Grey"/>
    <w:basedOn w:val="TableNormal"/>
    <w:uiPriority w:val="80"/>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Grey1">
    <w:name w:val="Eurolook Classic Grey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Grey2">
    <w:name w:val="Eurolook Classic Grey 2"/>
    <w:basedOn w:val="TableNormal"/>
    <w:semiHidden/>
    <w:unhideWhenUsed/>
    <w:pPr>
      <w:spacing w:after="240"/>
    </w:pPr>
    <w:tblPr>
      <w:tblStyleRowBandSize w:val="1"/>
      <w:tblStyleColBandSize w:val="1"/>
      <w:tblInd w:w="1077"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Grey3">
    <w:name w:val="Eurolook Classic Grey 3"/>
    <w:basedOn w:val="TableNormal"/>
    <w:semiHidden/>
    <w:unhideWhenUsed/>
    <w:pPr>
      <w:spacing w:after="240"/>
    </w:pPr>
    <w:tblPr>
      <w:tblStyleRowBandSize w:val="1"/>
      <w:tblStyleColBandSize w:val="1"/>
      <w:tblInd w:w="1077"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Grey4">
    <w:name w:val="Eurolook Classic Grey 4"/>
    <w:basedOn w:val="TableNormal"/>
    <w:semiHidden/>
    <w:unhideWhenUsed/>
    <w:pPr>
      <w:spacing w:after="240"/>
    </w:pPr>
    <w:tblPr>
      <w:tblStyleRowBandSize w:val="1"/>
      <w:tblStyleColBandSize w:val="1"/>
      <w:tblInd w:w="1077"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Olive">
    <w:name w:val="Eurolook Classic Olive"/>
    <w:basedOn w:val="TableNormal"/>
    <w:uiPriority w:val="80"/>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Olive1">
    <w:name w:val="Eurolook Classic Olive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Olive2">
    <w:name w:val="Eurolook Classic Olive 2"/>
    <w:basedOn w:val="TableNormal"/>
    <w:semiHidden/>
    <w:unhideWhenUsed/>
    <w:pPr>
      <w:spacing w:after="240"/>
    </w:pPr>
    <w:tblPr>
      <w:tblStyleRowBandSize w:val="1"/>
      <w:tblStyleColBandSize w:val="1"/>
      <w:tblInd w:w="1077"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Olive3">
    <w:name w:val="Eurolook Classic Olive 3"/>
    <w:basedOn w:val="TableNormal"/>
    <w:semiHidden/>
    <w:unhideWhenUsed/>
    <w:pPr>
      <w:spacing w:after="240"/>
    </w:pPr>
    <w:tblPr>
      <w:tblStyleRowBandSize w:val="1"/>
      <w:tblStyleColBandSize w:val="1"/>
      <w:tblInd w:w="1077"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Olive4">
    <w:name w:val="Eurolook Classic Olive 4"/>
    <w:basedOn w:val="TableNormal"/>
    <w:semiHidden/>
    <w:unhideWhenUsed/>
    <w:pPr>
      <w:spacing w:after="240"/>
    </w:pPr>
    <w:tblPr>
      <w:tblStyleRowBandSize w:val="1"/>
      <w:tblStyleColBandSize w:val="1"/>
      <w:tblInd w:w="1077"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Petrol">
    <w:name w:val="Eurolook Classic Petrol"/>
    <w:basedOn w:val="TableNormal"/>
    <w:uiPriority w:val="80"/>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etrol1">
    <w:name w:val="Eurolook Classic Petrol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etrol2">
    <w:name w:val="Eurolook Classic Petrol 2"/>
    <w:basedOn w:val="TableNormal"/>
    <w:semiHidden/>
    <w:unhideWhenUsed/>
    <w:pPr>
      <w:spacing w:after="240"/>
    </w:pPr>
    <w:tblPr>
      <w:tblStyleRowBandSize w:val="1"/>
      <w:tblStyleColBandSize w:val="1"/>
      <w:tblInd w:w="1077"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etrol3">
    <w:name w:val="Eurolook Classic Petrol 3"/>
    <w:basedOn w:val="TableNormal"/>
    <w:semiHidden/>
    <w:unhideWhenUsed/>
    <w:pPr>
      <w:spacing w:after="240"/>
    </w:pPr>
    <w:tblPr>
      <w:tblStyleRowBandSize w:val="1"/>
      <w:tblStyleColBandSize w:val="1"/>
      <w:tblInd w:w="1077"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etrol4">
    <w:name w:val="Eurolook Classic Petrol 4"/>
    <w:basedOn w:val="TableNormal"/>
    <w:semiHidden/>
    <w:unhideWhenUsed/>
    <w:pPr>
      <w:spacing w:after="240"/>
    </w:pPr>
    <w:tblPr>
      <w:tblStyleRowBandSize w:val="1"/>
      <w:tblStyleColBandSize w:val="1"/>
      <w:tblInd w:w="1077"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urple">
    <w:name w:val="Eurolook Classic Purple"/>
    <w:basedOn w:val="TableNormal"/>
    <w:uiPriority w:val="80"/>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Purple1">
    <w:name w:val="Eurolook Classic Purple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Purple2">
    <w:name w:val="Eurolook Classic Purple 2"/>
    <w:basedOn w:val="TableNormal"/>
    <w:semiHidden/>
    <w:unhideWhenUsed/>
    <w:pPr>
      <w:spacing w:after="240"/>
    </w:pPr>
    <w:tblPr>
      <w:tblStyleRowBandSize w:val="1"/>
      <w:tblStyleColBandSize w:val="1"/>
      <w:tblInd w:w="1077"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Purple3">
    <w:name w:val="Eurolook Classic Purple 3"/>
    <w:basedOn w:val="TableNormal"/>
    <w:semiHidden/>
    <w:unhideWhenUsed/>
    <w:pPr>
      <w:spacing w:after="240"/>
    </w:pPr>
    <w:tblPr>
      <w:tblStyleRowBandSize w:val="1"/>
      <w:tblStyleColBandSize w:val="1"/>
      <w:tblInd w:w="1077"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Purple4">
    <w:name w:val="Eurolook Classic Purple 4"/>
    <w:basedOn w:val="TableNormal"/>
    <w:semiHidden/>
    <w:unhideWhenUsed/>
    <w:pPr>
      <w:spacing w:after="240"/>
    </w:pPr>
    <w:tblPr>
      <w:tblStyleRowBandSize w:val="1"/>
      <w:tblStyleColBandSize w:val="1"/>
      <w:tblInd w:w="1077"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Rust">
    <w:name w:val="Eurolook Classic Rust"/>
    <w:basedOn w:val="TableNormal"/>
    <w:uiPriority w:val="80"/>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ClassicRust1">
    <w:name w:val="Eurolook Classic Rust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ClassicRust2">
    <w:name w:val="Eurolook Classic Rust 2"/>
    <w:basedOn w:val="TableNormal"/>
    <w:semiHidden/>
    <w:unhideWhenUsed/>
    <w:pPr>
      <w:spacing w:after="240"/>
    </w:pPr>
    <w:tblPr>
      <w:tblStyleRowBandSize w:val="1"/>
      <w:tblStyleColBandSize w:val="1"/>
      <w:tblInd w:w="1077"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ClassicRust3">
    <w:name w:val="Eurolook Classic Rust 3"/>
    <w:basedOn w:val="TableNormal"/>
    <w:semiHidden/>
    <w:unhideWhenUsed/>
    <w:pPr>
      <w:spacing w:after="240"/>
    </w:pPr>
    <w:tblPr>
      <w:tblStyleRowBandSize w:val="1"/>
      <w:tblStyleColBandSize w:val="1"/>
      <w:tblInd w:w="1077"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ClassicRust4">
    <w:name w:val="Eurolook Classic Rust 4"/>
    <w:basedOn w:val="TableNormal"/>
    <w:semiHidden/>
    <w:unhideWhenUsed/>
    <w:pPr>
      <w:spacing w:after="240"/>
    </w:pPr>
    <w:tblPr>
      <w:tblStyleRowBandSize w:val="1"/>
      <w:tblStyleColBandSize w:val="1"/>
      <w:tblInd w:w="1077"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LightBlue">
    <w:name w:val="Eurolook Light Blue"/>
    <w:basedOn w:val="TableNormal"/>
    <w:uiPriority w:val="80"/>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Blue1">
    <w:name w:val="Eurolook Light Blue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Blue2">
    <w:name w:val="Eurolook Light Blue 2"/>
    <w:basedOn w:val="TableNormal"/>
    <w:semiHidden/>
    <w:unhideWhenUsed/>
    <w:pPr>
      <w:spacing w:after="240"/>
    </w:pPr>
    <w:tblPr>
      <w:tblStyleRowBandSize w:val="1"/>
      <w:tblStyleColBandSize w:val="1"/>
      <w:tblInd w:w="1077"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Blue3">
    <w:name w:val="Eurolook Light Blue 3"/>
    <w:basedOn w:val="TableNormal"/>
    <w:semiHidden/>
    <w:unhideWhenUsed/>
    <w:pPr>
      <w:spacing w:after="240"/>
    </w:pPr>
    <w:tblPr>
      <w:tblStyleRowBandSize w:val="1"/>
      <w:tblStyleColBandSize w:val="1"/>
      <w:tblInd w:w="1077"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Blue4">
    <w:name w:val="Eurolook Light Blue 4"/>
    <w:basedOn w:val="TableNormal"/>
    <w:semiHidden/>
    <w:unhideWhenUsed/>
    <w:pPr>
      <w:spacing w:after="240"/>
    </w:pPr>
    <w:tblPr>
      <w:tblStyleRowBandSize w:val="1"/>
      <w:tblStyleColBandSize w:val="1"/>
      <w:tblInd w:w="1077"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
    <w:name w:val="Eurolook Light Grey"/>
    <w:basedOn w:val="TableNormal"/>
    <w:uiPriority w:val="80"/>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1">
    <w:name w:val="Eurolook Light Grey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2">
    <w:name w:val="Eurolook Light Grey 2"/>
    <w:basedOn w:val="TableNormal"/>
    <w:semiHidden/>
    <w:unhideWhenUsed/>
    <w:pPr>
      <w:spacing w:after="240"/>
    </w:pPr>
    <w:tblPr>
      <w:tblStyleRowBandSize w:val="1"/>
      <w:tblStyleColBandSize w:val="1"/>
      <w:tblInd w:w="1077"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3">
    <w:name w:val="Eurolook Light Grey 3"/>
    <w:basedOn w:val="TableNormal"/>
    <w:semiHidden/>
    <w:unhideWhenUsed/>
    <w:pPr>
      <w:spacing w:after="240"/>
    </w:pPr>
    <w:tblPr>
      <w:tblStyleRowBandSize w:val="1"/>
      <w:tblStyleColBandSize w:val="1"/>
      <w:tblInd w:w="1077"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4">
    <w:name w:val="Eurolook Light Grey 4"/>
    <w:basedOn w:val="TableNormal"/>
    <w:semiHidden/>
    <w:unhideWhenUsed/>
    <w:pPr>
      <w:spacing w:after="240"/>
    </w:pPr>
    <w:tblPr>
      <w:tblStyleRowBandSize w:val="1"/>
      <w:tblStyleColBandSize w:val="1"/>
      <w:tblInd w:w="1077"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
    <w:name w:val="Eurolook Light Olive"/>
    <w:basedOn w:val="TableNormal"/>
    <w:uiPriority w:val="80"/>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1">
    <w:name w:val="Eurolook Light Olive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2">
    <w:name w:val="Eurolook Light Olive 2"/>
    <w:basedOn w:val="TableNormal"/>
    <w:semiHidden/>
    <w:unhideWhenUsed/>
    <w:pPr>
      <w:spacing w:after="240"/>
    </w:pPr>
    <w:tblPr>
      <w:tblStyleRowBandSize w:val="1"/>
      <w:tblStyleColBandSize w:val="1"/>
      <w:tblInd w:w="1077"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3">
    <w:name w:val="Eurolook Light Olive 3"/>
    <w:basedOn w:val="TableNormal"/>
    <w:semiHidden/>
    <w:unhideWhenUsed/>
    <w:pPr>
      <w:spacing w:after="240"/>
    </w:pPr>
    <w:tblPr>
      <w:tblStyleRowBandSize w:val="1"/>
      <w:tblStyleColBandSize w:val="1"/>
      <w:tblInd w:w="1077"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4">
    <w:name w:val="Eurolook Light Olive 4"/>
    <w:basedOn w:val="TableNormal"/>
    <w:semiHidden/>
    <w:unhideWhenUsed/>
    <w:pPr>
      <w:spacing w:after="240"/>
    </w:pPr>
    <w:tblPr>
      <w:tblStyleRowBandSize w:val="1"/>
      <w:tblStyleColBandSize w:val="1"/>
      <w:tblInd w:w="1077"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
    <w:name w:val="Eurolook Light Petrol"/>
    <w:basedOn w:val="TableNormal"/>
    <w:uiPriority w:val="80"/>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1">
    <w:name w:val="Eurolook Light Petrol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2">
    <w:name w:val="Eurolook Light Petrol 2"/>
    <w:basedOn w:val="TableNormal"/>
    <w:semiHidden/>
    <w:unhideWhenUsed/>
    <w:pPr>
      <w:spacing w:after="240"/>
    </w:pPr>
    <w:tblPr>
      <w:tblStyleRowBandSize w:val="1"/>
      <w:tblStyleColBandSize w:val="1"/>
      <w:tblInd w:w="1077"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3">
    <w:name w:val="Eurolook Light Petrol 3"/>
    <w:basedOn w:val="TableNormal"/>
    <w:semiHidden/>
    <w:unhideWhenUsed/>
    <w:pPr>
      <w:spacing w:after="240"/>
    </w:pPr>
    <w:tblPr>
      <w:tblStyleRowBandSize w:val="1"/>
      <w:tblStyleColBandSize w:val="1"/>
      <w:tblInd w:w="1077"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4">
    <w:name w:val="Eurolook Light Petrol 4"/>
    <w:basedOn w:val="TableNormal"/>
    <w:semiHidden/>
    <w:unhideWhenUsed/>
    <w:pPr>
      <w:spacing w:after="240"/>
    </w:pPr>
    <w:tblPr>
      <w:tblStyleRowBandSize w:val="1"/>
      <w:tblStyleColBandSize w:val="1"/>
      <w:tblInd w:w="1077"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
    <w:name w:val="Eurolook Light Purple"/>
    <w:basedOn w:val="TableNormal"/>
    <w:uiPriority w:val="80"/>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1">
    <w:name w:val="Eurolook Light Purple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2">
    <w:name w:val="Eurolook Light Purple 2"/>
    <w:basedOn w:val="TableNormal"/>
    <w:semiHidden/>
    <w:unhideWhenUsed/>
    <w:pPr>
      <w:spacing w:after="240"/>
    </w:pPr>
    <w:tblPr>
      <w:tblStyleRowBandSize w:val="1"/>
      <w:tblStyleColBandSize w:val="1"/>
      <w:tblInd w:w="1077"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3">
    <w:name w:val="Eurolook Light Purple 3"/>
    <w:basedOn w:val="TableNormal"/>
    <w:semiHidden/>
    <w:unhideWhenUsed/>
    <w:pPr>
      <w:spacing w:after="240"/>
    </w:pPr>
    <w:tblPr>
      <w:tblStyleRowBandSize w:val="1"/>
      <w:tblStyleColBandSize w:val="1"/>
      <w:tblInd w:w="1077"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4">
    <w:name w:val="Eurolook Light Purple 4"/>
    <w:basedOn w:val="TableNormal"/>
    <w:semiHidden/>
    <w:unhideWhenUsed/>
    <w:pPr>
      <w:spacing w:after="240"/>
    </w:pPr>
    <w:tblPr>
      <w:tblStyleRowBandSize w:val="1"/>
      <w:tblStyleColBandSize w:val="1"/>
      <w:tblInd w:w="1077"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
    <w:name w:val="Eurolook Light Rust"/>
    <w:basedOn w:val="TableNormal"/>
    <w:uiPriority w:val="80"/>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1">
    <w:name w:val="Eurolook Light Rust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2">
    <w:name w:val="Eurolook Light Rust 2"/>
    <w:basedOn w:val="TableNormal"/>
    <w:semiHidden/>
    <w:unhideWhenUsed/>
    <w:pPr>
      <w:spacing w:after="240"/>
    </w:pPr>
    <w:tblPr>
      <w:tblStyleRowBandSize w:val="1"/>
      <w:tblStyleColBandSize w:val="1"/>
      <w:tblInd w:w="1077"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3">
    <w:name w:val="Eurolook Light Rust 3"/>
    <w:basedOn w:val="TableNormal"/>
    <w:semiHidden/>
    <w:unhideWhenUsed/>
    <w:pPr>
      <w:spacing w:after="240"/>
    </w:pPr>
    <w:tblPr>
      <w:tblStyleRowBandSize w:val="1"/>
      <w:tblStyleColBandSize w:val="1"/>
      <w:tblInd w:w="1077"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4">
    <w:name w:val="Eurolook Light Rust 4"/>
    <w:basedOn w:val="TableNormal"/>
    <w:semiHidden/>
    <w:unhideWhenUsed/>
    <w:pPr>
      <w:spacing w:after="240"/>
    </w:pPr>
    <w:tblPr>
      <w:tblStyleRowBandSize w:val="1"/>
      <w:tblStyleColBandSize w:val="1"/>
      <w:tblInd w:w="1077"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Table">
    <w:name w:val="Eurolook Table"/>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rPr>
        <w:cantSplit/>
        <w:tblHeader/>
      </w:trPr>
    </w:tblStylePr>
  </w:style>
  <w:style w:type="table" w:customStyle="1" w:styleId="EurolookTable1">
    <w:name w:val="Eurolook Table 1"/>
    <w:basedOn w:val="EurolookTable"/>
    <w:semiHidden/>
    <w:tblPr>
      <w:tblInd w:w="482" w:type="dxa"/>
    </w:tblPr>
    <w:tblStylePr w:type="firstRow">
      <w:rPr>
        <w:b/>
      </w:rPr>
      <w:tblPr/>
      <w:trPr>
        <w:cantSplit/>
        <w:tblHeader/>
      </w:trPr>
    </w:tblStylePr>
  </w:style>
  <w:style w:type="table" w:customStyle="1" w:styleId="EurolookTable2">
    <w:name w:val="Eurolook Table 2"/>
    <w:basedOn w:val="EurolookTable"/>
    <w:semiHidden/>
    <w:tblPr>
      <w:tblInd w:w="1077" w:type="dxa"/>
    </w:tblPr>
    <w:tblStylePr w:type="firstRow">
      <w:rPr>
        <w:b/>
      </w:rPr>
      <w:tblPr/>
      <w:trPr>
        <w:cantSplit/>
        <w:tblHeader/>
      </w:trPr>
    </w:tblStylePr>
  </w:style>
  <w:style w:type="table" w:customStyle="1" w:styleId="EurolookTable3">
    <w:name w:val="Eurolook Table 3"/>
    <w:basedOn w:val="EurolookTable"/>
    <w:semiHidden/>
    <w:tblPr>
      <w:tblInd w:w="1077" w:type="dxa"/>
    </w:tblPr>
    <w:tblStylePr w:type="firstRow">
      <w:rPr>
        <w:b/>
      </w:rPr>
      <w:tblPr/>
      <w:trPr>
        <w:cantSplit/>
        <w:tblHeader/>
      </w:trPr>
    </w:tblStylePr>
  </w:style>
  <w:style w:type="table" w:customStyle="1" w:styleId="EurolookTable4">
    <w:name w:val="Eurolook Table 4"/>
    <w:basedOn w:val="EurolookTable"/>
    <w:semiHidden/>
    <w:tblPr>
      <w:tblInd w:w="1077" w:type="dxa"/>
    </w:tblPr>
    <w:tblStylePr w:type="firstRow">
      <w:rPr>
        <w:b/>
      </w:rPr>
      <w:tblPr/>
      <w:trPr>
        <w:cantSplit/>
        <w:tblHeader/>
      </w:trPr>
    </w:tblStylePr>
  </w:style>
  <w:style w:type="table" w:customStyle="1" w:styleId="HelperTableBase">
    <w:name w:val="Helper Table Base"/>
    <w:semiHidden/>
    <w:tblPr>
      <w:tblInd w:w="0" w:type="dxa"/>
      <w:tblCellMar>
        <w:top w:w="0" w:type="dxa"/>
        <w:left w:w="0" w:type="dxa"/>
        <w:bottom w:w="0" w:type="dxa"/>
        <w:right w:w="0" w:type="dxa"/>
      </w:tblCellMar>
    </w:tblPr>
  </w:style>
  <w:style w:type="table" w:customStyle="1" w:styleId="NoteTable">
    <w:name w:val="Note Table"/>
    <w:basedOn w:val="HelperTableBase"/>
    <w:semiHidden/>
    <w:tblPr>
      <w:tblCellMar>
        <w:left w:w="108" w:type="dxa"/>
        <w:right w:w="108" w:type="dxa"/>
      </w:tblCellMar>
    </w:tblPr>
  </w:style>
  <w:style w:type="table" w:customStyle="1" w:styleId="SignatureTable">
    <w:name w:val="Signature Table"/>
    <w:basedOn w:val="HelperTableBase"/>
    <w:semiHidden/>
    <w:tblPr/>
  </w:style>
  <w:style w:type="table" w:styleId="TableGrid">
    <w:name w:val="Table Grid"/>
    <w:semiHidden/>
    <w:tblPr>
      <w:tblStyleRowBandSize w:val="1"/>
      <w:tblStyleColBandSize w:val="1"/>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Letterhead">
    <w:name w:val="Table Letterhead"/>
    <w:basedOn w:val="TableNormal"/>
    <w:semiHidden/>
    <w:tblPr>
      <w:tblCellMar>
        <w:left w:w="0" w:type="dxa"/>
        <w:bottom w:w="340" w:type="dxa"/>
        <w:right w:w="0" w:type="dxa"/>
      </w:tblCellMar>
    </w:tblPr>
  </w:style>
  <w:style w:type="paragraph" w:styleId="Revision">
    <w:name w:val="Revision"/>
    <w:hidden/>
    <w:uiPriority w:val="99"/>
    <w:semiHidden/>
    <w:rsid w:val="00E57B31"/>
  </w:style>
  <w:style w:type="character" w:styleId="CommentReference">
    <w:name w:val="annotation reference"/>
    <w:basedOn w:val="DefaultParagraphFont"/>
    <w:uiPriority w:val="99"/>
    <w:semiHidden/>
    <w:rsid w:val="00E57B31"/>
    <w:rPr>
      <w:sz w:val="16"/>
      <w:szCs w:val="16"/>
    </w:rPr>
  </w:style>
  <w:style w:type="paragraph" w:styleId="CommentText">
    <w:name w:val="annotation text"/>
    <w:basedOn w:val="Normal"/>
    <w:link w:val="CommentTextChar"/>
    <w:uiPriority w:val="99"/>
    <w:semiHidden/>
    <w:rsid w:val="00E57B31"/>
    <w:rPr>
      <w:sz w:val="20"/>
    </w:rPr>
  </w:style>
  <w:style w:type="character" w:customStyle="1" w:styleId="CommentTextChar">
    <w:name w:val="Comment Text Char"/>
    <w:basedOn w:val="DefaultParagraphFont"/>
    <w:link w:val="CommentText"/>
    <w:uiPriority w:val="99"/>
    <w:semiHidden/>
    <w:rsid w:val="00E57B31"/>
    <w:rPr>
      <w:sz w:val="20"/>
    </w:rPr>
  </w:style>
  <w:style w:type="paragraph" w:styleId="CommentSubject">
    <w:name w:val="annotation subject"/>
    <w:basedOn w:val="CommentText"/>
    <w:next w:val="CommentText"/>
    <w:link w:val="CommentSubjectChar"/>
    <w:uiPriority w:val="99"/>
    <w:semiHidden/>
    <w:rsid w:val="00E57B31"/>
    <w:rPr>
      <w:b/>
      <w:bCs/>
    </w:rPr>
  </w:style>
  <w:style w:type="character" w:customStyle="1" w:styleId="CommentSubjectChar">
    <w:name w:val="Comment Subject Char"/>
    <w:basedOn w:val="CommentTextChar"/>
    <w:link w:val="CommentSubject"/>
    <w:uiPriority w:val="99"/>
    <w:semiHidden/>
    <w:rsid w:val="00E57B31"/>
    <w:rPr>
      <w:b/>
      <w:bCs/>
      <w:sz w:val="20"/>
    </w:rPr>
  </w:style>
  <w:style w:type="character" w:styleId="FollowedHyperlink">
    <w:name w:val="FollowedHyperlink"/>
    <w:basedOn w:val="DefaultParagraphFont"/>
    <w:uiPriority w:val="99"/>
    <w:semiHidden/>
    <w:rsid w:val="008D479E"/>
    <w:rPr>
      <w:color w:val="954F72" w:themeColor="followedHyperlink"/>
      <w:u w:val="single"/>
    </w:rPr>
  </w:style>
  <w:style w:type="character" w:customStyle="1" w:styleId="Marker">
    <w:name w:val="Marker"/>
    <w:basedOn w:val="DefaultParagraphFont"/>
    <w:rsid w:val="00360108"/>
    <w:rPr>
      <w:color w:val="0000FF"/>
      <w:shd w:val="clear" w:color="auto" w:fill="auto"/>
    </w:rPr>
  </w:style>
  <w:style w:type="paragraph" w:customStyle="1" w:styleId="Pagedecouverture">
    <w:name w:val="Page de couverture"/>
    <w:basedOn w:val="Normal"/>
    <w:next w:val="Normal"/>
    <w:link w:val="PagedecouvertureChar"/>
    <w:rsid w:val="00360108"/>
    <w:pPr>
      <w:spacing w:after="0"/>
    </w:pPr>
    <w:rPr>
      <w:rFonts w:eastAsiaTheme="minorHAnsi"/>
      <w:szCs w:val="22"/>
      <w:lang w:eastAsia="en-US"/>
    </w:rPr>
  </w:style>
  <w:style w:type="paragraph" w:customStyle="1" w:styleId="FooterCoverPage">
    <w:name w:val="Footer Cover Page"/>
    <w:basedOn w:val="Normal"/>
    <w:link w:val="FooterCoverPageChar"/>
    <w:rsid w:val="00360108"/>
    <w:pPr>
      <w:tabs>
        <w:tab w:val="center" w:pos="4535"/>
        <w:tab w:val="right" w:pos="9071"/>
        <w:tab w:val="right" w:pos="9921"/>
      </w:tabs>
      <w:spacing w:before="360" w:after="0"/>
      <w:ind w:left="-850" w:right="-850"/>
      <w:jc w:val="left"/>
    </w:pPr>
  </w:style>
  <w:style w:type="character" w:customStyle="1" w:styleId="PagedecouvertureChar">
    <w:name w:val="Page de couverture Char"/>
    <w:basedOn w:val="DefaultParagraphFont"/>
    <w:link w:val="Pagedecouverture"/>
    <w:rsid w:val="00360108"/>
    <w:rPr>
      <w:rFonts w:eastAsiaTheme="minorHAnsi"/>
      <w:szCs w:val="22"/>
      <w:lang w:eastAsia="en-US"/>
    </w:rPr>
  </w:style>
  <w:style w:type="character" w:customStyle="1" w:styleId="FooterCoverPageChar">
    <w:name w:val="Footer Cover Page Char"/>
    <w:basedOn w:val="PagedecouvertureChar"/>
    <w:link w:val="FooterCoverPage"/>
    <w:rsid w:val="00360108"/>
    <w:rPr>
      <w:rFonts w:eastAsiaTheme="minorHAnsi"/>
      <w:szCs w:val="22"/>
      <w:lang w:eastAsia="en-US"/>
    </w:rPr>
  </w:style>
  <w:style w:type="paragraph" w:customStyle="1" w:styleId="FooterSensitivity">
    <w:name w:val="Footer Sensitivity"/>
    <w:basedOn w:val="Normal"/>
    <w:link w:val="FooterSensitivityChar"/>
    <w:rsid w:val="00360108"/>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PagedecouvertureChar"/>
    <w:link w:val="FooterSensitivity"/>
    <w:rsid w:val="00360108"/>
    <w:rPr>
      <w:rFonts w:eastAsiaTheme="minorHAnsi"/>
      <w:b/>
      <w:sz w:val="32"/>
      <w:szCs w:val="22"/>
      <w:lang w:eastAsia="en-US"/>
    </w:rPr>
  </w:style>
  <w:style w:type="paragraph" w:customStyle="1" w:styleId="HeaderCoverPage">
    <w:name w:val="Header Cover Page"/>
    <w:basedOn w:val="Normal"/>
    <w:link w:val="HeaderCoverPageChar"/>
    <w:rsid w:val="00360108"/>
    <w:pPr>
      <w:tabs>
        <w:tab w:val="center" w:pos="4535"/>
        <w:tab w:val="right" w:pos="9071"/>
      </w:tabs>
      <w:spacing w:after="120"/>
    </w:pPr>
  </w:style>
  <w:style w:type="character" w:customStyle="1" w:styleId="HeaderCoverPageChar">
    <w:name w:val="Header Cover Page Char"/>
    <w:basedOn w:val="PagedecouvertureChar"/>
    <w:link w:val="HeaderCoverPage"/>
    <w:rsid w:val="00360108"/>
    <w:rPr>
      <w:rFonts w:eastAsiaTheme="minorHAnsi"/>
      <w:szCs w:val="22"/>
      <w:lang w:eastAsia="en-US"/>
    </w:rPr>
  </w:style>
  <w:style w:type="paragraph" w:customStyle="1" w:styleId="HeaderSensitivity">
    <w:name w:val="Header Sensitivity"/>
    <w:basedOn w:val="Normal"/>
    <w:link w:val="HeaderSensitivityChar"/>
    <w:rsid w:val="00360108"/>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PagedecouvertureChar"/>
    <w:link w:val="HeaderSensitivity"/>
    <w:rsid w:val="00360108"/>
    <w:rPr>
      <w:rFonts w:eastAsiaTheme="minorHAnsi"/>
      <w:b/>
      <w:sz w:val="32"/>
      <w:szCs w:val="22"/>
      <w:lang w:eastAsia="en-US"/>
    </w:rPr>
  </w:style>
  <w:style w:type="paragraph" w:customStyle="1" w:styleId="HeaderSensitivityRight">
    <w:name w:val="Header Sensitivity Right"/>
    <w:basedOn w:val="Normal"/>
    <w:link w:val="HeaderSensitivityRightChar"/>
    <w:rsid w:val="00360108"/>
    <w:pPr>
      <w:spacing w:after="120"/>
      <w:jc w:val="right"/>
    </w:pPr>
    <w:rPr>
      <w:sz w:val="28"/>
    </w:rPr>
  </w:style>
  <w:style w:type="character" w:customStyle="1" w:styleId="HeaderSensitivityRightChar">
    <w:name w:val="Header Sensitivity Right Char"/>
    <w:basedOn w:val="PagedecouvertureChar"/>
    <w:link w:val="HeaderSensitivityRight"/>
    <w:rsid w:val="00360108"/>
    <w:rPr>
      <w:rFonts w:eastAsiaTheme="minorHAnsi"/>
      <w:sz w:val="28"/>
      <w:szCs w:val="22"/>
      <w:lang w:eastAsia="en-US"/>
    </w:rPr>
  </w:style>
  <w:style w:type="character" w:customStyle="1" w:styleId="FooterChar">
    <w:name w:val="Footer Char"/>
    <w:basedOn w:val="DefaultParagraphFont"/>
    <w:link w:val="Footer"/>
    <w:uiPriority w:val="99"/>
    <w:rsid w:val="001658DA"/>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6.emf"/><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emf"/><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emf"/><Relationship Id="rId28"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3.emf"/><Relationship Id="rId27" Type="http://schemas.openxmlformats.org/officeDocument/2006/relationships/chart" Target="charts/chart1.xml"/><Relationship Id="rId30" Type="http://schemas.openxmlformats.org/officeDocument/2006/relationships/footer" Target="footer4.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social/main.jsp?catId=325&amp;intPageId=3587&amp;langId=r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ionelan\AppData\Local\Temp\MicrosoftEdgeDownloads\29ec805d-cc62-46de-89b1-1e08a8a96bb9\AGRI-2025-00147-00-00-RO-SRC-0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a:t>Cum evaluează statele membre instrumentul Arachne (1-10)</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5"/>
          <c:order val="5"/>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Sheet1!$B$89:$B$91</c:f>
              <c:strCache>
                <c:ptCount val="3"/>
                <c:pt idx="0">
                  <c:v>EVALUAREA INTEROPERABILITĂȚII ARACHNE CU SISTEMELE AP</c:v>
                </c:pt>
                <c:pt idx="1">
                  <c:v>SATISFACȚIA ÎN CEEA CE PRIVEȘTE AJUTORUL OFERIT DE ECHIPA ARACHNE</c:v>
                </c:pt>
                <c:pt idx="2">
                  <c:v>SATISFACȚIA ÎN CEEA CE PRIVEȘTE UTILIZAREA ARACHNE</c:v>
                </c:pt>
              </c:strCache>
            </c:strRef>
          </c:cat>
          <c:val>
            <c:numRef>
              <c:f>Sheet1!$H$89:$H$91</c:f>
              <c:numCache>
                <c:formatCode>0.0</c:formatCode>
                <c:ptCount val="3"/>
                <c:pt idx="0">
                  <c:v>6.4</c:v>
                </c:pt>
                <c:pt idx="1">
                  <c:v>7</c:v>
                </c:pt>
                <c:pt idx="2">
                  <c:v>3.6</c:v>
                </c:pt>
              </c:numCache>
            </c:numRef>
          </c:val>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357F-4B27-8B25-9BAAC8F443E7}"/>
            </c:ext>
          </c:extLst>
        </c:ser>
        <c:dLbls>
          <c:showLegendKey val="0"/>
          <c:showVal val="1"/>
          <c:showCatName val="0"/>
          <c:showSerName val="0"/>
          <c:showPercent val="0"/>
          <c:showBubbleSize val="0"/>
        </c:dLbls>
        <c:gapWidth val="65"/>
        <c:shape val="box"/>
        <c:axId val="1872887360"/>
        <c:axId val="915778848"/>
        <c:axId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02D57815-91ED-43cb-92C2-25804820EDAC}">
            <c15:filteredBarSeries>
              <c15: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http://schemas.microsoft.com/office/drawing/2014/chart" xmlns:c14="http://schemas.microsoft.com/office/drawing/2007/8/2/chart" xmlns:mc="http://schemas.openxmlformats.org/markup-compatibility/2006">
                    <c:ext uri="{CE6537A1-D6FC-4f65-9D91-7224C49458BB}">
                      <c15:showLeaderLines val="1"/>
                      <c15:leaderLines>
                        <c:spPr>
                          <a:ln w="9525">
                            <a:solidFill>
                              <a:schemeClr val="dk1">
                                <a:lumMod val="50000"/>
                                <a:lumOff val="50000"/>
                              </a:schemeClr>
                            </a:solidFill>
                          </a:ln>
                          <a:effectLst/>
                        </c:spPr>
                      </c15:leaderLines>
                    </c:ext>
                  </c:extLst>
                </c:dLbls>
                <c:cat>
                  <c:strRef>
                    <c:extLst xmlns:c16="http://schemas.microsoft.com/office/drawing/2014/chart" xmlns:c14="http://schemas.microsoft.com/office/drawing/2007/8/2/chart" xmlns:mc="http://schemas.openxmlformats.org/markup-compatibility/2006">
                      <c:ext uri="{02D57815-91ED-43cb-92C2-25804820EDAC}">
                        <c15:formulaRef>
                          <c15:sqref>Sheet1!$B$89:$B$91</c15:sqref>
                        </c15:formulaRef>
                      </c:ext>
                    </c:extLst>
                    <c:strCache>
                      <c:ptCount val="3"/>
                      <c:pt idx="0">
                        <c:v>EVALUAREA INTEROPERABILITĂȚII ARACHNE CU SISTEMELE AP</c:v>
                      </c:pt>
                      <c:pt idx="1">
                        <c:v>SATISFACȚIA ÎN CEEA CE PRIVEȘTE AJUTORUL OFERIT DE ECHIPA ARACHNE</c:v>
                      </c:pt>
                      <c:pt idx="2">
                        <c:v>SATISFACȚIA ÎN CEEA CE PRIVEȘTE UTILIZAREA ARACHNE</c:v>
                      </c:pt>
                    </c:strCache>
                  </c:strRef>
                </c:cat>
                <c:val>
                  <c:numRef>
                    <c:extLst xmlns:c16="http://schemas.microsoft.com/office/drawing/2014/chart" xmlns:c14="http://schemas.microsoft.com/office/drawing/2007/8/2/chart" xmlns:mc="http://schemas.openxmlformats.org/markup-compatibility/2006">
                      <c:ext uri="{02D57815-91ED-43cb-92C2-25804820EDAC}">
                        <c15:formulaRef>
                          <c15:sqref>Sheet1!$C$89:$C$91</c15:sqref>
                        </c15:formulaRef>
                      </c:ext>
                    </c:extLst>
                    <c:numCache>
                      <c:formatCode>General</c:formatCode>
                      <c:ptCount val="3"/>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357F-4B27-8B25-9BAAC8F443E7}"/>
                  </c:ext>
                </c:extLst>
              </c15:ser>
            </c15:filteredBarSeries>
            <c15:filteredBarSeries>
              <c15:ser>
                <c:idx val="1"/>
                <c:order val="1"/>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http://schemas.microsoft.com/office/drawing/2014/chart" xmlns:c14="http://schemas.microsoft.com/office/drawing/2007/8/2/chart" xmlns:mc="http://schemas.openxmlformats.org/markup-compatibility/2006"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6="http://schemas.microsoft.com/office/drawing/2014/chart" xmlns:c14="http://schemas.microsoft.com/office/drawing/2007/8/2/chart" xmlns:mc="http://schemas.openxmlformats.org/markup-compatibility/2006" xmlns:c15="http://schemas.microsoft.com/office/drawing/2012/chart">
                      <c:ext xmlns:c15="http://schemas.microsoft.com/office/drawing/2012/chart" uri="{02D57815-91ED-43cb-92C2-25804820EDAC}">
                        <c15:formulaRef>
                          <c15:sqref>Sheet1!$B$89:$B$91</c15:sqref>
                        </c15:formulaRef>
                      </c:ext>
                    </c:extLst>
                    <c:strCache>
                      <c:ptCount val="3"/>
                      <c:pt idx="0">
                        <c:v>EVALUAREA INTEROPERABILITĂȚII ARACHNE CU SISTEMELE AP</c:v>
                      </c:pt>
                      <c:pt idx="1">
                        <c:v>SATISFACȚIA ÎN CEEA CE PRIVEȘTE AJUTORUL OFERIT DE ECHIPA ARACHNE</c:v>
                      </c:pt>
                      <c:pt idx="2">
                        <c:v>SATISFACȚIA ÎN CEEA CE PRIVEȘTE UTILIZAREA ARACHNE</c:v>
                      </c:pt>
                    </c:strCache>
                  </c:strRef>
                </c:cat>
                <c:val>
                  <c:numRef>
                    <c:extLst xmlns:c16="http://schemas.microsoft.com/office/drawing/2014/chart" xmlns:c14="http://schemas.microsoft.com/office/drawing/2007/8/2/chart" xmlns:mc="http://schemas.openxmlformats.org/markup-compatibility/2006" xmlns:c15="http://schemas.microsoft.com/office/drawing/2012/chart">
                      <c:ext xmlns:c15="http://schemas.microsoft.com/office/drawing/2012/chart" uri="{02D57815-91ED-43cb-92C2-25804820EDAC}">
                        <c15:formulaRef>
                          <c15:sqref>Sheet1!$D$89:$D$91</c15:sqref>
                        </c15:formulaRef>
                      </c:ext>
                    </c:extLst>
                    <c:numCache>
                      <c:formatCode>General</c:formatCode>
                      <c:ptCount val="3"/>
                    </c:numCache>
                  </c:numRef>
                </c:val>
                <c:extLst xmlns:c16="http://schemas.microsoft.com/office/drawing/2014/chart" xmlns:c14="http://schemas.microsoft.com/office/drawing/2007/8/2/chart" xmlns:mc="http://schemas.openxmlformats.org/markup-compatibility/2006" xmlns:c15="http://schemas.microsoft.com/office/drawing/2012/chart">
                  <c:ext xmlns:c16="http://schemas.microsoft.com/office/drawing/2014/chart" uri="{C3380CC4-5D6E-409C-BE32-E72D297353CC}">
                    <c16:uniqueId val="{00000002-357F-4B27-8B25-9BAAC8F443E7}"/>
                  </c:ext>
                </c:extLst>
              </c15:ser>
            </c15:filteredBarSeries>
            <c15:filteredBarSeries>
              <c15:ser>
                <c:idx val="2"/>
                <c:order val="2"/>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http://schemas.microsoft.com/office/drawing/2014/chart" xmlns:c14="http://schemas.microsoft.com/office/drawing/2007/8/2/chart" xmlns:mc="http://schemas.openxmlformats.org/markup-compatibility/2006"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6="http://schemas.microsoft.com/office/drawing/2014/chart" xmlns:c14="http://schemas.microsoft.com/office/drawing/2007/8/2/chart" xmlns:mc="http://schemas.openxmlformats.org/markup-compatibility/2006" xmlns:c15="http://schemas.microsoft.com/office/drawing/2012/chart">
                      <c:ext xmlns:c15="http://schemas.microsoft.com/office/drawing/2012/chart" uri="{02D57815-91ED-43cb-92C2-25804820EDAC}">
                        <c15:formulaRef>
                          <c15:sqref>Sheet1!$B$89:$B$91</c15:sqref>
                        </c15:formulaRef>
                      </c:ext>
                    </c:extLst>
                    <c:strCache>
                      <c:ptCount val="3"/>
                      <c:pt idx="0">
                        <c:v>EVALUAREA INTEROPERABILITĂȚII ARACHNE CU SISTEMELE AP</c:v>
                      </c:pt>
                      <c:pt idx="1">
                        <c:v>SATISFACȚIA ÎN CEEA CE PRIVEȘTE AJUTORUL OFERIT DE ECHIPA ARACHNE</c:v>
                      </c:pt>
                      <c:pt idx="2">
                        <c:v>SATISFACȚIA ÎN CEEA CE PRIVEȘTE UTILIZAREA ARACHNE</c:v>
                      </c:pt>
                    </c:strCache>
                  </c:strRef>
                </c:cat>
                <c:val>
                  <c:numRef>
                    <c:extLst xmlns:c16="http://schemas.microsoft.com/office/drawing/2014/chart" xmlns:c14="http://schemas.microsoft.com/office/drawing/2007/8/2/chart" xmlns:mc="http://schemas.openxmlformats.org/markup-compatibility/2006" xmlns:c15="http://schemas.microsoft.com/office/drawing/2012/chart">
                      <c:ext xmlns:c15="http://schemas.microsoft.com/office/drawing/2012/chart" uri="{02D57815-91ED-43cb-92C2-25804820EDAC}">
                        <c15:formulaRef>
                          <c15:sqref>Sheet1!$E$89:$E$91</c15:sqref>
                        </c15:formulaRef>
                      </c:ext>
                    </c:extLst>
                    <c:numCache>
                      <c:formatCode>General</c:formatCode>
                      <c:ptCount val="3"/>
                    </c:numCache>
                  </c:numRef>
                </c:val>
                <c:extLst xmlns:c16="http://schemas.microsoft.com/office/drawing/2014/chart" xmlns:c14="http://schemas.microsoft.com/office/drawing/2007/8/2/chart" xmlns:mc="http://schemas.openxmlformats.org/markup-compatibility/2006" xmlns:c15="http://schemas.microsoft.com/office/drawing/2012/chart">
                  <c:ext xmlns:c16="http://schemas.microsoft.com/office/drawing/2014/chart" uri="{C3380CC4-5D6E-409C-BE32-E72D297353CC}">
                    <c16:uniqueId val="{00000003-357F-4B27-8B25-9BAAC8F443E7}"/>
                  </c:ext>
                </c:extLst>
              </c15:ser>
            </c15:filteredBarSeries>
            <c15:filteredBarSeries>
              <c15:ser>
                <c:idx val="3"/>
                <c:order val="3"/>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http://schemas.microsoft.com/office/drawing/2014/chart" xmlns:c14="http://schemas.microsoft.com/office/drawing/2007/8/2/chart" xmlns:mc="http://schemas.openxmlformats.org/markup-compatibility/2006"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6="http://schemas.microsoft.com/office/drawing/2014/chart" xmlns:c14="http://schemas.microsoft.com/office/drawing/2007/8/2/chart" xmlns:mc="http://schemas.openxmlformats.org/markup-compatibility/2006" xmlns:c15="http://schemas.microsoft.com/office/drawing/2012/chart">
                      <c:ext xmlns:c15="http://schemas.microsoft.com/office/drawing/2012/chart" uri="{02D57815-91ED-43cb-92C2-25804820EDAC}">
                        <c15:formulaRef>
                          <c15:sqref>Sheet1!$B$89:$B$91</c15:sqref>
                        </c15:formulaRef>
                      </c:ext>
                    </c:extLst>
                    <c:strCache>
                      <c:ptCount val="3"/>
                      <c:pt idx="0">
                        <c:v>EVALUAREA INTEROPERABILITĂȚII ARACHNE CU SISTEMELE AP</c:v>
                      </c:pt>
                      <c:pt idx="1">
                        <c:v>SATISFACȚIA ÎN CEEA CE PRIVEȘTE AJUTORUL OFERIT DE ECHIPA ARACHNE</c:v>
                      </c:pt>
                      <c:pt idx="2">
                        <c:v>SATISFACȚIA ÎN CEEA CE PRIVEȘTE UTILIZAREA ARACHNE</c:v>
                      </c:pt>
                    </c:strCache>
                  </c:strRef>
                </c:cat>
                <c:val>
                  <c:numRef>
                    <c:extLst xmlns:c16="http://schemas.microsoft.com/office/drawing/2014/chart" xmlns:c14="http://schemas.microsoft.com/office/drawing/2007/8/2/chart" xmlns:mc="http://schemas.openxmlformats.org/markup-compatibility/2006" xmlns:c15="http://schemas.microsoft.com/office/drawing/2012/chart">
                      <c:ext xmlns:c15="http://schemas.microsoft.com/office/drawing/2012/chart" uri="{02D57815-91ED-43cb-92C2-25804820EDAC}">
                        <c15:formulaRef>
                          <c15:sqref>Sheet1!$F$89:$F$91</c15:sqref>
                        </c15:formulaRef>
                      </c:ext>
                    </c:extLst>
                    <c:numCache>
                      <c:formatCode>General</c:formatCode>
                      <c:ptCount val="3"/>
                    </c:numCache>
                  </c:numRef>
                </c:val>
                <c:extLst xmlns:c16="http://schemas.microsoft.com/office/drawing/2014/chart" xmlns:c14="http://schemas.microsoft.com/office/drawing/2007/8/2/chart" xmlns:mc="http://schemas.openxmlformats.org/markup-compatibility/2006" xmlns:c15="http://schemas.microsoft.com/office/drawing/2012/chart">
                  <c:ext xmlns:c16="http://schemas.microsoft.com/office/drawing/2014/chart" uri="{C3380CC4-5D6E-409C-BE32-E72D297353CC}">
                    <c16:uniqueId val="{00000004-357F-4B27-8B25-9BAAC8F443E7}"/>
                  </c:ext>
                </c:extLst>
              </c15:ser>
            </c15:filteredBarSeries>
            <c15:filteredBarSeries>
              <c15:ser>
                <c:idx val="4"/>
                <c:order val="4"/>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http://schemas.microsoft.com/office/drawing/2014/chart" xmlns:c14="http://schemas.microsoft.com/office/drawing/2007/8/2/chart" xmlns:mc="http://schemas.openxmlformats.org/markup-compatibility/2006"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6="http://schemas.microsoft.com/office/drawing/2014/chart" xmlns:c14="http://schemas.microsoft.com/office/drawing/2007/8/2/chart" xmlns:mc="http://schemas.openxmlformats.org/markup-compatibility/2006" xmlns:c15="http://schemas.microsoft.com/office/drawing/2012/chart">
                      <c:ext xmlns:c15="http://schemas.microsoft.com/office/drawing/2012/chart" uri="{02D57815-91ED-43cb-92C2-25804820EDAC}">
                        <c15:formulaRef>
                          <c15:sqref>Sheet1!$B$89:$B$91</c15:sqref>
                        </c15:formulaRef>
                      </c:ext>
                    </c:extLst>
                    <c:strCache>
                      <c:ptCount val="3"/>
                      <c:pt idx="0">
                        <c:v>EVALUAREA INTEROPERABILITĂȚII ARACHNE CU SISTEMELE AP</c:v>
                      </c:pt>
                      <c:pt idx="1">
                        <c:v>SATISFACȚIA ÎN CEEA CE PRIVEȘTE AJUTORUL OFERIT DE ECHIPA ARACHNE</c:v>
                      </c:pt>
                      <c:pt idx="2">
                        <c:v>SATISFACȚIA ÎN CEEA CE PRIVEȘTE UTILIZAREA ARACHNE</c:v>
                      </c:pt>
                    </c:strCache>
                  </c:strRef>
                </c:cat>
                <c:val>
                  <c:numRef>
                    <c:extLst xmlns:c16="http://schemas.microsoft.com/office/drawing/2014/chart" xmlns:c14="http://schemas.microsoft.com/office/drawing/2007/8/2/chart" xmlns:mc="http://schemas.openxmlformats.org/markup-compatibility/2006" xmlns:c15="http://schemas.microsoft.com/office/drawing/2012/chart">
                      <c:ext xmlns:c15="http://schemas.microsoft.com/office/drawing/2012/chart" uri="{02D57815-91ED-43cb-92C2-25804820EDAC}">
                        <c15:formulaRef>
                          <c15:sqref>Sheet1!$G$89:$G$91</c15:sqref>
                        </c15:formulaRef>
                      </c:ext>
                    </c:extLst>
                    <c:numCache>
                      <c:formatCode>General</c:formatCode>
                      <c:ptCount val="3"/>
                    </c:numCache>
                  </c:numRef>
                </c:val>
                <c:extLst xmlns:c16="http://schemas.microsoft.com/office/drawing/2014/chart" xmlns:c14="http://schemas.microsoft.com/office/drawing/2007/8/2/chart" xmlns:mc="http://schemas.openxmlformats.org/markup-compatibility/2006" xmlns:c15="http://schemas.microsoft.com/office/drawing/2012/chart">
                  <c:ext xmlns:c16="http://schemas.microsoft.com/office/drawing/2014/chart" uri="{C3380CC4-5D6E-409C-BE32-E72D297353CC}">
                    <c16:uniqueId val="{00000005-357F-4B27-8B25-9BAAC8F443E7}"/>
                  </c:ext>
                </c:extLst>
              </c15:ser>
            </c15:filteredBarSeries>
          </c:ext>
        </c:extLst>
      </c:bar3DChart>
      <c:catAx>
        <c:axId val="18728873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15778848"/>
        <c:crosses val="autoZero"/>
        <c:auto val="1"/>
        <c:lblAlgn val="ctr"/>
        <c:lblOffset val="100"/>
        <c:noMultiLvlLbl val="0"/>
      </c:catAx>
      <c:valAx>
        <c:axId val="915778848"/>
        <c:scaling>
          <c:orientation val="minMax"/>
        </c:scaling>
        <c:delete val="1"/>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crossAx val="18728873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6a7f24e-e0df-4592-b6e0-4a62e251a0e5">
      <UserInfo>
        <DisplayName/>
        <AccountId xsi:nil="true"/>
        <AccountType/>
      </UserInfo>
    </SharedWithUsers>
  </documentManagement>
</p:properties>
</file>

<file path=customXml/item2.xml><?xml version="1.0" encoding="utf-8"?>
<EurolookProperties>
  <ProductCustomizationId>EC</ProductCustomizationId>
  <Created>
    <Version>10.0.46216.0</Version>
    <Date>2024-11-03T22:48:50</Date>
    <Language>EN</Language>
    <Note>Created using 'Convert To Eurolook'</Note>
  </Created>
  <Edited>
    <Version/>
    <Date/>
  </Edited>
  <DocumentModel>
    <Id>f8c36bec-0f9f-4d0e-ab25-ee5c0421ad8b</Id>
    <Name>Note for the file</Name>
  </DocumentModel>
  <CustomTemplate>
    <Id/>
    <Name/>
  </CustomTemplate>
  <DocumentDate>2024-11-03T22:48:50</DocumentDate>
  <DocumentVersion>0.1</DocumentVersion>
  <CompatibilityMode>Eurolook10</CompatibilityMode>
  <DocumentMetadata>
    <EC_SecurityDateMarking MetadataSerializationType="SimpleValue"/>
    <EC_SecurityDistributionSpecialHandling MetadataSerializationType="SimpleValue"/>
    <EC_SecurityDistributionSensitive MetadataSerializationType="SimpleValue"/>
    <EC_SecurityMarking MetadataSerializationType="SimpleValue"/>
    <EC_SecurityDistributionWorkingGroup MetadataSerializationType="SimpleValue"/>
    <EC_SecurityDateMarkingDate MetadataSerializationType="SimpleValue"/>
    <EC_SecurityReleasability MetadataSerializationType="SimpleValue"/>
    <EC_SecurityDistributionDG MetadataSerializationType="SimpleValue"/>
    <EC_SecurityDateMarkingEvent MetadataSerializationType="SimpleValue"/>
  </DocumentMetadata>
</Eurolook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Author Role="Creator" AuthorRoleName="Writer" AuthorRoleId="a4fbaff4-b07c-48b4-a21e-e7b9eedf3796">
  <Id>5916d707-d898-42a5-99bd-db8eedc3fc7c</Id>
  <Names>
    <Latin>
      <FirstName>Anett</FirstName>
      <LastName>TOROK‑VIVANCO</LastName>
    </Latin>
    <Greek>
      <FirstName/>
      <LastName/>
    </Greek>
    <Cyrillic>
      <FirstName/>
      <LastName/>
    </Cyrillic>
    <DocumentScript>
      <FirstName>Anett</FirstName>
      <LastName>TOROK‑VIVANCO</LastName>
      <FullName>Anett TOROK‑VIVANCO</FullName>
    </DocumentScript>
  </Names>
  <Initials>AT</Initials>
  <Gender>f</Gender>
  <Email>Anett.TOROK@ec.europa.eu</Email>
  <Service>AGRI.H.2</Service>
  <Function ADCode="40" ShowInSignature="true" ShowInHeader="false" HeaderText="">Deputy Head of Unit</Function>
  <WebAddress/>
  <FunctionalMailbox/>
  <InheritedWebAddress>http://europa.eu</InheritedWebAddress>
  <OrgaEntity1>
    <Id>dceee1a0-d6c4-4ae4-85b1-ca07eb5e67fa</Id>
    <LogicalLevel>1</LogicalLevel>
    <Name>AGRI</Name>
    <HeadLine1>DIRECTORATE-GENERAL FOR AGRICULTURE AND RURAL DEVELOPMENT</HeadLine1>
    <HeadLine2/>
    <PrimaryAddressId>f03b5801-04c9-4931-aa17-c6d6c70bc579</PrimaryAddressId>
    <SecondaryAddressId/>
    <WebAddress/>
    <InheritedWebAddress>http://europa.eu</InheritedWebAddress>
    <ShowInHeader>true</ShowInHeader>
  </OrgaEntity1>
  <OrgaEntity2>
    <Id>4dce8d4a-a099-4324-a42b-1fbebfff275b</Id>
    <LogicalLevel>2</LogicalLevel>
    <Name>AGRI.H</Name>
    <HeadLine1/>
    <HeadLine2/>
    <PrimaryAddressId>f03b5801-04c9-4931-aa17-c6d6c70bc579</PrimaryAddressId>
    <SecondaryAddressId/>
    <WebAddress/>
    <InheritedWebAddress>http://europa.eu</InheritedWebAddress>
    <ShowInHeader>true</ShowInHeader>
  </OrgaEntity2>
  <OrgaEntity3>
    <Id>ae7fbb45-95dc-4aaf-af93-31ea3decd61a</Id>
    <LogicalLevel>3</LogicalLevel>
    <Name>AGRI.H.2</Name>
    <HeadLine1>H.2 – Assurance and Audit - Governance Systems I</HeadLine1>
    <HeadLine2/>
    <PrimaryAddressId>f03b5801-04c9-4931-aa17-c6d6c70bc579</PrimaryAddressId>
    <SecondaryAddressId/>
    <WebAddress/>
    <InheritedWebAddress>http://europa.eu</InheritedWebAddress>
    <ShowInHeader>true</ShowInHeader>
  </OrgaEntity3>
  <Hierarchy>
    <OrgaEntity>
      <Id>dceee1a0-d6c4-4ae4-85b1-ca07eb5e67fa</Id>
      <LogicalLevel>1</LogicalLevel>
      <Name>AGRI</Name>
      <HeadLine1>DIRECTORATE-GENERAL FOR AGRICULTURE AND RURAL DEVELOPMENT</HeadLine1>
      <HeadLine2/>
      <PrimaryAddressId>f03b5801-04c9-4931-aa17-c6d6c70bc579</PrimaryAddressId>
      <SecondaryAddressId/>
      <WebAddress/>
      <InheritedWebAddress>http://europa.eu</InheritedWebAddress>
      <ShowInHeader>true</ShowInHeader>
    </OrgaEntity>
    <OrgaEntity>
      <Id>4dce8d4a-a099-4324-a42b-1fbebfff275b</Id>
      <LogicalLevel>2</LogicalLevel>
      <Name>AGRI.H</Name>
      <HeadLine1>Directorate H – Assurance and audit</HeadLine1>
      <HeadLine2/>
      <PrimaryAddressId>f03b5801-04c9-4931-aa17-c6d6c70bc579</PrimaryAddressId>
      <SecondaryAddressId/>
      <WebAddress/>
      <InheritedWebAddress>http://europa.eu</InheritedWebAddress>
      <ShowInHeader>true</ShowInHeader>
    </OrgaEntity>
    <OrgaEntity>
      <Id>ae7fbb45-95dc-4aaf-af93-31ea3decd61a</Id>
      <LogicalLevel>3</LogicalLevel>
      <Name>AGRI.H.2</Name>
      <HeadLine1>H.2 – Assurance and Audit - Governance Systems I</HeadLine1>
      <HeadLine2/>
      <PrimaryAddressId>f03b5801-04c9-4931-aa17-c6d6c70bc579</PrimaryAddressId>
      <SecondaryAddressId/>
      <WebAddress/>
      <InheritedWebAddress>http://europa.eu</InheritedWebAddress>
      <ShowInHeader>true</ShowInHeader>
    </OrgaEntity>
  </Hierarchy>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es>
  <JobAssignmentId/>
  <MainWorkplace IsMain="true">
    <AddressId>f03b5801-04c9-4931-aa17-c6d6c70bc579</AddressId>
    <Fax/>
    <Phone>+32 229-51788</Phone>
    <Office>L130 05/172</Office>
  </MainWorkplace>
  <Workplaces>
    <Workplace IsMain="true">
      <AddressId>f03b5801-04c9-4931-aa17-c6d6c70bc579</AddressId>
      <Fax/>
      <Phone>+32 229-51788</Phone>
      <Office>L130 05/172</Office>
    </Workplace>
  </Workplaces>
</Author>
</file>

<file path=customXml/item5.xml><?xml version="1.0" encoding="utf-8"?>
<ct:contentTypeSchema xmlns:ct="http://schemas.microsoft.com/office/2006/metadata/contentType" xmlns:ma="http://schemas.microsoft.com/office/2006/metadata/properties/metaAttributes" ct:_="" ma:_="" ma:contentTypeName="Document" ma:contentTypeID="0x0101008BA6791DDFFC024DAA4136D92359EB10" ma:contentTypeVersion="10" ma:contentTypeDescription="Create a new document." ma:contentTypeScope="" ma:versionID="e3b3dae1ca7149b001a9a75c06be60fa">
  <xsd:schema xmlns:xsd="http://www.w3.org/2001/XMLSchema" xmlns:xs="http://www.w3.org/2001/XMLSchema" xmlns:p="http://schemas.microsoft.com/office/2006/metadata/properties" xmlns:ns2="cce4269c-1bca-4c47-bcbd-0ca0cb14aa6e" xmlns:ns3="96a7f24e-e0df-4592-b6e0-4a62e251a0e5" targetNamespace="http://schemas.microsoft.com/office/2006/metadata/properties" ma:root="true" ma:fieldsID="036d0781e4d535b42e2bab0443721fd6" ns2:_="" ns3:_="">
    <xsd:import namespace="cce4269c-1bca-4c47-bcbd-0ca0cb14aa6e"/>
    <xsd:import namespace="96a7f24e-e0df-4592-b6e0-4a62e251a0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4269c-1bca-4c47-bcbd-0ca0cb14aa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a7f24e-e0df-4592-b6e0-4a62e251a0e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xts>
  <SensitiveFootnoteHyperlink>{field:HYPERLINK "https://europa.eu/!db43PX" |https://europa.eu/!db43PX}</SensitiveFootnoteHyperlink>
  <SecuritySecurityMatter>Security Matter</SecuritySecurityMatter>
  <SensitiveLabel>Sensitive</SensitiveLabel>
  <SensitiveHandling>Distribution only on a need-to-know basis. Do not read or carry openly in public places. Must be encrypted in transmission and stored securely, where possible by using encrypted storage. Destroy copies by shredding or secure deletion. Full handling instructions: </SensitiveHandling>
  <NoteCopy>c.c.:</NoteCopy>
  <NoteCopies>c.c.:</NoteCopies>
  <MarkingUntilText>UNTIL</MarkingUntilText>
  <OrgaRoot>EUROPEAN COMMISSION</OrgaRoot>
  <SecurityPharma>Pharma Investigations</SecurityPharma>
  <ClimaSensitive>CLIMA</ClimaSensitive>
  <SecurityEmbargo>EMBARGO UNTIL</SecurityEmbargo>
  <NoteFile>Note for the File</NoteFile>
  <NoteEnclosures>Enclosures:</NoteEnclosures>
  <NoteEnclosure>Enclosure:</NoteEnclosure>
  <NoteParticipant>Participant:</NoteParticipant>
  <NoteParticipants>Participants:</NoteParticipants>
  <Contact>Contact:</Contact>
  <Contacts>Contacts:</Contacts>
  <ESigned>Electronically signed</ESigned>
  <SecurityIasOperations>IAS Operations</SecurityIasOperations>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SensitiveFootnoteHyperlinkIASOperations>Handling instructions for SENSITIVE information are given at {field: HYPERLINK "https://europa.eu/!db43PX" |https://europa.eu/!db43PX}.</SensitiveFootnoteHyperlinkIASOperations>
  <LabelFigureSeqEC>Figure {SEQ Figure \* ARABIC }: </LabelFigureSeqEC>
  <LabelFigureSeqWChapter>Table {field: STYLEREF "Chapter Number" \s }.{field: SEQ Table \* ARABIC } –</LabelFigureSeqWChapter>
  <LabelSource>Source</LabelSource>
  <LabelTableSeqWChapter>Table { STYLEREF "Chapter Number" \s }.{ SEQ Table \* ARABIC } – </LabelTableSeqWChapter>
  <LabelTableSeqEC>Table {SEQ Table \* ARABIC }: </LabelTableSeqEC>
  <EmbargoUnlimited>Embargo (Unlimited)</EmbargoUnlimited>
  <SecurityCompOperations>COMP Operations</SecurityCompOperations>
  <SecurityOpinionLegalService>Opinion of the Legal Service</SecurityOpinionLegalService>
  <NoteReference>Ref.:</NoteReference>
  <FooterPhone>Tel. direct line</FooterPhone>
  <FooterFax>Fax</FooterFax>
  <FooterOffice/>
  <PharmaSpecialHandlingLabel>Pharma Investigations</PharmaSpecialHandlingLabel>
  <SpecialHandlingFootnote>Special handling instructions are given at </SpecialHandlingFootnote>
  <PharmaSpecialHandlingHyperlink>{field:HYPERLINK "https://myintracomm.ec.europa.eu/dg/sante/logistics-security/santes-security/Pages/Special-Handling_Pharma-investigations.aspx" |https://myintracomm.ec.europa.eu/dg/sante/logistics-security/santes-security/Pages/Special-Handling_Pharma-investigations.aspx}</PharmaSpecialHandlingHyperlink>
  <SpecialHandlingLabel>Special Handling</SpecialHandlingLabel>
  <TOCHeading>Table of Contents</TOCHeading>
  <NoteSubject>Subject:</NoteSubject>
  <DAC.Line2>EMPLOYMENT, SOCIAL AFFAIRS AND INCLUSION</DAC.Line2>
  <DAC.Line3>REGIONAL AND URBAN POLICY</DAC.Line3>
  <DAC.Line1>DIRECTORATES-GENERAL</DAC.Line1>
  <CLIMASpecialHandlingHyperlink>{field:HYPERLINK "https://myintracomm.ec.europa.eu/corp/security/EN/newDS3/SensitiveInformation/Pages/SPECIAL-HANDLING-INFORMATION-DG-CLIMA.aspx?ln=en" |https://myintracomm.ec.europa.eu/corp/security/EN/newDS3/SensitiveInformation/Pages/SPECIAL-HANDLING-INFORMATION-DG-CLIMA.aspx?ln=en}</CLIMASpecialHandlingHyperlink>
  <CLIMASpecialHandlingLabel>CLIMA</CLIMASpecialHandlingLabel>
  <ContactFax>fax</ContactFax>
  <ContactTextPattern>%Name%[, %Function%][, %Office%][, %Phone%][, %Fax%][, %Email%][, %Dg%][, %Directorate%][, %Unit%]</ContactTextPattern>
  <ContactTel>tel.</ContactTel>
  <ContactOffice>office</ContactOffice>
  <SecurityMedicalSecret>Medical Secret</SecurityMedicalSecret>
  <SecurityStaffMatter>Staff Matter</SecurityStaffMatter>
  <SecurityMediationServiceMatter>Mediation Service</SecurityMediationServiceMatter>
  <SecurityReleasable>RELEASABLE TO:</SecurityReleasable>
  <Year>({field: DATE \@ "yyyy" })</Year>
  <CourtProceduralDocuments>Court Procedural Documents</CourtProceduralDocuments>
  <SecurityInvestigationsDisciplinary>Investigations and Disciplinary Matters</SecurityInvestigationsDisciplinary>
  <SecurityOlafInvestigations>OLAF Investigations</SecurityOlafInvestigations>
  <OLAFSpecialHandlingLabel>OLAF Investigations</OLAFSpecialHandlingLabel>
  <OLAFSpecialHandlingHyperlink>{field:HYPERLINK "https://myintracomm.ec.europa.eu/corp/security/EN/newDS3/SensitiveInformation/Pages/SPECIAL-HANDLING-INFORMATION-OLAF-Investigations.aspx?ln=en" |https://myintracomm.ec.europa.eu/corp/security/EN/newDS3/SensitiveInformation/Pages/SPECIAL-HANDLING-INFORMATION-OLAF-Investigations.aspx?ln=en}</OLAFSpecialHandlingHyperlink>
  <COMPSpecialHandlingLabel>COMP</COMPSpecialHandlingLabel>
  <COMPSpecialHandlingHyperlink>{field:HYPERLINK "https://europa.eu/!db43PX" |https://europa.eu/!db43PX }</COMPSpecialHandlingHyperlink>
  <DateFormatShort>dd/MM/yyyy</DateFormatShort>
  <DateFormatLong>d MMMM yyyy</DateFormatLong>
</Text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B6E26-7100-4976-9DD1-DA4BC337DC58}">
  <ds:schemaRefs>
    <ds:schemaRef ds:uri="http://schemas.microsoft.com/office/2006/metadata/properties"/>
    <ds:schemaRef ds:uri="http://schemas.microsoft.com/office/infopath/2007/PartnerControls"/>
    <ds:schemaRef ds:uri="96a7f24e-e0df-4592-b6e0-4a62e251a0e5"/>
  </ds:schemaRefs>
</ds:datastoreItem>
</file>

<file path=customXml/itemProps2.xml><?xml version="1.0" encoding="utf-8"?>
<ds:datastoreItem xmlns:ds="http://schemas.openxmlformats.org/officeDocument/2006/customXml" ds:itemID="{D3EA5527-7367-4268-9D83-5125C98D0ED2}">
  <ds:schemaRefs/>
</ds:datastoreItem>
</file>

<file path=customXml/itemProps3.xml><?xml version="1.0" encoding="utf-8"?>
<ds:datastoreItem xmlns:ds="http://schemas.openxmlformats.org/officeDocument/2006/customXml" ds:itemID="{F91C6EBD-7787-490C-9FE2-130CE90F968A}">
  <ds:schemaRefs>
    <ds:schemaRef ds:uri="http://schemas.microsoft.com/sharepoint/v3/contenttype/forms"/>
  </ds:schemaRefs>
</ds:datastoreItem>
</file>

<file path=customXml/itemProps4.xml><?xml version="1.0" encoding="utf-8"?>
<ds:datastoreItem xmlns:ds="http://schemas.openxmlformats.org/officeDocument/2006/customXml" ds:itemID="{ED148D05-5C8F-46CA-98BD-0C0DD2D4B723}">
  <ds:schemaRefs/>
</ds:datastoreItem>
</file>

<file path=customXml/itemProps5.xml><?xml version="1.0" encoding="utf-8"?>
<ds:datastoreItem xmlns:ds="http://schemas.openxmlformats.org/officeDocument/2006/customXml" ds:itemID="{5698BF37-FB1C-4C9E-9340-EC47660F8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4269c-1bca-4c47-bcbd-0ca0cb14aa6e"/>
    <ds:schemaRef ds:uri="96a7f24e-e0df-4592-b6e0-4a62e251a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EF90DE6-88B6-4264-9629-4D8DFDFE87D2}">
  <ds:schemaRefs/>
</ds:datastoreItem>
</file>

<file path=customXml/itemProps7.xml><?xml version="1.0" encoding="utf-8"?>
<ds:datastoreItem xmlns:ds="http://schemas.openxmlformats.org/officeDocument/2006/customXml" ds:itemID="{CB95C8DF-E2FE-4422-A978-EE09381AF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17</Pages>
  <Words>4767</Words>
  <Characters>27176</Characters>
  <Application>Microsoft Office Word</Application>
  <DocSecurity>0</DocSecurity>
  <PresentationFormat>Microsoft Word 14.0</PresentationFormat>
  <Lines>226</Lines>
  <Paragraphs>63</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15</cp:revision>
  <dcterms:created xsi:type="dcterms:W3CDTF">2024-12-16T10:42:00Z</dcterms:created>
  <dcterms:modified xsi:type="dcterms:W3CDTF">2025-02-21T08:05:00Z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2024-11-03T21:56:12Z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f9088b73-ee9d-48e6-9187-60a5c121dd36</vt:lpwstr>
  </property>
  <property fmtid="{D5CDD505-2E9C-101B-9397-08002B2CF9AE}" pid="8" name="MSIP_Label_6bd9ddd1-4d20-43f6-abfa-fc3c07406f94_ContentBits">
    <vt:lpwstr>0</vt:lpwstr>
  </property>
  <property fmtid="{D5CDD505-2E9C-101B-9397-08002B2CF9AE}" pid="9" name="ContentTypeId">
    <vt:lpwstr>0x0101008BA6791DDFFC024DAA4136D92359EB10</vt:lpwstr>
  </property>
  <property fmtid="{D5CDD505-2E9C-101B-9397-08002B2CF9AE}" pid="10" name="xd_ProgID">
    <vt:lpwstr/>
  </property>
  <property fmtid="{D5CDD505-2E9C-101B-9397-08002B2CF9AE}" pid="11" name="MediaServiceImageTags">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Level of sensitivity">
    <vt:lpwstr>Standard treatment</vt:lpwstr>
  </property>
  <property fmtid="{D5CDD505-2E9C-101B-9397-08002B2CF9AE}" pid="18" name="_LW_INVALIDATED_EurolookVersion">
    <vt:lpwstr>10.0</vt:lpwstr>
  </property>
  <property fmtid="{D5CDD505-2E9C-101B-9397-08002B2CF9AE}" pid="19" name="Part">
    <vt:lpwstr>1</vt:lpwstr>
  </property>
  <property fmtid="{D5CDD505-2E9C-101B-9397-08002B2CF9AE}" pid="20" name="Total parts">
    <vt:lpwstr>1</vt:lpwstr>
  </property>
  <property fmtid="{D5CDD505-2E9C-101B-9397-08002B2CF9AE}" pid="21" name="DocStatus">
    <vt:lpwstr>Green</vt:lpwstr>
  </property>
  <property fmtid="{D5CDD505-2E9C-101B-9397-08002B2CF9AE}" pid="22" name="CPTemplateID">
    <vt:lpwstr>CP-003</vt:lpwstr>
  </property>
  <property fmtid="{D5CDD505-2E9C-101B-9397-08002B2CF9AE}" pid="23" name="Last edited using">
    <vt:lpwstr>LW 9.1, Build 20240808</vt:lpwstr>
  </property>
  <property fmtid="{D5CDD505-2E9C-101B-9397-08002B2CF9AE}" pid="24" name="Created using">
    <vt:lpwstr>LW 9.0, Build 20230317</vt:lpwstr>
  </property>
</Properties>
</file>