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1D" w:rsidRPr="006C2791" w:rsidRDefault="008A2E9F" w:rsidP="008A2E9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B2D114E-8E60-40F7-A8E5-40611C4167F3" style="width:455.25pt;height:383.25pt">
            <v:imagedata r:id="rId8" o:title=""/>
          </v:shape>
        </w:pict>
      </w:r>
    </w:p>
    <w:p w:rsidR="008F031D" w:rsidRPr="006C2791" w:rsidRDefault="008F031D" w:rsidP="008F031D">
      <w:pPr>
        <w:rPr>
          <w:noProof/>
        </w:rPr>
        <w:sectPr w:rsidR="008F031D" w:rsidRPr="006C2791" w:rsidSect="008A2E9F">
          <w:footerReference w:type="even" r:id="rId9"/>
          <w:footerReference w:type="default" r:id="rId10"/>
          <w:pgSz w:w="11907" w:h="16839"/>
          <w:pgMar w:top="1134" w:right="1417" w:bottom="1134" w:left="1417" w:header="709" w:footer="709" w:gutter="0"/>
          <w:pgNumType w:start="0"/>
          <w:cols w:space="720"/>
          <w:docGrid w:linePitch="360"/>
        </w:sectPr>
      </w:pPr>
    </w:p>
    <w:p w:rsidR="008F031D" w:rsidRPr="006C2791" w:rsidRDefault="008F031D" w:rsidP="00BB6B30">
      <w:pPr>
        <w:pStyle w:val="Exposdesmotifstitre"/>
        <w:rPr>
          <w:noProof/>
        </w:rPr>
      </w:pPr>
      <w:bookmarkStart w:id="0" w:name="_GoBack"/>
      <w:bookmarkEnd w:id="0"/>
      <w:r w:rsidRPr="006C2791">
        <w:rPr>
          <w:noProof/>
        </w:rPr>
        <w:lastRenderedPageBreak/>
        <w:t>EXPLANATORY MEMORANDUM</w:t>
      </w:r>
    </w:p>
    <w:p w:rsidR="008F031D" w:rsidRPr="006C2791" w:rsidRDefault="008F031D" w:rsidP="00BB6B30">
      <w:pPr>
        <w:pStyle w:val="ManualHeading1"/>
        <w:rPr>
          <w:noProof/>
        </w:rPr>
      </w:pPr>
      <w:r w:rsidRPr="006C2791">
        <w:rPr>
          <w:noProof/>
        </w:rPr>
        <w:t>1.</w:t>
      </w:r>
      <w:r w:rsidRPr="006C2791">
        <w:rPr>
          <w:noProof/>
        </w:rPr>
        <w:tab/>
        <w:t>CONTEXT OF THE PROPOSAL</w:t>
      </w:r>
    </w:p>
    <w:p w:rsidR="008F031D" w:rsidRPr="006C2791" w:rsidRDefault="008F031D" w:rsidP="00044058">
      <w:pPr>
        <w:pStyle w:val="ManualHeading2"/>
        <w:rPr>
          <w:rFonts w:eastAsia="Arial Unicode MS"/>
          <w:noProof/>
        </w:rPr>
      </w:pPr>
      <w:r w:rsidRPr="006C2791">
        <w:rPr>
          <w:rFonts w:eastAsia="Arial Unicode MS"/>
          <w:noProof/>
          <w:color w:val="000000"/>
          <w:u w:color="000000"/>
          <w:bdr w:val="nil"/>
          <w:lang w:eastAsia="en-GB"/>
        </w:rPr>
        <w:t>•</w:t>
      </w:r>
      <w:r w:rsidRPr="006C2791">
        <w:rPr>
          <w:rFonts w:eastAsia="Arial Unicode MS"/>
          <w:noProof/>
          <w:color w:val="000000"/>
          <w:u w:color="000000"/>
          <w:bdr w:val="nil"/>
          <w:lang w:eastAsia="en-GB"/>
        </w:rPr>
        <w:tab/>
      </w:r>
      <w:bookmarkStart w:id="1" w:name="_Hlk175757787"/>
      <w:r w:rsidRPr="006C2791">
        <w:rPr>
          <w:rFonts w:eastAsia="Arial Unicode MS"/>
          <w:noProof/>
        </w:rPr>
        <w:t>Reasons for and objectives of the proposal</w:t>
      </w:r>
      <w:bookmarkEnd w:id="1"/>
    </w:p>
    <w:p w:rsidR="00BA297D" w:rsidRPr="006C2791" w:rsidRDefault="006D6637" w:rsidP="006D6637">
      <w:pPr>
        <w:pBdr>
          <w:top w:val="nil"/>
          <w:left w:val="nil"/>
          <w:bottom w:val="nil"/>
          <w:right w:val="nil"/>
          <w:between w:val="nil"/>
          <w:bar w:val="nil"/>
        </w:pBdr>
        <w:spacing w:before="0" w:after="240"/>
        <w:rPr>
          <w:noProof/>
        </w:rPr>
      </w:pPr>
      <w:r w:rsidRPr="006C2791">
        <w:rPr>
          <w:noProof/>
        </w:rPr>
        <w:t>T</w:t>
      </w:r>
      <w:r w:rsidR="002D589B" w:rsidRPr="006C2791">
        <w:rPr>
          <w:noProof/>
        </w:rPr>
        <w:t>his proposal for a Euratom Research and Training Programme for 2026-2027</w:t>
      </w:r>
      <w:r w:rsidRPr="006C2791">
        <w:rPr>
          <w:noProof/>
        </w:rPr>
        <w:t xml:space="preserve"> (the ‘Programme’) effectively</w:t>
      </w:r>
      <w:r w:rsidR="002D589B" w:rsidRPr="006C2791">
        <w:rPr>
          <w:noProof/>
        </w:rPr>
        <w:t xml:space="preserve"> extend</w:t>
      </w:r>
      <w:r w:rsidRPr="006C2791">
        <w:rPr>
          <w:noProof/>
        </w:rPr>
        <w:t>s</w:t>
      </w:r>
      <w:r w:rsidR="002D589B" w:rsidRPr="006C2791">
        <w:rPr>
          <w:noProof/>
        </w:rPr>
        <w:t xml:space="preserve"> the </w:t>
      </w:r>
      <w:r w:rsidRPr="006C2791">
        <w:rPr>
          <w:noProof/>
        </w:rPr>
        <w:t xml:space="preserve">current </w:t>
      </w:r>
      <w:r w:rsidR="002D589B" w:rsidRPr="006C2791">
        <w:rPr>
          <w:noProof/>
        </w:rPr>
        <w:t>2021-2025</w:t>
      </w:r>
      <w:r w:rsidR="00866352" w:rsidRPr="006C2791">
        <w:rPr>
          <w:noProof/>
        </w:rPr>
        <w:t xml:space="preserve"> Euratom </w:t>
      </w:r>
      <w:r w:rsidR="00D608B2">
        <w:rPr>
          <w:noProof/>
        </w:rPr>
        <w:t xml:space="preserve">Research and Training </w:t>
      </w:r>
      <w:r w:rsidR="00866352" w:rsidRPr="006C2791">
        <w:rPr>
          <w:noProof/>
        </w:rPr>
        <w:t>Programme</w:t>
      </w:r>
      <w:r w:rsidR="00D608B2">
        <w:rPr>
          <w:noProof/>
        </w:rPr>
        <w:t xml:space="preserve"> (the ‘2021-2025 Programme’)</w:t>
      </w:r>
      <w:r w:rsidR="00943068" w:rsidRPr="006C2791">
        <w:rPr>
          <w:rStyle w:val="FootnoteReference"/>
          <w:noProof/>
        </w:rPr>
        <w:footnoteReference w:id="2"/>
      </w:r>
      <w:r w:rsidRPr="006C2791">
        <w:rPr>
          <w:noProof/>
        </w:rPr>
        <w:t xml:space="preserve"> for the remaining </w:t>
      </w:r>
      <w:r w:rsidR="00866352" w:rsidRPr="006C2791">
        <w:rPr>
          <w:noProof/>
        </w:rPr>
        <w:t>2</w:t>
      </w:r>
      <w:r w:rsidRPr="006C2791">
        <w:rPr>
          <w:noProof/>
        </w:rPr>
        <w:t xml:space="preserve"> years</w:t>
      </w:r>
      <w:r w:rsidR="00D608B2" w:rsidRPr="006C2791">
        <w:rPr>
          <w:rStyle w:val="FootnoteReference"/>
          <w:noProof/>
        </w:rPr>
        <w:footnoteReference w:id="3"/>
      </w:r>
      <w:r w:rsidRPr="006C2791">
        <w:rPr>
          <w:noProof/>
        </w:rPr>
        <w:t xml:space="preserve"> of the current </w:t>
      </w:r>
      <w:r w:rsidR="00866352" w:rsidRPr="006C2791">
        <w:rPr>
          <w:noProof/>
        </w:rPr>
        <w:t>m</w:t>
      </w:r>
      <w:r w:rsidRPr="006C2791">
        <w:rPr>
          <w:noProof/>
        </w:rPr>
        <w:t xml:space="preserve">ultiannual </w:t>
      </w:r>
      <w:r w:rsidR="00866352" w:rsidRPr="006C2791">
        <w:rPr>
          <w:noProof/>
        </w:rPr>
        <w:t>f</w:t>
      </w:r>
      <w:r w:rsidRPr="006C2791">
        <w:rPr>
          <w:noProof/>
        </w:rPr>
        <w:t xml:space="preserve">inancial </w:t>
      </w:r>
      <w:r w:rsidR="00866352" w:rsidRPr="006C2791">
        <w:rPr>
          <w:noProof/>
        </w:rPr>
        <w:t>f</w:t>
      </w:r>
      <w:r w:rsidRPr="006C2791">
        <w:rPr>
          <w:noProof/>
        </w:rPr>
        <w:t>ramework (MFF)</w:t>
      </w:r>
      <w:r w:rsidR="00D608B2">
        <w:rPr>
          <w:rStyle w:val="FootnoteReference"/>
          <w:noProof/>
        </w:rPr>
        <w:footnoteReference w:id="4"/>
      </w:r>
      <w:r w:rsidRPr="006C2791">
        <w:rPr>
          <w:noProof/>
        </w:rPr>
        <w:t>.</w:t>
      </w:r>
    </w:p>
    <w:p w:rsidR="001F5EF3" w:rsidRPr="006C2791" w:rsidRDefault="00BA297D" w:rsidP="00906350">
      <w:pPr>
        <w:pBdr>
          <w:top w:val="nil"/>
          <w:left w:val="nil"/>
          <w:bottom w:val="nil"/>
          <w:right w:val="nil"/>
          <w:between w:val="nil"/>
          <w:bar w:val="nil"/>
        </w:pBdr>
        <w:spacing w:before="0" w:after="240"/>
        <w:rPr>
          <w:noProof/>
        </w:rPr>
      </w:pPr>
      <w:r w:rsidRPr="006C2791">
        <w:rPr>
          <w:noProof/>
        </w:rPr>
        <w:t xml:space="preserve">The </w:t>
      </w:r>
      <w:r w:rsidR="001F5EF3" w:rsidRPr="006C2791">
        <w:rPr>
          <w:noProof/>
        </w:rPr>
        <w:t xml:space="preserve">proposed </w:t>
      </w:r>
      <w:r w:rsidRPr="006C2791">
        <w:rPr>
          <w:noProof/>
        </w:rPr>
        <w:t xml:space="preserve">Programme, while separate, retains </w:t>
      </w:r>
      <w:r w:rsidR="00B70D62" w:rsidRPr="006C2791">
        <w:rPr>
          <w:noProof/>
        </w:rPr>
        <w:t>most of</w:t>
      </w:r>
      <w:r w:rsidRPr="006C2791">
        <w:rPr>
          <w:noProof/>
        </w:rPr>
        <w:t xml:space="preserve"> its predecessor’s features</w:t>
      </w:r>
      <w:r w:rsidR="00F74EA4">
        <w:rPr>
          <w:noProof/>
        </w:rPr>
        <w:t>,</w:t>
      </w:r>
      <w:r w:rsidR="00896555" w:rsidRPr="006C2791">
        <w:rPr>
          <w:noProof/>
        </w:rPr>
        <w:t xml:space="preserve"> including its key research activities</w:t>
      </w:r>
      <w:r w:rsidR="00896555" w:rsidRPr="006C2791">
        <w:rPr>
          <w:rStyle w:val="FootnoteReference"/>
          <w:noProof/>
        </w:rPr>
        <w:footnoteReference w:id="5"/>
      </w:r>
      <w:r w:rsidRPr="006C2791">
        <w:rPr>
          <w:noProof/>
        </w:rPr>
        <w:t xml:space="preserve">. </w:t>
      </w:r>
      <w:r w:rsidR="005546C5">
        <w:rPr>
          <w:noProof/>
        </w:rPr>
        <w:t>T</w:t>
      </w:r>
      <w:r w:rsidR="001F5EF3" w:rsidRPr="006C2791">
        <w:rPr>
          <w:noProof/>
        </w:rPr>
        <w:t xml:space="preserve">he Programme’s </w:t>
      </w:r>
      <w:r w:rsidR="001F5449" w:rsidRPr="006C2791">
        <w:rPr>
          <w:noProof/>
        </w:rPr>
        <w:t>financial envelope</w:t>
      </w:r>
      <w:r w:rsidR="001F5EF3" w:rsidRPr="006C2791">
        <w:rPr>
          <w:noProof/>
        </w:rPr>
        <w:t xml:space="preserve"> </w:t>
      </w:r>
      <w:r w:rsidR="00F56F77" w:rsidRPr="006C2791">
        <w:rPr>
          <w:noProof/>
        </w:rPr>
        <w:t>had</w:t>
      </w:r>
      <w:r w:rsidR="001F5EF3" w:rsidRPr="006C2791">
        <w:rPr>
          <w:noProof/>
        </w:rPr>
        <w:t xml:space="preserve"> already</w:t>
      </w:r>
      <w:r w:rsidR="00F56F77" w:rsidRPr="006C2791">
        <w:rPr>
          <w:noProof/>
        </w:rPr>
        <w:t xml:space="preserve"> been</w:t>
      </w:r>
      <w:r w:rsidR="001F5EF3" w:rsidRPr="006C2791">
        <w:rPr>
          <w:noProof/>
        </w:rPr>
        <w:t xml:space="preserve"> </w:t>
      </w:r>
      <w:r w:rsidR="00D14B2E" w:rsidRPr="006C2791">
        <w:rPr>
          <w:noProof/>
        </w:rPr>
        <w:t xml:space="preserve">set </w:t>
      </w:r>
      <w:r w:rsidR="00D14B2E" w:rsidRPr="006C2791">
        <w:rPr>
          <w:rFonts w:eastAsia="Times New Roman"/>
          <w:noProof/>
          <w:szCs w:val="24"/>
          <w:lang w:eastAsia="en-GB"/>
        </w:rPr>
        <w:t xml:space="preserve">at </w:t>
      </w:r>
      <w:r w:rsidR="00D04E30" w:rsidRPr="006C2791">
        <w:rPr>
          <w:rFonts w:eastAsia="Times New Roman"/>
          <w:noProof/>
          <w:szCs w:val="24"/>
          <w:lang w:eastAsia="en-GB"/>
        </w:rPr>
        <w:t>EUR</w:t>
      </w:r>
      <w:r w:rsidR="00D04E30">
        <w:rPr>
          <w:noProof/>
        </w:rPr>
        <w:t> </w:t>
      </w:r>
      <w:r w:rsidR="00C74364">
        <w:rPr>
          <w:noProof/>
        </w:rPr>
        <w:t>598</w:t>
      </w:r>
      <w:r w:rsidR="00D14B2E" w:rsidRPr="006C2791">
        <w:rPr>
          <w:noProof/>
        </w:rPr>
        <w:t xml:space="preserve"> million (current prices)</w:t>
      </w:r>
      <w:r w:rsidR="001F5EF3" w:rsidRPr="006C2791">
        <w:rPr>
          <w:noProof/>
        </w:rPr>
        <w:t xml:space="preserve"> </w:t>
      </w:r>
      <w:r w:rsidR="002B180A" w:rsidRPr="006C2791">
        <w:rPr>
          <w:noProof/>
        </w:rPr>
        <w:t xml:space="preserve">when </w:t>
      </w:r>
      <w:r w:rsidR="00216AB5" w:rsidRPr="006C2791">
        <w:rPr>
          <w:rFonts w:eastAsia="Times New Roman"/>
          <w:noProof/>
          <w:szCs w:val="24"/>
          <w:lang w:eastAsia="en-GB"/>
        </w:rPr>
        <w:t xml:space="preserve">the </w:t>
      </w:r>
      <w:r w:rsidR="009A678E">
        <w:rPr>
          <w:rFonts w:eastAsia="Times New Roman"/>
          <w:noProof/>
          <w:szCs w:val="24"/>
          <w:lang w:eastAsia="en-GB"/>
        </w:rPr>
        <w:t xml:space="preserve">MFF </w:t>
      </w:r>
      <w:r w:rsidR="00D14B2E" w:rsidRPr="006C2791">
        <w:rPr>
          <w:rFonts w:eastAsia="Times New Roman"/>
          <w:noProof/>
          <w:szCs w:val="24"/>
          <w:lang w:eastAsia="en-GB"/>
        </w:rPr>
        <w:t>was adopted</w:t>
      </w:r>
      <w:r w:rsidR="005B282B" w:rsidRPr="006C2791">
        <w:rPr>
          <w:noProof/>
        </w:rPr>
        <w:t>.</w:t>
      </w:r>
      <w:r w:rsidR="00387DA9" w:rsidRPr="006C2791">
        <w:rPr>
          <w:noProof/>
        </w:rPr>
        <w:t xml:space="preserve"> The </w:t>
      </w:r>
      <w:r w:rsidR="000D1A1F" w:rsidRPr="006C2791">
        <w:rPr>
          <w:noProof/>
        </w:rPr>
        <w:t>proposal set</w:t>
      </w:r>
      <w:r w:rsidR="006D6637" w:rsidRPr="006C2791">
        <w:rPr>
          <w:noProof/>
        </w:rPr>
        <w:t>s out</w:t>
      </w:r>
      <w:r w:rsidR="000D1A1F" w:rsidRPr="006C2791">
        <w:rPr>
          <w:noProof/>
        </w:rPr>
        <w:t xml:space="preserve"> the budget for </w:t>
      </w:r>
      <w:r w:rsidR="00353646" w:rsidRPr="006C2791">
        <w:rPr>
          <w:noProof/>
        </w:rPr>
        <w:t>direct and indirect actions</w:t>
      </w:r>
      <w:r w:rsidR="00F74EA4">
        <w:rPr>
          <w:noProof/>
        </w:rPr>
        <w:t>,</w:t>
      </w:r>
      <w:r w:rsidR="00353646" w:rsidRPr="006C2791">
        <w:rPr>
          <w:noProof/>
        </w:rPr>
        <w:t xml:space="preserve"> </w:t>
      </w:r>
      <w:r w:rsidR="009C74E2" w:rsidRPr="006C2791">
        <w:rPr>
          <w:noProof/>
        </w:rPr>
        <w:t xml:space="preserve">the </w:t>
      </w:r>
      <w:r w:rsidR="006D6637" w:rsidRPr="006C2791">
        <w:rPr>
          <w:noProof/>
        </w:rPr>
        <w:t>general</w:t>
      </w:r>
      <w:r w:rsidR="009C74E2" w:rsidRPr="006C2791">
        <w:rPr>
          <w:noProof/>
        </w:rPr>
        <w:t xml:space="preserve"> and </w:t>
      </w:r>
      <w:r w:rsidR="006D6637" w:rsidRPr="006C2791">
        <w:rPr>
          <w:noProof/>
        </w:rPr>
        <w:t>specific</w:t>
      </w:r>
      <w:r w:rsidR="009C74E2" w:rsidRPr="006C2791">
        <w:rPr>
          <w:noProof/>
        </w:rPr>
        <w:t xml:space="preserve"> objectives</w:t>
      </w:r>
      <w:r w:rsidR="007072AD">
        <w:rPr>
          <w:noProof/>
        </w:rPr>
        <w:t>,</w:t>
      </w:r>
      <w:r w:rsidR="009C74E2" w:rsidRPr="006C2791">
        <w:rPr>
          <w:noProof/>
        </w:rPr>
        <w:t xml:space="preserve"> </w:t>
      </w:r>
      <w:r w:rsidR="00320B8F" w:rsidRPr="006C2791">
        <w:rPr>
          <w:noProof/>
        </w:rPr>
        <w:t xml:space="preserve">and </w:t>
      </w:r>
      <w:r w:rsidR="00CF3D4B">
        <w:rPr>
          <w:noProof/>
        </w:rPr>
        <w:t>describe</w:t>
      </w:r>
      <w:r w:rsidR="004B09E8">
        <w:rPr>
          <w:noProof/>
        </w:rPr>
        <w:t>s</w:t>
      </w:r>
      <w:r w:rsidR="00D608B2">
        <w:rPr>
          <w:noProof/>
        </w:rPr>
        <w:t xml:space="preserve"> </w:t>
      </w:r>
      <w:r w:rsidR="00EB5B12" w:rsidRPr="006C2791">
        <w:rPr>
          <w:noProof/>
        </w:rPr>
        <w:t>the support instruments.</w:t>
      </w:r>
    </w:p>
    <w:p w:rsidR="00C875B5" w:rsidRPr="006C2791" w:rsidRDefault="00AD42F9" w:rsidP="00AD42F9">
      <w:pPr>
        <w:spacing w:before="0" w:after="0"/>
        <w:rPr>
          <w:noProof/>
        </w:rPr>
      </w:pPr>
      <w:r w:rsidRPr="006C2791">
        <w:rPr>
          <w:noProof/>
        </w:rPr>
        <w:t xml:space="preserve">The </w:t>
      </w:r>
      <w:r w:rsidR="00E329D5" w:rsidRPr="006C2791">
        <w:rPr>
          <w:noProof/>
        </w:rPr>
        <w:t xml:space="preserve">Commission will aim to implement the Programme with the following </w:t>
      </w:r>
      <w:r w:rsidRPr="006C2791">
        <w:rPr>
          <w:noProof/>
        </w:rPr>
        <w:t>priorities</w:t>
      </w:r>
      <w:r w:rsidR="00E329D5" w:rsidRPr="006C2791">
        <w:rPr>
          <w:noProof/>
        </w:rPr>
        <w:t>:</w:t>
      </w:r>
    </w:p>
    <w:p w:rsidR="00E329D5" w:rsidRPr="006C2791" w:rsidRDefault="00E329D5" w:rsidP="00903466">
      <w:pPr>
        <w:pStyle w:val="Tiret0"/>
        <w:numPr>
          <w:ilvl w:val="0"/>
          <w:numId w:val="26"/>
        </w:numPr>
        <w:rPr>
          <w:noProof/>
        </w:rPr>
      </w:pPr>
      <w:r w:rsidRPr="006C2791">
        <w:rPr>
          <w:noProof/>
        </w:rPr>
        <w:t>Safety research will provide</w:t>
      </w:r>
      <w:r w:rsidR="00665D27">
        <w:rPr>
          <w:noProof/>
        </w:rPr>
        <w:t>: (i)</w:t>
      </w:r>
      <w:r w:rsidRPr="006C2791">
        <w:rPr>
          <w:noProof/>
        </w:rPr>
        <w:t xml:space="preserve"> tools and guidance for </w:t>
      </w:r>
      <w:r w:rsidR="00665D27">
        <w:rPr>
          <w:noProof/>
        </w:rPr>
        <w:t xml:space="preserve">the operators of </w:t>
      </w:r>
      <w:r w:rsidRPr="006C2791">
        <w:rPr>
          <w:noProof/>
        </w:rPr>
        <w:t xml:space="preserve">nuclear power plants </w:t>
      </w:r>
      <w:r w:rsidR="00E5226B" w:rsidRPr="006C2791">
        <w:rPr>
          <w:noProof/>
        </w:rPr>
        <w:t xml:space="preserve">(NPPs) </w:t>
      </w:r>
      <w:r w:rsidRPr="006C2791">
        <w:rPr>
          <w:noProof/>
        </w:rPr>
        <w:t xml:space="preserve">and for safety authorities to monitor </w:t>
      </w:r>
      <w:r w:rsidR="00665D27">
        <w:rPr>
          <w:noProof/>
        </w:rPr>
        <w:t xml:space="preserve">the </w:t>
      </w:r>
      <w:r w:rsidRPr="006C2791">
        <w:rPr>
          <w:noProof/>
        </w:rPr>
        <w:t>safety of existing nuclear instal</w:t>
      </w:r>
      <w:r w:rsidR="00CE0646" w:rsidRPr="006C2791">
        <w:rPr>
          <w:noProof/>
        </w:rPr>
        <w:t>l</w:t>
      </w:r>
      <w:r w:rsidRPr="006C2791">
        <w:rPr>
          <w:noProof/>
        </w:rPr>
        <w:t>ations</w:t>
      </w:r>
      <w:r w:rsidR="00665D27">
        <w:rPr>
          <w:noProof/>
        </w:rPr>
        <w:t>;</w:t>
      </w:r>
      <w:r w:rsidRPr="006C2791">
        <w:rPr>
          <w:noProof/>
        </w:rPr>
        <w:t xml:space="preserve"> </w:t>
      </w:r>
      <w:r w:rsidR="00665D27">
        <w:rPr>
          <w:noProof/>
        </w:rPr>
        <w:t>(ii)</w:t>
      </w:r>
      <w:r w:rsidRPr="006C2791">
        <w:rPr>
          <w:noProof/>
        </w:rPr>
        <w:t xml:space="preserve"> know-how and solutions </w:t>
      </w:r>
      <w:r w:rsidR="00027CF1">
        <w:rPr>
          <w:noProof/>
        </w:rPr>
        <w:t>to enable</w:t>
      </w:r>
      <w:r w:rsidRPr="006C2791">
        <w:rPr>
          <w:noProof/>
        </w:rPr>
        <w:t xml:space="preserve"> </w:t>
      </w:r>
      <w:r w:rsidR="00AD42F9" w:rsidRPr="006C2791">
        <w:rPr>
          <w:noProof/>
        </w:rPr>
        <w:t xml:space="preserve">future </w:t>
      </w:r>
      <w:r w:rsidR="00E5226B" w:rsidRPr="006C2791">
        <w:rPr>
          <w:noProof/>
        </w:rPr>
        <w:t>NPPs</w:t>
      </w:r>
      <w:r w:rsidRPr="006C2791">
        <w:rPr>
          <w:noProof/>
        </w:rPr>
        <w:t xml:space="preserve">, </w:t>
      </w:r>
      <w:r w:rsidR="00AD42F9" w:rsidRPr="006C2791">
        <w:rPr>
          <w:noProof/>
        </w:rPr>
        <w:t xml:space="preserve">including </w:t>
      </w:r>
      <w:r w:rsidR="00F82F20">
        <w:rPr>
          <w:noProof/>
        </w:rPr>
        <w:t>s</w:t>
      </w:r>
      <w:r w:rsidR="00AD42F9" w:rsidRPr="006C2791">
        <w:rPr>
          <w:noProof/>
        </w:rPr>
        <w:t xml:space="preserve">mall </w:t>
      </w:r>
      <w:r w:rsidR="00F82F20">
        <w:rPr>
          <w:noProof/>
        </w:rPr>
        <w:t>m</w:t>
      </w:r>
      <w:r w:rsidR="00AD42F9" w:rsidRPr="006C2791">
        <w:rPr>
          <w:noProof/>
        </w:rPr>
        <w:t xml:space="preserve">odular </w:t>
      </w:r>
      <w:r w:rsidR="00F82F20">
        <w:rPr>
          <w:noProof/>
        </w:rPr>
        <w:t>r</w:t>
      </w:r>
      <w:r w:rsidR="00AD42F9" w:rsidRPr="006C2791">
        <w:rPr>
          <w:noProof/>
        </w:rPr>
        <w:t>eactors</w:t>
      </w:r>
      <w:r w:rsidR="001C1AFA">
        <w:rPr>
          <w:noProof/>
        </w:rPr>
        <w:t xml:space="preserve"> </w:t>
      </w:r>
      <w:r w:rsidR="001C1AFA" w:rsidRPr="006C2791">
        <w:rPr>
          <w:rFonts w:eastAsia="Arial Unicode MS"/>
          <w:noProof/>
        </w:rPr>
        <w:t>(SMRs)</w:t>
      </w:r>
      <w:r w:rsidR="00027CF1">
        <w:rPr>
          <w:noProof/>
        </w:rPr>
        <w:t>,</w:t>
      </w:r>
      <w:r w:rsidRPr="006C2791">
        <w:rPr>
          <w:noProof/>
        </w:rPr>
        <w:t xml:space="preserve"> to meet the safety requirement</w:t>
      </w:r>
      <w:r w:rsidR="007072AD">
        <w:rPr>
          <w:noProof/>
        </w:rPr>
        <w:t>s</w:t>
      </w:r>
      <w:r w:rsidR="00665D27">
        <w:rPr>
          <w:noProof/>
        </w:rPr>
        <w:t>; and (iii)</w:t>
      </w:r>
      <w:r w:rsidRPr="006C2791">
        <w:rPr>
          <w:noProof/>
        </w:rPr>
        <w:t xml:space="preserve"> </w:t>
      </w:r>
      <w:r w:rsidR="00AD42F9" w:rsidRPr="006C2791">
        <w:rPr>
          <w:noProof/>
        </w:rPr>
        <w:t>tools</w:t>
      </w:r>
      <w:r w:rsidRPr="006C2791">
        <w:rPr>
          <w:noProof/>
        </w:rPr>
        <w:t xml:space="preserve"> and</w:t>
      </w:r>
      <w:r w:rsidR="00AD42F9" w:rsidRPr="006C2791">
        <w:rPr>
          <w:noProof/>
        </w:rPr>
        <w:t xml:space="preserve"> methods </w:t>
      </w:r>
      <w:r w:rsidRPr="006C2791">
        <w:rPr>
          <w:noProof/>
        </w:rPr>
        <w:t>for safety authorities to test new designs and facilitate licencing.</w:t>
      </w:r>
      <w:r w:rsidR="005249CA" w:rsidRPr="006C2791">
        <w:rPr>
          <w:noProof/>
        </w:rPr>
        <w:t xml:space="preserve"> Funding for research projects in this area will be highly selective</w:t>
      </w:r>
      <w:r w:rsidR="00027CF1">
        <w:rPr>
          <w:noProof/>
        </w:rPr>
        <w:t>,</w:t>
      </w:r>
      <w:r w:rsidR="005249CA" w:rsidRPr="006C2791">
        <w:rPr>
          <w:noProof/>
        </w:rPr>
        <w:t xml:space="preserve"> as </w:t>
      </w:r>
      <w:r w:rsidR="00027CF1">
        <w:rPr>
          <w:noProof/>
        </w:rPr>
        <w:t xml:space="preserve">most </w:t>
      </w:r>
      <w:r w:rsidR="00717664" w:rsidRPr="006C2791">
        <w:rPr>
          <w:noProof/>
        </w:rPr>
        <w:t xml:space="preserve">of </w:t>
      </w:r>
      <w:r w:rsidR="00057513" w:rsidRPr="006C2791">
        <w:rPr>
          <w:noProof/>
        </w:rPr>
        <w:t xml:space="preserve">the </w:t>
      </w:r>
      <w:r w:rsidR="005249CA" w:rsidRPr="006C2791">
        <w:rPr>
          <w:noProof/>
        </w:rPr>
        <w:t xml:space="preserve">fission budget </w:t>
      </w:r>
      <w:r w:rsidR="00717664" w:rsidRPr="006C2791">
        <w:rPr>
          <w:noProof/>
        </w:rPr>
        <w:t xml:space="preserve">will be </w:t>
      </w:r>
      <w:r w:rsidR="00027CF1">
        <w:rPr>
          <w:noProof/>
        </w:rPr>
        <w:t>absorbed</w:t>
      </w:r>
      <w:r w:rsidR="00717664" w:rsidRPr="006C2791">
        <w:rPr>
          <w:noProof/>
        </w:rPr>
        <w:t xml:space="preserve"> by</w:t>
      </w:r>
      <w:r w:rsidR="005249CA" w:rsidRPr="006C2791">
        <w:rPr>
          <w:noProof/>
        </w:rPr>
        <w:t xml:space="preserve"> co-funded </w:t>
      </w:r>
      <w:r w:rsidR="00027CF1">
        <w:rPr>
          <w:noProof/>
        </w:rPr>
        <w:t>p</w:t>
      </w:r>
      <w:r w:rsidR="005249CA" w:rsidRPr="006C2791">
        <w:rPr>
          <w:noProof/>
        </w:rPr>
        <w:t>artnerships.</w:t>
      </w:r>
    </w:p>
    <w:p w:rsidR="00E329D5" w:rsidRPr="006C2791" w:rsidRDefault="00027CF1" w:rsidP="00147B8B">
      <w:pPr>
        <w:pStyle w:val="Tiret0"/>
        <w:rPr>
          <w:noProof/>
        </w:rPr>
      </w:pPr>
      <w:bookmarkStart w:id="2" w:name="_Hlk182198158"/>
      <w:r>
        <w:rPr>
          <w:noProof/>
        </w:rPr>
        <w:t>T</w:t>
      </w:r>
      <w:r w:rsidR="00AD42F9" w:rsidRPr="006C2791">
        <w:rPr>
          <w:noProof/>
        </w:rPr>
        <w:t xml:space="preserve">he </w:t>
      </w:r>
      <w:r w:rsidR="00E329D5" w:rsidRPr="006C2791">
        <w:rPr>
          <w:noProof/>
        </w:rPr>
        <w:t>P</w:t>
      </w:r>
      <w:r w:rsidR="00AD42F9" w:rsidRPr="006C2791">
        <w:rPr>
          <w:noProof/>
        </w:rPr>
        <w:t xml:space="preserve">rogramme will provide </w:t>
      </w:r>
      <w:r w:rsidRPr="006C2791">
        <w:rPr>
          <w:noProof/>
        </w:rPr>
        <w:t>the co-funded European Partnerships in fission research (radiation protection, radioactive waste management, nuclear materials)</w:t>
      </w:r>
      <w:r>
        <w:rPr>
          <w:noProof/>
        </w:rPr>
        <w:t xml:space="preserve"> with </w:t>
      </w:r>
      <w:r w:rsidR="00AD42F9" w:rsidRPr="006C2791">
        <w:rPr>
          <w:noProof/>
        </w:rPr>
        <w:t xml:space="preserve">additional funding to ensure </w:t>
      </w:r>
      <w:r w:rsidR="00B616A5">
        <w:rPr>
          <w:noProof/>
        </w:rPr>
        <w:t>they can</w:t>
      </w:r>
      <w:r w:rsidR="00B616A5" w:rsidRPr="006C2791">
        <w:rPr>
          <w:noProof/>
        </w:rPr>
        <w:t xml:space="preserve"> </w:t>
      </w:r>
      <w:r w:rsidR="00AD42F9" w:rsidRPr="006C2791">
        <w:rPr>
          <w:noProof/>
        </w:rPr>
        <w:t xml:space="preserve">adapt to </w:t>
      </w:r>
      <w:r>
        <w:rPr>
          <w:noProof/>
        </w:rPr>
        <w:t xml:space="preserve">the </w:t>
      </w:r>
      <w:r w:rsidR="00AD42F9" w:rsidRPr="006C2791">
        <w:rPr>
          <w:noProof/>
        </w:rPr>
        <w:t xml:space="preserve">changing research landscape and </w:t>
      </w:r>
      <w:r w:rsidR="00B616A5" w:rsidRPr="006C2791">
        <w:rPr>
          <w:noProof/>
        </w:rPr>
        <w:t>inclu</w:t>
      </w:r>
      <w:r w:rsidR="00B616A5">
        <w:rPr>
          <w:noProof/>
        </w:rPr>
        <w:t>de</w:t>
      </w:r>
      <w:r w:rsidR="00B616A5" w:rsidRPr="006C2791">
        <w:rPr>
          <w:noProof/>
        </w:rPr>
        <w:t xml:space="preserve"> </w:t>
      </w:r>
      <w:r w:rsidR="00AD42F9" w:rsidRPr="006C2791">
        <w:rPr>
          <w:noProof/>
        </w:rPr>
        <w:t>new stakehol</w:t>
      </w:r>
      <w:r w:rsidR="00CE0646" w:rsidRPr="006C2791">
        <w:rPr>
          <w:noProof/>
        </w:rPr>
        <w:t>d</w:t>
      </w:r>
      <w:r w:rsidR="00AD42F9" w:rsidRPr="006C2791">
        <w:rPr>
          <w:noProof/>
        </w:rPr>
        <w:t>ers and all Member States.</w:t>
      </w:r>
    </w:p>
    <w:p w:rsidR="006D54A0" w:rsidRPr="006C2791" w:rsidRDefault="003802D5" w:rsidP="00147B8B">
      <w:pPr>
        <w:pStyle w:val="Tiret0"/>
        <w:rPr>
          <w:noProof/>
        </w:rPr>
      </w:pPr>
      <w:bookmarkStart w:id="3" w:name="_Hlk182199743"/>
      <w:bookmarkEnd w:id="2"/>
      <w:r>
        <w:rPr>
          <w:noProof/>
        </w:rPr>
        <w:t>T</w:t>
      </w:r>
      <w:r w:rsidR="006D54A0" w:rsidRPr="006C2791">
        <w:rPr>
          <w:noProof/>
        </w:rPr>
        <w:t>he Programme will seek to maintain the EU’s leadership position</w:t>
      </w:r>
      <w:r>
        <w:rPr>
          <w:noProof/>
        </w:rPr>
        <w:t xml:space="preserve"> i</w:t>
      </w:r>
      <w:r w:rsidRPr="006C2791">
        <w:rPr>
          <w:noProof/>
        </w:rPr>
        <w:t>n fusion research</w:t>
      </w:r>
      <w:r w:rsidR="006D54A0" w:rsidRPr="006C2791">
        <w:rPr>
          <w:noProof/>
        </w:rPr>
        <w:t xml:space="preserve"> by launching a co-programmed European Partnership </w:t>
      </w:r>
      <w:r w:rsidR="00F74EA4">
        <w:rPr>
          <w:noProof/>
        </w:rPr>
        <w:t xml:space="preserve">that will </w:t>
      </w:r>
      <w:r w:rsidR="006D54A0" w:rsidRPr="006C2791">
        <w:rPr>
          <w:noProof/>
        </w:rPr>
        <w:t xml:space="preserve">bring together stakeholders in the public and private sectors to </w:t>
      </w:r>
      <w:r>
        <w:rPr>
          <w:noProof/>
        </w:rPr>
        <w:t>tackle</w:t>
      </w:r>
      <w:r w:rsidR="006D54A0" w:rsidRPr="006C2791">
        <w:rPr>
          <w:noProof/>
        </w:rPr>
        <w:t xml:space="preserve"> bottlenecks in the process </w:t>
      </w:r>
      <w:r>
        <w:rPr>
          <w:noProof/>
        </w:rPr>
        <w:t>for</w:t>
      </w:r>
      <w:r w:rsidR="006D54A0" w:rsidRPr="006C2791">
        <w:rPr>
          <w:noProof/>
        </w:rPr>
        <w:t xml:space="preserve"> design</w:t>
      </w:r>
      <w:r>
        <w:rPr>
          <w:noProof/>
        </w:rPr>
        <w:t>ing</w:t>
      </w:r>
      <w:r w:rsidR="006D54A0" w:rsidRPr="006C2791">
        <w:rPr>
          <w:noProof/>
        </w:rPr>
        <w:t xml:space="preserve"> and build</w:t>
      </w:r>
      <w:r>
        <w:rPr>
          <w:noProof/>
        </w:rPr>
        <w:t>ing</w:t>
      </w:r>
      <w:r w:rsidR="006D54A0" w:rsidRPr="006C2791">
        <w:rPr>
          <w:noProof/>
        </w:rPr>
        <w:t xml:space="preserve"> a first fusion power plant.</w:t>
      </w:r>
    </w:p>
    <w:bookmarkEnd w:id="3"/>
    <w:p w:rsidR="00E329D5" w:rsidRPr="006C2791" w:rsidRDefault="00E329D5" w:rsidP="00147B8B">
      <w:pPr>
        <w:pStyle w:val="Tiret0"/>
        <w:rPr>
          <w:noProof/>
        </w:rPr>
      </w:pPr>
      <w:r w:rsidRPr="006C2791">
        <w:rPr>
          <w:noProof/>
        </w:rPr>
        <w:t xml:space="preserve">The </w:t>
      </w:r>
      <w:r w:rsidR="00FB3887">
        <w:rPr>
          <w:noProof/>
        </w:rPr>
        <w:t>P</w:t>
      </w:r>
      <w:r w:rsidR="00AD42F9" w:rsidRPr="006C2791">
        <w:rPr>
          <w:noProof/>
        </w:rPr>
        <w:t>rogramme will</w:t>
      </w:r>
      <w:r w:rsidRPr="006C2791">
        <w:rPr>
          <w:noProof/>
        </w:rPr>
        <w:t xml:space="preserve"> </w:t>
      </w:r>
      <w:r w:rsidR="00AD42F9" w:rsidRPr="006C2791">
        <w:rPr>
          <w:noProof/>
        </w:rPr>
        <w:t>continue</w:t>
      </w:r>
      <w:r w:rsidR="002121C4">
        <w:rPr>
          <w:noProof/>
        </w:rPr>
        <w:t xml:space="preserve"> to</w:t>
      </w:r>
      <w:r w:rsidR="00AD42F9" w:rsidRPr="006C2791">
        <w:rPr>
          <w:noProof/>
        </w:rPr>
        <w:t xml:space="preserve"> support long-term actions</w:t>
      </w:r>
      <w:r w:rsidR="003C4BC6">
        <w:rPr>
          <w:noProof/>
        </w:rPr>
        <w:t xml:space="preserve"> in education and training by</w:t>
      </w:r>
      <w:r w:rsidR="00AD42F9" w:rsidRPr="006C2791">
        <w:rPr>
          <w:noProof/>
        </w:rPr>
        <w:t xml:space="preserve"> offer</w:t>
      </w:r>
      <w:r w:rsidR="003C4BC6">
        <w:rPr>
          <w:noProof/>
        </w:rPr>
        <w:t>ing</w:t>
      </w:r>
      <w:r w:rsidR="00AD42F9" w:rsidRPr="006C2791">
        <w:rPr>
          <w:noProof/>
        </w:rPr>
        <w:t xml:space="preserve"> </w:t>
      </w:r>
      <w:r w:rsidR="002121C4" w:rsidRPr="006C2791">
        <w:rPr>
          <w:noProof/>
        </w:rPr>
        <w:t xml:space="preserve">students and researchers </w:t>
      </w:r>
      <w:r w:rsidR="00AD42F9" w:rsidRPr="006C2791">
        <w:rPr>
          <w:noProof/>
        </w:rPr>
        <w:t>mobility and access to infrastructure</w:t>
      </w:r>
      <w:r w:rsidR="00820D96">
        <w:rPr>
          <w:noProof/>
        </w:rPr>
        <w:t xml:space="preserve">, </w:t>
      </w:r>
      <w:r w:rsidR="002121C4">
        <w:rPr>
          <w:noProof/>
        </w:rPr>
        <w:t>giv</w:t>
      </w:r>
      <w:r w:rsidR="00820D96">
        <w:rPr>
          <w:noProof/>
        </w:rPr>
        <w:t>ing</w:t>
      </w:r>
      <w:r w:rsidR="002121C4">
        <w:rPr>
          <w:noProof/>
        </w:rPr>
        <w:t xml:space="preserve"> </w:t>
      </w:r>
      <w:r w:rsidR="002121C4" w:rsidRPr="006C2791">
        <w:rPr>
          <w:noProof/>
        </w:rPr>
        <w:t xml:space="preserve">stakeholders and users </w:t>
      </w:r>
      <w:r w:rsidR="00AD42F9" w:rsidRPr="006C2791">
        <w:rPr>
          <w:noProof/>
        </w:rPr>
        <w:t>stability and predictability.</w:t>
      </w:r>
      <w:r w:rsidRPr="006C2791">
        <w:rPr>
          <w:noProof/>
        </w:rPr>
        <w:t xml:space="preserve"> Emphasis will be placed on </w:t>
      </w:r>
      <w:r w:rsidR="002121C4">
        <w:rPr>
          <w:noProof/>
        </w:rPr>
        <w:t xml:space="preserve">greater </w:t>
      </w:r>
      <w:r w:rsidRPr="006C2791">
        <w:rPr>
          <w:noProof/>
        </w:rPr>
        <w:t xml:space="preserve">interaction </w:t>
      </w:r>
      <w:r w:rsidR="002121C4">
        <w:rPr>
          <w:noProof/>
        </w:rPr>
        <w:t>between</w:t>
      </w:r>
      <w:r w:rsidRPr="006C2791">
        <w:rPr>
          <w:noProof/>
        </w:rPr>
        <w:t xml:space="preserve"> these actions</w:t>
      </w:r>
      <w:r w:rsidR="002121C4">
        <w:rPr>
          <w:noProof/>
        </w:rPr>
        <w:t xml:space="preserve">, </w:t>
      </w:r>
      <w:r w:rsidR="00F82F20">
        <w:rPr>
          <w:noProof/>
        </w:rPr>
        <w:t>p</w:t>
      </w:r>
      <w:r w:rsidRPr="006C2791">
        <w:rPr>
          <w:noProof/>
        </w:rPr>
        <w:t>artnerships a</w:t>
      </w:r>
      <w:r w:rsidR="00665D27">
        <w:rPr>
          <w:noProof/>
        </w:rPr>
        <w:t>n</w:t>
      </w:r>
      <w:r w:rsidRPr="006C2791">
        <w:rPr>
          <w:noProof/>
        </w:rPr>
        <w:t xml:space="preserve">d </w:t>
      </w:r>
      <w:r w:rsidR="006C2791">
        <w:rPr>
          <w:noProof/>
        </w:rPr>
        <w:t>ongoing</w:t>
      </w:r>
      <w:r w:rsidRPr="006C2791">
        <w:rPr>
          <w:noProof/>
        </w:rPr>
        <w:t xml:space="preserve"> and new projects.</w:t>
      </w:r>
    </w:p>
    <w:p w:rsidR="00AD42F9" w:rsidRPr="006C2791" w:rsidRDefault="003969EE" w:rsidP="00147B8B">
      <w:pPr>
        <w:pStyle w:val="Tiret0"/>
        <w:rPr>
          <w:noProof/>
        </w:rPr>
      </w:pPr>
      <w:r>
        <w:rPr>
          <w:noProof/>
        </w:rPr>
        <w:t>T</w:t>
      </w:r>
      <w:r w:rsidR="002B180A" w:rsidRPr="006C2791">
        <w:rPr>
          <w:noProof/>
        </w:rPr>
        <w:t xml:space="preserve">he </w:t>
      </w:r>
      <w:r w:rsidR="00E329D5" w:rsidRPr="006C2791">
        <w:rPr>
          <w:noProof/>
        </w:rPr>
        <w:t xml:space="preserve">Programme will continue </w:t>
      </w:r>
      <w:r>
        <w:rPr>
          <w:noProof/>
        </w:rPr>
        <w:t xml:space="preserve">to </w:t>
      </w:r>
      <w:r w:rsidR="00E329D5" w:rsidRPr="006C2791">
        <w:rPr>
          <w:noProof/>
        </w:rPr>
        <w:t>fund</w:t>
      </w:r>
      <w:r w:rsidR="00AD42F9" w:rsidRPr="006C2791">
        <w:rPr>
          <w:noProof/>
        </w:rPr>
        <w:t xml:space="preserve"> research into developing techniques to support nuclear safeguards, security and non-proliferation efforts</w:t>
      </w:r>
      <w:r w:rsidR="009B363C">
        <w:rPr>
          <w:noProof/>
        </w:rPr>
        <w:t>,</w:t>
      </w:r>
      <w:r>
        <w:rPr>
          <w:noProof/>
        </w:rPr>
        <w:t xml:space="preserve"> g</w:t>
      </w:r>
      <w:r w:rsidRPr="006C2791">
        <w:rPr>
          <w:noProof/>
        </w:rPr>
        <w:t>iven the substantial increase in the deployment of nuclear fission technologies worldwide</w:t>
      </w:r>
      <w:r w:rsidR="00AD42F9" w:rsidRPr="006C2791">
        <w:rPr>
          <w:noProof/>
        </w:rPr>
        <w:t>.</w:t>
      </w:r>
    </w:p>
    <w:p w:rsidR="00741ADE" w:rsidRPr="006C2791" w:rsidRDefault="00741ADE" w:rsidP="002E18C6">
      <w:pPr>
        <w:spacing w:before="0" w:after="0"/>
        <w:rPr>
          <w:noProof/>
        </w:rPr>
      </w:pPr>
      <w:r w:rsidRPr="006C2791">
        <w:rPr>
          <w:noProof/>
        </w:rPr>
        <w:t>I</w:t>
      </w:r>
      <w:r w:rsidR="00EA6E26">
        <w:rPr>
          <w:noProof/>
        </w:rPr>
        <w:t xml:space="preserve">f no </w:t>
      </w:r>
      <w:r w:rsidRPr="006C2791">
        <w:rPr>
          <w:noProof/>
        </w:rPr>
        <w:t xml:space="preserve">action </w:t>
      </w:r>
      <w:r w:rsidR="00EA6E26">
        <w:rPr>
          <w:noProof/>
        </w:rPr>
        <w:t xml:space="preserve">is taken </w:t>
      </w:r>
      <w:r w:rsidRPr="006C2791">
        <w:rPr>
          <w:noProof/>
        </w:rPr>
        <w:t>on nuclear research at European level</w:t>
      </w:r>
      <w:r w:rsidR="00EA6E26">
        <w:rPr>
          <w:noProof/>
        </w:rPr>
        <w:t>,</w:t>
      </w:r>
      <w:r w:rsidRPr="006C2791">
        <w:rPr>
          <w:noProof/>
        </w:rPr>
        <w:t xml:space="preserve"> </w:t>
      </w:r>
      <w:r w:rsidR="00EA6E26">
        <w:rPr>
          <w:noProof/>
        </w:rPr>
        <w:t xml:space="preserve">it </w:t>
      </w:r>
      <w:r w:rsidRPr="006C2791">
        <w:rPr>
          <w:noProof/>
        </w:rPr>
        <w:t xml:space="preserve">is likely </w:t>
      </w:r>
      <w:r w:rsidR="00EA6E26">
        <w:rPr>
          <w:noProof/>
        </w:rPr>
        <w:t xml:space="preserve">that </w:t>
      </w:r>
      <w:r w:rsidRPr="006C2791">
        <w:rPr>
          <w:noProof/>
        </w:rPr>
        <w:t xml:space="preserve">only the larger Member States </w:t>
      </w:r>
      <w:r w:rsidR="00EA6E26">
        <w:rPr>
          <w:noProof/>
        </w:rPr>
        <w:t xml:space="preserve">will have </w:t>
      </w:r>
      <w:r w:rsidRPr="006C2791">
        <w:rPr>
          <w:noProof/>
        </w:rPr>
        <w:t>the capability to maintain national programmes. Intra-European cooperation is likely to be limited to th</w:t>
      </w:r>
      <w:r w:rsidR="001C1AFA">
        <w:rPr>
          <w:noProof/>
        </w:rPr>
        <w:t>o</w:t>
      </w:r>
      <w:r w:rsidRPr="006C2791">
        <w:rPr>
          <w:noProof/>
        </w:rPr>
        <w:t xml:space="preserve">se larger Member States </w:t>
      </w:r>
      <w:r w:rsidR="006F471C">
        <w:rPr>
          <w:noProof/>
        </w:rPr>
        <w:t xml:space="preserve">and </w:t>
      </w:r>
      <w:r w:rsidRPr="006C2791">
        <w:rPr>
          <w:noProof/>
        </w:rPr>
        <w:t xml:space="preserve">to bilateral arrangements. Smaller Member States </w:t>
      </w:r>
      <w:r w:rsidR="002B180A" w:rsidRPr="006C2791">
        <w:rPr>
          <w:noProof/>
        </w:rPr>
        <w:t>c</w:t>
      </w:r>
      <w:r w:rsidRPr="006C2791">
        <w:rPr>
          <w:noProof/>
        </w:rPr>
        <w:t xml:space="preserve">ould face scientific isolation and </w:t>
      </w:r>
      <w:r w:rsidR="001C1AFA">
        <w:rPr>
          <w:noProof/>
        </w:rPr>
        <w:t xml:space="preserve">a </w:t>
      </w:r>
      <w:r w:rsidRPr="006C2791">
        <w:rPr>
          <w:noProof/>
        </w:rPr>
        <w:t xml:space="preserve">loss of expertise. The Programme is intended to </w:t>
      </w:r>
      <w:r w:rsidR="00935FE9" w:rsidRPr="006C2791">
        <w:rPr>
          <w:noProof/>
        </w:rPr>
        <w:t>be inclusive of all Member States and</w:t>
      </w:r>
      <w:r w:rsidR="00EF2A57" w:rsidRPr="006C2791">
        <w:rPr>
          <w:noProof/>
        </w:rPr>
        <w:t xml:space="preserve"> research efforts</w:t>
      </w:r>
      <w:r w:rsidR="001C1AFA">
        <w:rPr>
          <w:noProof/>
        </w:rPr>
        <w:t>,</w:t>
      </w:r>
      <w:r w:rsidRPr="006C2791">
        <w:rPr>
          <w:noProof/>
        </w:rPr>
        <w:t xml:space="preserve"> while complementing the EU’s Framework Programme</w:t>
      </w:r>
      <w:r w:rsidR="001C1AFA">
        <w:rPr>
          <w:noProof/>
        </w:rPr>
        <w:t>,</w:t>
      </w:r>
      <w:r w:rsidRPr="006C2791">
        <w:rPr>
          <w:noProof/>
        </w:rPr>
        <w:t xml:space="preserve"> which supports non-nuclear research.</w:t>
      </w:r>
    </w:p>
    <w:p w:rsidR="00741ADE" w:rsidRPr="006C2791" w:rsidRDefault="00741ADE" w:rsidP="002E18C6">
      <w:pPr>
        <w:spacing w:before="0" w:after="0"/>
        <w:rPr>
          <w:noProof/>
        </w:rPr>
      </w:pPr>
    </w:p>
    <w:p w:rsidR="008F031D" w:rsidRPr="006C2791" w:rsidRDefault="002E18C6" w:rsidP="00C875B5">
      <w:pPr>
        <w:pBdr>
          <w:top w:val="nil"/>
          <w:left w:val="nil"/>
          <w:bottom w:val="nil"/>
          <w:right w:val="nil"/>
          <w:between w:val="nil"/>
          <w:bar w:val="nil"/>
        </w:pBdr>
        <w:spacing w:before="0" w:after="240"/>
        <w:rPr>
          <w:rFonts w:eastAsia="Arial Unicode MS"/>
          <w:noProof/>
        </w:rPr>
      </w:pPr>
      <w:r w:rsidRPr="006C2791">
        <w:rPr>
          <w:noProof/>
        </w:rPr>
        <w:t>T</w:t>
      </w:r>
      <w:r w:rsidR="00F9703C" w:rsidRPr="006C2791">
        <w:rPr>
          <w:noProof/>
        </w:rPr>
        <w:t xml:space="preserve">he Commission </w:t>
      </w:r>
      <w:r w:rsidR="00BB4520" w:rsidRPr="006C2791">
        <w:rPr>
          <w:noProof/>
        </w:rPr>
        <w:t xml:space="preserve">started </w:t>
      </w:r>
      <w:r w:rsidR="00192578" w:rsidRPr="006C2791">
        <w:rPr>
          <w:noProof/>
        </w:rPr>
        <w:t xml:space="preserve">preparations </w:t>
      </w:r>
      <w:r w:rsidR="00CC599F" w:rsidRPr="006C2791">
        <w:rPr>
          <w:noProof/>
        </w:rPr>
        <w:t>for</w:t>
      </w:r>
      <w:r w:rsidR="00192578" w:rsidRPr="006C2791">
        <w:rPr>
          <w:noProof/>
        </w:rPr>
        <w:t xml:space="preserve"> the proposal </w:t>
      </w:r>
      <w:r w:rsidR="00BB4520" w:rsidRPr="006C2791">
        <w:rPr>
          <w:noProof/>
        </w:rPr>
        <w:t>by consulting</w:t>
      </w:r>
      <w:r w:rsidR="00F9703C" w:rsidRPr="006C2791">
        <w:rPr>
          <w:noProof/>
        </w:rPr>
        <w:t xml:space="preserve"> the Euratom Scientific and Technical Committee (STC)</w:t>
      </w:r>
      <w:r w:rsidR="00266EC7">
        <w:rPr>
          <w:noProof/>
        </w:rPr>
        <w:t>,</w:t>
      </w:r>
      <w:r w:rsidR="00F9703C" w:rsidRPr="006C2791">
        <w:rPr>
          <w:noProof/>
        </w:rPr>
        <w:t xml:space="preserve"> as required by the legal bas</w:t>
      </w:r>
      <w:r w:rsidR="001C1AFA">
        <w:rPr>
          <w:noProof/>
        </w:rPr>
        <w:t>is</w:t>
      </w:r>
      <w:r w:rsidRPr="006C2791">
        <w:rPr>
          <w:rStyle w:val="FootnoteReference"/>
          <w:noProof/>
        </w:rPr>
        <w:footnoteReference w:id="6"/>
      </w:r>
      <w:r w:rsidR="00F9703C" w:rsidRPr="006C2791">
        <w:rPr>
          <w:noProof/>
        </w:rPr>
        <w:t>. The STC deliver</w:t>
      </w:r>
      <w:r w:rsidRPr="006C2791">
        <w:rPr>
          <w:noProof/>
        </w:rPr>
        <w:t>ed</w:t>
      </w:r>
      <w:r w:rsidR="00F9703C" w:rsidRPr="006C2791">
        <w:rPr>
          <w:noProof/>
        </w:rPr>
        <w:t xml:space="preserve"> an opinion</w:t>
      </w:r>
      <w:r w:rsidRPr="006C2791">
        <w:rPr>
          <w:rStyle w:val="FootnoteReference"/>
          <w:noProof/>
        </w:rPr>
        <w:footnoteReference w:id="7"/>
      </w:r>
      <w:r w:rsidR="00F9703C" w:rsidRPr="006C2791">
        <w:rPr>
          <w:noProof/>
        </w:rPr>
        <w:t xml:space="preserve"> which the Commission took into consideration when preparing th</w:t>
      </w:r>
      <w:r w:rsidRPr="006C2791">
        <w:rPr>
          <w:noProof/>
        </w:rPr>
        <w:t>is proposal.</w:t>
      </w:r>
    </w:p>
    <w:p w:rsidR="008F031D" w:rsidRPr="006C2791" w:rsidRDefault="008F031D" w:rsidP="00B377BF">
      <w:pPr>
        <w:pStyle w:val="ManualHeading2"/>
        <w:rPr>
          <w:rFonts w:eastAsia="Arial Unicode MS"/>
          <w:noProof/>
          <w:color w:val="000000"/>
          <w:u w:color="000000"/>
          <w:bdr w:val="nil"/>
          <w:lang w:eastAsia="en-GB"/>
        </w:rPr>
      </w:pPr>
      <w:r w:rsidRPr="006C2791">
        <w:rPr>
          <w:rFonts w:eastAsia="Arial Unicode MS"/>
          <w:noProof/>
          <w:color w:val="000000"/>
          <w:u w:color="000000"/>
          <w:bdr w:val="nil"/>
          <w:lang w:eastAsia="en-GB"/>
        </w:rPr>
        <w:t>•</w:t>
      </w:r>
      <w:r w:rsidRPr="006C2791">
        <w:rPr>
          <w:rFonts w:eastAsia="Arial Unicode MS"/>
          <w:noProof/>
          <w:color w:val="000000"/>
          <w:u w:color="000000"/>
          <w:bdr w:val="nil"/>
          <w:lang w:eastAsia="en-GB"/>
        </w:rPr>
        <w:tab/>
      </w:r>
      <w:r w:rsidRPr="006C2791">
        <w:rPr>
          <w:rFonts w:eastAsia="Arial Unicode MS"/>
          <w:noProof/>
        </w:rPr>
        <w:t>Consistency with existing policy provisions in the policy area</w:t>
      </w:r>
    </w:p>
    <w:p w:rsidR="008F031D" w:rsidRPr="006C2791" w:rsidRDefault="002B42DA" w:rsidP="0029266A">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The Programme will carry over the research activities of </w:t>
      </w:r>
      <w:r w:rsidR="00D777A3" w:rsidRPr="006C2791">
        <w:rPr>
          <w:rFonts w:eastAsia="Arial Unicode MS"/>
          <w:noProof/>
        </w:rPr>
        <w:t>its predecessor</w:t>
      </w:r>
      <w:r w:rsidRPr="006C2791">
        <w:rPr>
          <w:rFonts w:eastAsia="Arial Unicode MS"/>
          <w:noProof/>
        </w:rPr>
        <w:t>.</w:t>
      </w:r>
      <w:r w:rsidR="00946825" w:rsidRPr="006C2791">
        <w:rPr>
          <w:rFonts w:eastAsia="Arial Unicode MS"/>
          <w:noProof/>
        </w:rPr>
        <w:t xml:space="preserve"> </w:t>
      </w:r>
      <w:r w:rsidR="00D14B2E" w:rsidRPr="006C2791">
        <w:rPr>
          <w:rFonts w:eastAsia="Arial Unicode MS"/>
          <w:noProof/>
        </w:rPr>
        <w:t>It</w:t>
      </w:r>
      <w:r w:rsidR="0003554B">
        <w:rPr>
          <w:rFonts w:eastAsia="Arial Unicode MS"/>
          <w:noProof/>
        </w:rPr>
        <w:t xml:space="preserve"> i</w:t>
      </w:r>
      <w:r w:rsidR="00D777A3" w:rsidRPr="006C2791">
        <w:rPr>
          <w:noProof/>
          <w:color w:val="000000" w:themeColor="text1"/>
        </w:rPr>
        <w:t xml:space="preserve">s consistent </w:t>
      </w:r>
      <w:r w:rsidR="009B363C">
        <w:rPr>
          <w:noProof/>
          <w:color w:val="000000" w:themeColor="text1"/>
        </w:rPr>
        <w:t xml:space="preserve">with </w:t>
      </w:r>
      <w:r w:rsidR="00D777A3" w:rsidRPr="006C2791">
        <w:rPr>
          <w:noProof/>
          <w:color w:val="000000" w:themeColor="text1"/>
        </w:rPr>
        <w:t xml:space="preserve">and </w:t>
      </w:r>
      <w:r w:rsidR="00E23726" w:rsidRPr="006C2791">
        <w:rPr>
          <w:noProof/>
          <w:color w:val="000000" w:themeColor="text1"/>
        </w:rPr>
        <w:t xml:space="preserve">complements </w:t>
      </w:r>
      <w:r w:rsidR="00D777A3" w:rsidRPr="006C2791">
        <w:rPr>
          <w:noProof/>
          <w:color w:val="000000" w:themeColor="text1"/>
        </w:rPr>
        <w:t xml:space="preserve">the </w:t>
      </w:r>
      <w:r w:rsidR="00E23726" w:rsidRPr="006C2791">
        <w:rPr>
          <w:noProof/>
          <w:color w:val="000000" w:themeColor="text1"/>
        </w:rPr>
        <w:t>Horizon Europe Framework Programme</w:t>
      </w:r>
      <w:r w:rsidR="00997547">
        <w:rPr>
          <w:noProof/>
          <w:color w:val="000000" w:themeColor="text1"/>
        </w:rPr>
        <w:t xml:space="preserve"> for Research and Innovation</w:t>
      </w:r>
      <w:r w:rsidR="007C17CF" w:rsidRPr="006C2791">
        <w:rPr>
          <w:rStyle w:val="FootnoteReference"/>
          <w:noProof/>
          <w:color w:val="000000" w:themeColor="text1"/>
        </w:rPr>
        <w:footnoteReference w:id="8"/>
      </w:r>
      <w:r w:rsidR="00E23726" w:rsidRPr="006C2791">
        <w:rPr>
          <w:noProof/>
          <w:color w:val="000000" w:themeColor="text1"/>
        </w:rPr>
        <w:t xml:space="preserve"> in the area of nuclear research</w:t>
      </w:r>
      <w:r w:rsidR="0003554B">
        <w:rPr>
          <w:noProof/>
          <w:color w:val="000000" w:themeColor="text1"/>
        </w:rPr>
        <w:t>. It</w:t>
      </w:r>
      <w:r w:rsidR="00E23726" w:rsidRPr="006C2791">
        <w:rPr>
          <w:noProof/>
          <w:color w:val="000000" w:themeColor="text1"/>
        </w:rPr>
        <w:t xml:space="preserve"> </w:t>
      </w:r>
      <w:r w:rsidR="00946825" w:rsidRPr="006C2791">
        <w:rPr>
          <w:noProof/>
          <w:color w:val="000000" w:themeColor="text1"/>
        </w:rPr>
        <w:t>applies</w:t>
      </w:r>
      <w:r w:rsidR="00875F31" w:rsidRPr="006C2791">
        <w:rPr>
          <w:noProof/>
          <w:color w:val="000000" w:themeColor="text1"/>
        </w:rPr>
        <w:t xml:space="preserve"> H</w:t>
      </w:r>
      <w:r w:rsidR="00946825" w:rsidRPr="006C2791">
        <w:rPr>
          <w:noProof/>
          <w:color w:val="000000" w:themeColor="text1"/>
        </w:rPr>
        <w:t>orizon</w:t>
      </w:r>
      <w:r w:rsidR="00D777A3" w:rsidRPr="006C2791">
        <w:rPr>
          <w:noProof/>
          <w:color w:val="000000" w:themeColor="text1"/>
        </w:rPr>
        <w:t xml:space="preserve"> Europe</w:t>
      </w:r>
      <w:r w:rsidR="00946825" w:rsidRPr="006C2791">
        <w:rPr>
          <w:noProof/>
          <w:color w:val="000000" w:themeColor="text1"/>
        </w:rPr>
        <w:t>’s</w:t>
      </w:r>
      <w:r w:rsidR="00875F31" w:rsidRPr="006C2791">
        <w:rPr>
          <w:noProof/>
          <w:color w:val="000000" w:themeColor="text1"/>
        </w:rPr>
        <w:t xml:space="preserve"> </w:t>
      </w:r>
      <w:r w:rsidR="0003554B">
        <w:rPr>
          <w:noProof/>
          <w:color w:val="000000" w:themeColor="text1"/>
        </w:rPr>
        <w:t>r</w:t>
      </w:r>
      <w:r w:rsidR="00875F31" w:rsidRPr="006C2791">
        <w:rPr>
          <w:noProof/>
          <w:color w:val="000000" w:themeColor="text1"/>
        </w:rPr>
        <w:t xml:space="preserve">ules for </w:t>
      </w:r>
      <w:r w:rsidR="0003554B">
        <w:rPr>
          <w:noProof/>
          <w:color w:val="000000" w:themeColor="text1"/>
        </w:rPr>
        <w:t>p</w:t>
      </w:r>
      <w:r w:rsidR="00875F31" w:rsidRPr="006C2791">
        <w:rPr>
          <w:noProof/>
          <w:color w:val="000000" w:themeColor="text1"/>
        </w:rPr>
        <w:t xml:space="preserve">articipation and </w:t>
      </w:r>
      <w:r w:rsidR="0003554B">
        <w:rPr>
          <w:noProof/>
          <w:color w:val="000000" w:themeColor="text1"/>
        </w:rPr>
        <w:t>d</w:t>
      </w:r>
      <w:r w:rsidR="00946825" w:rsidRPr="006C2791">
        <w:rPr>
          <w:noProof/>
          <w:color w:val="000000" w:themeColor="text1"/>
        </w:rPr>
        <w:t>issemination</w:t>
      </w:r>
      <w:r w:rsidR="00E23726" w:rsidRPr="006C2791">
        <w:rPr>
          <w:noProof/>
          <w:color w:val="000000" w:themeColor="text1"/>
        </w:rPr>
        <w:t xml:space="preserve"> and uses the same instruments</w:t>
      </w:r>
      <w:r w:rsidR="0003554B">
        <w:rPr>
          <w:noProof/>
          <w:color w:val="000000" w:themeColor="text1"/>
        </w:rPr>
        <w:t>,</w:t>
      </w:r>
      <w:r w:rsidR="00E23726" w:rsidRPr="006C2791">
        <w:rPr>
          <w:noProof/>
          <w:color w:val="000000" w:themeColor="text1"/>
        </w:rPr>
        <w:t xml:space="preserve"> including European Partnerships</w:t>
      </w:r>
      <w:r w:rsidR="00D777A3" w:rsidRPr="006C2791">
        <w:rPr>
          <w:rStyle w:val="FootnoteReference"/>
          <w:noProof/>
          <w:color w:val="000000" w:themeColor="text1"/>
        </w:rPr>
        <w:footnoteReference w:id="9"/>
      </w:r>
      <w:r w:rsidR="00E23726" w:rsidRPr="006C2791">
        <w:rPr>
          <w:noProof/>
          <w:color w:val="000000" w:themeColor="text1"/>
        </w:rPr>
        <w:t xml:space="preserve">. </w:t>
      </w:r>
      <w:r w:rsidR="0003554B">
        <w:rPr>
          <w:noProof/>
          <w:color w:val="000000" w:themeColor="text1"/>
        </w:rPr>
        <w:t>T</w:t>
      </w:r>
      <w:r w:rsidR="00D777A3" w:rsidRPr="006C2791">
        <w:rPr>
          <w:noProof/>
          <w:color w:val="000000" w:themeColor="text1"/>
        </w:rPr>
        <w:t xml:space="preserve">he </w:t>
      </w:r>
      <w:r w:rsidR="00E23726" w:rsidRPr="006C2791">
        <w:rPr>
          <w:noProof/>
          <w:color w:val="000000" w:themeColor="text1"/>
        </w:rPr>
        <w:t>provisions on synergies</w:t>
      </w:r>
      <w:r w:rsidR="00D777A3" w:rsidRPr="006C2791">
        <w:rPr>
          <w:rStyle w:val="FootnoteReference"/>
          <w:noProof/>
          <w:color w:val="000000" w:themeColor="text1"/>
        </w:rPr>
        <w:footnoteReference w:id="10"/>
      </w:r>
      <w:r w:rsidR="0003554B">
        <w:rPr>
          <w:noProof/>
          <w:color w:val="000000" w:themeColor="text1"/>
        </w:rPr>
        <w:t xml:space="preserve"> also ensure that the two </w:t>
      </w:r>
      <w:r w:rsidR="00B41858">
        <w:rPr>
          <w:noProof/>
          <w:color w:val="000000" w:themeColor="text1"/>
        </w:rPr>
        <w:t>programmes</w:t>
      </w:r>
      <w:r w:rsidR="0003554B">
        <w:rPr>
          <w:noProof/>
          <w:color w:val="000000" w:themeColor="text1"/>
        </w:rPr>
        <w:t xml:space="preserve"> complement each other</w:t>
      </w:r>
      <w:r w:rsidR="00E23726" w:rsidRPr="006C2791">
        <w:rPr>
          <w:noProof/>
          <w:color w:val="000000" w:themeColor="text1"/>
        </w:rPr>
        <w:t>.</w:t>
      </w:r>
    </w:p>
    <w:p w:rsidR="008F031D" w:rsidRPr="006C2791" w:rsidRDefault="008F031D" w:rsidP="00A4693B">
      <w:pPr>
        <w:pStyle w:val="ManualHeading2"/>
        <w:rPr>
          <w:rFonts w:eastAsia="Arial Unicode MS"/>
          <w:noProof/>
        </w:rPr>
      </w:pPr>
      <w:r w:rsidRPr="006C2791">
        <w:rPr>
          <w:rFonts w:eastAsia="Arial Unicode MS"/>
          <w:noProof/>
          <w:color w:val="000000"/>
          <w:u w:color="000000"/>
          <w:bdr w:val="nil"/>
          <w:lang w:eastAsia="en-GB"/>
        </w:rPr>
        <w:t>•</w:t>
      </w:r>
      <w:r w:rsidRPr="006C2791">
        <w:rPr>
          <w:rFonts w:eastAsia="Arial Unicode MS"/>
          <w:noProof/>
          <w:color w:val="000000"/>
          <w:u w:color="000000"/>
          <w:bdr w:val="nil"/>
          <w:lang w:eastAsia="en-GB"/>
        </w:rPr>
        <w:tab/>
      </w:r>
      <w:r w:rsidRPr="006C2791">
        <w:rPr>
          <w:rFonts w:eastAsia="Arial Unicode MS"/>
          <w:noProof/>
        </w:rPr>
        <w:t>Consistency with other Union policies</w:t>
      </w:r>
    </w:p>
    <w:p w:rsidR="009A5327" w:rsidRPr="006C2791" w:rsidRDefault="0087150F" w:rsidP="009A5327">
      <w:pPr>
        <w:pBdr>
          <w:top w:val="nil"/>
          <w:left w:val="nil"/>
          <w:bottom w:val="nil"/>
          <w:right w:val="nil"/>
          <w:between w:val="nil"/>
          <w:bar w:val="nil"/>
        </w:pBdr>
        <w:spacing w:before="0" w:after="240"/>
        <w:rPr>
          <w:rFonts w:eastAsia="Arial Unicode MS"/>
          <w:noProof/>
        </w:rPr>
      </w:pPr>
      <w:r>
        <w:rPr>
          <w:rFonts w:eastAsia="Arial Unicode MS"/>
          <w:noProof/>
        </w:rPr>
        <w:t>By</w:t>
      </w:r>
      <w:r w:rsidR="007C17CF" w:rsidRPr="006C2791">
        <w:rPr>
          <w:rFonts w:eastAsia="Arial Unicode MS"/>
          <w:noProof/>
        </w:rPr>
        <w:t xml:space="preserve"> supporting excellent research and ensuring the right conditions for research and</w:t>
      </w:r>
      <w:r w:rsidR="00D14B2E" w:rsidRPr="006C2791">
        <w:rPr>
          <w:rFonts w:eastAsia="Arial Unicode MS"/>
          <w:noProof/>
        </w:rPr>
        <w:t xml:space="preserve"> the</w:t>
      </w:r>
      <w:r w:rsidR="007C17CF" w:rsidRPr="006C2791">
        <w:rPr>
          <w:rFonts w:eastAsia="Arial Unicode MS"/>
          <w:noProof/>
        </w:rPr>
        <w:t xml:space="preserve"> development of new skills, t</w:t>
      </w:r>
      <w:r w:rsidR="002B42DA" w:rsidRPr="006C2791">
        <w:rPr>
          <w:rFonts w:eastAsia="Arial Unicode MS"/>
          <w:noProof/>
        </w:rPr>
        <w:t xml:space="preserve">he </w:t>
      </w:r>
      <w:r w:rsidR="00E23726" w:rsidRPr="006C2791">
        <w:rPr>
          <w:rFonts w:eastAsia="Arial Unicode MS"/>
          <w:noProof/>
        </w:rPr>
        <w:t xml:space="preserve">proposal is </w:t>
      </w:r>
      <w:r w:rsidR="002B42DA" w:rsidRPr="006C2791">
        <w:rPr>
          <w:rFonts w:eastAsia="Arial Unicode MS"/>
          <w:noProof/>
        </w:rPr>
        <w:t xml:space="preserve">consistent with </w:t>
      </w:r>
      <w:r>
        <w:rPr>
          <w:rFonts w:eastAsia="Arial Unicode MS"/>
          <w:noProof/>
        </w:rPr>
        <w:t>EU</w:t>
      </w:r>
      <w:r w:rsidR="002B42DA" w:rsidRPr="006C2791">
        <w:rPr>
          <w:rFonts w:eastAsia="Arial Unicode MS"/>
          <w:noProof/>
        </w:rPr>
        <w:t xml:space="preserve"> policies </w:t>
      </w:r>
      <w:r>
        <w:rPr>
          <w:rFonts w:eastAsia="Arial Unicode MS"/>
          <w:noProof/>
        </w:rPr>
        <w:t xml:space="preserve">that </w:t>
      </w:r>
      <w:r w:rsidR="007C17CF" w:rsidRPr="006C2791">
        <w:rPr>
          <w:rFonts w:eastAsia="Arial Unicode MS"/>
          <w:noProof/>
        </w:rPr>
        <w:t>seek to</w:t>
      </w:r>
      <w:r w:rsidR="009A5327" w:rsidRPr="006C2791">
        <w:rPr>
          <w:rFonts w:eastAsia="Arial Unicode MS"/>
          <w:noProof/>
        </w:rPr>
        <w:t xml:space="preserve"> increas</w:t>
      </w:r>
      <w:r w:rsidR="007C17CF" w:rsidRPr="006C2791">
        <w:rPr>
          <w:rFonts w:eastAsia="Arial Unicode MS"/>
          <w:noProof/>
        </w:rPr>
        <w:t>e</w:t>
      </w:r>
      <w:r w:rsidR="009A5327" w:rsidRPr="006C2791">
        <w:rPr>
          <w:rFonts w:eastAsia="Arial Unicode MS"/>
          <w:noProof/>
        </w:rPr>
        <w:t xml:space="preserve"> E</w:t>
      </w:r>
      <w:r w:rsidR="00FB3887">
        <w:rPr>
          <w:rFonts w:eastAsia="Arial Unicode MS"/>
          <w:noProof/>
        </w:rPr>
        <w:t>U</w:t>
      </w:r>
      <w:r w:rsidR="009A5327" w:rsidRPr="006C2791">
        <w:rPr>
          <w:rFonts w:eastAsia="Arial Unicode MS"/>
          <w:noProof/>
        </w:rPr>
        <w:t>’s competitiveness</w:t>
      </w:r>
      <w:r w:rsidR="0083764E" w:rsidRPr="006C2791">
        <w:rPr>
          <w:rFonts w:eastAsia="Arial Unicode MS"/>
          <w:noProof/>
        </w:rPr>
        <w:t>.</w:t>
      </w:r>
    </w:p>
    <w:p w:rsidR="002B42DA" w:rsidRPr="006C2791" w:rsidRDefault="009A5327" w:rsidP="009A5327">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The Programme </w:t>
      </w:r>
      <w:r w:rsidR="002B42DA" w:rsidRPr="006C2791">
        <w:rPr>
          <w:rFonts w:eastAsia="Arial Unicode MS"/>
          <w:noProof/>
        </w:rPr>
        <w:t xml:space="preserve">will support </w:t>
      </w:r>
      <w:r w:rsidRPr="006C2791">
        <w:rPr>
          <w:rFonts w:eastAsia="Arial Unicode MS"/>
          <w:noProof/>
        </w:rPr>
        <w:t>research</w:t>
      </w:r>
      <w:r w:rsidR="002B42DA" w:rsidRPr="006C2791">
        <w:rPr>
          <w:rFonts w:eastAsia="Arial Unicode MS"/>
          <w:noProof/>
        </w:rPr>
        <w:t xml:space="preserve"> initiatives in nuclear safety and </w:t>
      </w:r>
      <w:r w:rsidR="00C875B5" w:rsidRPr="006C2791">
        <w:rPr>
          <w:rFonts w:eastAsia="Arial Unicode MS"/>
          <w:noProof/>
        </w:rPr>
        <w:t xml:space="preserve">the </w:t>
      </w:r>
      <w:r w:rsidR="002B42DA" w:rsidRPr="006C2791">
        <w:rPr>
          <w:rFonts w:eastAsia="Arial Unicode MS"/>
          <w:noProof/>
        </w:rPr>
        <w:t>strategic areas supported in the Net</w:t>
      </w:r>
      <w:r w:rsidR="0087150F">
        <w:rPr>
          <w:rFonts w:eastAsia="Arial Unicode MS"/>
          <w:noProof/>
        </w:rPr>
        <w:t>-</w:t>
      </w:r>
      <w:r w:rsidR="002B42DA" w:rsidRPr="006C2791">
        <w:rPr>
          <w:rFonts w:eastAsia="Arial Unicode MS"/>
          <w:noProof/>
        </w:rPr>
        <w:t>Zero Industry Act</w:t>
      </w:r>
      <w:r w:rsidR="002B42DA" w:rsidRPr="006C2791">
        <w:rPr>
          <w:rStyle w:val="FootnoteReference"/>
          <w:rFonts w:eastAsia="Arial Unicode MS"/>
          <w:noProof/>
        </w:rPr>
        <w:footnoteReference w:id="11"/>
      </w:r>
      <w:r w:rsidR="000E329B" w:rsidRPr="006C2791">
        <w:rPr>
          <w:rFonts w:eastAsia="Arial Unicode MS"/>
          <w:noProof/>
        </w:rPr>
        <w:t>.</w:t>
      </w:r>
      <w:r w:rsidR="002B42DA" w:rsidRPr="006C2791">
        <w:rPr>
          <w:rFonts w:eastAsia="Arial Unicode MS"/>
          <w:noProof/>
        </w:rPr>
        <w:t xml:space="preserve"> </w:t>
      </w:r>
      <w:r w:rsidR="00C875B5" w:rsidRPr="006C2791">
        <w:rPr>
          <w:rFonts w:eastAsia="Arial Unicode MS"/>
          <w:noProof/>
        </w:rPr>
        <w:t>It will also support the safety initiatives of</w:t>
      </w:r>
      <w:r w:rsidR="002B42DA" w:rsidRPr="006C2791">
        <w:rPr>
          <w:rFonts w:eastAsia="Arial Unicode MS"/>
          <w:noProof/>
        </w:rPr>
        <w:t xml:space="preserve"> the </w:t>
      </w:r>
      <w:r w:rsidR="00114C9A">
        <w:rPr>
          <w:rFonts w:eastAsia="Arial Unicode MS"/>
          <w:noProof/>
        </w:rPr>
        <w:t xml:space="preserve">recently established </w:t>
      </w:r>
      <w:r w:rsidR="002B42DA" w:rsidRPr="006C2791">
        <w:rPr>
          <w:rFonts w:eastAsia="Arial Unicode MS"/>
          <w:noProof/>
        </w:rPr>
        <w:t>E</w:t>
      </w:r>
      <w:r w:rsidR="00C44424" w:rsidRPr="006C2791">
        <w:rPr>
          <w:rFonts w:eastAsia="Arial Unicode MS"/>
          <w:noProof/>
        </w:rPr>
        <w:t>uropean</w:t>
      </w:r>
      <w:r w:rsidR="002B42DA" w:rsidRPr="006C2791">
        <w:rPr>
          <w:rFonts w:eastAsia="Arial Unicode MS"/>
          <w:noProof/>
        </w:rPr>
        <w:t xml:space="preserve"> Industrial Alliance</w:t>
      </w:r>
      <w:r w:rsidR="00C44424" w:rsidRPr="006C2791">
        <w:rPr>
          <w:rFonts w:eastAsia="Arial Unicode MS"/>
          <w:noProof/>
        </w:rPr>
        <w:t xml:space="preserve"> on Small Modular Reactors</w:t>
      </w:r>
      <w:r w:rsidR="002B42DA" w:rsidRPr="006C2791">
        <w:rPr>
          <w:rFonts w:eastAsia="Arial Unicode MS"/>
          <w:noProof/>
        </w:rPr>
        <w:t>.</w:t>
      </w:r>
    </w:p>
    <w:p w:rsidR="00732FFC" w:rsidRPr="006C2791" w:rsidRDefault="00F06E5A" w:rsidP="25B8238C">
      <w:pPr>
        <w:pBdr>
          <w:top w:val="nil"/>
          <w:left w:val="nil"/>
          <w:bottom w:val="nil"/>
          <w:right w:val="nil"/>
          <w:between w:val="nil"/>
          <w:bar w:val="nil"/>
        </w:pBdr>
        <w:spacing w:before="0" w:after="240"/>
        <w:rPr>
          <w:rFonts w:eastAsia="Arial Unicode MS"/>
          <w:noProof/>
        </w:rPr>
      </w:pPr>
      <w:r w:rsidRPr="006C2791">
        <w:rPr>
          <w:rFonts w:eastAsia="Arial Unicode MS"/>
          <w:noProof/>
        </w:rPr>
        <w:t>The Programme will contribute to implementi</w:t>
      </w:r>
      <w:r w:rsidR="0087150F">
        <w:rPr>
          <w:rFonts w:eastAsia="Arial Unicode MS"/>
          <w:noProof/>
        </w:rPr>
        <w:t>ng</w:t>
      </w:r>
      <w:r w:rsidRPr="006C2791">
        <w:rPr>
          <w:rFonts w:eastAsia="Arial Unicode MS"/>
          <w:noProof/>
        </w:rPr>
        <w:t xml:space="preserve"> Chapter 7 of the </w:t>
      </w:r>
      <w:r w:rsidR="004C6A84" w:rsidRPr="004C6A84">
        <w:rPr>
          <w:rFonts w:eastAsia="Arial Unicode MS"/>
          <w:noProof/>
        </w:rPr>
        <w:t>Treaty establishing the European Atomic Energy Community</w:t>
      </w:r>
      <w:r w:rsidR="004C6A84">
        <w:rPr>
          <w:rFonts w:eastAsia="Arial Unicode MS"/>
          <w:noProof/>
        </w:rPr>
        <w:t xml:space="preserve"> (the ‘</w:t>
      </w:r>
      <w:r w:rsidRPr="006C2791">
        <w:rPr>
          <w:rFonts w:eastAsia="Arial Unicode MS"/>
          <w:noProof/>
        </w:rPr>
        <w:t>Treaty</w:t>
      </w:r>
      <w:r w:rsidR="004C6A84">
        <w:rPr>
          <w:rFonts w:eastAsia="Arial Unicode MS"/>
          <w:noProof/>
        </w:rPr>
        <w:t>’)</w:t>
      </w:r>
      <w:r w:rsidRPr="006C2791">
        <w:rPr>
          <w:rFonts w:eastAsia="Arial Unicode MS"/>
          <w:noProof/>
        </w:rPr>
        <w:t xml:space="preserve"> on nuclear safeguards</w:t>
      </w:r>
      <w:r w:rsidR="00CC723B">
        <w:rPr>
          <w:rStyle w:val="FootnoteReference"/>
          <w:rFonts w:eastAsia="Arial Unicode MS"/>
          <w:noProof/>
        </w:rPr>
        <w:footnoteReference w:id="12"/>
      </w:r>
      <w:r w:rsidRPr="006C2791">
        <w:rPr>
          <w:rFonts w:eastAsia="Arial Unicode MS"/>
          <w:noProof/>
        </w:rPr>
        <w:t xml:space="preserve">. </w:t>
      </w:r>
      <w:r w:rsidR="00732FFC" w:rsidRPr="006C2791">
        <w:rPr>
          <w:rFonts w:eastAsia="Arial Unicode MS"/>
          <w:noProof/>
        </w:rPr>
        <w:t>It will also contribute to the EU’s security agendas and strategies</w:t>
      </w:r>
      <w:r w:rsidR="00835A3B" w:rsidRPr="006C2791">
        <w:rPr>
          <w:rFonts w:eastAsia="Arial Unicode MS"/>
          <w:noProof/>
        </w:rPr>
        <w:t xml:space="preserve"> by supporting nuclear security</w:t>
      </w:r>
      <w:r w:rsidR="041B2E78" w:rsidRPr="006C2791">
        <w:rPr>
          <w:rFonts w:eastAsia="Arial Unicode MS"/>
          <w:noProof/>
        </w:rPr>
        <w:t xml:space="preserve"> research</w:t>
      </w:r>
      <w:r w:rsidR="00732FFC" w:rsidRPr="006C2791">
        <w:rPr>
          <w:rFonts w:eastAsia="Arial Unicode MS"/>
          <w:noProof/>
        </w:rPr>
        <w:t>.</w:t>
      </w:r>
    </w:p>
    <w:p w:rsidR="00F06E5A" w:rsidRPr="006C2791" w:rsidRDefault="009A5327" w:rsidP="00F06E5A">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Research funded by the Programme </w:t>
      </w:r>
      <w:r w:rsidR="00F06E5A" w:rsidRPr="006C2791">
        <w:rPr>
          <w:rFonts w:eastAsia="Arial Unicode MS"/>
          <w:noProof/>
        </w:rPr>
        <w:t xml:space="preserve">will support the implementation of </w:t>
      </w:r>
      <w:r w:rsidR="00F50DDF">
        <w:rPr>
          <w:rFonts w:eastAsia="Arial Unicode MS"/>
          <w:noProof/>
        </w:rPr>
        <w:t xml:space="preserve">the </w:t>
      </w:r>
      <w:r w:rsidRPr="006C2791">
        <w:rPr>
          <w:rFonts w:eastAsia="Arial Unicode MS"/>
          <w:noProof/>
        </w:rPr>
        <w:t xml:space="preserve">Euratom </w:t>
      </w:r>
      <w:r w:rsidR="00F06E5A" w:rsidRPr="006C2791">
        <w:rPr>
          <w:rFonts w:eastAsia="Arial Unicode MS"/>
          <w:noProof/>
        </w:rPr>
        <w:t>Directives on the safety of nuclear installations</w:t>
      </w:r>
      <w:r w:rsidR="00F06E5A" w:rsidRPr="006C2791">
        <w:rPr>
          <w:rStyle w:val="FootnoteReference"/>
          <w:rFonts w:eastAsia="Arial Unicode MS"/>
          <w:noProof/>
        </w:rPr>
        <w:footnoteReference w:id="13"/>
      </w:r>
      <w:r w:rsidR="00F06E5A" w:rsidRPr="006C2791">
        <w:rPr>
          <w:rFonts w:eastAsia="Arial Unicode MS"/>
          <w:noProof/>
        </w:rPr>
        <w:t xml:space="preserve">, </w:t>
      </w:r>
      <w:r w:rsidR="00813EB7">
        <w:rPr>
          <w:rFonts w:eastAsia="Arial Unicode MS"/>
          <w:noProof/>
        </w:rPr>
        <w:t xml:space="preserve">the </w:t>
      </w:r>
      <w:r w:rsidR="00732FFC" w:rsidRPr="006C2791">
        <w:rPr>
          <w:rFonts w:eastAsia="Arial Unicode MS"/>
          <w:noProof/>
        </w:rPr>
        <w:t xml:space="preserve">safe management of </w:t>
      </w:r>
      <w:r w:rsidR="00F06E5A" w:rsidRPr="006C2791">
        <w:rPr>
          <w:rFonts w:eastAsia="Arial Unicode MS"/>
          <w:noProof/>
        </w:rPr>
        <w:t>spent fuel and radioactive waste</w:t>
      </w:r>
      <w:r w:rsidR="00F06E5A" w:rsidRPr="006C2791">
        <w:rPr>
          <w:rStyle w:val="FootnoteReference"/>
          <w:rFonts w:eastAsia="Arial Unicode MS"/>
          <w:noProof/>
        </w:rPr>
        <w:footnoteReference w:id="14"/>
      </w:r>
      <w:r w:rsidR="008C6F27">
        <w:rPr>
          <w:rFonts w:eastAsia="Arial Unicode MS"/>
          <w:noProof/>
        </w:rPr>
        <w:t>,</w:t>
      </w:r>
      <w:r w:rsidR="00F06E5A" w:rsidRPr="006C2791">
        <w:rPr>
          <w:rFonts w:eastAsia="Arial Unicode MS"/>
          <w:noProof/>
        </w:rPr>
        <w:t xml:space="preserve"> and radiation protection</w:t>
      </w:r>
      <w:r w:rsidR="00F06E5A" w:rsidRPr="006C2791">
        <w:rPr>
          <w:rStyle w:val="FootnoteReference"/>
          <w:rFonts w:eastAsia="Arial Unicode MS"/>
          <w:noProof/>
        </w:rPr>
        <w:footnoteReference w:id="15"/>
      </w:r>
      <w:r w:rsidR="000E329B" w:rsidRPr="006C2791">
        <w:rPr>
          <w:rFonts w:eastAsia="Arial Unicode MS"/>
          <w:noProof/>
        </w:rPr>
        <w:t>.</w:t>
      </w:r>
    </w:p>
    <w:p w:rsidR="00686BAE" w:rsidRPr="006C2791" w:rsidRDefault="00686BAE" w:rsidP="25B8238C">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The Programme will </w:t>
      </w:r>
      <w:r w:rsidR="008102C9" w:rsidRPr="006C2791">
        <w:rPr>
          <w:rFonts w:eastAsia="Arial Unicode MS"/>
          <w:noProof/>
        </w:rPr>
        <w:t xml:space="preserve">also </w:t>
      </w:r>
      <w:r w:rsidRPr="006C2791">
        <w:rPr>
          <w:rFonts w:eastAsia="Arial Unicode MS"/>
          <w:noProof/>
        </w:rPr>
        <w:t xml:space="preserve">continue to support the implementation of the </w:t>
      </w:r>
      <w:r w:rsidR="070ED0F8" w:rsidRPr="006C2791">
        <w:rPr>
          <w:rFonts w:eastAsia="Arial Unicode MS"/>
          <w:noProof/>
        </w:rPr>
        <w:t xml:space="preserve">European </w:t>
      </w:r>
      <w:r w:rsidRPr="006C2791">
        <w:rPr>
          <w:rFonts w:eastAsia="Arial Unicode MS"/>
          <w:noProof/>
        </w:rPr>
        <w:t>Instrument for</w:t>
      </w:r>
      <w:r w:rsidR="6429CC49" w:rsidRPr="006C2791">
        <w:rPr>
          <w:rFonts w:eastAsia="Arial Unicode MS"/>
          <w:noProof/>
        </w:rPr>
        <w:t xml:space="preserve"> International</w:t>
      </w:r>
      <w:r w:rsidRPr="006C2791">
        <w:rPr>
          <w:rFonts w:eastAsia="Arial Unicode MS"/>
          <w:noProof/>
        </w:rPr>
        <w:t xml:space="preserve"> Nuclear Safety Cooperation</w:t>
      </w:r>
      <w:r w:rsidRPr="00FB3887">
        <w:rPr>
          <w:rStyle w:val="FootnoteReference"/>
          <w:noProof/>
        </w:rPr>
        <w:footnoteReference w:id="16"/>
      </w:r>
      <w:r w:rsidRPr="006C2791">
        <w:rPr>
          <w:rFonts w:eastAsia="Arial Unicode MS"/>
          <w:noProof/>
        </w:rPr>
        <w:t xml:space="preserve"> and the nuclear and radiological aspects of the </w:t>
      </w:r>
      <w:r w:rsidR="275FF0C1" w:rsidRPr="006C2791">
        <w:rPr>
          <w:rFonts w:eastAsia="Arial Unicode MS"/>
          <w:noProof/>
        </w:rPr>
        <w:t xml:space="preserve">Neighbourhood, Development and International Cooperation </w:t>
      </w:r>
      <w:r w:rsidR="00D64224" w:rsidRPr="006C2791">
        <w:rPr>
          <w:rFonts w:eastAsia="Arial Unicode MS"/>
          <w:noProof/>
        </w:rPr>
        <w:t>I</w:t>
      </w:r>
      <w:r w:rsidR="275FF0C1" w:rsidRPr="006C2791">
        <w:rPr>
          <w:rFonts w:eastAsia="Arial Unicode MS"/>
          <w:noProof/>
        </w:rPr>
        <w:t>nstrument</w:t>
      </w:r>
      <w:r w:rsidRPr="00FB3887">
        <w:rPr>
          <w:rStyle w:val="FootnoteReference"/>
          <w:noProof/>
        </w:rPr>
        <w:footnoteReference w:id="17"/>
      </w:r>
      <w:r w:rsidRPr="006C2791">
        <w:rPr>
          <w:rFonts w:eastAsia="Arial Unicode MS"/>
          <w:noProof/>
        </w:rPr>
        <w:t>.</w:t>
      </w:r>
    </w:p>
    <w:p w:rsidR="008F031D" w:rsidRPr="006C2791" w:rsidRDefault="008F031D" w:rsidP="00550536">
      <w:pPr>
        <w:pStyle w:val="ManualHeading1"/>
        <w:rPr>
          <w:noProof/>
        </w:rPr>
      </w:pPr>
      <w:r w:rsidRPr="006C2791">
        <w:rPr>
          <w:noProof/>
        </w:rPr>
        <w:t>2.</w:t>
      </w:r>
      <w:r w:rsidRPr="006C2791">
        <w:rPr>
          <w:noProof/>
        </w:rPr>
        <w:tab/>
        <w:t>LEGAL BASIS, SUBSIDIARITY AND PROPORTIONALITY</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Legal basis</w:t>
      </w:r>
    </w:p>
    <w:p w:rsidR="008102C9" w:rsidRPr="006C2791" w:rsidRDefault="008102C9" w:rsidP="00550536">
      <w:pPr>
        <w:pBdr>
          <w:top w:val="nil"/>
          <w:left w:val="nil"/>
          <w:bottom w:val="nil"/>
          <w:right w:val="nil"/>
          <w:between w:val="nil"/>
          <w:bar w:val="nil"/>
        </w:pBdr>
        <w:spacing w:before="0" w:after="240"/>
        <w:rPr>
          <w:noProof/>
          <w:color w:val="000000" w:themeColor="text1"/>
        </w:rPr>
      </w:pPr>
      <w:r w:rsidRPr="006C2791">
        <w:rPr>
          <w:noProof/>
          <w:color w:val="000000" w:themeColor="text1"/>
        </w:rPr>
        <w:t>The Treaty states that the Commission is responsible for promoting and facilitating nuclear research in the Member States and for complementing it by conducting a Community research and training programme (Article</w:t>
      </w:r>
      <w:r w:rsidR="006C2791">
        <w:rPr>
          <w:noProof/>
          <w:color w:val="000000" w:themeColor="text1"/>
        </w:rPr>
        <w:t> </w:t>
      </w:r>
      <w:r w:rsidRPr="006C2791">
        <w:rPr>
          <w:noProof/>
          <w:color w:val="000000" w:themeColor="text1"/>
        </w:rPr>
        <w:t xml:space="preserve">4). </w:t>
      </w:r>
      <w:r w:rsidR="001F2E48" w:rsidRPr="006C2791">
        <w:rPr>
          <w:noProof/>
          <w:color w:val="000000" w:themeColor="text1"/>
        </w:rPr>
        <w:t>Th</w:t>
      </w:r>
      <w:r w:rsidR="001F2E48">
        <w:rPr>
          <w:noProof/>
          <w:color w:val="000000" w:themeColor="text1"/>
        </w:rPr>
        <w:t>at</w:t>
      </w:r>
      <w:r w:rsidR="001F2E48" w:rsidRPr="006C2791">
        <w:rPr>
          <w:noProof/>
          <w:color w:val="000000" w:themeColor="text1"/>
        </w:rPr>
        <w:t xml:space="preserve"> </w:t>
      </w:r>
      <w:r w:rsidRPr="006C2791">
        <w:rPr>
          <w:noProof/>
          <w:color w:val="000000" w:themeColor="text1"/>
        </w:rPr>
        <w:t>programme is to be adopted by the Council acting unanimously on a proposal from the Commission (Article 7).</w:t>
      </w:r>
    </w:p>
    <w:p w:rsidR="00447BE1" w:rsidRPr="006C2791" w:rsidRDefault="00447BE1" w:rsidP="00550536">
      <w:pPr>
        <w:pBdr>
          <w:top w:val="nil"/>
          <w:left w:val="nil"/>
          <w:bottom w:val="nil"/>
          <w:right w:val="nil"/>
          <w:between w:val="nil"/>
          <w:bar w:val="nil"/>
        </w:pBdr>
        <w:spacing w:before="0" w:after="240"/>
        <w:rPr>
          <w:rFonts w:eastAsia="Arial Unicode MS"/>
          <w:noProof/>
        </w:rPr>
      </w:pPr>
      <w:r w:rsidRPr="006C2791">
        <w:rPr>
          <w:rFonts w:eastAsia="Arial Unicode MS"/>
          <w:noProof/>
        </w:rPr>
        <w:t>According to</w:t>
      </w:r>
      <w:r w:rsidR="00813EB7">
        <w:rPr>
          <w:rFonts w:eastAsia="Arial Unicode MS"/>
          <w:noProof/>
        </w:rPr>
        <w:t xml:space="preserve"> the</w:t>
      </w:r>
      <w:r w:rsidRPr="006C2791">
        <w:rPr>
          <w:rFonts w:eastAsia="Arial Unicode MS"/>
          <w:noProof/>
        </w:rPr>
        <w:t xml:space="preserve"> Treaty, the European Parliament is not consulted, </w:t>
      </w:r>
      <w:r w:rsidR="00801ED2">
        <w:rPr>
          <w:rFonts w:eastAsia="Arial Unicode MS"/>
          <w:noProof/>
        </w:rPr>
        <w:t>but</w:t>
      </w:r>
      <w:r w:rsidRPr="006C2791">
        <w:rPr>
          <w:rFonts w:eastAsia="Arial Unicode MS"/>
          <w:noProof/>
        </w:rPr>
        <w:t xml:space="preserve"> in the past the holder of the Council’s rotating Presidency invited </w:t>
      </w:r>
      <w:r w:rsidR="00EA58C1">
        <w:rPr>
          <w:rFonts w:eastAsia="Arial Unicode MS"/>
          <w:noProof/>
        </w:rPr>
        <w:t>Parliament</w:t>
      </w:r>
      <w:r w:rsidRPr="006C2791">
        <w:rPr>
          <w:rFonts w:eastAsia="Arial Unicode MS"/>
          <w:noProof/>
        </w:rPr>
        <w:t xml:space="preserve"> to make comments on proposed </w:t>
      </w:r>
      <w:r w:rsidR="00801ED2">
        <w:rPr>
          <w:rFonts w:eastAsia="Arial Unicode MS"/>
          <w:noProof/>
        </w:rPr>
        <w:t>r</w:t>
      </w:r>
      <w:r w:rsidRPr="006C2791">
        <w:rPr>
          <w:rFonts w:eastAsia="Arial Unicode MS"/>
          <w:noProof/>
        </w:rPr>
        <w:t xml:space="preserve">egulations </w:t>
      </w:r>
      <w:r w:rsidR="00973ED5">
        <w:rPr>
          <w:rFonts w:eastAsia="Arial Unicode MS"/>
          <w:noProof/>
        </w:rPr>
        <w:t>setting up the</w:t>
      </w:r>
      <w:r w:rsidRPr="006C2791">
        <w:rPr>
          <w:rFonts w:eastAsia="Arial Unicode MS"/>
          <w:noProof/>
        </w:rPr>
        <w:t xml:space="preserve"> Euratom Programmes. The European Economic and Social Committee will be kept informed</w:t>
      </w:r>
      <w:r w:rsidR="00801ED2">
        <w:rPr>
          <w:rFonts w:eastAsia="Arial Unicode MS"/>
          <w:noProof/>
        </w:rPr>
        <w:t>,</w:t>
      </w:r>
      <w:r w:rsidRPr="006C2791">
        <w:rPr>
          <w:rFonts w:eastAsia="Arial Unicode MS"/>
          <w:noProof/>
        </w:rPr>
        <w:t xml:space="preserve"> as required by the legal bas</w:t>
      </w:r>
      <w:r w:rsidR="00813EB7">
        <w:rPr>
          <w:rFonts w:eastAsia="Arial Unicode MS"/>
          <w:noProof/>
        </w:rPr>
        <w:t>is</w:t>
      </w:r>
      <w:r w:rsidR="00750AB9">
        <w:rPr>
          <w:rFonts w:eastAsia="Arial Unicode MS"/>
          <w:noProof/>
        </w:rPr>
        <w:t xml:space="preserve"> (Article 7)</w:t>
      </w:r>
      <w:r w:rsidRPr="006C2791">
        <w:rPr>
          <w:rFonts w:eastAsia="Arial Unicode MS"/>
          <w:noProof/>
        </w:rPr>
        <w:t>.</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Subsidiarity (for non-exclusive competence)</w:t>
      </w:r>
    </w:p>
    <w:p w:rsidR="00A855AC" w:rsidRPr="006C2791" w:rsidRDefault="008C3997" w:rsidP="00844ECB">
      <w:pPr>
        <w:spacing w:before="0" w:after="240"/>
        <w:rPr>
          <w:rFonts w:eastAsia="Arial Unicode MS"/>
          <w:noProof/>
        </w:rPr>
      </w:pPr>
      <w:r w:rsidRPr="006C2791">
        <w:rPr>
          <w:noProof/>
          <w:color w:val="000000" w:themeColor="text1"/>
        </w:rPr>
        <w:t>The Programme helps Member States</w:t>
      </w:r>
      <w:r w:rsidR="00801ED2" w:rsidRPr="006C2791">
        <w:rPr>
          <w:noProof/>
          <w:color w:val="000000" w:themeColor="text1"/>
        </w:rPr>
        <w:t xml:space="preserve">, </w:t>
      </w:r>
      <w:r w:rsidR="00801ED2" w:rsidRPr="006C2791">
        <w:rPr>
          <w:rFonts w:eastAsia="Arial Unicode MS"/>
          <w:noProof/>
        </w:rPr>
        <w:t>irrespective of their national choice to generate or consume nuclear fission power</w:t>
      </w:r>
      <w:r w:rsidR="00801ED2">
        <w:rPr>
          <w:rFonts w:eastAsia="Arial Unicode MS"/>
          <w:noProof/>
        </w:rPr>
        <w:t>,</w:t>
      </w:r>
      <w:r w:rsidRPr="006C2791">
        <w:rPr>
          <w:noProof/>
          <w:color w:val="000000" w:themeColor="text1"/>
        </w:rPr>
        <w:t xml:space="preserve"> to </w:t>
      </w:r>
      <w:r w:rsidR="00CF3D4B">
        <w:rPr>
          <w:noProof/>
          <w:color w:val="000000" w:themeColor="text1"/>
        </w:rPr>
        <w:t>work together to</w:t>
      </w:r>
      <w:r w:rsidRPr="006C2791">
        <w:rPr>
          <w:noProof/>
          <w:color w:val="000000" w:themeColor="text1"/>
        </w:rPr>
        <w:t xml:space="preserve"> develop </w:t>
      </w:r>
      <w:r w:rsidR="00801ED2">
        <w:rPr>
          <w:noProof/>
          <w:color w:val="000000" w:themeColor="text1"/>
        </w:rPr>
        <w:t xml:space="preserve">the </w:t>
      </w:r>
      <w:r w:rsidRPr="006C2791">
        <w:rPr>
          <w:noProof/>
          <w:color w:val="000000" w:themeColor="text1"/>
        </w:rPr>
        <w:t xml:space="preserve">opportunities offered by nuclear science and to reduce </w:t>
      </w:r>
      <w:r w:rsidR="00801ED2">
        <w:rPr>
          <w:noProof/>
          <w:color w:val="000000" w:themeColor="text1"/>
        </w:rPr>
        <w:t xml:space="preserve">the </w:t>
      </w:r>
      <w:r w:rsidRPr="006C2791">
        <w:rPr>
          <w:noProof/>
          <w:color w:val="000000" w:themeColor="text1"/>
        </w:rPr>
        <w:t xml:space="preserve">risks of </w:t>
      </w:r>
      <w:r w:rsidR="00801ED2">
        <w:rPr>
          <w:noProof/>
          <w:color w:val="000000" w:themeColor="text1"/>
        </w:rPr>
        <w:t xml:space="preserve">the </w:t>
      </w:r>
      <w:r w:rsidRPr="006C2791">
        <w:rPr>
          <w:noProof/>
          <w:color w:val="000000" w:themeColor="text1"/>
        </w:rPr>
        <w:t>different applications of ionising radiation</w:t>
      </w:r>
      <w:r w:rsidRPr="006C2791">
        <w:rPr>
          <w:rFonts w:eastAsia="Arial Unicode MS"/>
          <w:noProof/>
        </w:rPr>
        <w:t>.</w:t>
      </w:r>
    </w:p>
    <w:p w:rsidR="00A855AC" w:rsidRPr="006C2791" w:rsidRDefault="00517A77" w:rsidP="00844ECB">
      <w:pPr>
        <w:spacing w:before="0" w:after="240"/>
        <w:rPr>
          <w:noProof/>
          <w:color w:val="000000" w:themeColor="text1"/>
        </w:rPr>
      </w:pPr>
      <w:r w:rsidRPr="006C2791">
        <w:rPr>
          <w:noProof/>
          <w:color w:val="000000" w:themeColor="text1"/>
        </w:rPr>
        <w:t>The Programme is</w:t>
      </w:r>
      <w:r w:rsidR="008C3997" w:rsidRPr="006C2791">
        <w:rPr>
          <w:noProof/>
          <w:color w:val="000000" w:themeColor="text1"/>
        </w:rPr>
        <w:t xml:space="preserve"> </w:t>
      </w:r>
      <w:r w:rsidRPr="006C2791">
        <w:rPr>
          <w:noProof/>
          <w:color w:val="000000" w:themeColor="text1"/>
        </w:rPr>
        <w:t>of interest</w:t>
      </w:r>
      <w:r w:rsidR="00801ED2">
        <w:rPr>
          <w:noProof/>
          <w:color w:val="000000" w:themeColor="text1"/>
        </w:rPr>
        <w:t xml:space="preserve"> not only</w:t>
      </w:r>
      <w:r w:rsidRPr="006C2791">
        <w:rPr>
          <w:noProof/>
          <w:color w:val="000000" w:themeColor="text1"/>
        </w:rPr>
        <w:t xml:space="preserve"> to the </w:t>
      </w:r>
      <w:r w:rsidR="008C3997" w:rsidRPr="006C2791">
        <w:rPr>
          <w:noProof/>
          <w:color w:val="000000" w:themeColor="text1"/>
        </w:rPr>
        <w:t>1</w:t>
      </w:r>
      <w:r w:rsidR="00AA283D" w:rsidRPr="006C2791">
        <w:rPr>
          <w:noProof/>
          <w:color w:val="000000" w:themeColor="text1"/>
        </w:rPr>
        <w:t>2</w:t>
      </w:r>
      <w:r w:rsidR="008C3997" w:rsidRPr="006C2791">
        <w:rPr>
          <w:noProof/>
          <w:color w:val="000000" w:themeColor="text1"/>
        </w:rPr>
        <w:t xml:space="preserve"> Member States </w:t>
      </w:r>
      <w:r w:rsidRPr="006C2791">
        <w:rPr>
          <w:noProof/>
          <w:color w:val="000000" w:themeColor="text1"/>
        </w:rPr>
        <w:t xml:space="preserve">that </w:t>
      </w:r>
      <w:r w:rsidR="008C3997" w:rsidRPr="006C2791">
        <w:rPr>
          <w:noProof/>
          <w:color w:val="000000" w:themeColor="text1"/>
        </w:rPr>
        <w:t xml:space="preserve">operate </w:t>
      </w:r>
      <w:r w:rsidR="00E5226B" w:rsidRPr="006C2791">
        <w:rPr>
          <w:noProof/>
          <w:color w:val="000000" w:themeColor="text1"/>
        </w:rPr>
        <w:t>NPPs</w:t>
      </w:r>
      <w:r w:rsidR="008C3997" w:rsidRPr="006C2791">
        <w:rPr>
          <w:noProof/>
          <w:color w:val="000000" w:themeColor="text1"/>
        </w:rPr>
        <w:t xml:space="preserve"> as part of the</w:t>
      </w:r>
      <w:r w:rsidR="00C058BF" w:rsidRPr="006C2791">
        <w:rPr>
          <w:noProof/>
          <w:color w:val="000000" w:themeColor="text1"/>
        </w:rPr>
        <w:t>ir</w:t>
      </w:r>
      <w:r w:rsidR="008C3997" w:rsidRPr="006C2791">
        <w:rPr>
          <w:noProof/>
          <w:color w:val="000000" w:themeColor="text1"/>
        </w:rPr>
        <w:t xml:space="preserve"> national energy mix</w:t>
      </w:r>
      <w:r w:rsidR="00801ED2">
        <w:rPr>
          <w:noProof/>
          <w:color w:val="000000" w:themeColor="text1"/>
        </w:rPr>
        <w:t>, but also</w:t>
      </w:r>
      <w:r w:rsidRPr="006C2791">
        <w:rPr>
          <w:noProof/>
          <w:color w:val="000000" w:themeColor="text1"/>
        </w:rPr>
        <w:t xml:space="preserve"> to the</w:t>
      </w:r>
      <w:r w:rsidR="008C3997" w:rsidRPr="006C2791">
        <w:rPr>
          <w:noProof/>
          <w:color w:val="000000" w:themeColor="text1"/>
        </w:rPr>
        <w:t xml:space="preserve"> many </w:t>
      </w:r>
      <w:r w:rsidR="00801ED2">
        <w:rPr>
          <w:noProof/>
          <w:color w:val="000000" w:themeColor="text1"/>
        </w:rPr>
        <w:t>other</w:t>
      </w:r>
      <w:r w:rsidR="008C3997" w:rsidRPr="006C2791">
        <w:rPr>
          <w:noProof/>
          <w:color w:val="000000" w:themeColor="text1"/>
        </w:rPr>
        <w:t xml:space="preserve"> </w:t>
      </w:r>
      <w:r w:rsidRPr="006C2791">
        <w:rPr>
          <w:noProof/>
          <w:color w:val="000000" w:themeColor="text1"/>
        </w:rPr>
        <w:t xml:space="preserve">Member States </w:t>
      </w:r>
      <w:r w:rsidR="00801ED2">
        <w:rPr>
          <w:noProof/>
          <w:color w:val="000000" w:themeColor="text1"/>
        </w:rPr>
        <w:t xml:space="preserve">that </w:t>
      </w:r>
      <w:r w:rsidR="008C3997" w:rsidRPr="006C2791">
        <w:rPr>
          <w:noProof/>
          <w:color w:val="000000" w:themeColor="text1"/>
        </w:rPr>
        <w:t>operat</w:t>
      </w:r>
      <w:r w:rsidR="00801ED2">
        <w:rPr>
          <w:noProof/>
          <w:color w:val="000000" w:themeColor="text1"/>
        </w:rPr>
        <w:t>e</w:t>
      </w:r>
      <w:r w:rsidR="008C3997" w:rsidRPr="006C2791">
        <w:rPr>
          <w:noProof/>
          <w:color w:val="000000" w:themeColor="text1"/>
        </w:rPr>
        <w:t xml:space="preserve"> reactors for research purposes or radioisotope production</w:t>
      </w:r>
      <w:r w:rsidR="001F2E48">
        <w:rPr>
          <w:noProof/>
          <w:color w:val="000000" w:themeColor="text1"/>
        </w:rPr>
        <w:t>.</w:t>
      </w:r>
      <w:r w:rsidR="008C3997" w:rsidRPr="006C2791">
        <w:rPr>
          <w:noProof/>
          <w:color w:val="000000" w:themeColor="text1"/>
        </w:rPr>
        <w:t xml:space="preserve"> </w:t>
      </w:r>
      <w:r w:rsidR="001F2E48">
        <w:rPr>
          <w:noProof/>
          <w:color w:val="000000" w:themeColor="text1"/>
        </w:rPr>
        <w:t>I</w:t>
      </w:r>
      <w:r w:rsidRPr="006C2791">
        <w:rPr>
          <w:noProof/>
          <w:color w:val="000000" w:themeColor="text1"/>
        </w:rPr>
        <w:t>ndeed,</w:t>
      </w:r>
      <w:r w:rsidR="008C3997" w:rsidRPr="006C2791">
        <w:rPr>
          <w:noProof/>
          <w:color w:val="000000" w:themeColor="text1"/>
        </w:rPr>
        <w:t xml:space="preserve"> </w:t>
      </w:r>
      <w:r w:rsidR="001F2E48">
        <w:rPr>
          <w:noProof/>
          <w:color w:val="000000" w:themeColor="text1"/>
        </w:rPr>
        <w:t xml:space="preserve">it is of interest </w:t>
      </w:r>
      <w:r w:rsidR="00801ED2">
        <w:rPr>
          <w:noProof/>
          <w:color w:val="000000" w:themeColor="text1"/>
        </w:rPr>
        <w:t xml:space="preserve">to </w:t>
      </w:r>
      <w:r w:rsidR="008C3997" w:rsidRPr="006C2791">
        <w:rPr>
          <w:noProof/>
          <w:color w:val="000000" w:themeColor="text1"/>
        </w:rPr>
        <w:t xml:space="preserve">all EU countries </w:t>
      </w:r>
      <w:r w:rsidR="00801ED2">
        <w:rPr>
          <w:noProof/>
          <w:color w:val="000000" w:themeColor="text1"/>
        </w:rPr>
        <w:t xml:space="preserve">that </w:t>
      </w:r>
      <w:r w:rsidR="008C3997" w:rsidRPr="006C2791">
        <w:rPr>
          <w:noProof/>
          <w:color w:val="000000" w:themeColor="text1"/>
        </w:rPr>
        <w:t>use radioisotopes for medic</w:t>
      </w:r>
      <w:r w:rsidR="00C058BF" w:rsidRPr="006C2791">
        <w:rPr>
          <w:noProof/>
          <w:color w:val="000000" w:themeColor="text1"/>
        </w:rPr>
        <w:t>al</w:t>
      </w:r>
      <w:r w:rsidR="008C3997" w:rsidRPr="006C2791">
        <w:rPr>
          <w:noProof/>
          <w:color w:val="000000" w:themeColor="text1"/>
        </w:rPr>
        <w:t xml:space="preserve"> purposes. </w:t>
      </w:r>
      <w:r w:rsidRPr="006C2791">
        <w:rPr>
          <w:noProof/>
          <w:color w:val="000000" w:themeColor="text1"/>
        </w:rPr>
        <w:t>A</w:t>
      </w:r>
      <w:r w:rsidR="008C3997" w:rsidRPr="006C2791">
        <w:rPr>
          <w:noProof/>
          <w:color w:val="000000" w:themeColor="text1"/>
        </w:rPr>
        <w:t xml:space="preserve">ll Member States </w:t>
      </w:r>
      <w:r w:rsidRPr="006C2791">
        <w:rPr>
          <w:noProof/>
          <w:color w:val="000000" w:themeColor="text1"/>
        </w:rPr>
        <w:t xml:space="preserve">stand </w:t>
      </w:r>
      <w:r w:rsidR="008C3997" w:rsidRPr="006C2791">
        <w:rPr>
          <w:noProof/>
          <w:color w:val="000000" w:themeColor="text1"/>
        </w:rPr>
        <w:t xml:space="preserve">to </w:t>
      </w:r>
      <w:r w:rsidRPr="006C2791">
        <w:rPr>
          <w:noProof/>
          <w:color w:val="000000" w:themeColor="text1"/>
        </w:rPr>
        <w:t>benefit</w:t>
      </w:r>
      <w:r w:rsidR="00801ED2">
        <w:rPr>
          <w:noProof/>
          <w:color w:val="000000" w:themeColor="text1"/>
        </w:rPr>
        <w:t xml:space="preserve"> from</w:t>
      </w:r>
      <w:r w:rsidRPr="006C2791">
        <w:rPr>
          <w:noProof/>
          <w:color w:val="000000" w:themeColor="text1"/>
        </w:rPr>
        <w:t xml:space="preserve"> </w:t>
      </w:r>
      <w:r w:rsidR="008C3997" w:rsidRPr="006C2791">
        <w:rPr>
          <w:noProof/>
          <w:color w:val="000000" w:themeColor="text1"/>
        </w:rPr>
        <w:t>develop</w:t>
      </w:r>
      <w:r w:rsidRPr="006C2791">
        <w:rPr>
          <w:noProof/>
          <w:color w:val="000000" w:themeColor="text1"/>
        </w:rPr>
        <w:t>ing</w:t>
      </w:r>
      <w:r w:rsidR="008C3997" w:rsidRPr="006C2791">
        <w:rPr>
          <w:noProof/>
          <w:color w:val="000000" w:themeColor="text1"/>
        </w:rPr>
        <w:t xml:space="preserve"> and shar</w:t>
      </w:r>
      <w:r w:rsidRPr="006C2791">
        <w:rPr>
          <w:noProof/>
          <w:color w:val="000000" w:themeColor="text1"/>
        </w:rPr>
        <w:t>ing</w:t>
      </w:r>
      <w:r w:rsidR="008C3997" w:rsidRPr="006C2791">
        <w:rPr>
          <w:noProof/>
          <w:color w:val="000000" w:themeColor="text1"/>
        </w:rPr>
        <w:t xml:space="preserve"> competencies in nuclear safety and </w:t>
      </w:r>
      <w:r w:rsidR="00801ED2">
        <w:rPr>
          <w:noProof/>
          <w:color w:val="000000" w:themeColor="text1"/>
        </w:rPr>
        <w:t xml:space="preserve">the </w:t>
      </w:r>
      <w:r w:rsidR="008C3997" w:rsidRPr="006C2791">
        <w:rPr>
          <w:noProof/>
          <w:color w:val="000000" w:themeColor="text1"/>
        </w:rPr>
        <w:t>safe management of radioactive waste.</w:t>
      </w:r>
    </w:p>
    <w:p w:rsidR="004F2935" w:rsidRPr="006C2791" w:rsidRDefault="00997547" w:rsidP="00844ECB">
      <w:pPr>
        <w:spacing w:before="0" w:after="240"/>
        <w:rPr>
          <w:rFonts w:eastAsia="Arial Unicode MS"/>
          <w:noProof/>
        </w:rPr>
      </w:pPr>
      <w:r>
        <w:rPr>
          <w:noProof/>
          <w:color w:val="000000" w:themeColor="text1"/>
        </w:rPr>
        <w:t>The</w:t>
      </w:r>
      <w:r w:rsidR="008C3997" w:rsidRPr="006C2791">
        <w:rPr>
          <w:noProof/>
          <w:color w:val="000000" w:themeColor="text1"/>
        </w:rPr>
        <w:t xml:space="preserve"> </w:t>
      </w:r>
      <w:r w:rsidR="008102C9" w:rsidRPr="006C2791">
        <w:rPr>
          <w:noProof/>
          <w:color w:val="000000" w:themeColor="text1"/>
        </w:rPr>
        <w:t>develop</w:t>
      </w:r>
      <w:r>
        <w:rPr>
          <w:noProof/>
          <w:color w:val="000000" w:themeColor="text1"/>
        </w:rPr>
        <w:t>ment</w:t>
      </w:r>
      <w:r w:rsidR="008102C9" w:rsidRPr="006C2791">
        <w:rPr>
          <w:noProof/>
          <w:color w:val="000000" w:themeColor="text1"/>
        </w:rPr>
        <w:t xml:space="preserve"> </w:t>
      </w:r>
      <w:r>
        <w:rPr>
          <w:noProof/>
          <w:color w:val="000000" w:themeColor="text1"/>
        </w:rPr>
        <w:t xml:space="preserve">of </w:t>
      </w:r>
      <w:r w:rsidR="008102C9" w:rsidRPr="006C2791">
        <w:rPr>
          <w:noProof/>
          <w:color w:val="000000" w:themeColor="text1"/>
        </w:rPr>
        <w:t>fusion energy</w:t>
      </w:r>
      <w:r w:rsidR="00E278EB">
        <w:rPr>
          <w:noProof/>
          <w:color w:val="000000" w:themeColor="text1"/>
        </w:rPr>
        <w:t>,</w:t>
      </w:r>
      <w:r w:rsidR="008C3997" w:rsidRPr="006C2791">
        <w:rPr>
          <w:noProof/>
          <w:color w:val="000000" w:themeColor="text1"/>
        </w:rPr>
        <w:t xml:space="preserve"> which</w:t>
      </w:r>
      <w:r w:rsidR="008102C9" w:rsidRPr="006C2791">
        <w:rPr>
          <w:noProof/>
          <w:color w:val="000000" w:themeColor="text1"/>
        </w:rPr>
        <w:t xml:space="preserve"> calls for research efforts on a very large scale</w:t>
      </w:r>
      <w:r>
        <w:rPr>
          <w:noProof/>
          <w:color w:val="000000" w:themeColor="text1"/>
        </w:rPr>
        <w:t>, is in the interest of all EU Member States</w:t>
      </w:r>
      <w:r w:rsidR="008102C9" w:rsidRPr="006C2791">
        <w:rPr>
          <w:noProof/>
          <w:color w:val="000000" w:themeColor="text1"/>
        </w:rPr>
        <w:t xml:space="preserve">. </w:t>
      </w:r>
      <w:r w:rsidR="008C3997" w:rsidRPr="006C2791">
        <w:rPr>
          <w:noProof/>
          <w:color w:val="000000" w:themeColor="text1"/>
        </w:rPr>
        <w:t xml:space="preserve">Finally, </w:t>
      </w:r>
      <w:r w:rsidR="008C3997" w:rsidRPr="006C2791">
        <w:rPr>
          <w:rFonts w:eastAsia="Arial Unicode MS"/>
          <w:noProof/>
        </w:rPr>
        <w:t>a</w:t>
      </w:r>
      <w:r w:rsidR="004F2935" w:rsidRPr="006C2791">
        <w:rPr>
          <w:rFonts w:eastAsia="Arial Unicode MS"/>
          <w:noProof/>
        </w:rPr>
        <w:t xml:space="preserve">ll Member States use </w:t>
      </w:r>
      <w:r w:rsidR="00023299" w:rsidRPr="006C2791">
        <w:rPr>
          <w:rFonts w:eastAsia="Arial Unicode MS"/>
          <w:noProof/>
        </w:rPr>
        <w:t xml:space="preserve">or benefit from </w:t>
      </w:r>
      <w:r w:rsidR="004F2935" w:rsidRPr="006C2791">
        <w:rPr>
          <w:rFonts w:eastAsia="Arial Unicode MS"/>
          <w:noProof/>
        </w:rPr>
        <w:t xml:space="preserve">radiation </w:t>
      </w:r>
      <w:r w:rsidR="00023299" w:rsidRPr="006C2791">
        <w:rPr>
          <w:rFonts w:eastAsia="Arial Unicode MS"/>
          <w:noProof/>
        </w:rPr>
        <w:t xml:space="preserve">in </w:t>
      </w:r>
      <w:r w:rsidR="004F2935" w:rsidRPr="006C2791">
        <w:rPr>
          <w:rFonts w:eastAsia="Arial Unicode MS"/>
          <w:noProof/>
        </w:rPr>
        <w:t>medical</w:t>
      </w:r>
      <w:r w:rsidR="00FC2388" w:rsidRPr="006C2791">
        <w:rPr>
          <w:rFonts w:eastAsia="Arial Unicode MS"/>
          <w:noProof/>
        </w:rPr>
        <w:t>,</w:t>
      </w:r>
      <w:r w:rsidR="004F2935" w:rsidRPr="006C2791">
        <w:rPr>
          <w:rFonts w:eastAsia="Arial Unicode MS"/>
          <w:noProof/>
        </w:rPr>
        <w:t xml:space="preserve"> industrial</w:t>
      </w:r>
      <w:r w:rsidR="00FC2388" w:rsidRPr="006C2791">
        <w:rPr>
          <w:rFonts w:eastAsia="Arial Unicode MS"/>
          <w:noProof/>
        </w:rPr>
        <w:t>, agricultural, environmental and security</w:t>
      </w:r>
      <w:r w:rsidR="004F2935" w:rsidRPr="006C2791">
        <w:rPr>
          <w:rFonts w:eastAsia="Arial Unicode MS"/>
          <w:noProof/>
        </w:rPr>
        <w:t xml:space="preserve"> applications. The harmonised standards laid down by the various </w:t>
      </w:r>
      <w:r w:rsidR="008C3997" w:rsidRPr="006C2791">
        <w:rPr>
          <w:rFonts w:eastAsia="Arial Unicode MS"/>
          <w:noProof/>
        </w:rPr>
        <w:t xml:space="preserve">Euratom </w:t>
      </w:r>
      <w:r w:rsidR="00E278EB">
        <w:rPr>
          <w:rFonts w:eastAsia="Arial Unicode MS"/>
          <w:noProof/>
        </w:rPr>
        <w:t>d</w:t>
      </w:r>
      <w:r w:rsidR="004F2935" w:rsidRPr="006C2791">
        <w:rPr>
          <w:rFonts w:eastAsia="Arial Unicode MS"/>
          <w:noProof/>
        </w:rPr>
        <w:t xml:space="preserve">irectives clearly underline the need </w:t>
      </w:r>
      <w:r w:rsidR="00CF3D4B" w:rsidRPr="00CF3D4B">
        <w:rPr>
          <w:rFonts w:eastAsia="Arial Unicode MS"/>
          <w:noProof/>
        </w:rPr>
        <w:t>for a uniform approach to technical matters and training</w:t>
      </w:r>
      <w:r w:rsidR="004F2935" w:rsidRPr="006C2791">
        <w:rPr>
          <w:rFonts w:eastAsia="Arial Unicode MS"/>
          <w:noProof/>
        </w:rPr>
        <w:t xml:space="preserve"> across the EU.</w:t>
      </w:r>
    </w:p>
    <w:p w:rsidR="008F031D" w:rsidRPr="006C2791" w:rsidRDefault="00D1206C" w:rsidP="00550536">
      <w:pPr>
        <w:pBdr>
          <w:top w:val="nil"/>
          <w:left w:val="nil"/>
          <w:bottom w:val="nil"/>
          <w:right w:val="nil"/>
          <w:between w:val="nil"/>
          <w:bar w:val="nil"/>
        </w:pBdr>
        <w:spacing w:before="0" w:after="240"/>
        <w:rPr>
          <w:rFonts w:eastAsia="Arial Unicode MS"/>
          <w:noProof/>
        </w:rPr>
      </w:pPr>
      <w:r w:rsidRPr="00D1206C">
        <w:rPr>
          <w:rFonts w:eastAsia="Arial Unicode MS"/>
          <w:noProof/>
        </w:rPr>
        <w:t xml:space="preserve">Nuclear security is a national responsibility. However, to reinforce capacity building at </w:t>
      </w:r>
      <w:r>
        <w:rPr>
          <w:rFonts w:eastAsia="Arial Unicode MS"/>
          <w:noProof/>
        </w:rPr>
        <w:t xml:space="preserve">the </w:t>
      </w:r>
      <w:r w:rsidRPr="00D1206C">
        <w:rPr>
          <w:rFonts w:eastAsia="Arial Unicode MS"/>
          <w:noProof/>
        </w:rPr>
        <w:t>EU and national level, the Programme’s direct actions help to address some of the security challenges facing the EU and the global dimensions of those challenges in the fields of mitigation of CBRN security risks, nuclear and radiological material detection and forensics analysis, along with appropriate training. Safeguards are the exclusive competence of the Euratom Community and continuous technical support, research and development in this area through direct actions are crucial to keep the Euratom safeguards system efficient and effective.</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Proportionality</w:t>
      </w:r>
    </w:p>
    <w:p w:rsidR="008F031D" w:rsidRPr="006C2791" w:rsidRDefault="00B43554" w:rsidP="00550536">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The Programme provides for measures </w:t>
      </w:r>
      <w:r w:rsidR="004F2935" w:rsidRPr="006C2791">
        <w:rPr>
          <w:rFonts w:eastAsia="Arial Unicode MS"/>
          <w:noProof/>
        </w:rPr>
        <w:t xml:space="preserve">to </w:t>
      </w:r>
      <w:r w:rsidRPr="006C2791">
        <w:rPr>
          <w:rFonts w:eastAsia="Arial Unicode MS"/>
          <w:noProof/>
        </w:rPr>
        <w:t xml:space="preserve">support researchers </w:t>
      </w:r>
      <w:r w:rsidR="004F2935" w:rsidRPr="006C2791">
        <w:rPr>
          <w:rFonts w:eastAsia="Arial Unicode MS"/>
          <w:noProof/>
        </w:rPr>
        <w:t>and coordinate Member States</w:t>
      </w:r>
      <w:r w:rsidR="00E5226B" w:rsidRPr="006C2791">
        <w:rPr>
          <w:rFonts w:eastAsia="Arial Unicode MS"/>
          <w:noProof/>
        </w:rPr>
        <w:t>’</w:t>
      </w:r>
      <w:r w:rsidR="004F2935" w:rsidRPr="006C2791">
        <w:rPr>
          <w:rFonts w:eastAsia="Arial Unicode MS"/>
          <w:noProof/>
        </w:rPr>
        <w:t xml:space="preserve"> research efforts</w:t>
      </w:r>
      <w:r w:rsidR="009833CB">
        <w:rPr>
          <w:rFonts w:eastAsia="Arial Unicode MS"/>
          <w:noProof/>
        </w:rPr>
        <w:t xml:space="preserve"> with a view to</w:t>
      </w:r>
      <w:r w:rsidR="004F2935" w:rsidRPr="006C2791">
        <w:rPr>
          <w:rFonts w:eastAsia="Arial Unicode MS"/>
          <w:noProof/>
        </w:rPr>
        <w:t xml:space="preserve"> avoid</w:t>
      </w:r>
      <w:r w:rsidR="009833CB">
        <w:rPr>
          <w:rFonts w:eastAsia="Arial Unicode MS"/>
          <w:noProof/>
        </w:rPr>
        <w:t>ing</w:t>
      </w:r>
      <w:r w:rsidR="004F2935" w:rsidRPr="006C2791">
        <w:rPr>
          <w:rFonts w:eastAsia="Arial Unicode MS"/>
          <w:noProof/>
        </w:rPr>
        <w:t xml:space="preserve"> duplication, retain</w:t>
      </w:r>
      <w:r w:rsidR="009833CB">
        <w:rPr>
          <w:rFonts w:eastAsia="Arial Unicode MS"/>
          <w:noProof/>
        </w:rPr>
        <w:t>ing</w:t>
      </w:r>
      <w:r w:rsidR="004F2935" w:rsidRPr="006C2791">
        <w:rPr>
          <w:rFonts w:eastAsia="Arial Unicode MS"/>
          <w:noProof/>
        </w:rPr>
        <w:t xml:space="preserve"> critical mass in key areas and ensur</w:t>
      </w:r>
      <w:r w:rsidR="009833CB">
        <w:rPr>
          <w:rFonts w:eastAsia="Arial Unicode MS"/>
          <w:noProof/>
        </w:rPr>
        <w:t>ing</w:t>
      </w:r>
      <w:r w:rsidR="00E278EB">
        <w:rPr>
          <w:rFonts w:eastAsia="Arial Unicode MS"/>
          <w:noProof/>
        </w:rPr>
        <w:t xml:space="preserve"> that</w:t>
      </w:r>
      <w:r w:rsidR="004F2935" w:rsidRPr="006C2791">
        <w:rPr>
          <w:rFonts w:eastAsia="Arial Unicode MS"/>
          <w:noProof/>
        </w:rPr>
        <w:t xml:space="preserve"> public funds are spent to best effect. Such measures may </w:t>
      </w:r>
      <w:r w:rsidR="004B09E8">
        <w:rPr>
          <w:rFonts w:eastAsia="Arial Unicode MS"/>
          <w:noProof/>
        </w:rPr>
        <w:t>lead to</w:t>
      </w:r>
      <w:r w:rsidR="004F2935" w:rsidRPr="006C2791">
        <w:rPr>
          <w:rFonts w:eastAsia="Arial Unicode MS"/>
          <w:noProof/>
        </w:rPr>
        <w:t xml:space="preserve"> additional public and private investments in </w:t>
      </w:r>
      <w:r w:rsidR="00686BAE" w:rsidRPr="006C2791">
        <w:rPr>
          <w:rFonts w:eastAsia="Arial Unicode MS"/>
          <w:noProof/>
        </w:rPr>
        <w:t>R&amp;I</w:t>
      </w:r>
      <w:r w:rsidR="004F2935" w:rsidRPr="006C2791">
        <w:rPr>
          <w:rFonts w:eastAsia="Arial Unicode MS"/>
          <w:noProof/>
        </w:rPr>
        <w:t>. They are also needed to support policymaking and meet the objectives set out in EU policies. The proposed measures do not go beyond what is required to achieve the Community’s objectives.</w:t>
      </w:r>
    </w:p>
    <w:p w:rsidR="008F031D" w:rsidRPr="006C2791" w:rsidRDefault="008F031D" w:rsidP="00B377BF">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Choice of the instrument</w:t>
      </w:r>
    </w:p>
    <w:p w:rsidR="008F031D" w:rsidRPr="006C2791" w:rsidRDefault="002F3881" w:rsidP="00B43554">
      <w:pPr>
        <w:pBdr>
          <w:top w:val="nil"/>
          <w:left w:val="nil"/>
          <w:bottom w:val="nil"/>
          <w:right w:val="nil"/>
          <w:between w:val="nil"/>
          <w:bar w:val="nil"/>
        </w:pBdr>
        <w:spacing w:before="0" w:after="240"/>
        <w:rPr>
          <w:rFonts w:eastAsia="Arial Unicode MS"/>
          <w:noProof/>
        </w:rPr>
      </w:pPr>
      <w:r w:rsidRPr="006C2791">
        <w:rPr>
          <w:rFonts w:eastAsia="Arial Unicode MS"/>
          <w:noProof/>
        </w:rPr>
        <w:t xml:space="preserve">The </w:t>
      </w:r>
      <w:r w:rsidR="000E329B" w:rsidRPr="006C2791">
        <w:rPr>
          <w:rFonts w:eastAsia="Arial Unicode MS"/>
          <w:noProof/>
        </w:rPr>
        <w:t>P</w:t>
      </w:r>
      <w:r w:rsidRPr="006C2791">
        <w:rPr>
          <w:rFonts w:eastAsia="Arial Unicode MS"/>
          <w:noProof/>
        </w:rPr>
        <w:t xml:space="preserve">rogramme </w:t>
      </w:r>
      <w:r w:rsidR="009B3D4F" w:rsidRPr="006C2791">
        <w:rPr>
          <w:rFonts w:eastAsia="Arial Unicode MS"/>
          <w:noProof/>
        </w:rPr>
        <w:t>will</w:t>
      </w:r>
      <w:r w:rsidRPr="006C2791">
        <w:rPr>
          <w:rFonts w:eastAsia="Arial Unicode MS"/>
          <w:noProof/>
        </w:rPr>
        <w:t xml:space="preserve"> </w:t>
      </w:r>
      <w:r w:rsidR="000E329B" w:rsidRPr="006C2791">
        <w:rPr>
          <w:rFonts w:eastAsia="Arial Unicode MS"/>
          <w:noProof/>
        </w:rPr>
        <w:t xml:space="preserve">be </w:t>
      </w:r>
      <w:r w:rsidRPr="006C2791">
        <w:rPr>
          <w:rFonts w:eastAsia="Arial Unicode MS"/>
          <w:noProof/>
        </w:rPr>
        <w:t xml:space="preserve">implemented by a </w:t>
      </w:r>
      <w:r w:rsidR="00C44424" w:rsidRPr="006C2791">
        <w:rPr>
          <w:rFonts w:eastAsia="Arial Unicode MS"/>
          <w:noProof/>
        </w:rPr>
        <w:t xml:space="preserve">Council </w:t>
      </w:r>
      <w:r w:rsidR="00C12E3B">
        <w:rPr>
          <w:rFonts w:eastAsia="Arial Unicode MS"/>
          <w:noProof/>
        </w:rPr>
        <w:t>r</w:t>
      </w:r>
      <w:r w:rsidR="00C44424" w:rsidRPr="006C2791">
        <w:rPr>
          <w:rFonts w:eastAsia="Arial Unicode MS"/>
          <w:noProof/>
        </w:rPr>
        <w:t>egulation</w:t>
      </w:r>
      <w:r w:rsidR="00C12E3B">
        <w:rPr>
          <w:rFonts w:eastAsia="Arial Unicode MS"/>
          <w:noProof/>
        </w:rPr>
        <w:t>,</w:t>
      </w:r>
      <w:r w:rsidR="00686BAE" w:rsidRPr="006C2791">
        <w:rPr>
          <w:rFonts w:eastAsia="Arial Unicode MS"/>
          <w:noProof/>
        </w:rPr>
        <w:t xml:space="preserve"> as w</w:t>
      </w:r>
      <w:r w:rsidR="00C12E3B">
        <w:rPr>
          <w:rFonts w:eastAsia="Arial Unicode MS"/>
          <w:noProof/>
        </w:rPr>
        <w:t>as</w:t>
      </w:r>
      <w:r w:rsidR="00686BAE" w:rsidRPr="006C2791">
        <w:rPr>
          <w:rFonts w:eastAsia="Arial Unicode MS"/>
          <w:noProof/>
        </w:rPr>
        <w:t xml:space="preserve"> </w:t>
      </w:r>
      <w:r w:rsidR="000E329B" w:rsidRPr="006C2791">
        <w:rPr>
          <w:rFonts w:eastAsia="Arial Unicode MS"/>
          <w:noProof/>
        </w:rPr>
        <w:t>its</w:t>
      </w:r>
      <w:r w:rsidR="00DE047A" w:rsidRPr="006C2791">
        <w:rPr>
          <w:rFonts w:eastAsia="Arial Unicode MS"/>
          <w:noProof/>
        </w:rPr>
        <w:t xml:space="preserve"> predecessor</w:t>
      </w:r>
      <w:r w:rsidR="004F2935" w:rsidRPr="006C2791">
        <w:rPr>
          <w:rFonts w:eastAsia="Arial Unicode MS"/>
          <w:noProof/>
        </w:rPr>
        <w:t>.</w:t>
      </w:r>
      <w:r w:rsidR="000E329B" w:rsidRPr="006C2791">
        <w:rPr>
          <w:rFonts w:eastAsia="Arial Unicode MS"/>
          <w:noProof/>
        </w:rPr>
        <w:t xml:space="preserve"> </w:t>
      </w:r>
      <w:r w:rsidR="004F2935" w:rsidRPr="006C2791">
        <w:rPr>
          <w:rFonts w:eastAsia="Arial Unicode MS"/>
          <w:noProof/>
        </w:rPr>
        <w:t>This creates rights and obligations for beneficiaries that are binding in their entirety and directly applicable in all EU Member States and countries associated with the Programme.</w:t>
      </w:r>
      <w:r w:rsidR="00943068" w:rsidRPr="006C2791">
        <w:rPr>
          <w:rFonts w:eastAsia="Arial Unicode MS"/>
          <w:noProof/>
        </w:rPr>
        <w:t xml:space="preserve"> </w:t>
      </w:r>
      <w:r w:rsidR="004F2935" w:rsidRPr="006C2791">
        <w:rPr>
          <w:rFonts w:eastAsia="Arial Unicode MS"/>
          <w:noProof/>
        </w:rPr>
        <w:t xml:space="preserve">This is also consistent with the way </w:t>
      </w:r>
      <w:r w:rsidR="00C12E3B">
        <w:rPr>
          <w:rFonts w:eastAsia="Arial Unicode MS"/>
          <w:noProof/>
        </w:rPr>
        <w:t xml:space="preserve">in which </w:t>
      </w:r>
      <w:r w:rsidR="004F2935" w:rsidRPr="006C2791">
        <w:rPr>
          <w:rFonts w:eastAsia="Arial Unicode MS"/>
          <w:noProof/>
        </w:rPr>
        <w:t xml:space="preserve">other </w:t>
      </w:r>
      <w:r w:rsidR="00943068" w:rsidRPr="006C2791">
        <w:rPr>
          <w:rFonts w:eastAsia="Arial Unicode MS"/>
          <w:noProof/>
        </w:rPr>
        <w:t xml:space="preserve">EU </w:t>
      </w:r>
      <w:r w:rsidR="004F2935" w:rsidRPr="006C2791">
        <w:rPr>
          <w:rFonts w:eastAsia="Arial Unicode MS"/>
          <w:noProof/>
        </w:rPr>
        <w:t xml:space="preserve">spending programmes are </w:t>
      </w:r>
      <w:r w:rsidR="00973ED5">
        <w:rPr>
          <w:rFonts w:eastAsia="Arial Unicode MS"/>
          <w:noProof/>
        </w:rPr>
        <w:t>set up</w:t>
      </w:r>
      <w:r w:rsidR="004F2935" w:rsidRPr="006C2791">
        <w:rPr>
          <w:rFonts w:eastAsia="Arial Unicode MS"/>
          <w:noProof/>
        </w:rPr>
        <w:t>.</w:t>
      </w:r>
    </w:p>
    <w:p w:rsidR="008F031D" w:rsidRPr="006C2791" w:rsidRDefault="008F031D" w:rsidP="00550536">
      <w:pPr>
        <w:pStyle w:val="ManualHeading1"/>
        <w:rPr>
          <w:noProof/>
        </w:rPr>
      </w:pPr>
      <w:r w:rsidRPr="006C2791">
        <w:rPr>
          <w:noProof/>
        </w:rPr>
        <w:t>3.</w:t>
      </w:r>
      <w:r w:rsidRPr="006C2791">
        <w:rPr>
          <w:noProof/>
        </w:rPr>
        <w:tab/>
        <w:t>RESULTS OF EVALUATIONS, STAKEHOLDER CONSULTATIONS AND IMPACT ASSESSMENTS</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Evaluations/fitness checks of existing legislation</w:t>
      </w:r>
    </w:p>
    <w:p w:rsidR="00C45217" w:rsidRPr="006C2791" w:rsidRDefault="00CF1C0A" w:rsidP="00550536">
      <w:pPr>
        <w:pBdr>
          <w:top w:val="nil"/>
          <w:left w:val="nil"/>
          <w:bottom w:val="nil"/>
          <w:right w:val="nil"/>
          <w:between w:val="nil"/>
          <w:bar w:val="nil"/>
        </w:pBdr>
        <w:spacing w:before="0" w:after="240"/>
        <w:rPr>
          <w:noProof/>
        </w:rPr>
      </w:pPr>
      <w:bookmarkStart w:id="5" w:name="_Hlk174797757"/>
      <w:r w:rsidRPr="006C2791">
        <w:rPr>
          <w:noProof/>
        </w:rPr>
        <w:t>This proposal drew on t</w:t>
      </w:r>
      <w:r w:rsidR="00A921B0" w:rsidRPr="006C2791">
        <w:rPr>
          <w:noProof/>
        </w:rPr>
        <w:t xml:space="preserve">he </w:t>
      </w:r>
      <w:r w:rsidR="00C45217" w:rsidRPr="006C2791">
        <w:rPr>
          <w:i/>
          <w:iCs/>
          <w:noProof/>
        </w:rPr>
        <w:t>ex</w:t>
      </w:r>
      <w:r w:rsidR="00835251">
        <w:rPr>
          <w:i/>
          <w:iCs/>
          <w:noProof/>
        </w:rPr>
        <w:t xml:space="preserve"> </w:t>
      </w:r>
      <w:r w:rsidR="00C45217" w:rsidRPr="006C2791">
        <w:rPr>
          <w:i/>
          <w:iCs/>
          <w:noProof/>
        </w:rPr>
        <w:t>post</w:t>
      </w:r>
      <w:r w:rsidR="00C45217" w:rsidRPr="006C2791">
        <w:rPr>
          <w:noProof/>
        </w:rPr>
        <w:t xml:space="preserve"> evaluation</w:t>
      </w:r>
      <w:r w:rsidR="00750AB9" w:rsidRPr="006C2791">
        <w:rPr>
          <w:rStyle w:val="FootnoteReference"/>
          <w:noProof/>
        </w:rPr>
        <w:footnoteReference w:id="18"/>
      </w:r>
      <w:r w:rsidR="00C45217" w:rsidRPr="006C2791">
        <w:rPr>
          <w:noProof/>
        </w:rPr>
        <w:t xml:space="preserve"> of the 2014-2020 Euratom </w:t>
      </w:r>
      <w:r w:rsidR="00750AB9">
        <w:rPr>
          <w:noProof/>
        </w:rPr>
        <w:t xml:space="preserve">Research and Training </w:t>
      </w:r>
      <w:r w:rsidR="00C45217" w:rsidRPr="006C2791">
        <w:rPr>
          <w:noProof/>
        </w:rPr>
        <w:t>Programme</w:t>
      </w:r>
      <w:r w:rsidR="00750AB9">
        <w:rPr>
          <w:noProof/>
        </w:rPr>
        <w:t>s</w:t>
      </w:r>
      <w:r w:rsidR="00750AB9">
        <w:rPr>
          <w:rStyle w:val="FootnoteReference"/>
          <w:noProof/>
        </w:rPr>
        <w:footnoteReference w:id="19"/>
      </w:r>
      <w:r w:rsidR="00C45217" w:rsidRPr="006C2791">
        <w:rPr>
          <w:noProof/>
        </w:rPr>
        <w:t xml:space="preserve"> and the </w:t>
      </w:r>
      <w:r w:rsidR="00A921B0" w:rsidRPr="006C2791">
        <w:rPr>
          <w:noProof/>
        </w:rPr>
        <w:t>interim evaluation</w:t>
      </w:r>
      <w:r w:rsidR="00750AB9" w:rsidRPr="006C2791">
        <w:rPr>
          <w:rStyle w:val="FootnoteReference"/>
          <w:noProof/>
        </w:rPr>
        <w:footnoteReference w:id="20"/>
      </w:r>
      <w:r w:rsidR="00A921B0" w:rsidRPr="006C2791">
        <w:rPr>
          <w:noProof/>
        </w:rPr>
        <w:t xml:space="preserve"> of the 2021-2025 Programme</w:t>
      </w:r>
      <w:r w:rsidR="005A39BB" w:rsidRPr="006C2791">
        <w:rPr>
          <w:noProof/>
        </w:rPr>
        <w:t>.</w:t>
      </w:r>
    </w:p>
    <w:p w:rsidR="002D4EF3" w:rsidRPr="006C2791" w:rsidRDefault="00073958" w:rsidP="00DA692C">
      <w:pPr>
        <w:pBdr>
          <w:top w:val="nil"/>
          <w:left w:val="nil"/>
          <w:bottom w:val="nil"/>
          <w:right w:val="nil"/>
          <w:between w:val="nil"/>
          <w:bar w:val="nil"/>
        </w:pBdr>
        <w:spacing w:before="0" w:after="240"/>
        <w:rPr>
          <w:noProof/>
          <w:szCs w:val="28"/>
        </w:rPr>
      </w:pPr>
      <w:bookmarkStart w:id="7" w:name="_Hlk182916279"/>
      <w:r w:rsidRPr="006C2791">
        <w:rPr>
          <w:noProof/>
          <w:szCs w:val="28"/>
        </w:rPr>
        <w:t>T</w:t>
      </w:r>
      <w:r w:rsidR="00BE2C50" w:rsidRPr="006C2791">
        <w:rPr>
          <w:noProof/>
          <w:szCs w:val="28"/>
        </w:rPr>
        <w:t xml:space="preserve">he </w:t>
      </w:r>
      <w:r w:rsidR="008D79B9" w:rsidRPr="006C2791">
        <w:rPr>
          <w:i/>
          <w:iCs/>
          <w:noProof/>
          <w:szCs w:val="28"/>
        </w:rPr>
        <w:t>ex</w:t>
      </w:r>
      <w:r w:rsidR="00835251">
        <w:rPr>
          <w:i/>
          <w:iCs/>
          <w:noProof/>
          <w:szCs w:val="28"/>
        </w:rPr>
        <w:t xml:space="preserve"> </w:t>
      </w:r>
      <w:r w:rsidR="008D79B9" w:rsidRPr="006C2791">
        <w:rPr>
          <w:i/>
          <w:iCs/>
          <w:noProof/>
          <w:szCs w:val="28"/>
        </w:rPr>
        <w:t>post</w:t>
      </w:r>
      <w:r w:rsidR="008D79B9" w:rsidRPr="006C2791">
        <w:rPr>
          <w:noProof/>
          <w:szCs w:val="28"/>
        </w:rPr>
        <w:t xml:space="preserve"> </w:t>
      </w:r>
      <w:r w:rsidR="00BE2C50" w:rsidRPr="006C2791">
        <w:rPr>
          <w:noProof/>
          <w:szCs w:val="28"/>
        </w:rPr>
        <w:t xml:space="preserve">evaluation </w:t>
      </w:r>
      <w:r w:rsidR="001E0854" w:rsidRPr="006C2791">
        <w:rPr>
          <w:noProof/>
          <w:szCs w:val="28"/>
        </w:rPr>
        <w:t>concluded that the 2014-2020 Programme</w:t>
      </w:r>
      <w:r w:rsidR="00002F77">
        <w:rPr>
          <w:noProof/>
          <w:szCs w:val="28"/>
        </w:rPr>
        <w:t xml:space="preserve"> had</w:t>
      </w:r>
      <w:r w:rsidR="001E0854" w:rsidRPr="006C2791">
        <w:rPr>
          <w:noProof/>
          <w:szCs w:val="28"/>
        </w:rPr>
        <w:t xml:space="preserve"> </w:t>
      </w:r>
      <w:r w:rsidR="005F1490">
        <w:rPr>
          <w:noProof/>
          <w:szCs w:val="28"/>
        </w:rPr>
        <w:t xml:space="preserve">provided </w:t>
      </w:r>
      <w:r w:rsidR="001E0854" w:rsidRPr="006C2791">
        <w:rPr>
          <w:noProof/>
          <w:szCs w:val="28"/>
        </w:rPr>
        <w:t>significant support</w:t>
      </w:r>
      <w:r w:rsidR="005F1490">
        <w:rPr>
          <w:noProof/>
          <w:szCs w:val="28"/>
        </w:rPr>
        <w:t xml:space="preserve"> for</w:t>
      </w:r>
      <w:r w:rsidR="001E0854" w:rsidRPr="006C2791">
        <w:rPr>
          <w:noProof/>
          <w:szCs w:val="28"/>
        </w:rPr>
        <w:t xml:space="preserve"> nuclear safety, security and radiation protection,</w:t>
      </w:r>
      <w:r w:rsidR="005F1490">
        <w:rPr>
          <w:noProof/>
          <w:szCs w:val="28"/>
        </w:rPr>
        <w:t xml:space="preserve"> and</w:t>
      </w:r>
      <w:r w:rsidR="001E0854" w:rsidRPr="006C2791">
        <w:rPr>
          <w:noProof/>
          <w:szCs w:val="28"/>
        </w:rPr>
        <w:t xml:space="preserve"> help</w:t>
      </w:r>
      <w:r w:rsidR="005F1490">
        <w:rPr>
          <w:noProof/>
          <w:szCs w:val="28"/>
        </w:rPr>
        <w:t>ed to</w:t>
      </w:r>
      <w:r w:rsidR="001E0854" w:rsidRPr="006C2791">
        <w:rPr>
          <w:noProof/>
          <w:szCs w:val="28"/>
        </w:rPr>
        <w:t xml:space="preserve"> ensure that Europe meets the highest standards in th</w:t>
      </w:r>
      <w:r w:rsidR="005F1490">
        <w:rPr>
          <w:noProof/>
          <w:szCs w:val="28"/>
        </w:rPr>
        <w:t>o</w:t>
      </w:r>
      <w:r w:rsidR="001E0854" w:rsidRPr="006C2791">
        <w:rPr>
          <w:noProof/>
          <w:szCs w:val="28"/>
        </w:rPr>
        <w:t xml:space="preserve">se fields. The </w:t>
      </w:r>
      <w:r w:rsidR="002E0E8A" w:rsidRPr="006C2791">
        <w:rPr>
          <w:noProof/>
          <w:szCs w:val="28"/>
        </w:rPr>
        <w:t xml:space="preserve">2014-2020 </w:t>
      </w:r>
      <w:r w:rsidR="001E0854" w:rsidRPr="006C2791">
        <w:rPr>
          <w:noProof/>
          <w:szCs w:val="28"/>
        </w:rPr>
        <w:t xml:space="preserve">Programme </w:t>
      </w:r>
      <w:r w:rsidR="00844ECB" w:rsidRPr="006C2791">
        <w:rPr>
          <w:noProof/>
          <w:szCs w:val="28"/>
        </w:rPr>
        <w:t xml:space="preserve">also </w:t>
      </w:r>
      <w:r w:rsidR="001E0854" w:rsidRPr="006C2791">
        <w:rPr>
          <w:noProof/>
          <w:szCs w:val="28"/>
        </w:rPr>
        <w:t>contribute</w:t>
      </w:r>
      <w:r w:rsidR="00844ECB" w:rsidRPr="006C2791">
        <w:rPr>
          <w:noProof/>
          <w:szCs w:val="28"/>
        </w:rPr>
        <w:t>d</w:t>
      </w:r>
      <w:r w:rsidR="001E0854" w:rsidRPr="006C2791">
        <w:rPr>
          <w:noProof/>
          <w:szCs w:val="28"/>
        </w:rPr>
        <w:t xml:space="preserve"> to the long-term decarbonisation of the EU’s energy system by</w:t>
      </w:r>
      <w:r w:rsidR="00542A50">
        <w:rPr>
          <w:noProof/>
          <w:szCs w:val="28"/>
        </w:rPr>
        <w:t>:</w:t>
      </w:r>
      <w:r w:rsidR="001E0854" w:rsidRPr="006C2791">
        <w:rPr>
          <w:noProof/>
          <w:szCs w:val="28"/>
        </w:rPr>
        <w:t xml:space="preserve"> </w:t>
      </w:r>
      <w:r w:rsidR="00542A50">
        <w:rPr>
          <w:noProof/>
          <w:szCs w:val="28"/>
        </w:rPr>
        <w:t xml:space="preserve">(i) </w:t>
      </w:r>
      <w:r w:rsidR="001E0854" w:rsidRPr="006C2791">
        <w:rPr>
          <w:noProof/>
          <w:szCs w:val="28"/>
        </w:rPr>
        <w:t>providing a knowledge base and solutions for the long-term operation of existing NPPs</w:t>
      </w:r>
      <w:r w:rsidR="00542A50">
        <w:rPr>
          <w:noProof/>
          <w:szCs w:val="28"/>
        </w:rPr>
        <w:t>; (ii)</w:t>
      </w:r>
      <w:r w:rsidR="001E0854" w:rsidRPr="006C2791">
        <w:rPr>
          <w:noProof/>
          <w:szCs w:val="28"/>
        </w:rPr>
        <w:t xml:space="preserve"> advancing knowledge and technologies necessary for the development of fusion energy</w:t>
      </w:r>
      <w:r w:rsidR="00542A50">
        <w:rPr>
          <w:noProof/>
          <w:szCs w:val="28"/>
        </w:rPr>
        <w:t>;</w:t>
      </w:r>
      <w:r w:rsidR="001E0854" w:rsidRPr="006C2791">
        <w:rPr>
          <w:noProof/>
          <w:szCs w:val="28"/>
        </w:rPr>
        <w:t xml:space="preserve"> and</w:t>
      </w:r>
      <w:r w:rsidR="00542A50">
        <w:rPr>
          <w:noProof/>
          <w:szCs w:val="28"/>
        </w:rPr>
        <w:t xml:space="preserve"> (iii)</w:t>
      </w:r>
      <w:r w:rsidR="001E0854" w:rsidRPr="006C2791">
        <w:rPr>
          <w:noProof/>
          <w:szCs w:val="28"/>
        </w:rPr>
        <w:t xml:space="preserve"> </w:t>
      </w:r>
      <w:r w:rsidR="00095487" w:rsidRPr="006C2791">
        <w:rPr>
          <w:noProof/>
          <w:szCs w:val="28"/>
        </w:rPr>
        <w:t xml:space="preserve">building </w:t>
      </w:r>
      <w:r w:rsidR="001E0854" w:rsidRPr="006C2791">
        <w:rPr>
          <w:noProof/>
          <w:szCs w:val="28"/>
        </w:rPr>
        <w:t>the safety case for advanced nuclear systems.</w:t>
      </w:r>
      <w:r w:rsidR="00BE2C50" w:rsidRPr="006C2791">
        <w:rPr>
          <w:noProof/>
          <w:szCs w:val="28"/>
        </w:rPr>
        <w:t xml:space="preserve"> </w:t>
      </w:r>
      <w:r w:rsidR="00466961" w:rsidRPr="006C2791">
        <w:rPr>
          <w:noProof/>
          <w:szCs w:val="28"/>
        </w:rPr>
        <w:t xml:space="preserve">The Programme also </w:t>
      </w:r>
      <w:r w:rsidR="002D4EF3" w:rsidRPr="006C2791">
        <w:rPr>
          <w:noProof/>
          <w:szCs w:val="28"/>
        </w:rPr>
        <w:t>helped</w:t>
      </w:r>
      <w:r w:rsidR="00466961" w:rsidRPr="006C2791">
        <w:rPr>
          <w:noProof/>
          <w:szCs w:val="28"/>
        </w:rPr>
        <w:t xml:space="preserve"> to </w:t>
      </w:r>
      <w:r w:rsidR="008A367F" w:rsidRPr="006C2791">
        <w:rPr>
          <w:noProof/>
          <w:szCs w:val="28"/>
        </w:rPr>
        <w:t xml:space="preserve">maintain and </w:t>
      </w:r>
      <w:r w:rsidR="00971DA8" w:rsidRPr="006C2791">
        <w:rPr>
          <w:noProof/>
          <w:szCs w:val="28"/>
        </w:rPr>
        <w:t xml:space="preserve">further develop essential nuclear skills </w:t>
      </w:r>
      <w:r w:rsidR="00C10DDC" w:rsidRPr="006C2791">
        <w:rPr>
          <w:noProof/>
          <w:szCs w:val="28"/>
        </w:rPr>
        <w:t>through effective knowledge management and a wide offer of education and training</w:t>
      </w:r>
      <w:r w:rsidR="00140974" w:rsidRPr="006C2791">
        <w:rPr>
          <w:noProof/>
          <w:szCs w:val="28"/>
        </w:rPr>
        <w:t>, while continuously supporting nuclear</w:t>
      </w:r>
      <w:r w:rsidR="00542A50">
        <w:rPr>
          <w:noProof/>
          <w:szCs w:val="28"/>
        </w:rPr>
        <w:t>-</w:t>
      </w:r>
      <w:r w:rsidR="00140974" w:rsidRPr="006C2791">
        <w:rPr>
          <w:noProof/>
          <w:szCs w:val="28"/>
        </w:rPr>
        <w:t>related policies</w:t>
      </w:r>
      <w:r w:rsidR="00C10DDC" w:rsidRPr="006C2791">
        <w:rPr>
          <w:noProof/>
          <w:szCs w:val="28"/>
        </w:rPr>
        <w:t xml:space="preserve">. </w:t>
      </w:r>
      <w:r w:rsidR="002D4EF3" w:rsidRPr="006C2791">
        <w:rPr>
          <w:noProof/>
          <w:szCs w:val="28"/>
        </w:rPr>
        <w:t>The Programme has been of particular benefit to smaller Member States</w:t>
      </w:r>
      <w:r w:rsidR="00542A50">
        <w:rPr>
          <w:noProof/>
          <w:szCs w:val="28"/>
        </w:rPr>
        <w:t>,</w:t>
      </w:r>
      <w:r w:rsidR="002D4EF3" w:rsidRPr="006C2791">
        <w:rPr>
          <w:noProof/>
          <w:szCs w:val="28"/>
        </w:rPr>
        <w:t xml:space="preserve"> which could take advantage of economies of scale and open access to JRC facilities. </w:t>
      </w:r>
      <w:bookmarkEnd w:id="7"/>
      <w:r w:rsidR="002D4EF3" w:rsidRPr="006C2791">
        <w:rPr>
          <w:noProof/>
          <w:szCs w:val="28"/>
        </w:rPr>
        <w:t xml:space="preserve">Member States not using nuclear power participated </w:t>
      </w:r>
      <w:r w:rsidR="00542A50">
        <w:rPr>
          <w:noProof/>
          <w:szCs w:val="28"/>
        </w:rPr>
        <w:t xml:space="preserve">mainly </w:t>
      </w:r>
      <w:r w:rsidR="002D4EF3" w:rsidRPr="006C2791">
        <w:rPr>
          <w:noProof/>
          <w:szCs w:val="28"/>
        </w:rPr>
        <w:t>in projects on radiation protection, medical applications and radioactive waste management. Some of them also participated in research on nuclear safety and nuclear data to maintain important competencies in th</w:t>
      </w:r>
      <w:r w:rsidR="00016CB6">
        <w:rPr>
          <w:noProof/>
          <w:szCs w:val="28"/>
        </w:rPr>
        <w:t>o</w:t>
      </w:r>
      <w:r w:rsidR="002D4EF3" w:rsidRPr="006C2791">
        <w:rPr>
          <w:noProof/>
          <w:szCs w:val="28"/>
        </w:rPr>
        <w:t>se areas.</w:t>
      </w:r>
    </w:p>
    <w:p w:rsidR="00331799" w:rsidRPr="006C2791" w:rsidRDefault="00331799" w:rsidP="00331799">
      <w:pPr>
        <w:spacing w:before="100" w:beforeAutospacing="1" w:after="100" w:afterAutospacing="1"/>
        <w:rPr>
          <w:rFonts w:eastAsia="Times New Roman"/>
          <w:noProof/>
          <w:color w:val="0E101A"/>
          <w:szCs w:val="24"/>
          <w:lang w:eastAsia="en-IE"/>
        </w:rPr>
      </w:pPr>
      <w:r w:rsidRPr="006C2791">
        <w:rPr>
          <w:noProof/>
        </w:rPr>
        <w:t xml:space="preserve">Following the </w:t>
      </w:r>
      <w:r w:rsidR="006C2791">
        <w:rPr>
          <w:i/>
          <w:noProof/>
        </w:rPr>
        <w:t>ex post</w:t>
      </w:r>
      <w:r w:rsidRPr="006C2791">
        <w:rPr>
          <w:noProof/>
        </w:rPr>
        <w:t xml:space="preserve"> evaluation, the interim evaluation of the 2021-2025 Programme confirms its contin</w:t>
      </w:r>
      <w:r w:rsidR="00057513" w:rsidRPr="006C2791">
        <w:rPr>
          <w:noProof/>
        </w:rPr>
        <w:t>u</w:t>
      </w:r>
      <w:r w:rsidR="00016CB6">
        <w:rPr>
          <w:noProof/>
        </w:rPr>
        <w:t>ed</w:t>
      </w:r>
      <w:r w:rsidRPr="006C2791">
        <w:rPr>
          <w:noProof/>
        </w:rPr>
        <w:t xml:space="preserve"> relevance and </w:t>
      </w:r>
      <w:r w:rsidRPr="006C2791">
        <w:rPr>
          <w:rFonts w:eastAsia="Times New Roman"/>
          <w:noProof/>
          <w:color w:val="0E101A"/>
          <w:szCs w:val="24"/>
          <w:lang w:eastAsia="en-IE"/>
        </w:rPr>
        <w:t xml:space="preserve">significant support </w:t>
      </w:r>
      <w:r w:rsidR="00A46692">
        <w:rPr>
          <w:rFonts w:eastAsia="Times New Roman"/>
          <w:noProof/>
          <w:color w:val="0E101A"/>
          <w:szCs w:val="24"/>
          <w:lang w:eastAsia="en-IE"/>
        </w:rPr>
        <w:t>for</w:t>
      </w:r>
      <w:r w:rsidR="00A46692" w:rsidRPr="006C2791">
        <w:rPr>
          <w:rFonts w:eastAsia="Times New Roman"/>
          <w:noProof/>
          <w:color w:val="0E101A"/>
          <w:szCs w:val="24"/>
          <w:lang w:eastAsia="en-IE"/>
        </w:rPr>
        <w:t xml:space="preserve"> </w:t>
      </w:r>
      <w:r w:rsidRPr="006C2791">
        <w:rPr>
          <w:rFonts w:eastAsia="Times New Roman"/>
          <w:noProof/>
          <w:color w:val="0E101A"/>
          <w:szCs w:val="24"/>
          <w:lang w:eastAsia="en-IE"/>
        </w:rPr>
        <w:t>the safe and secure use of nuclear technologies through its wide research portfolio of direct and indirect actions.</w:t>
      </w:r>
    </w:p>
    <w:p w:rsidR="00331799" w:rsidRPr="006C2791" w:rsidRDefault="00331799" w:rsidP="00331799">
      <w:pPr>
        <w:spacing w:before="100" w:beforeAutospacing="1" w:after="100" w:afterAutospacing="1"/>
        <w:rPr>
          <w:noProof/>
        </w:rPr>
      </w:pPr>
      <w:r w:rsidRPr="006C2791">
        <w:rPr>
          <w:rFonts w:eastAsia="Times New Roman"/>
          <w:noProof/>
          <w:color w:val="0E101A"/>
          <w:szCs w:val="24"/>
          <w:lang w:eastAsia="en-IE"/>
        </w:rPr>
        <w:t xml:space="preserve">The evaluation concluded that </w:t>
      </w:r>
      <w:r w:rsidRPr="006C2791">
        <w:rPr>
          <w:noProof/>
        </w:rPr>
        <w:t>maintaining the Programme’s scope and budget for fission research at the same level as</w:t>
      </w:r>
      <w:r w:rsidR="00B36E08">
        <w:rPr>
          <w:noProof/>
        </w:rPr>
        <w:t xml:space="preserve"> </w:t>
      </w:r>
      <w:r w:rsidR="000327CB">
        <w:rPr>
          <w:noProof/>
        </w:rPr>
        <w:t>for</w:t>
      </w:r>
      <w:r w:rsidRPr="006C2791">
        <w:rPr>
          <w:noProof/>
        </w:rPr>
        <w:t xml:space="preserve"> 2021-2025 </w:t>
      </w:r>
      <w:r w:rsidR="00D608B2">
        <w:rPr>
          <w:noProof/>
        </w:rPr>
        <w:t xml:space="preserve">Programme </w:t>
      </w:r>
      <w:r w:rsidRPr="006C2791">
        <w:rPr>
          <w:noProof/>
        </w:rPr>
        <w:t xml:space="preserve">would </w:t>
      </w:r>
      <w:r w:rsidR="00152020" w:rsidRPr="006C2791">
        <w:rPr>
          <w:noProof/>
        </w:rPr>
        <w:t>provide continuity in research</w:t>
      </w:r>
      <w:r w:rsidRPr="006C2791">
        <w:rPr>
          <w:noProof/>
        </w:rPr>
        <w:t xml:space="preserve"> </w:t>
      </w:r>
      <w:r w:rsidR="00152020" w:rsidRPr="006C2791">
        <w:rPr>
          <w:noProof/>
        </w:rPr>
        <w:t xml:space="preserve">for </w:t>
      </w:r>
      <w:r w:rsidR="00016CB6">
        <w:rPr>
          <w:noProof/>
        </w:rPr>
        <w:t xml:space="preserve">the </w:t>
      </w:r>
      <w:r w:rsidRPr="006C2791">
        <w:rPr>
          <w:noProof/>
        </w:rPr>
        <w:t xml:space="preserve">safe operation of existing NPPs in Europe and </w:t>
      </w:r>
      <w:r w:rsidR="00152020" w:rsidRPr="006C2791">
        <w:rPr>
          <w:noProof/>
        </w:rPr>
        <w:t>for the safety assessment of</w:t>
      </w:r>
      <w:r w:rsidRPr="006C2791">
        <w:rPr>
          <w:noProof/>
        </w:rPr>
        <w:t xml:space="preserve"> new reactor technologies. </w:t>
      </w:r>
      <w:r w:rsidR="00152020" w:rsidRPr="008E467D">
        <w:rPr>
          <w:noProof/>
        </w:rPr>
        <w:t>However</w:t>
      </w:r>
      <w:r w:rsidR="00007519" w:rsidRPr="008E467D">
        <w:rPr>
          <w:noProof/>
        </w:rPr>
        <w:t>,</w:t>
      </w:r>
      <w:r w:rsidR="00152020" w:rsidRPr="008E467D">
        <w:rPr>
          <w:noProof/>
        </w:rPr>
        <w:t xml:space="preserve"> funding for research projects in this area will be highly selective</w:t>
      </w:r>
      <w:r w:rsidR="00016CB6" w:rsidRPr="008E467D">
        <w:rPr>
          <w:noProof/>
        </w:rPr>
        <w:t>,</w:t>
      </w:r>
      <w:r w:rsidR="00152020" w:rsidRPr="008E467D">
        <w:rPr>
          <w:noProof/>
        </w:rPr>
        <w:t xml:space="preserve"> as </w:t>
      </w:r>
      <w:r w:rsidR="00016CB6" w:rsidRPr="008E467D">
        <w:rPr>
          <w:noProof/>
        </w:rPr>
        <w:t xml:space="preserve">most </w:t>
      </w:r>
      <w:r w:rsidR="00152020" w:rsidRPr="008E467D">
        <w:rPr>
          <w:noProof/>
        </w:rPr>
        <w:t xml:space="preserve">of the fission budget will be </w:t>
      </w:r>
      <w:r w:rsidR="00016CB6" w:rsidRPr="008E467D">
        <w:rPr>
          <w:noProof/>
        </w:rPr>
        <w:t>absorbed</w:t>
      </w:r>
      <w:r w:rsidR="00152020" w:rsidRPr="008E467D">
        <w:rPr>
          <w:noProof/>
        </w:rPr>
        <w:t xml:space="preserve"> by co-funded </w:t>
      </w:r>
      <w:r w:rsidR="00016CB6" w:rsidRPr="008E467D">
        <w:rPr>
          <w:noProof/>
        </w:rPr>
        <w:t>p</w:t>
      </w:r>
      <w:r w:rsidR="00152020" w:rsidRPr="008E467D">
        <w:rPr>
          <w:noProof/>
        </w:rPr>
        <w:t xml:space="preserve">artnerships. </w:t>
      </w:r>
      <w:r w:rsidR="00016CB6" w:rsidRPr="008E467D">
        <w:rPr>
          <w:noProof/>
        </w:rPr>
        <w:t>Nor will</w:t>
      </w:r>
      <w:r w:rsidR="00BB3E3B" w:rsidRPr="008E467D">
        <w:rPr>
          <w:noProof/>
        </w:rPr>
        <w:t xml:space="preserve"> the p</w:t>
      </w:r>
      <w:r w:rsidRPr="008E467D">
        <w:rPr>
          <w:noProof/>
        </w:rPr>
        <w:t xml:space="preserve">resent scope and level of funding </w:t>
      </w:r>
      <w:r w:rsidR="00152020" w:rsidRPr="008E467D">
        <w:rPr>
          <w:noProof/>
        </w:rPr>
        <w:t>be</w:t>
      </w:r>
      <w:r w:rsidRPr="008E467D">
        <w:rPr>
          <w:noProof/>
        </w:rPr>
        <w:t xml:space="preserve"> sufficient if </w:t>
      </w:r>
      <w:r w:rsidR="00FB3887" w:rsidRPr="008E467D">
        <w:rPr>
          <w:noProof/>
        </w:rPr>
        <w:t xml:space="preserve">the </w:t>
      </w:r>
      <w:r w:rsidRPr="008E467D">
        <w:rPr>
          <w:noProof/>
        </w:rPr>
        <w:t>E</w:t>
      </w:r>
      <w:r w:rsidR="00FB3887" w:rsidRPr="008E467D">
        <w:rPr>
          <w:noProof/>
        </w:rPr>
        <w:t>U</w:t>
      </w:r>
      <w:r w:rsidRPr="008E467D">
        <w:rPr>
          <w:noProof/>
        </w:rPr>
        <w:t xml:space="preserve"> </w:t>
      </w:r>
      <w:r w:rsidR="00016CB6" w:rsidRPr="008E467D">
        <w:rPr>
          <w:noProof/>
        </w:rPr>
        <w:t xml:space="preserve">wants </w:t>
      </w:r>
      <w:r w:rsidRPr="008E467D">
        <w:rPr>
          <w:noProof/>
        </w:rPr>
        <w:t xml:space="preserve">to </w:t>
      </w:r>
      <w:r w:rsidR="000327CB" w:rsidRPr="008E467D">
        <w:rPr>
          <w:noProof/>
        </w:rPr>
        <w:t xml:space="preserve">(i) </w:t>
      </w:r>
      <w:r w:rsidRPr="008E467D">
        <w:rPr>
          <w:noProof/>
        </w:rPr>
        <w:t>catch up with international competitors</w:t>
      </w:r>
      <w:r w:rsidR="00154F8B" w:rsidRPr="008E467D">
        <w:rPr>
          <w:noProof/>
        </w:rPr>
        <w:t>,</w:t>
      </w:r>
      <w:r w:rsidRPr="008E467D">
        <w:rPr>
          <w:noProof/>
        </w:rPr>
        <w:t xml:space="preserve"> </w:t>
      </w:r>
      <w:r w:rsidR="000327CB" w:rsidRPr="008E467D">
        <w:rPr>
          <w:noProof/>
        </w:rPr>
        <w:t xml:space="preserve">(ii) </w:t>
      </w:r>
      <w:r w:rsidRPr="008E467D">
        <w:rPr>
          <w:noProof/>
        </w:rPr>
        <w:t>address key issues for the development of</w:t>
      </w:r>
      <w:r w:rsidR="00016CB6" w:rsidRPr="008E467D">
        <w:rPr>
          <w:noProof/>
        </w:rPr>
        <w:t xml:space="preserve"> SMRs</w:t>
      </w:r>
      <w:r w:rsidRPr="008E467D">
        <w:rPr>
          <w:noProof/>
        </w:rPr>
        <w:t>, advanced fuels and fuel cycles</w:t>
      </w:r>
      <w:r w:rsidR="00154F8B" w:rsidRPr="008E467D">
        <w:rPr>
          <w:noProof/>
        </w:rPr>
        <w:t>,</w:t>
      </w:r>
      <w:r w:rsidRPr="008E467D">
        <w:rPr>
          <w:noProof/>
        </w:rPr>
        <w:t xml:space="preserve"> and </w:t>
      </w:r>
      <w:r w:rsidR="000327CB" w:rsidRPr="008E467D">
        <w:rPr>
          <w:noProof/>
        </w:rPr>
        <w:t xml:space="preserve">(iii) </w:t>
      </w:r>
      <w:r w:rsidRPr="008E467D">
        <w:rPr>
          <w:noProof/>
        </w:rPr>
        <w:t>substantially increase nuclear skills in the EU.</w:t>
      </w:r>
    </w:p>
    <w:p w:rsidR="00331799" w:rsidRPr="006C2791" w:rsidRDefault="00331799" w:rsidP="00331799">
      <w:pPr>
        <w:spacing w:before="100" w:beforeAutospacing="1" w:after="100" w:afterAutospacing="1"/>
        <w:rPr>
          <w:rFonts w:eastAsia="Times New Roman"/>
          <w:noProof/>
          <w:szCs w:val="20"/>
          <w:lang w:eastAsia="en-IE"/>
        </w:rPr>
      </w:pPr>
      <w:r w:rsidRPr="006C2791">
        <w:rPr>
          <w:noProof/>
        </w:rPr>
        <w:t xml:space="preserve">The Programme should continue </w:t>
      </w:r>
      <w:r w:rsidR="00016CB6">
        <w:rPr>
          <w:noProof/>
        </w:rPr>
        <w:t xml:space="preserve">to </w:t>
      </w:r>
      <w:r w:rsidRPr="006C2791">
        <w:rPr>
          <w:noProof/>
        </w:rPr>
        <w:t>provid</w:t>
      </w:r>
      <w:r w:rsidR="00016CB6">
        <w:rPr>
          <w:noProof/>
        </w:rPr>
        <w:t>e</w:t>
      </w:r>
      <w:r w:rsidRPr="006C2791">
        <w:rPr>
          <w:noProof/>
        </w:rPr>
        <w:t xml:space="preserve"> funding </w:t>
      </w:r>
      <w:r w:rsidR="00016CB6" w:rsidRPr="006C2791">
        <w:rPr>
          <w:noProof/>
        </w:rPr>
        <w:t xml:space="preserve">in 2026-2027 </w:t>
      </w:r>
      <w:r w:rsidRPr="006C2791">
        <w:rPr>
          <w:noProof/>
        </w:rPr>
        <w:t>for the co-funded European Partnerships in fission research</w:t>
      </w:r>
      <w:r w:rsidR="00007519" w:rsidRPr="006C2791">
        <w:rPr>
          <w:noProof/>
        </w:rPr>
        <w:t>:</w:t>
      </w:r>
      <w:r w:rsidRPr="006C2791">
        <w:rPr>
          <w:noProof/>
        </w:rPr>
        <w:t xml:space="preserve"> </w:t>
      </w:r>
      <w:r w:rsidR="008F27BE" w:rsidRPr="006C2791">
        <w:rPr>
          <w:noProof/>
        </w:rPr>
        <w:t>PIANOFORTE</w:t>
      </w:r>
      <w:r w:rsidR="008F27BE">
        <w:rPr>
          <w:noProof/>
        </w:rPr>
        <w:t xml:space="preserve"> (</w:t>
      </w:r>
      <w:r w:rsidRPr="006C2791">
        <w:rPr>
          <w:noProof/>
        </w:rPr>
        <w:t>radiation protection</w:t>
      </w:r>
      <w:r w:rsidR="008F27BE">
        <w:rPr>
          <w:noProof/>
        </w:rPr>
        <w:t>)</w:t>
      </w:r>
      <w:r w:rsidRPr="006C2791">
        <w:rPr>
          <w:noProof/>
        </w:rPr>
        <w:t xml:space="preserve">, </w:t>
      </w:r>
      <w:r w:rsidR="008F27BE" w:rsidRPr="006C2791">
        <w:rPr>
          <w:noProof/>
        </w:rPr>
        <w:t>EURAD</w:t>
      </w:r>
      <w:r w:rsidR="00FE4850">
        <w:rPr>
          <w:noProof/>
        </w:rPr>
        <w:t>-2</w:t>
      </w:r>
      <w:r w:rsidR="008F27BE">
        <w:rPr>
          <w:noProof/>
        </w:rPr>
        <w:t xml:space="preserve"> (</w:t>
      </w:r>
      <w:r w:rsidRPr="006C2791">
        <w:rPr>
          <w:noProof/>
        </w:rPr>
        <w:t>radioactive waste management</w:t>
      </w:r>
      <w:r w:rsidR="008F27BE">
        <w:rPr>
          <w:noProof/>
        </w:rPr>
        <w:t>)</w:t>
      </w:r>
      <w:r w:rsidR="00007519" w:rsidRPr="006C2791">
        <w:rPr>
          <w:noProof/>
        </w:rPr>
        <w:t xml:space="preserve"> and</w:t>
      </w:r>
      <w:r w:rsidRPr="006C2791">
        <w:rPr>
          <w:noProof/>
        </w:rPr>
        <w:t xml:space="preserve"> </w:t>
      </w:r>
      <w:r w:rsidR="008F27BE" w:rsidRPr="006C2791">
        <w:rPr>
          <w:noProof/>
        </w:rPr>
        <w:t xml:space="preserve">Connect-NM </w:t>
      </w:r>
      <w:r w:rsidRPr="006C2791">
        <w:rPr>
          <w:noProof/>
        </w:rPr>
        <w:t>(</w:t>
      </w:r>
      <w:r w:rsidR="008F27BE" w:rsidRPr="006C2791">
        <w:rPr>
          <w:noProof/>
        </w:rPr>
        <w:t>nuclear materials</w:t>
      </w:r>
      <w:r w:rsidRPr="006C2791">
        <w:rPr>
          <w:noProof/>
        </w:rPr>
        <w:t xml:space="preserve">). These Partnerships are </w:t>
      </w:r>
      <w:r w:rsidR="00057513" w:rsidRPr="006C2791">
        <w:rPr>
          <w:noProof/>
        </w:rPr>
        <w:t xml:space="preserve">the </w:t>
      </w:r>
      <w:r w:rsidRPr="006C2791">
        <w:rPr>
          <w:noProof/>
        </w:rPr>
        <w:t xml:space="preserve">result of </w:t>
      </w:r>
      <w:r w:rsidR="00007519" w:rsidRPr="006C2791">
        <w:rPr>
          <w:noProof/>
        </w:rPr>
        <w:t>long-term</w:t>
      </w:r>
      <w:r w:rsidRPr="006C2791">
        <w:rPr>
          <w:noProof/>
        </w:rPr>
        <w:t xml:space="preserve"> efforts </w:t>
      </w:r>
      <w:r w:rsidR="008F27BE">
        <w:rPr>
          <w:noProof/>
        </w:rPr>
        <w:t>by</w:t>
      </w:r>
      <w:r w:rsidRPr="006C2791">
        <w:rPr>
          <w:noProof/>
        </w:rPr>
        <w:t xml:space="preserve"> </w:t>
      </w:r>
      <w:r w:rsidR="003D3430" w:rsidRPr="006C2791">
        <w:rPr>
          <w:noProof/>
        </w:rPr>
        <w:t xml:space="preserve">the </w:t>
      </w:r>
      <w:r w:rsidRPr="006C2791">
        <w:rPr>
          <w:noProof/>
        </w:rPr>
        <w:t>research commun</w:t>
      </w:r>
      <w:r w:rsidR="00057513" w:rsidRPr="006C2791">
        <w:rPr>
          <w:noProof/>
        </w:rPr>
        <w:t>i</w:t>
      </w:r>
      <w:r w:rsidRPr="006C2791">
        <w:rPr>
          <w:noProof/>
        </w:rPr>
        <w:t xml:space="preserve">ty, stakeholders and Member States to </w:t>
      </w:r>
      <w:r w:rsidR="00385A78">
        <w:rPr>
          <w:noProof/>
        </w:rPr>
        <w:t>make progress</w:t>
      </w:r>
      <w:r w:rsidRPr="006C2791">
        <w:rPr>
          <w:noProof/>
        </w:rPr>
        <w:t xml:space="preserve"> together </w:t>
      </w:r>
      <w:r w:rsidR="003D3430" w:rsidRPr="006C2791">
        <w:rPr>
          <w:noProof/>
        </w:rPr>
        <w:t xml:space="preserve">with a common </w:t>
      </w:r>
      <w:r w:rsidRPr="006C2791">
        <w:rPr>
          <w:noProof/>
        </w:rPr>
        <w:t xml:space="preserve">research agenda and to address key challenges in all </w:t>
      </w:r>
      <w:r w:rsidR="008F27BE">
        <w:rPr>
          <w:noProof/>
        </w:rPr>
        <w:t xml:space="preserve">the </w:t>
      </w:r>
      <w:r w:rsidRPr="006C2791">
        <w:rPr>
          <w:noProof/>
        </w:rPr>
        <w:t xml:space="preserve">fields concerned. </w:t>
      </w:r>
      <w:r w:rsidR="00154F8B">
        <w:rPr>
          <w:rFonts w:eastAsia="Times New Roman"/>
          <w:noProof/>
          <w:szCs w:val="24"/>
          <w:lang w:eastAsia="en-IE"/>
        </w:rPr>
        <w:t>While</w:t>
      </w:r>
      <w:r w:rsidRPr="006C2791">
        <w:rPr>
          <w:rFonts w:eastAsia="Times New Roman"/>
          <w:noProof/>
          <w:szCs w:val="24"/>
          <w:lang w:eastAsia="en-IE"/>
        </w:rPr>
        <w:t xml:space="preserve"> scientific progress </w:t>
      </w:r>
      <w:r w:rsidR="00154F8B">
        <w:rPr>
          <w:rFonts w:eastAsia="Times New Roman"/>
          <w:noProof/>
          <w:szCs w:val="24"/>
          <w:lang w:eastAsia="en-IE"/>
        </w:rPr>
        <w:t xml:space="preserve">has been made </w:t>
      </w:r>
      <w:r w:rsidRPr="006C2791">
        <w:rPr>
          <w:rFonts w:eastAsia="Times New Roman"/>
          <w:noProof/>
          <w:szCs w:val="24"/>
          <w:lang w:eastAsia="en-IE"/>
        </w:rPr>
        <w:t xml:space="preserve">to date, the Commission will push </w:t>
      </w:r>
      <w:r w:rsidR="008F27BE">
        <w:rPr>
          <w:rFonts w:eastAsia="Times New Roman"/>
          <w:noProof/>
          <w:szCs w:val="24"/>
          <w:lang w:eastAsia="en-IE"/>
        </w:rPr>
        <w:t xml:space="preserve">to further improve </w:t>
      </w:r>
      <w:r w:rsidRPr="006C2791">
        <w:rPr>
          <w:rFonts w:eastAsia="Times New Roman"/>
          <w:noProof/>
          <w:szCs w:val="24"/>
          <w:lang w:eastAsia="en-IE"/>
        </w:rPr>
        <w:t xml:space="preserve">the organisation and operation of </w:t>
      </w:r>
      <w:r w:rsidR="008F27BE">
        <w:rPr>
          <w:rFonts w:eastAsia="Times New Roman"/>
          <w:noProof/>
          <w:szCs w:val="24"/>
          <w:lang w:eastAsia="en-IE"/>
        </w:rPr>
        <w:t>the p</w:t>
      </w:r>
      <w:r w:rsidRPr="006C2791">
        <w:rPr>
          <w:rFonts w:eastAsia="Times New Roman"/>
          <w:noProof/>
          <w:szCs w:val="24"/>
          <w:lang w:eastAsia="en-IE"/>
        </w:rPr>
        <w:t xml:space="preserve">artnerships to ensure that </w:t>
      </w:r>
      <w:r w:rsidRPr="006C2791">
        <w:rPr>
          <w:rFonts w:eastAsia="Times New Roman"/>
          <w:noProof/>
          <w:szCs w:val="20"/>
          <w:lang w:eastAsia="en-IE"/>
        </w:rPr>
        <w:t xml:space="preserve">the research funded by the Euratom Programme remains relevant for all EU citizens and that it addresses the most pressing challenges in </w:t>
      </w:r>
      <w:r w:rsidRPr="006C2791">
        <w:rPr>
          <w:noProof/>
        </w:rPr>
        <w:t xml:space="preserve">radiation protection, radioactive waste management and nuclear materials. The Commission will pay particular attention </w:t>
      </w:r>
      <w:r w:rsidR="003D3430" w:rsidRPr="006C2791">
        <w:rPr>
          <w:noProof/>
        </w:rPr>
        <w:t>to</w:t>
      </w:r>
      <w:r w:rsidRPr="006C2791">
        <w:rPr>
          <w:noProof/>
        </w:rPr>
        <w:t xml:space="preserve"> the </w:t>
      </w:r>
      <w:r w:rsidR="008F27BE">
        <w:rPr>
          <w:noProof/>
        </w:rPr>
        <w:t>p</w:t>
      </w:r>
      <w:r w:rsidRPr="006C2791">
        <w:rPr>
          <w:noProof/>
        </w:rPr>
        <w:t xml:space="preserve">artnerships </w:t>
      </w:r>
      <w:r w:rsidR="000327CB">
        <w:rPr>
          <w:noProof/>
        </w:rPr>
        <w:t xml:space="preserve">so as </w:t>
      </w:r>
      <w:r w:rsidRPr="006C2791">
        <w:rPr>
          <w:noProof/>
        </w:rPr>
        <w:t xml:space="preserve">to </w:t>
      </w:r>
      <w:r w:rsidRPr="006C2791">
        <w:rPr>
          <w:rFonts w:eastAsia="Times New Roman"/>
          <w:noProof/>
          <w:szCs w:val="20"/>
          <w:lang w:eastAsia="en-IE"/>
        </w:rPr>
        <w:t>systematically consider the long-term perspectives of a broad range of stakeholders and Member States in a sustainable way.</w:t>
      </w:r>
    </w:p>
    <w:p w:rsidR="00BC6720" w:rsidRDefault="00154F8B" w:rsidP="00331799">
      <w:pPr>
        <w:rPr>
          <w:noProof/>
        </w:rPr>
      </w:pPr>
      <w:r>
        <w:rPr>
          <w:noProof/>
        </w:rPr>
        <w:t>The r</w:t>
      </w:r>
      <w:r w:rsidR="00331799" w:rsidRPr="006C2791">
        <w:rPr>
          <w:noProof/>
        </w:rPr>
        <w:t xml:space="preserve">esults of Euratom-funded fusion </w:t>
      </w:r>
      <w:r w:rsidR="00EA4919" w:rsidRPr="006C2791">
        <w:rPr>
          <w:noProof/>
        </w:rPr>
        <w:t xml:space="preserve">research </w:t>
      </w:r>
      <w:r w:rsidR="00331799" w:rsidRPr="006C2791">
        <w:rPr>
          <w:noProof/>
        </w:rPr>
        <w:t>are impressive</w:t>
      </w:r>
      <w:r w:rsidR="00EA4919">
        <w:rPr>
          <w:noProof/>
        </w:rPr>
        <w:t>,</w:t>
      </w:r>
      <w:r w:rsidR="00331799" w:rsidRPr="006C2791">
        <w:rPr>
          <w:noProof/>
        </w:rPr>
        <w:t xml:space="preserve"> </w:t>
      </w:r>
      <w:r>
        <w:rPr>
          <w:noProof/>
        </w:rPr>
        <w:t>but</w:t>
      </w:r>
      <w:r w:rsidR="00B36E08">
        <w:rPr>
          <w:noProof/>
        </w:rPr>
        <w:t xml:space="preserve"> </w:t>
      </w:r>
      <w:r w:rsidR="00A46692">
        <w:rPr>
          <w:noProof/>
        </w:rPr>
        <w:t xml:space="preserve">they </w:t>
      </w:r>
      <w:r w:rsidR="003C4BD5">
        <w:rPr>
          <w:noProof/>
        </w:rPr>
        <w:t xml:space="preserve">are </w:t>
      </w:r>
      <w:r w:rsidR="00331799" w:rsidRPr="006C2791">
        <w:rPr>
          <w:noProof/>
        </w:rPr>
        <w:t xml:space="preserve">not sufficient to bring fusion energy to the market in time to support </w:t>
      </w:r>
      <w:r w:rsidR="00764AB9">
        <w:rPr>
          <w:noProof/>
        </w:rPr>
        <w:t xml:space="preserve">the </w:t>
      </w:r>
      <w:r w:rsidR="00331799" w:rsidRPr="006C2791">
        <w:rPr>
          <w:noProof/>
        </w:rPr>
        <w:t>EU</w:t>
      </w:r>
      <w:r w:rsidR="00E228D4">
        <w:rPr>
          <w:noProof/>
        </w:rPr>
        <w:t>’s</w:t>
      </w:r>
      <w:r w:rsidR="00331799" w:rsidRPr="006C2791">
        <w:rPr>
          <w:noProof/>
        </w:rPr>
        <w:t xml:space="preserve"> decarbonisation efforts and to boost </w:t>
      </w:r>
      <w:r w:rsidR="003D3430" w:rsidRPr="006C2791">
        <w:rPr>
          <w:noProof/>
        </w:rPr>
        <w:t>competitiveness</w:t>
      </w:r>
      <w:r w:rsidR="00331799" w:rsidRPr="006C2791">
        <w:rPr>
          <w:noProof/>
        </w:rPr>
        <w:t xml:space="preserve">. It is necessary to identify the critical issues and risks </w:t>
      </w:r>
      <w:r w:rsidR="00764AB9">
        <w:rPr>
          <w:noProof/>
        </w:rPr>
        <w:t>involved in</w:t>
      </w:r>
      <w:r w:rsidR="00764AB9" w:rsidRPr="006C2791">
        <w:rPr>
          <w:noProof/>
        </w:rPr>
        <w:t xml:space="preserve"> </w:t>
      </w:r>
      <w:r w:rsidR="00385A78">
        <w:rPr>
          <w:noProof/>
        </w:rPr>
        <w:t>constructing</w:t>
      </w:r>
      <w:r w:rsidR="00331799" w:rsidRPr="006C2791">
        <w:rPr>
          <w:noProof/>
        </w:rPr>
        <w:t xml:space="preserve"> the fusion power plant that should drive Euratom-funded research now and in the </w:t>
      </w:r>
      <w:r w:rsidR="00764AB9">
        <w:rPr>
          <w:noProof/>
        </w:rPr>
        <w:t>coming</w:t>
      </w:r>
      <w:r w:rsidR="00764AB9" w:rsidRPr="006C2791">
        <w:rPr>
          <w:noProof/>
        </w:rPr>
        <w:t xml:space="preserve"> </w:t>
      </w:r>
      <w:r w:rsidR="00331799" w:rsidRPr="006C2791">
        <w:rPr>
          <w:noProof/>
        </w:rPr>
        <w:t>years</w:t>
      </w:r>
      <w:r w:rsidR="00015020" w:rsidRPr="00015020">
        <w:rPr>
          <w:noProof/>
        </w:rPr>
        <w:t>, relying on past and ongoing EU-led initiatives, notably</w:t>
      </w:r>
      <w:r w:rsidR="00015020">
        <w:rPr>
          <w:noProof/>
        </w:rPr>
        <w:t xml:space="preserve"> ITER</w:t>
      </w:r>
      <w:r w:rsidR="00331799" w:rsidRPr="006C2791">
        <w:rPr>
          <w:noProof/>
        </w:rPr>
        <w:t xml:space="preserve">. </w:t>
      </w:r>
      <w:r w:rsidR="00BC6720">
        <w:rPr>
          <w:noProof/>
        </w:rPr>
        <w:t>The first step was the setting up of the Commission’s Fusion Expert Group</w:t>
      </w:r>
      <w:r w:rsidR="00637977">
        <w:rPr>
          <w:rStyle w:val="FootnoteReference"/>
          <w:noProof/>
        </w:rPr>
        <w:footnoteReference w:id="21"/>
      </w:r>
      <w:r w:rsidR="00BC6720">
        <w:rPr>
          <w:noProof/>
        </w:rPr>
        <w:t xml:space="preserve"> in 2024 which, like the previous </w:t>
      </w:r>
      <w:r w:rsidR="00BC6720" w:rsidRPr="00BC6720">
        <w:rPr>
          <w:noProof/>
        </w:rPr>
        <w:t>Consultative Committee on Fusion</w:t>
      </w:r>
      <w:r w:rsidR="00BC6720">
        <w:rPr>
          <w:rStyle w:val="FootnoteReference"/>
          <w:noProof/>
        </w:rPr>
        <w:footnoteReference w:id="22"/>
      </w:r>
      <w:r w:rsidR="00BC6720" w:rsidRPr="00BC6720">
        <w:rPr>
          <w:noProof/>
        </w:rPr>
        <w:t>, bring</w:t>
      </w:r>
      <w:r w:rsidR="00A22576">
        <w:rPr>
          <w:noProof/>
        </w:rPr>
        <w:t xml:space="preserve">s </w:t>
      </w:r>
      <w:r w:rsidR="00BC6720" w:rsidRPr="00BC6720">
        <w:rPr>
          <w:noProof/>
        </w:rPr>
        <w:t xml:space="preserve">together Member States </w:t>
      </w:r>
      <w:r w:rsidR="00A22576">
        <w:rPr>
          <w:noProof/>
        </w:rPr>
        <w:t>in an advisory body</w:t>
      </w:r>
      <w:r w:rsidR="00BC6720">
        <w:rPr>
          <w:noProof/>
        </w:rPr>
        <w:t xml:space="preserve"> </w:t>
      </w:r>
      <w:r w:rsidR="00A22576" w:rsidRPr="00A22576">
        <w:rPr>
          <w:noProof/>
        </w:rPr>
        <w:t>to support the steering, coordination and harmonisation of fusion-related initiatives in the Union</w:t>
      </w:r>
      <w:r w:rsidR="00BC6720" w:rsidRPr="00BC6720">
        <w:rPr>
          <w:noProof/>
        </w:rPr>
        <w:t>.</w:t>
      </w:r>
    </w:p>
    <w:p w:rsidR="00331799" w:rsidRPr="006C2791" w:rsidRDefault="00331799" w:rsidP="00331799">
      <w:pPr>
        <w:rPr>
          <w:noProof/>
          <w:szCs w:val="24"/>
        </w:rPr>
      </w:pPr>
      <w:r w:rsidRPr="006C2791">
        <w:rPr>
          <w:noProof/>
        </w:rPr>
        <w:t xml:space="preserve">The Programme must evolve to address </w:t>
      </w:r>
      <w:r w:rsidRPr="006C2791">
        <w:rPr>
          <w:noProof/>
          <w:szCs w:val="24"/>
        </w:rPr>
        <w:t>the technology bottlenecks</w:t>
      </w:r>
      <w:r w:rsidR="00EA4919">
        <w:rPr>
          <w:noProof/>
          <w:szCs w:val="24"/>
        </w:rPr>
        <w:t xml:space="preserve"> that</w:t>
      </w:r>
      <w:r w:rsidRPr="006C2791">
        <w:rPr>
          <w:noProof/>
          <w:szCs w:val="24"/>
        </w:rPr>
        <w:t xml:space="preserve"> require additional focus and investment</w:t>
      </w:r>
      <w:r w:rsidR="00EA4919">
        <w:rPr>
          <w:noProof/>
          <w:szCs w:val="24"/>
        </w:rPr>
        <w:t>,</w:t>
      </w:r>
      <w:r w:rsidRPr="006C2791">
        <w:rPr>
          <w:noProof/>
          <w:szCs w:val="24"/>
        </w:rPr>
        <w:t xml:space="preserve"> while involving more private financing</w:t>
      </w:r>
      <w:r w:rsidR="007A5637">
        <w:rPr>
          <w:noProof/>
          <w:szCs w:val="24"/>
        </w:rPr>
        <w:t xml:space="preserve"> and</w:t>
      </w:r>
      <w:r w:rsidRPr="006C2791">
        <w:rPr>
          <w:noProof/>
          <w:szCs w:val="24"/>
        </w:rPr>
        <w:t xml:space="preserve"> industry experience and increasing international collaboration with reliable partners where there is a clear added value for the EU. The Commission </w:t>
      </w:r>
      <w:r w:rsidR="007A5637">
        <w:rPr>
          <w:noProof/>
          <w:szCs w:val="24"/>
        </w:rPr>
        <w:t xml:space="preserve">has </w:t>
      </w:r>
      <w:r w:rsidRPr="006C2791">
        <w:rPr>
          <w:noProof/>
          <w:szCs w:val="24"/>
        </w:rPr>
        <w:t xml:space="preserve">already </w:t>
      </w:r>
      <w:r w:rsidR="007A5637">
        <w:rPr>
          <w:noProof/>
          <w:szCs w:val="24"/>
        </w:rPr>
        <w:t xml:space="preserve">started to prepare </w:t>
      </w:r>
      <w:r w:rsidRPr="006C2791">
        <w:rPr>
          <w:noProof/>
        </w:rPr>
        <w:t>a co-programmed European Partnership in this field</w:t>
      </w:r>
      <w:r w:rsidR="00FA11C7">
        <w:rPr>
          <w:noProof/>
        </w:rPr>
        <w:t xml:space="preserve"> which will</w:t>
      </w:r>
      <w:r w:rsidRPr="006C2791">
        <w:rPr>
          <w:noProof/>
        </w:rPr>
        <w:t xml:space="preserve"> bring together stakeholders in the public and private sectors. The 2026-2027 actions will pave the way for this </w:t>
      </w:r>
      <w:r w:rsidRPr="006C2791">
        <w:rPr>
          <w:noProof/>
          <w:szCs w:val="24"/>
        </w:rPr>
        <w:t xml:space="preserve">milestone-driven </w:t>
      </w:r>
      <w:r w:rsidRPr="006C2791">
        <w:rPr>
          <w:noProof/>
        </w:rPr>
        <w:t xml:space="preserve">partnership and for supplementary innovation actions. </w:t>
      </w:r>
      <w:r w:rsidR="00E228D4">
        <w:rPr>
          <w:noProof/>
        </w:rPr>
        <w:t xml:space="preserve">A </w:t>
      </w:r>
      <w:r w:rsidR="00A01E5E" w:rsidRPr="006C2791">
        <w:rPr>
          <w:noProof/>
          <w:szCs w:val="24"/>
        </w:rPr>
        <w:t xml:space="preserve">new </w:t>
      </w:r>
      <w:r w:rsidR="00FA11C7">
        <w:rPr>
          <w:noProof/>
          <w:szCs w:val="24"/>
        </w:rPr>
        <w:t>p</w:t>
      </w:r>
      <w:r w:rsidRPr="006C2791">
        <w:rPr>
          <w:noProof/>
          <w:szCs w:val="24"/>
        </w:rPr>
        <w:t>artnership</w:t>
      </w:r>
      <w:r w:rsidR="00FA11C7">
        <w:rPr>
          <w:noProof/>
          <w:szCs w:val="24"/>
        </w:rPr>
        <w:t xml:space="preserve"> of this kind</w:t>
      </w:r>
      <w:r w:rsidRPr="006C2791">
        <w:rPr>
          <w:noProof/>
          <w:szCs w:val="24"/>
        </w:rPr>
        <w:t xml:space="preserve"> also </w:t>
      </w:r>
      <w:r w:rsidR="00FA11C7">
        <w:rPr>
          <w:noProof/>
          <w:szCs w:val="24"/>
        </w:rPr>
        <w:t xml:space="preserve">means </w:t>
      </w:r>
      <w:r w:rsidRPr="006C2791">
        <w:rPr>
          <w:noProof/>
          <w:szCs w:val="24"/>
        </w:rPr>
        <w:t>rethinking the role and activities of EUROfusion</w:t>
      </w:r>
      <w:r w:rsidR="00FA11C7">
        <w:rPr>
          <w:noProof/>
          <w:szCs w:val="24"/>
        </w:rPr>
        <w:t>,</w:t>
      </w:r>
      <w:r w:rsidRPr="006C2791">
        <w:rPr>
          <w:noProof/>
          <w:szCs w:val="24"/>
        </w:rPr>
        <w:t xml:space="preserve"> which will play </w:t>
      </w:r>
      <w:r w:rsidR="00A01E5E" w:rsidRPr="006C2791">
        <w:rPr>
          <w:noProof/>
          <w:szCs w:val="24"/>
        </w:rPr>
        <w:t>a</w:t>
      </w:r>
      <w:r w:rsidR="00E228D4">
        <w:rPr>
          <w:noProof/>
          <w:szCs w:val="24"/>
        </w:rPr>
        <w:t xml:space="preserve"> major</w:t>
      </w:r>
      <w:r w:rsidRPr="006C2791">
        <w:rPr>
          <w:noProof/>
          <w:szCs w:val="24"/>
        </w:rPr>
        <w:t xml:space="preserve"> role in developing </w:t>
      </w:r>
      <w:r w:rsidR="00A01E5E" w:rsidRPr="006C2791">
        <w:rPr>
          <w:noProof/>
          <w:szCs w:val="24"/>
        </w:rPr>
        <w:t xml:space="preserve">the </w:t>
      </w:r>
      <w:r w:rsidRPr="006C2791">
        <w:rPr>
          <w:noProof/>
          <w:szCs w:val="24"/>
        </w:rPr>
        <w:t>fundamentals of fusion science.</w:t>
      </w:r>
      <w:r w:rsidR="00270673" w:rsidRPr="006C2791">
        <w:rPr>
          <w:noProof/>
          <w:szCs w:val="24"/>
        </w:rPr>
        <w:t xml:space="preserve"> Further details will be provided in the Communication o</w:t>
      </w:r>
      <w:r w:rsidR="00A64E0D">
        <w:rPr>
          <w:noProof/>
          <w:szCs w:val="24"/>
        </w:rPr>
        <w:t>n</w:t>
      </w:r>
      <w:r w:rsidR="00A01E5E" w:rsidRPr="006C2791">
        <w:rPr>
          <w:noProof/>
          <w:szCs w:val="24"/>
        </w:rPr>
        <w:t xml:space="preserve"> the </w:t>
      </w:r>
      <w:r w:rsidR="00CF7DCB">
        <w:rPr>
          <w:noProof/>
          <w:szCs w:val="24"/>
        </w:rPr>
        <w:t xml:space="preserve">Union’s </w:t>
      </w:r>
      <w:r w:rsidR="00A01E5E" w:rsidRPr="006C2791">
        <w:rPr>
          <w:noProof/>
          <w:szCs w:val="24"/>
        </w:rPr>
        <w:t>future</w:t>
      </w:r>
      <w:r w:rsidR="00270673" w:rsidRPr="006C2791">
        <w:rPr>
          <w:noProof/>
          <w:szCs w:val="24"/>
        </w:rPr>
        <w:t xml:space="preserve"> fusion strategy, </w:t>
      </w:r>
      <w:r w:rsidR="00FA11C7">
        <w:rPr>
          <w:noProof/>
          <w:szCs w:val="24"/>
        </w:rPr>
        <w:t xml:space="preserve">which is </w:t>
      </w:r>
      <w:r w:rsidR="00270673" w:rsidRPr="006C2791">
        <w:rPr>
          <w:noProof/>
          <w:szCs w:val="24"/>
        </w:rPr>
        <w:t xml:space="preserve">currently </w:t>
      </w:r>
      <w:r w:rsidR="00FA11C7">
        <w:rPr>
          <w:noProof/>
          <w:szCs w:val="24"/>
        </w:rPr>
        <w:t xml:space="preserve">being </w:t>
      </w:r>
      <w:r w:rsidR="00270673" w:rsidRPr="006C2791">
        <w:rPr>
          <w:noProof/>
          <w:szCs w:val="24"/>
        </w:rPr>
        <w:t>prepar</w:t>
      </w:r>
      <w:r w:rsidR="00FA11C7">
        <w:rPr>
          <w:noProof/>
          <w:szCs w:val="24"/>
        </w:rPr>
        <w:t>ed</w:t>
      </w:r>
      <w:r w:rsidR="00270673" w:rsidRPr="006C2791">
        <w:rPr>
          <w:noProof/>
          <w:szCs w:val="24"/>
        </w:rPr>
        <w:t>.</w:t>
      </w:r>
    </w:p>
    <w:p w:rsidR="00750AB9" w:rsidRDefault="00331799" w:rsidP="00331799">
      <w:pPr>
        <w:pStyle w:val="Text1"/>
        <w:ind w:left="0"/>
        <w:rPr>
          <w:noProof/>
        </w:rPr>
      </w:pPr>
      <w:r w:rsidRPr="006C2791">
        <w:rPr>
          <w:noProof/>
        </w:rPr>
        <w:t xml:space="preserve">The evaluation concluded that the JRC </w:t>
      </w:r>
      <w:r w:rsidR="00FA11C7" w:rsidRPr="006C2791">
        <w:rPr>
          <w:noProof/>
        </w:rPr>
        <w:t>benefit</w:t>
      </w:r>
      <w:r w:rsidR="00FA11C7">
        <w:rPr>
          <w:noProof/>
        </w:rPr>
        <w:t>s</w:t>
      </w:r>
      <w:r w:rsidR="00FA11C7" w:rsidRPr="006C2791">
        <w:rPr>
          <w:noProof/>
        </w:rPr>
        <w:t xml:space="preserve"> the Euratom </w:t>
      </w:r>
      <w:r w:rsidR="00A64E0D">
        <w:rPr>
          <w:noProof/>
        </w:rPr>
        <w:t>C</w:t>
      </w:r>
      <w:r w:rsidR="00FA11C7" w:rsidRPr="006C2791">
        <w:rPr>
          <w:noProof/>
        </w:rPr>
        <w:t>ommunity and a number of external stakeholders</w:t>
      </w:r>
      <w:r w:rsidRPr="006C2791">
        <w:rPr>
          <w:noProof/>
        </w:rPr>
        <w:t xml:space="preserve"> </w:t>
      </w:r>
      <w:r w:rsidR="00FA11C7">
        <w:rPr>
          <w:noProof/>
        </w:rPr>
        <w:t xml:space="preserve">by </w:t>
      </w:r>
      <w:r w:rsidRPr="006C2791">
        <w:rPr>
          <w:noProof/>
        </w:rPr>
        <w:t>provid</w:t>
      </w:r>
      <w:r w:rsidR="00FA11C7">
        <w:rPr>
          <w:noProof/>
        </w:rPr>
        <w:t>ing</w:t>
      </w:r>
      <w:r w:rsidRPr="006C2791">
        <w:rPr>
          <w:noProof/>
        </w:rPr>
        <w:t xml:space="preserve"> highly relevant analys</w:t>
      </w:r>
      <w:r w:rsidR="00750AB9">
        <w:rPr>
          <w:noProof/>
        </w:rPr>
        <w:t>e</w:t>
      </w:r>
      <w:r w:rsidRPr="006C2791">
        <w:rPr>
          <w:noProof/>
        </w:rPr>
        <w:t>s and studies on the whole spectrum of activities from nuclear safety to security and safeguards. Analyses on ways to treat, minimise and recycle nuclear waste or to evaluate their characteristics and behaviour w</w:t>
      </w:r>
      <w:r w:rsidR="00FA11C7">
        <w:rPr>
          <w:noProof/>
        </w:rPr>
        <w:t>ere</w:t>
      </w:r>
      <w:r w:rsidRPr="006C2791">
        <w:rPr>
          <w:noProof/>
        </w:rPr>
        <w:t xml:space="preserve"> deemed </w:t>
      </w:r>
      <w:r w:rsidR="00FA11C7">
        <w:rPr>
          <w:noProof/>
        </w:rPr>
        <w:t xml:space="preserve">to be </w:t>
      </w:r>
      <w:r w:rsidRPr="006C2791">
        <w:rPr>
          <w:noProof/>
        </w:rPr>
        <w:t xml:space="preserve">of great importance for the European nuclear sector. </w:t>
      </w:r>
      <w:r w:rsidR="00504563">
        <w:rPr>
          <w:noProof/>
        </w:rPr>
        <w:t xml:space="preserve">By providing </w:t>
      </w:r>
      <w:r w:rsidRPr="006C2791">
        <w:rPr>
          <w:noProof/>
        </w:rPr>
        <w:t>nuclear data, measurements and reference materials</w:t>
      </w:r>
      <w:r w:rsidR="00504563">
        <w:rPr>
          <w:noProof/>
        </w:rPr>
        <w:t xml:space="preserve">, </w:t>
      </w:r>
      <w:r w:rsidRPr="006C2791">
        <w:rPr>
          <w:noProof/>
        </w:rPr>
        <w:t>the JRC</w:t>
      </w:r>
      <w:r w:rsidR="00504563">
        <w:rPr>
          <w:noProof/>
        </w:rPr>
        <w:t xml:space="preserve"> made </w:t>
      </w:r>
      <w:r w:rsidR="00504563" w:rsidRPr="006C2791">
        <w:rPr>
          <w:noProof/>
        </w:rPr>
        <w:t>an essential contribution</w:t>
      </w:r>
      <w:r w:rsidRPr="006C2791">
        <w:rPr>
          <w:noProof/>
        </w:rPr>
        <w:t xml:space="preserve">, especially </w:t>
      </w:r>
      <w:r w:rsidR="00504563">
        <w:rPr>
          <w:noProof/>
        </w:rPr>
        <w:t>to</w:t>
      </w:r>
      <w:r w:rsidRPr="006C2791">
        <w:rPr>
          <w:noProof/>
        </w:rPr>
        <w:t xml:space="preserve"> </w:t>
      </w:r>
      <w:r w:rsidR="00504563">
        <w:rPr>
          <w:noProof/>
        </w:rPr>
        <w:t xml:space="preserve">the </w:t>
      </w:r>
      <w:r w:rsidRPr="006C2791">
        <w:rPr>
          <w:noProof/>
        </w:rPr>
        <w:t>safety and security assessment of current systems and future technologies such as SMRs</w:t>
      </w:r>
      <w:r w:rsidR="00FA11C7">
        <w:rPr>
          <w:noProof/>
        </w:rPr>
        <w:t>.</w:t>
      </w:r>
      <w:r w:rsidRPr="006C2791">
        <w:rPr>
          <w:noProof/>
        </w:rPr>
        <w:t xml:space="preserve"> In the area of safeguards and non-proliferation, </w:t>
      </w:r>
      <w:r w:rsidR="00504563">
        <w:rPr>
          <w:noProof/>
        </w:rPr>
        <w:t xml:space="preserve">the </w:t>
      </w:r>
      <w:r w:rsidRPr="006C2791">
        <w:rPr>
          <w:noProof/>
        </w:rPr>
        <w:t xml:space="preserve">JRC’s expertise and </w:t>
      </w:r>
      <w:r w:rsidR="00750AB9">
        <w:rPr>
          <w:noProof/>
        </w:rPr>
        <w:t>research</w:t>
      </w:r>
      <w:r w:rsidRPr="006C2791">
        <w:rPr>
          <w:noProof/>
        </w:rPr>
        <w:t xml:space="preserve"> </w:t>
      </w:r>
      <w:r w:rsidR="00FA11C7">
        <w:rPr>
          <w:noProof/>
        </w:rPr>
        <w:t xml:space="preserve">made </w:t>
      </w:r>
      <w:r w:rsidRPr="006C2791">
        <w:rPr>
          <w:noProof/>
        </w:rPr>
        <w:t>a valuable contribution both at European and international level, including as part of the Commission’s programme to</w:t>
      </w:r>
      <w:r w:rsidR="003C7D36">
        <w:rPr>
          <w:noProof/>
        </w:rPr>
        <w:t xml:space="preserve"> </w:t>
      </w:r>
      <w:r w:rsidR="003C7D36" w:rsidRPr="006C2791">
        <w:rPr>
          <w:noProof/>
        </w:rPr>
        <w:t>support</w:t>
      </w:r>
      <w:r w:rsidRPr="006C2791">
        <w:rPr>
          <w:noProof/>
        </w:rPr>
        <w:t xml:space="preserve"> the </w:t>
      </w:r>
      <w:r w:rsidR="00764AB9">
        <w:rPr>
          <w:noProof/>
        </w:rPr>
        <w:t>International Atomic Energy Agency (</w:t>
      </w:r>
      <w:r w:rsidRPr="006C2791">
        <w:rPr>
          <w:noProof/>
        </w:rPr>
        <w:t>IAEA</w:t>
      </w:r>
      <w:r w:rsidR="00764AB9">
        <w:rPr>
          <w:noProof/>
        </w:rPr>
        <w:t>)</w:t>
      </w:r>
      <w:r w:rsidRPr="006C2791">
        <w:rPr>
          <w:noProof/>
        </w:rPr>
        <w:t>.</w:t>
      </w:r>
    </w:p>
    <w:p w:rsidR="00D1206C" w:rsidRDefault="00D1206C" w:rsidP="00D1206C">
      <w:pPr>
        <w:pBdr>
          <w:top w:val="nil"/>
          <w:left w:val="nil"/>
          <w:bottom w:val="nil"/>
          <w:right w:val="nil"/>
          <w:between w:val="nil"/>
          <w:bar w:val="nil"/>
        </w:pBdr>
        <w:spacing w:before="0" w:after="240"/>
        <w:rPr>
          <w:noProof/>
        </w:rPr>
      </w:pPr>
      <w:r>
        <w:rPr>
          <w:noProof/>
        </w:rPr>
        <w:t xml:space="preserve">The JRC’s projects for non-power applications are equally relevant and served to advance the EU’s policy goals in the medical and space spheres. The results of direct actions research make an ongoing and essential contribution to the safe and secure use of nuclear technology. The JRC’s education and training activities provided significant added value to EU Member States, far exceeding national-level capacities. Its direct actions in the sphere of education and training together with the access to its nuclear facilities complement Member States’ capacities and represent a high added value at EU level, contributing to independent research within the Euratom Community. The JRC’s direct actions also support the implementation and monitoring of EU policies in nuclear safety, radioactive waste management, radiation protection, nuclear safeguards as well as non-proliferation initiatives. </w:t>
      </w:r>
    </w:p>
    <w:p w:rsidR="005B4BAD" w:rsidRPr="006C2791" w:rsidRDefault="00D1206C" w:rsidP="00D1206C">
      <w:pPr>
        <w:pBdr>
          <w:top w:val="nil"/>
          <w:left w:val="nil"/>
          <w:bottom w:val="nil"/>
          <w:right w:val="nil"/>
          <w:between w:val="nil"/>
          <w:bar w:val="nil"/>
        </w:pBdr>
        <w:spacing w:before="0" w:after="240"/>
        <w:rPr>
          <w:noProof/>
          <w:color w:val="0E101A"/>
        </w:rPr>
      </w:pPr>
      <w:r>
        <w:rPr>
          <w:noProof/>
        </w:rPr>
        <w:t>As part of its strategy for its nuclear activities and in line with recommendations from the interim evaluation, the JRC will focus on optimising the use of its nuclear infrastructures and ensure their sustainable operation. The JRC is continuing with the construction of the new building in Karlsruhe (Wing M) and is working towards concentrating experimental activities using radioactive materials to two sites (Karlsruhe and Geel). Using the new portfolio approach in its work programme, the JRC will continue to improve synergies across various research domains, making the most of both nuclear and non-nuclear activities. The JRC will also improve its foresight capability and make better use of its current capacities for analysing trends and defining its own nuclear research. It will also provide Member States with useful scientific knowledge to develop their radioactive waste national strategies and will help them share experiences and good practices. In the area of nuclear competencies, in addition to continuing to provide specialised training, the JRC will continue to develop methodologies to support Member States assessment and monitoring of the human resource needs in the nuclear sector through the European Human Resources Observatory on Nuclear.</w:t>
      </w:r>
    </w:p>
    <w:bookmarkEnd w:id="5"/>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Stakeholder consultations</w:t>
      </w:r>
    </w:p>
    <w:p w:rsidR="004853DE" w:rsidRPr="006C2791" w:rsidRDefault="002526F5" w:rsidP="002E0E8A">
      <w:pPr>
        <w:pBdr>
          <w:top w:val="nil"/>
          <w:left w:val="nil"/>
          <w:bottom w:val="nil"/>
          <w:right w:val="nil"/>
          <w:between w:val="nil"/>
          <w:bar w:val="nil"/>
        </w:pBdr>
        <w:spacing w:before="0" w:after="240"/>
        <w:rPr>
          <w:noProof/>
        </w:rPr>
      </w:pPr>
      <w:r>
        <w:rPr>
          <w:noProof/>
        </w:rPr>
        <w:t>F</w:t>
      </w:r>
      <w:r w:rsidRPr="006C2791">
        <w:rPr>
          <w:noProof/>
        </w:rPr>
        <w:t>rom March to May 2024</w:t>
      </w:r>
      <w:r>
        <w:rPr>
          <w:noProof/>
        </w:rPr>
        <w:t>, t</w:t>
      </w:r>
      <w:r w:rsidR="008E2C36" w:rsidRPr="006C2791">
        <w:rPr>
          <w:noProof/>
        </w:rPr>
        <w:t>he Commission carried out a joint call for evidence and</w:t>
      </w:r>
      <w:r>
        <w:rPr>
          <w:noProof/>
        </w:rPr>
        <w:t xml:space="preserve"> a</w:t>
      </w:r>
      <w:r w:rsidR="008E2C36" w:rsidRPr="006C2791">
        <w:rPr>
          <w:noProof/>
        </w:rPr>
        <w:t xml:space="preserve"> public consultation for </w:t>
      </w:r>
      <w:r>
        <w:rPr>
          <w:noProof/>
        </w:rPr>
        <w:t xml:space="preserve">the </w:t>
      </w:r>
      <w:r w:rsidR="008E2C36" w:rsidRPr="006C2791">
        <w:rPr>
          <w:noProof/>
        </w:rPr>
        <w:t xml:space="preserve">interim evaluation of the 2021-2025 Programme and </w:t>
      </w:r>
      <w:r>
        <w:rPr>
          <w:noProof/>
        </w:rPr>
        <w:t xml:space="preserve">the </w:t>
      </w:r>
      <w:r w:rsidR="008E2C36" w:rsidRPr="006C2791">
        <w:rPr>
          <w:noProof/>
        </w:rPr>
        <w:t>preparation of this proposal</w:t>
      </w:r>
      <w:r w:rsidR="0048479A" w:rsidRPr="006C2791">
        <w:rPr>
          <w:rStyle w:val="FootnoteReference"/>
          <w:noProof/>
        </w:rPr>
        <w:footnoteReference w:id="23"/>
      </w:r>
      <w:r w:rsidR="008E2C36" w:rsidRPr="006C2791">
        <w:rPr>
          <w:noProof/>
        </w:rPr>
        <w:t xml:space="preserve">. </w:t>
      </w:r>
      <w:r w:rsidR="00F32486" w:rsidRPr="006C2791">
        <w:rPr>
          <w:noProof/>
        </w:rPr>
        <w:t>Th</w:t>
      </w:r>
      <w:r w:rsidR="003165BF">
        <w:rPr>
          <w:noProof/>
        </w:rPr>
        <w:t>at</w:t>
      </w:r>
      <w:r w:rsidR="00F32486" w:rsidRPr="006C2791">
        <w:rPr>
          <w:noProof/>
        </w:rPr>
        <w:t xml:space="preserve"> consultation provided valuable insights into the </w:t>
      </w:r>
      <w:r w:rsidR="00120FED" w:rsidRPr="006C2791">
        <w:rPr>
          <w:noProof/>
        </w:rPr>
        <w:t xml:space="preserve">Programme’s </w:t>
      </w:r>
      <w:r w:rsidR="00F32486" w:rsidRPr="006C2791">
        <w:rPr>
          <w:noProof/>
        </w:rPr>
        <w:t xml:space="preserve">effectiveness and highlighted key areas for improvement. </w:t>
      </w:r>
      <w:r w:rsidR="003165BF">
        <w:rPr>
          <w:noProof/>
        </w:rPr>
        <w:t xml:space="preserve">It </w:t>
      </w:r>
      <w:r w:rsidR="00F32486" w:rsidRPr="006C2791">
        <w:rPr>
          <w:noProof/>
        </w:rPr>
        <w:t xml:space="preserve">revealed a high level of stakeholder participation in Euratom-funded projects and identified the </w:t>
      </w:r>
      <w:r w:rsidR="00385A78">
        <w:rPr>
          <w:noProof/>
        </w:rPr>
        <w:t>P</w:t>
      </w:r>
      <w:r w:rsidR="00F32486" w:rsidRPr="006C2791">
        <w:rPr>
          <w:noProof/>
        </w:rPr>
        <w:t>rogramme</w:t>
      </w:r>
      <w:r w:rsidR="0069744E">
        <w:rPr>
          <w:noProof/>
        </w:rPr>
        <w:t>’s benefits and challenges</w:t>
      </w:r>
      <w:r w:rsidR="00F32486" w:rsidRPr="006C2791">
        <w:rPr>
          <w:noProof/>
        </w:rPr>
        <w:t xml:space="preserve">. </w:t>
      </w:r>
      <w:r w:rsidR="00C058BF" w:rsidRPr="006C2791">
        <w:rPr>
          <w:noProof/>
        </w:rPr>
        <w:t>Further d</w:t>
      </w:r>
      <w:r w:rsidR="00F32486" w:rsidRPr="006C2791">
        <w:rPr>
          <w:noProof/>
        </w:rPr>
        <w:t xml:space="preserve">etails are provided in Annex V to the </w:t>
      </w:r>
      <w:r w:rsidR="0069744E">
        <w:rPr>
          <w:noProof/>
        </w:rPr>
        <w:t>s</w:t>
      </w:r>
      <w:r w:rsidR="00F32486" w:rsidRPr="006C2791">
        <w:rPr>
          <w:noProof/>
        </w:rPr>
        <w:t xml:space="preserve">taff </w:t>
      </w:r>
      <w:r w:rsidR="0069744E">
        <w:rPr>
          <w:noProof/>
        </w:rPr>
        <w:t>w</w:t>
      </w:r>
      <w:r w:rsidR="00F32486" w:rsidRPr="006C2791">
        <w:rPr>
          <w:noProof/>
        </w:rPr>
        <w:t xml:space="preserve">orking </w:t>
      </w:r>
      <w:r w:rsidR="0069744E">
        <w:rPr>
          <w:noProof/>
        </w:rPr>
        <w:t>d</w:t>
      </w:r>
      <w:r w:rsidR="00F32486" w:rsidRPr="006C2791">
        <w:rPr>
          <w:noProof/>
        </w:rPr>
        <w:t xml:space="preserve">ocument on </w:t>
      </w:r>
      <w:r w:rsidR="003165BF">
        <w:rPr>
          <w:noProof/>
        </w:rPr>
        <w:t xml:space="preserve">the </w:t>
      </w:r>
      <w:r w:rsidR="00F32486" w:rsidRPr="006C2791">
        <w:rPr>
          <w:noProof/>
        </w:rPr>
        <w:t>interim evaluation.</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Collection and use of expertise</w:t>
      </w:r>
    </w:p>
    <w:p w:rsidR="00113896" w:rsidRPr="006C2791" w:rsidRDefault="00113896" w:rsidP="00550536">
      <w:pPr>
        <w:pBdr>
          <w:top w:val="nil"/>
          <w:left w:val="nil"/>
          <w:bottom w:val="nil"/>
          <w:right w:val="nil"/>
          <w:between w:val="nil"/>
          <w:bar w:val="nil"/>
        </w:pBdr>
        <w:spacing w:before="0" w:after="240"/>
        <w:rPr>
          <w:noProof/>
        </w:rPr>
      </w:pPr>
      <w:r w:rsidRPr="006C2791">
        <w:rPr>
          <w:noProof/>
          <w:color w:val="000000" w:themeColor="text1"/>
        </w:rPr>
        <w:t>In the course of carrying out</w:t>
      </w:r>
      <w:r w:rsidR="00C058BF" w:rsidRPr="006C2791">
        <w:rPr>
          <w:noProof/>
          <w:color w:val="000000" w:themeColor="text1"/>
        </w:rPr>
        <w:t xml:space="preserve"> the</w:t>
      </w:r>
      <w:r w:rsidRPr="006C2791">
        <w:rPr>
          <w:noProof/>
          <w:color w:val="000000" w:themeColor="text1"/>
        </w:rPr>
        <w:t xml:space="preserve"> interim evaluation and drawing up its proposal, the Commission </w:t>
      </w:r>
      <w:r w:rsidR="002475C7" w:rsidRPr="006C2791">
        <w:rPr>
          <w:noProof/>
          <w:color w:val="000000" w:themeColor="text1"/>
        </w:rPr>
        <w:t xml:space="preserve">held </w:t>
      </w:r>
      <w:r w:rsidRPr="006C2791">
        <w:rPr>
          <w:noProof/>
          <w:color w:val="000000" w:themeColor="text1"/>
        </w:rPr>
        <w:t>a number of meetings with stakeholders</w:t>
      </w:r>
      <w:r w:rsidR="0069744E">
        <w:rPr>
          <w:noProof/>
          <w:color w:val="000000" w:themeColor="text1"/>
        </w:rPr>
        <w:t>,</w:t>
      </w:r>
      <w:r w:rsidRPr="006C2791">
        <w:rPr>
          <w:noProof/>
          <w:color w:val="000000" w:themeColor="text1"/>
        </w:rPr>
        <w:t xml:space="preserve"> collected input and drew on expertise from </w:t>
      </w:r>
      <w:r w:rsidR="00385A78">
        <w:rPr>
          <w:noProof/>
          <w:color w:val="000000" w:themeColor="text1"/>
        </w:rPr>
        <w:t>the following</w:t>
      </w:r>
      <w:r w:rsidRPr="006C2791">
        <w:rPr>
          <w:noProof/>
          <w:color w:val="000000" w:themeColor="text1"/>
        </w:rPr>
        <w:t xml:space="preserve"> sources</w:t>
      </w:r>
      <w:r w:rsidR="00F9700D" w:rsidRPr="006C2791">
        <w:rPr>
          <w:noProof/>
          <w:color w:val="000000" w:themeColor="text1"/>
        </w:rPr>
        <w:t>:</w:t>
      </w:r>
    </w:p>
    <w:p w:rsidR="00DE7DC1" w:rsidRPr="006C2791" w:rsidRDefault="00DE7DC1" w:rsidP="00147B8B">
      <w:pPr>
        <w:pStyle w:val="Tiret0"/>
        <w:rPr>
          <w:noProof/>
        </w:rPr>
      </w:pPr>
      <w:r w:rsidRPr="006C2791">
        <w:rPr>
          <w:noProof/>
        </w:rPr>
        <w:t>an opinion of the Euratom STC</w:t>
      </w:r>
      <w:r w:rsidR="00F9700D" w:rsidRPr="006C2791">
        <w:rPr>
          <w:noProof/>
        </w:rPr>
        <w:t xml:space="preserve"> on priorities for European nuclear research and training</w:t>
      </w:r>
      <w:r w:rsidRPr="006C2791">
        <w:rPr>
          <w:rStyle w:val="FootnoteReference"/>
          <w:noProof/>
        </w:rPr>
        <w:footnoteReference w:id="24"/>
      </w:r>
      <w:r w:rsidR="0069744E">
        <w:rPr>
          <w:noProof/>
        </w:rPr>
        <w:t>;</w:t>
      </w:r>
    </w:p>
    <w:p w:rsidR="00DE7DC1" w:rsidRPr="006C2791" w:rsidRDefault="00B377BF" w:rsidP="00147B8B">
      <w:pPr>
        <w:pStyle w:val="Tiret0"/>
        <w:rPr>
          <w:noProof/>
        </w:rPr>
      </w:pPr>
      <w:bookmarkStart w:id="9" w:name="_Hlk181883346"/>
      <w:r w:rsidRPr="006C2791">
        <w:rPr>
          <w:noProof/>
        </w:rPr>
        <w:t xml:space="preserve">an </w:t>
      </w:r>
      <w:r w:rsidR="001D5587" w:rsidRPr="006C2791">
        <w:rPr>
          <w:noProof/>
        </w:rPr>
        <w:t xml:space="preserve">independent </w:t>
      </w:r>
      <w:r w:rsidR="00DE7DC1" w:rsidRPr="006C2791">
        <w:rPr>
          <w:noProof/>
        </w:rPr>
        <w:t xml:space="preserve">report </w:t>
      </w:r>
      <w:r w:rsidR="007376AE" w:rsidRPr="006C2791">
        <w:rPr>
          <w:noProof/>
        </w:rPr>
        <w:t>by</w:t>
      </w:r>
      <w:r w:rsidR="00DE7DC1" w:rsidRPr="006C2791">
        <w:rPr>
          <w:noProof/>
        </w:rPr>
        <w:t xml:space="preserve"> </w:t>
      </w:r>
      <w:bookmarkEnd w:id="9"/>
      <w:r w:rsidR="50B532B1" w:rsidRPr="006C2791">
        <w:rPr>
          <w:noProof/>
        </w:rPr>
        <w:t xml:space="preserve">an </w:t>
      </w:r>
      <w:r w:rsidR="00DE7DC1" w:rsidRPr="006C2791">
        <w:rPr>
          <w:noProof/>
        </w:rPr>
        <w:t xml:space="preserve">expert </w:t>
      </w:r>
      <w:r w:rsidR="69B14522" w:rsidRPr="006C2791">
        <w:rPr>
          <w:noProof/>
        </w:rPr>
        <w:t>panel</w:t>
      </w:r>
      <w:r w:rsidR="00EB2B99" w:rsidRPr="006C2791">
        <w:rPr>
          <w:noProof/>
        </w:rPr>
        <w:t xml:space="preserve"> </w:t>
      </w:r>
      <w:r w:rsidR="3773223E" w:rsidRPr="006C2791">
        <w:rPr>
          <w:noProof/>
        </w:rPr>
        <w:t xml:space="preserve">to </w:t>
      </w:r>
      <w:r w:rsidR="6F0CC155" w:rsidRPr="006C2791">
        <w:rPr>
          <w:noProof/>
        </w:rPr>
        <w:t xml:space="preserve">assess </w:t>
      </w:r>
      <w:r w:rsidR="19D3874E" w:rsidRPr="006C2791">
        <w:rPr>
          <w:noProof/>
        </w:rPr>
        <w:t xml:space="preserve">the </w:t>
      </w:r>
      <w:r w:rsidR="6F0CC155" w:rsidRPr="006C2791">
        <w:rPr>
          <w:noProof/>
        </w:rPr>
        <w:t>JRC’s</w:t>
      </w:r>
      <w:r w:rsidR="00DE7DC1" w:rsidRPr="006C2791">
        <w:rPr>
          <w:noProof/>
        </w:rPr>
        <w:t xml:space="preserve"> </w:t>
      </w:r>
      <w:r w:rsidR="00EB2B99" w:rsidRPr="006C2791">
        <w:rPr>
          <w:noProof/>
        </w:rPr>
        <w:t xml:space="preserve">direct </w:t>
      </w:r>
      <w:r w:rsidR="001D5587" w:rsidRPr="006C2791">
        <w:rPr>
          <w:noProof/>
        </w:rPr>
        <w:t>actions as part of</w:t>
      </w:r>
      <w:r w:rsidR="16316771" w:rsidRPr="006C2791">
        <w:rPr>
          <w:noProof/>
        </w:rPr>
        <w:t xml:space="preserve"> support</w:t>
      </w:r>
      <w:r w:rsidR="5571A9D3" w:rsidRPr="006C2791">
        <w:rPr>
          <w:noProof/>
        </w:rPr>
        <w:t>ing</w:t>
      </w:r>
      <w:r w:rsidR="00DE7DC1" w:rsidRPr="006C2791">
        <w:rPr>
          <w:noProof/>
        </w:rPr>
        <w:t xml:space="preserve"> </w:t>
      </w:r>
      <w:r w:rsidR="4E00CA46" w:rsidRPr="006C2791">
        <w:rPr>
          <w:noProof/>
        </w:rPr>
        <w:t xml:space="preserve">the </w:t>
      </w:r>
      <w:r w:rsidR="00DE7DC1" w:rsidRPr="006C2791">
        <w:rPr>
          <w:noProof/>
        </w:rPr>
        <w:t>interim evaluation of the 20</w:t>
      </w:r>
      <w:r w:rsidR="00EB2B99" w:rsidRPr="006C2791">
        <w:rPr>
          <w:noProof/>
        </w:rPr>
        <w:t>2</w:t>
      </w:r>
      <w:r w:rsidR="00DE7DC1" w:rsidRPr="006C2791">
        <w:rPr>
          <w:noProof/>
        </w:rPr>
        <w:t>1-202</w:t>
      </w:r>
      <w:r w:rsidR="00EB2B99" w:rsidRPr="006C2791">
        <w:rPr>
          <w:noProof/>
        </w:rPr>
        <w:t>5</w:t>
      </w:r>
      <w:r w:rsidR="00DE7DC1" w:rsidRPr="006C2791">
        <w:rPr>
          <w:noProof/>
        </w:rPr>
        <w:t xml:space="preserve"> </w:t>
      </w:r>
      <w:r w:rsidR="00EB2B99" w:rsidRPr="006C2791">
        <w:rPr>
          <w:noProof/>
        </w:rPr>
        <w:t>P</w:t>
      </w:r>
      <w:r w:rsidR="00DE7DC1" w:rsidRPr="006C2791">
        <w:rPr>
          <w:noProof/>
        </w:rPr>
        <w:t>rogramme</w:t>
      </w:r>
      <w:r w:rsidR="00DE7DC1" w:rsidRPr="006C2791">
        <w:rPr>
          <w:rStyle w:val="FootnoteReference"/>
          <w:noProof/>
        </w:rPr>
        <w:footnoteReference w:id="25"/>
      </w:r>
      <w:r w:rsidR="0069744E">
        <w:rPr>
          <w:noProof/>
        </w:rPr>
        <w:t>;</w:t>
      </w:r>
    </w:p>
    <w:p w:rsidR="00A855AC" w:rsidRPr="006C2791" w:rsidRDefault="00B377BF" w:rsidP="00147B8B">
      <w:pPr>
        <w:pStyle w:val="Tiret0"/>
        <w:rPr>
          <w:noProof/>
        </w:rPr>
      </w:pPr>
      <w:r w:rsidRPr="006C2791">
        <w:rPr>
          <w:noProof/>
        </w:rPr>
        <w:t>independent reports by individual experts on the indirect actions as part of the interim evaluation of the 2021-2025 Programme</w:t>
      </w:r>
      <w:r w:rsidRPr="006C2791">
        <w:rPr>
          <w:rStyle w:val="FootnoteReference"/>
          <w:noProof/>
        </w:rPr>
        <w:footnoteReference w:id="26"/>
      </w:r>
      <w:r w:rsidR="0069744E">
        <w:rPr>
          <w:noProof/>
        </w:rPr>
        <w:t>;</w:t>
      </w:r>
    </w:p>
    <w:p w:rsidR="00A855AC" w:rsidRPr="006C2791" w:rsidRDefault="00821FBC" w:rsidP="00147B8B">
      <w:pPr>
        <w:pStyle w:val="Tiret0"/>
        <w:rPr>
          <w:noProof/>
        </w:rPr>
      </w:pPr>
      <w:r w:rsidRPr="006C2791">
        <w:rPr>
          <w:noProof/>
        </w:rPr>
        <w:t xml:space="preserve">the interim evaluation of </w:t>
      </w:r>
      <w:r w:rsidR="0069744E">
        <w:rPr>
          <w:noProof/>
        </w:rPr>
        <w:t xml:space="preserve">the </w:t>
      </w:r>
      <w:r w:rsidRPr="006C2791">
        <w:rPr>
          <w:noProof/>
        </w:rPr>
        <w:t>Fusion for Energy Joint Undertaking (F4E JU)</w:t>
      </w:r>
      <w:r w:rsidRPr="006C2791">
        <w:rPr>
          <w:rStyle w:val="FootnoteReference"/>
          <w:noProof/>
        </w:rPr>
        <w:footnoteReference w:id="27"/>
      </w:r>
      <w:r w:rsidR="0069744E">
        <w:rPr>
          <w:noProof/>
        </w:rPr>
        <w:t>;</w:t>
      </w:r>
    </w:p>
    <w:p w:rsidR="00802695" w:rsidRDefault="00120FED" w:rsidP="00147B8B">
      <w:pPr>
        <w:pStyle w:val="Tiret0"/>
        <w:rPr>
          <w:noProof/>
        </w:rPr>
      </w:pPr>
      <w:r w:rsidRPr="006C2791">
        <w:rPr>
          <w:noProof/>
        </w:rPr>
        <w:t xml:space="preserve">the </w:t>
      </w:r>
      <w:r w:rsidR="00802695" w:rsidRPr="006C2791">
        <w:rPr>
          <w:noProof/>
        </w:rPr>
        <w:t>High-Level European Round</w:t>
      </w:r>
      <w:r w:rsidR="0069744E">
        <w:rPr>
          <w:noProof/>
        </w:rPr>
        <w:t xml:space="preserve"> </w:t>
      </w:r>
      <w:r w:rsidR="001624BF">
        <w:rPr>
          <w:noProof/>
        </w:rPr>
        <w:t>T</w:t>
      </w:r>
      <w:r w:rsidR="00802695" w:rsidRPr="006C2791">
        <w:rPr>
          <w:noProof/>
        </w:rPr>
        <w:t xml:space="preserve">able on Fostering Fusion Innovation </w:t>
      </w:r>
      <w:r w:rsidRPr="006C2791">
        <w:rPr>
          <w:noProof/>
        </w:rPr>
        <w:t xml:space="preserve">on </w:t>
      </w:r>
      <w:r w:rsidR="00802695" w:rsidRPr="006C2791">
        <w:rPr>
          <w:noProof/>
        </w:rPr>
        <w:t>14</w:t>
      </w:r>
      <w:r w:rsidR="006C2791">
        <w:rPr>
          <w:noProof/>
        </w:rPr>
        <w:t> </w:t>
      </w:r>
      <w:r w:rsidR="00802695" w:rsidRPr="006C2791">
        <w:rPr>
          <w:noProof/>
        </w:rPr>
        <w:t>March 2024</w:t>
      </w:r>
      <w:r w:rsidR="00802695" w:rsidRPr="006C2791">
        <w:rPr>
          <w:rStyle w:val="FootnoteReference"/>
          <w:noProof/>
        </w:rPr>
        <w:footnoteReference w:id="28"/>
      </w:r>
      <w:r w:rsidR="001624BF">
        <w:rPr>
          <w:noProof/>
        </w:rPr>
        <w:t>;</w:t>
      </w:r>
    </w:p>
    <w:p w:rsidR="008F4495" w:rsidRPr="00B468FA" w:rsidRDefault="008F4495" w:rsidP="00147B8B">
      <w:pPr>
        <w:pStyle w:val="Tiret0"/>
        <w:rPr>
          <w:noProof/>
        </w:rPr>
      </w:pPr>
      <w:r w:rsidRPr="00B468FA">
        <w:rPr>
          <w:noProof/>
        </w:rPr>
        <w:t>the EU blueprint for fusion energy on 23 April 2024</w:t>
      </w:r>
      <w:r w:rsidRPr="00564821">
        <w:rPr>
          <w:rStyle w:val="FootnoteReference"/>
          <w:noProof/>
        </w:rPr>
        <w:footnoteReference w:id="29"/>
      </w:r>
      <w:r w:rsidRPr="00B468FA">
        <w:rPr>
          <w:noProof/>
        </w:rPr>
        <w:t>;</w:t>
      </w:r>
    </w:p>
    <w:p w:rsidR="00A855AC" w:rsidRPr="006C2791" w:rsidRDefault="001624BF" w:rsidP="00147B8B">
      <w:pPr>
        <w:pStyle w:val="Tiret0"/>
        <w:rPr>
          <w:noProof/>
        </w:rPr>
      </w:pPr>
      <w:r>
        <w:rPr>
          <w:noProof/>
        </w:rPr>
        <w:t xml:space="preserve">the </w:t>
      </w:r>
      <w:r w:rsidR="00A855AC" w:rsidRPr="006C2791">
        <w:rPr>
          <w:noProof/>
        </w:rPr>
        <w:t>outcome of the stakeholders’ meeting on ‘Euratom Research in Action and Opportunities for Europe</w:t>
      </w:r>
      <w:r>
        <w:rPr>
          <w:noProof/>
        </w:rPr>
        <w:t>’</w:t>
      </w:r>
      <w:r w:rsidR="00A855AC" w:rsidRPr="006C2791">
        <w:rPr>
          <w:rStyle w:val="FootnoteReference"/>
          <w:noProof/>
        </w:rPr>
        <w:footnoteReference w:id="30"/>
      </w:r>
      <w:r>
        <w:rPr>
          <w:noProof/>
        </w:rPr>
        <w:t>.</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Impact assessment</w:t>
      </w:r>
    </w:p>
    <w:p w:rsidR="00896555" w:rsidRPr="006C2791" w:rsidRDefault="0096486C" w:rsidP="58E9BA92">
      <w:pPr>
        <w:pBdr>
          <w:top w:val="nil"/>
          <w:left w:val="nil"/>
          <w:bottom w:val="nil"/>
          <w:right w:val="nil"/>
          <w:between w:val="nil"/>
          <w:bar w:val="nil"/>
        </w:pBdr>
        <w:spacing w:before="0" w:after="240"/>
        <w:rPr>
          <w:noProof/>
        </w:rPr>
      </w:pPr>
      <w:r w:rsidRPr="006C2791">
        <w:rPr>
          <w:noProof/>
        </w:rPr>
        <w:t xml:space="preserve">This proposal is supported by </w:t>
      </w:r>
      <w:r w:rsidR="00505EE8" w:rsidRPr="006C2791">
        <w:rPr>
          <w:noProof/>
        </w:rPr>
        <w:t>the interim evaluation of the 2021-2025</w:t>
      </w:r>
      <w:r w:rsidR="00CB3DCD">
        <w:rPr>
          <w:noProof/>
        </w:rPr>
        <w:t xml:space="preserve"> </w:t>
      </w:r>
      <w:r w:rsidR="00CB3DCD" w:rsidRPr="006C2791">
        <w:rPr>
          <w:noProof/>
        </w:rPr>
        <w:t>Programme</w:t>
      </w:r>
      <w:r w:rsidR="00CB3DCD">
        <w:rPr>
          <w:noProof/>
        </w:rPr>
        <w:t>,</w:t>
      </w:r>
      <w:r w:rsidR="0048479A" w:rsidRPr="006C2791">
        <w:rPr>
          <w:noProof/>
        </w:rPr>
        <w:t xml:space="preserve"> which present</w:t>
      </w:r>
      <w:r w:rsidR="00896555" w:rsidRPr="006C2791">
        <w:rPr>
          <w:noProof/>
        </w:rPr>
        <w:t>ed</w:t>
      </w:r>
      <w:r w:rsidR="0048479A" w:rsidRPr="006C2791">
        <w:rPr>
          <w:noProof/>
        </w:rPr>
        <w:t xml:space="preserve"> </w:t>
      </w:r>
      <w:r w:rsidR="00896555" w:rsidRPr="006C2791">
        <w:rPr>
          <w:noProof/>
        </w:rPr>
        <w:t>th</w:t>
      </w:r>
      <w:r w:rsidR="000967F8">
        <w:rPr>
          <w:noProof/>
        </w:rPr>
        <w:t>at Programme’s</w:t>
      </w:r>
      <w:r w:rsidR="00896555" w:rsidRPr="006C2791">
        <w:rPr>
          <w:noProof/>
        </w:rPr>
        <w:t xml:space="preserve"> </w:t>
      </w:r>
      <w:r w:rsidR="000967F8">
        <w:rPr>
          <w:noProof/>
        </w:rPr>
        <w:t>achievements</w:t>
      </w:r>
      <w:r w:rsidR="0048479A" w:rsidRPr="006C2791">
        <w:rPr>
          <w:noProof/>
        </w:rPr>
        <w:t xml:space="preserve"> and propose</w:t>
      </w:r>
      <w:r w:rsidR="00896555" w:rsidRPr="006C2791">
        <w:rPr>
          <w:noProof/>
        </w:rPr>
        <w:t>d</w:t>
      </w:r>
      <w:r w:rsidR="0048479A" w:rsidRPr="006C2791">
        <w:rPr>
          <w:noProof/>
        </w:rPr>
        <w:t xml:space="preserve"> improvements</w:t>
      </w:r>
      <w:r w:rsidR="00CB3DCD">
        <w:rPr>
          <w:noProof/>
        </w:rPr>
        <w:t xml:space="preserve"> that are</w:t>
      </w:r>
      <w:r w:rsidR="0048479A" w:rsidRPr="006C2791">
        <w:rPr>
          <w:noProof/>
        </w:rPr>
        <w:t xml:space="preserve"> </w:t>
      </w:r>
      <w:r w:rsidR="00896555" w:rsidRPr="006C2791">
        <w:rPr>
          <w:noProof/>
        </w:rPr>
        <w:t xml:space="preserve">also relevant </w:t>
      </w:r>
      <w:r w:rsidR="00CB3DCD">
        <w:rPr>
          <w:noProof/>
        </w:rPr>
        <w:t xml:space="preserve">for </w:t>
      </w:r>
      <w:r w:rsidR="0048479A" w:rsidRPr="006C2791">
        <w:rPr>
          <w:noProof/>
        </w:rPr>
        <w:t>2026-2027.</w:t>
      </w:r>
    </w:p>
    <w:p w:rsidR="00B9629B" w:rsidRPr="006C2791" w:rsidRDefault="005047B5" w:rsidP="58E9BA92">
      <w:pPr>
        <w:pBdr>
          <w:top w:val="nil"/>
          <w:left w:val="nil"/>
          <w:bottom w:val="nil"/>
          <w:right w:val="nil"/>
          <w:between w:val="nil"/>
          <w:bar w:val="nil"/>
        </w:pBdr>
        <w:spacing w:before="0" w:after="240"/>
        <w:rPr>
          <w:noProof/>
        </w:rPr>
      </w:pPr>
      <w:r>
        <w:rPr>
          <w:noProof/>
        </w:rPr>
        <w:t xml:space="preserve">It was decided </w:t>
      </w:r>
      <w:r w:rsidR="00DA6E01" w:rsidRPr="006C2791">
        <w:rPr>
          <w:noProof/>
        </w:rPr>
        <w:t>to use the interim evaluation as a</w:t>
      </w:r>
      <w:r w:rsidR="006860EE" w:rsidRPr="006C2791">
        <w:rPr>
          <w:noProof/>
        </w:rPr>
        <w:t>n</w:t>
      </w:r>
      <w:r w:rsidR="00DA6E01" w:rsidRPr="006C2791">
        <w:rPr>
          <w:noProof/>
        </w:rPr>
        <w:t xml:space="preserve"> evidence base</w:t>
      </w:r>
      <w:r w:rsidR="00C45217" w:rsidRPr="006C2791">
        <w:rPr>
          <w:noProof/>
        </w:rPr>
        <w:t xml:space="preserve"> </w:t>
      </w:r>
      <w:r w:rsidR="008940CC">
        <w:rPr>
          <w:noProof/>
        </w:rPr>
        <w:t xml:space="preserve">to prepare </w:t>
      </w:r>
      <w:r w:rsidR="00C45217" w:rsidRPr="006C2791">
        <w:rPr>
          <w:noProof/>
        </w:rPr>
        <w:t>the proposal</w:t>
      </w:r>
      <w:r w:rsidR="008940CC">
        <w:rPr>
          <w:noProof/>
        </w:rPr>
        <w:t xml:space="preserve"> </w:t>
      </w:r>
      <w:r>
        <w:rPr>
          <w:noProof/>
        </w:rPr>
        <w:t>instead of</w:t>
      </w:r>
      <w:r w:rsidRPr="006C2791">
        <w:rPr>
          <w:noProof/>
        </w:rPr>
        <w:t xml:space="preserve"> carry</w:t>
      </w:r>
      <w:r>
        <w:rPr>
          <w:noProof/>
        </w:rPr>
        <w:t>ing</w:t>
      </w:r>
      <w:r w:rsidRPr="006C2791">
        <w:rPr>
          <w:noProof/>
        </w:rPr>
        <w:t xml:space="preserve"> out an </w:t>
      </w:r>
      <w:r>
        <w:rPr>
          <w:i/>
          <w:noProof/>
        </w:rPr>
        <w:t>ex ante</w:t>
      </w:r>
      <w:r w:rsidRPr="006C2791">
        <w:rPr>
          <w:noProof/>
        </w:rPr>
        <w:t xml:space="preserve"> impact assessment</w:t>
      </w:r>
      <w:r w:rsidR="00D04E30">
        <w:rPr>
          <w:noProof/>
        </w:rPr>
        <w:t>,</w:t>
      </w:r>
      <w:r>
        <w:rPr>
          <w:noProof/>
        </w:rPr>
        <w:t xml:space="preserve"> since</w:t>
      </w:r>
      <w:r w:rsidR="00CB3DCD">
        <w:rPr>
          <w:noProof/>
        </w:rPr>
        <w:t xml:space="preserve"> </w:t>
      </w:r>
      <w:r w:rsidR="00CB3DCD" w:rsidRPr="006C2791">
        <w:rPr>
          <w:noProof/>
        </w:rPr>
        <w:t xml:space="preserve">the Euratom Programme </w:t>
      </w:r>
      <w:r w:rsidR="00CB3DCD">
        <w:rPr>
          <w:noProof/>
        </w:rPr>
        <w:t>covers 5 </w:t>
      </w:r>
      <w:r w:rsidR="00CB3DCD" w:rsidRPr="006C2791">
        <w:rPr>
          <w:noProof/>
        </w:rPr>
        <w:t>years</w:t>
      </w:r>
      <w:r w:rsidR="00CB3DCD">
        <w:rPr>
          <w:noProof/>
        </w:rPr>
        <w:t xml:space="preserve"> (rather than 7</w:t>
      </w:r>
      <w:r>
        <w:rPr>
          <w:noProof/>
        </w:rPr>
        <w:t> </w:t>
      </w:r>
      <w:r w:rsidR="00CB3DCD">
        <w:rPr>
          <w:noProof/>
        </w:rPr>
        <w:t xml:space="preserve">years </w:t>
      </w:r>
      <w:r w:rsidR="008940CC">
        <w:rPr>
          <w:noProof/>
        </w:rPr>
        <w:t>in the case of</w:t>
      </w:r>
      <w:r w:rsidR="00CB3DCD">
        <w:rPr>
          <w:noProof/>
        </w:rPr>
        <w:t xml:space="preserve"> </w:t>
      </w:r>
      <w:r w:rsidR="00CB3DCD" w:rsidRPr="006C2791">
        <w:rPr>
          <w:noProof/>
        </w:rPr>
        <w:t xml:space="preserve">most MFF spending programmes) and </w:t>
      </w:r>
      <w:r>
        <w:rPr>
          <w:noProof/>
        </w:rPr>
        <w:t>since</w:t>
      </w:r>
      <w:r w:rsidR="00CB3DCD" w:rsidRPr="006C2791">
        <w:rPr>
          <w:noProof/>
        </w:rPr>
        <w:t xml:space="preserve"> the proposal has no new financial implications</w:t>
      </w:r>
      <w:r w:rsidR="008D196E" w:rsidRPr="006C2791">
        <w:rPr>
          <w:noProof/>
        </w:rPr>
        <w:t>. The</w:t>
      </w:r>
      <w:r w:rsidR="00505EE8" w:rsidRPr="006C2791">
        <w:rPr>
          <w:noProof/>
        </w:rPr>
        <w:t xml:space="preserve"> </w:t>
      </w:r>
      <w:r w:rsidR="0096486C" w:rsidRPr="006C2791">
        <w:rPr>
          <w:noProof/>
        </w:rPr>
        <w:t>interim evaluation</w:t>
      </w:r>
      <w:r w:rsidR="00505EE8" w:rsidRPr="006C2791">
        <w:rPr>
          <w:noProof/>
        </w:rPr>
        <w:t xml:space="preserve"> was considered to</w:t>
      </w:r>
      <w:r w:rsidR="0096486C" w:rsidRPr="006C2791">
        <w:rPr>
          <w:noProof/>
        </w:rPr>
        <w:t xml:space="preserve"> satisf</w:t>
      </w:r>
      <w:r w:rsidR="00505EE8" w:rsidRPr="006C2791">
        <w:rPr>
          <w:noProof/>
        </w:rPr>
        <w:t>y</w:t>
      </w:r>
      <w:r w:rsidR="0096486C" w:rsidRPr="006C2791">
        <w:rPr>
          <w:noProof/>
        </w:rPr>
        <w:t xml:space="preserve"> the requirements of the Financial Regulation </w:t>
      </w:r>
      <w:r w:rsidR="008D196E" w:rsidRPr="006C2791">
        <w:rPr>
          <w:noProof/>
        </w:rPr>
        <w:t>regarding</w:t>
      </w:r>
      <w:r w:rsidR="0096486C" w:rsidRPr="006C2791">
        <w:rPr>
          <w:noProof/>
        </w:rPr>
        <w:t xml:space="preserve"> an </w:t>
      </w:r>
      <w:r w:rsidR="0096486C" w:rsidRPr="006B4990">
        <w:rPr>
          <w:i/>
          <w:iCs/>
          <w:noProof/>
        </w:rPr>
        <w:t>ex</w:t>
      </w:r>
      <w:r w:rsidR="00D04E30" w:rsidRPr="006B4990">
        <w:rPr>
          <w:i/>
          <w:iCs/>
          <w:noProof/>
        </w:rPr>
        <w:t xml:space="preserve"> </w:t>
      </w:r>
      <w:r w:rsidR="0096486C" w:rsidRPr="006B4990">
        <w:rPr>
          <w:i/>
          <w:iCs/>
          <w:noProof/>
        </w:rPr>
        <w:t>ante</w:t>
      </w:r>
      <w:r w:rsidR="0096486C" w:rsidRPr="006C2791">
        <w:rPr>
          <w:noProof/>
        </w:rPr>
        <w:t xml:space="preserve"> evaluation</w:t>
      </w:r>
      <w:r w:rsidR="001D0A50">
        <w:rPr>
          <w:noProof/>
        </w:rPr>
        <w:t xml:space="preserve"> </w:t>
      </w:r>
      <w:r w:rsidR="00F56DD3">
        <w:rPr>
          <w:noProof/>
        </w:rPr>
        <w:t>since</w:t>
      </w:r>
      <w:r w:rsidR="001D0A50">
        <w:rPr>
          <w:noProof/>
        </w:rPr>
        <w:t xml:space="preserve"> it is sufficiently recent and </w:t>
      </w:r>
      <w:r w:rsidR="00F56DD3">
        <w:rPr>
          <w:noProof/>
        </w:rPr>
        <w:t>since</w:t>
      </w:r>
      <w:r w:rsidR="001D0A50" w:rsidRPr="006C2791">
        <w:rPr>
          <w:noProof/>
        </w:rPr>
        <w:t xml:space="preserve"> the Programme proposed here will retain the main elements of its predecessor</w:t>
      </w:r>
      <w:r w:rsidR="0096486C" w:rsidRPr="006C2791">
        <w:rPr>
          <w:noProof/>
        </w:rPr>
        <w:t>.</w:t>
      </w:r>
    </w:p>
    <w:p w:rsidR="00896555" w:rsidRPr="006C2791" w:rsidRDefault="00896555" w:rsidP="58E9BA92">
      <w:pPr>
        <w:pBdr>
          <w:top w:val="nil"/>
          <w:left w:val="nil"/>
          <w:bottom w:val="nil"/>
          <w:right w:val="nil"/>
          <w:between w:val="nil"/>
          <w:bar w:val="nil"/>
        </w:pBdr>
        <w:spacing w:before="0" w:after="240"/>
        <w:rPr>
          <w:noProof/>
        </w:rPr>
      </w:pPr>
      <w:r w:rsidRPr="006C2791">
        <w:rPr>
          <w:noProof/>
        </w:rPr>
        <w:t xml:space="preserve">Use was also made of the findings of the </w:t>
      </w:r>
      <w:r w:rsidRPr="006C2791">
        <w:rPr>
          <w:i/>
          <w:iCs/>
          <w:noProof/>
        </w:rPr>
        <w:t>ex</w:t>
      </w:r>
      <w:r w:rsidR="00D04E30">
        <w:rPr>
          <w:i/>
          <w:iCs/>
          <w:noProof/>
        </w:rPr>
        <w:t xml:space="preserve"> </w:t>
      </w:r>
      <w:r w:rsidRPr="006C2791">
        <w:rPr>
          <w:i/>
          <w:iCs/>
          <w:noProof/>
        </w:rPr>
        <w:t>ante</w:t>
      </w:r>
      <w:r w:rsidRPr="006C2791">
        <w:rPr>
          <w:noProof/>
        </w:rPr>
        <w:t xml:space="preserve"> impact assessment for the 2021-2025</w:t>
      </w:r>
      <w:r w:rsidR="008940CC">
        <w:rPr>
          <w:noProof/>
        </w:rPr>
        <w:t xml:space="preserve"> </w:t>
      </w:r>
      <w:r w:rsidR="008940CC" w:rsidRPr="006C2791">
        <w:rPr>
          <w:noProof/>
        </w:rPr>
        <w:t>Programme</w:t>
      </w:r>
      <w:r w:rsidRPr="006C2791">
        <w:rPr>
          <w:rStyle w:val="FootnoteReference"/>
          <w:noProof/>
        </w:rPr>
        <w:footnoteReference w:id="31"/>
      </w:r>
      <w:r w:rsidRPr="006C2791">
        <w:rPr>
          <w:noProof/>
        </w:rPr>
        <w:t xml:space="preserve"> where th</w:t>
      </w:r>
      <w:r w:rsidR="00385A78">
        <w:rPr>
          <w:noProof/>
        </w:rPr>
        <w:t>ey</w:t>
      </w:r>
      <w:r w:rsidRPr="006C2791">
        <w:rPr>
          <w:noProof/>
        </w:rPr>
        <w:t xml:space="preserve"> </w:t>
      </w:r>
      <w:r w:rsidR="00385A78">
        <w:rPr>
          <w:noProof/>
        </w:rPr>
        <w:t>are</w:t>
      </w:r>
      <w:r w:rsidRPr="006C2791">
        <w:rPr>
          <w:noProof/>
        </w:rPr>
        <w:t xml:space="preserve"> still relevant.</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Regulatory fitness and simplification</w:t>
      </w:r>
    </w:p>
    <w:p w:rsidR="008F031D" w:rsidRPr="006C2791" w:rsidRDefault="00DB5EAD" w:rsidP="00E837CC">
      <w:pPr>
        <w:pBdr>
          <w:top w:val="nil"/>
          <w:left w:val="nil"/>
          <w:bottom w:val="nil"/>
          <w:right w:val="nil"/>
          <w:between w:val="nil"/>
          <w:bar w:val="nil"/>
        </w:pBdr>
        <w:spacing w:before="0" w:after="240"/>
        <w:rPr>
          <w:rFonts w:eastAsia="Arial Unicode MS"/>
          <w:noProof/>
        </w:rPr>
      </w:pPr>
      <w:r w:rsidRPr="006C2791">
        <w:rPr>
          <w:noProof/>
        </w:rPr>
        <w:t>Like its predecessor, t</w:t>
      </w:r>
      <w:r w:rsidR="0096486C" w:rsidRPr="006C2791">
        <w:rPr>
          <w:noProof/>
        </w:rPr>
        <w:t xml:space="preserve">he Programme will be implemented using </w:t>
      </w:r>
      <w:r w:rsidRPr="006C2791">
        <w:rPr>
          <w:noProof/>
        </w:rPr>
        <w:t xml:space="preserve">Horizon Europe’s </w:t>
      </w:r>
      <w:r w:rsidR="0096486C" w:rsidRPr="006C2791">
        <w:rPr>
          <w:noProof/>
        </w:rPr>
        <w:t>instruments and rules of participation</w:t>
      </w:r>
      <w:r w:rsidR="00997547">
        <w:rPr>
          <w:noProof/>
        </w:rPr>
        <w:t xml:space="preserve"> and dissemination</w:t>
      </w:r>
      <w:r w:rsidR="0096486C" w:rsidRPr="006C2791">
        <w:rPr>
          <w:noProof/>
        </w:rPr>
        <w:t>. Simplification measures</w:t>
      </w:r>
      <w:r w:rsidR="00751F49" w:rsidRPr="006C2791">
        <w:rPr>
          <w:noProof/>
        </w:rPr>
        <w:t xml:space="preserve"> already</w:t>
      </w:r>
      <w:r w:rsidR="0096486C" w:rsidRPr="006C2791">
        <w:rPr>
          <w:noProof/>
        </w:rPr>
        <w:t xml:space="preserve"> </w:t>
      </w:r>
      <w:r w:rsidR="00751F49" w:rsidRPr="006C2791">
        <w:rPr>
          <w:noProof/>
        </w:rPr>
        <w:t>introduced</w:t>
      </w:r>
      <w:r w:rsidR="0096486C" w:rsidRPr="006C2791">
        <w:rPr>
          <w:noProof/>
        </w:rPr>
        <w:t xml:space="preserve"> in Horizon Europe will</w:t>
      </w:r>
      <w:r w:rsidRPr="006C2791">
        <w:rPr>
          <w:noProof/>
        </w:rPr>
        <w:t xml:space="preserve"> </w:t>
      </w:r>
      <w:r w:rsidR="008940CC">
        <w:rPr>
          <w:noProof/>
        </w:rPr>
        <w:t>also</w:t>
      </w:r>
      <w:r w:rsidR="0096486C" w:rsidRPr="006C2791">
        <w:rPr>
          <w:noProof/>
        </w:rPr>
        <w:t xml:space="preserve"> </w:t>
      </w:r>
      <w:r w:rsidR="008940CC">
        <w:rPr>
          <w:noProof/>
        </w:rPr>
        <w:t xml:space="preserve">apply </w:t>
      </w:r>
      <w:r w:rsidR="0096486C" w:rsidRPr="006C2791">
        <w:rPr>
          <w:noProof/>
        </w:rPr>
        <w:t xml:space="preserve">to </w:t>
      </w:r>
      <w:r w:rsidRPr="006C2791">
        <w:rPr>
          <w:noProof/>
        </w:rPr>
        <w:t xml:space="preserve">the Programme’s </w:t>
      </w:r>
      <w:r w:rsidR="0096486C" w:rsidRPr="006C2791">
        <w:rPr>
          <w:noProof/>
        </w:rPr>
        <w:t>applicants and beneficiaries.</w:t>
      </w:r>
      <w:r w:rsidR="00847887">
        <w:rPr>
          <w:noProof/>
        </w:rPr>
        <w:t xml:space="preserve"> Thus</w:t>
      </w:r>
      <w:r w:rsidR="008940CC">
        <w:rPr>
          <w:noProof/>
        </w:rPr>
        <w:t>,</w:t>
      </w:r>
      <w:r w:rsidR="001136D3" w:rsidRPr="006C2791">
        <w:rPr>
          <w:noProof/>
        </w:rPr>
        <w:t xml:space="preserve"> </w:t>
      </w:r>
      <w:r w:rsidR="000F321A" w:rsidRPr="006C2791">
        <w:rPr>
          <w:noProof/>
        </w:rPr>
        <w:t>the</w:t>
      </w:r>
      <w:r w:rsidR="00751F49" w:rsidRPr="006C2791">
        <w:rPr>
          <w:noProof/>
        </w:rPr>
        <w:t xml:space="preserve"> interim evaluation of Horizon Europe</w:t>
      </w:r>
      <w:r w:rsidR="001136D3" w:rsidRPr="006C2791">
        <w:rPr>
          <w:noProof/>
        </w:rPr>
        <w:t xml:space="preserve"> may lead to further simplification</w:t>
      </w:r>
      <w:r w:rsidR="00F56DD3">
        <w:rPr>
          <w:noProof/>
        </w:rPr>
        <w:t xml:space="preserve"> that</w:t>
      </w:r>
      <w:r w:rsidR="001136D3" w:rsidRPr="006C2791">
        <w:rPr>
          <w:noProof/>
        </w:rPr>
        <w:t xml:space="preserve"> will apply to the Euratom Programme</w:t>
      </w:r>
      <w:r w:rsidR="00751F49" w:rsidRPr="006C2791">
        <w:rPr>
          <w:noProof/>
        </w:rPr>
        <w:t>.</w:t>
      </w:r>
      <w:r w:rsidR="000F321A" w:rsidRPr="006C2791">
        <w:rPr>
          <w:noProof/>
        </w:rPr>
        <w:t xml:space="preserve"> </w:t>
      </w:r>
      <w:r w:rsidR="008940CC">
        <w:rPr>
          <w:noProof/>
        </w:rPr>
        <w:t>The r</w:t>
      </w:r>
      <w:r w:rsidR="000F321A" w:rsidRPr="006C2791">
        <w:rPr>
          <w:noProof/>
        </w:rPr>
        <w:t xml:space="preserve">esults of the public consultation </w:t>
      </w:r>
      <w:r w:rsidR="00F56DD3">
        <w:rPr>
          <w:noProof/>
        </w:rPr>
        <w:t>on</w:t>
      </w:r>
      <w:r w:rsidR="00D14B2E" w:rsidRPr="006C2791">
        <w:rPr>
          <w:noProof/>
        </w:rPr>
        <w:t xml:space="preserve"> the interim evaluation of the </w:t>
      </w:r>
      <w:r w:rsidR="008940CC" w:rsidRPr="006C2791">
        <w:rPr>
          <w:noProof/>
        </w:rPr>
        <w:t>2021-2025</w:t>
      </w:r>
      <w:r w:rsidR="008940CC">
        <w:rPr>
          <w:noProof/>
        </w:rPr>
        <w:t xml:space="preserve"> </w:t>
      </w:r>
      <w:r w:rsidR="00D14B2E" w:rsidRPr="006C2791">
        <w:rPr>
          <w:noProof/>
        </w:rPr>
        <w:t xml:space="preserve">Programme </w:t>
      </w:r>
      <w:r w:rsidR="000F321A" w:rsidRPr="006C2791">
        <w:rPr>
          <w:noProof/>
        </w:rPr>
        <w:t xml:space="preserve">show that </w:t>
      </w:r>
      <w:r w:rsidR="008940CC">
        <w:rPr>
          <w:noProof/>
        </w:rPr>
        <w:t xml:space="preserve">the </w:t>
      </w:r>
      <w:r w:rsidR="000F321A" w:rsidRPr="006C2791">
        <w:rPr>
          <w:noProof/>
        </w:rPr>
        <w:t xml:space="preserve">measures implemented so far, such as </w:t>
      </w:r>
      <w:r w:rsidR="001914F4" w:rsidRPr="006C2791">
        <w:rPr>
          <w:noProof/>
        </w:rPr>
        <w:t>simpler</w:t>
      </w:r>
      <w:r w:rsidR="000F321A" w:rsidRPr="006C2791">
        <w:rPr>
          <w:noProof/>
        </w:rPr>
        <w:t xml:space="preserve"> audit rules and recogni</w:t>
      </w:r>
      <w:r w:rsidR="008940CC">
        <w:rPr>
          <w:noProof/>
        </w:rPr>
        <w:t>sing the</w:t>
      </w:r>
      <w:r w:rsidR="000F321A" w:rsidRPr="006C2791">
        <w:rPr>
          <w:noProof/>
        </w:rPr>
        <w:t xml:space="preserve"> beneficiary’s usual accounting practices</w:t>
      </w:r>
      <w:r w:rsidR="00585EBD">
        <w:rPr>
          <w:noProof/>
        </w:rPr>
        <w:t>,</w:t>
      </w:r>
      <w:r w:rsidR="008940CC">
        <w:rPr>
          <w:noProof/>
        </w:rPr>
        <w:t xml:space="preserve"> have</w:t>
      </w:r>
      <w:r w:rsidR="000F321A" w:rsidRPr="006C2791">
        <w:rPr>
          <w:noProof/>
        </w:rPr>
        <w:t xml:space="preserve"> </w:t>
      </w:r>
      <w:r w:rsidR="0096486C" w:rsidRPr="006C2791">
        <w:rPr>
          <w:noProof/>
        </w:rPr>
        <w:t>reduce</w:t>
      </w:r>
      <w:r w:rsidRPr="006C2791">
        <w:rPr>
          <w:noProof/>
        </w:rPr>
        <w:t>d</w:t>
      </w:r>
      <w:r w:rsidR="0096486C" w:rsidRPr="006C2791">
        <w:rPr>
          <w:noProof/>
        </w:rPr>
        <w:t xml:space="preserve"> the administrative burden</w:t>
      </w:r>
      <w:r w:rsidRPr="006C2791">
        <w:rPr>
          <w:noProof/>
        </w:rPr>
        <w:t xml:space="preserve"> and </w:t>
      </w:r>
      <w:r w:rsidR="00385A78">
        <w:rPr>
          <w:noProof/>
        </w:rPr>
        <w:t>that</w:t>
      </w:r>
      <w:r w:rsidR="0096486C" w:rsidRPr="006C2791">
        <w:rPr>
          <w:noProof/>
        </w:rPr>
        <w:t xml:space="preserve"> the simplification process</w:t>
      </w:r>
      <w:r w:rsidR="00385A78">
        <w:rPr>
          <w:noProof/>
        </w:rPr>
        <w:t xml:space="preserve"> should continue</w:t>
      </w:r>
      <w:r w:rsidR="0096486C" w:rsidRPr="006C2791">
        <w:rPr>
          <w:noProof/>
        </w:rPr>
        <w:t>.</w:t>
      </w:r>
      <w:r w:rsidRPr="006C2791">
        <w:rPr>
          <w:noProof/>
        </w:rPr>
        <w:t xml:space="preserve"> The single list of objectives for direct and indirect actions</w:t>
      </w:r>
      <w:r w:rsidR="4EF5444D" w:rsidRPr="006C2791">
        <w:rPr>
          <w:noProof/>
        </w:rPr>
        <w:t>,</w:t>
      </w:r>
      <w:r w:rsidRPr="006C2791">
        <w:rPr>
          <w:noProof/>
        </w:rPr>
        <w:t xml:space="preserve"> which </w:t>
      </w:r>
      <w:r w:rsidR="0096486C" w:rsidRPr="006C2791">
        <w:rPr>
          <w:noProof/>
        </w:rPr>
        <w:t xml:space="preserve">further simplified </w:t>
      </w:r>
      <w:r w:rsidRPr="006C2791">
        <w:rPr>
          <w:noProof/>
        </w:rPr>
        <w:t>the structure and evaluation of the Programme</w:t>
      </w:r>
      <w:r w:rsidR="1ED4BCA1" w:rsidRPr="006C2791">
        <w:rPr>
          <w:noProof/>
        </w:rPr>
        <w:t>,</w:t>
      </w:r>
      <w:r w:rsidRPr="006C2791">
        <w:rPr>
          <w:noProof/>
        </w:rPr>
        <w:t xml:space="preserve"> is being retained.</w:t>
      </w:r>
      <w:r w:rsidR="0096486C" w:rsidRPr="006C2791">
        <w:rPr>
          <w:noProof/>
        </w:rPr>
        <w:t xml:space="preserve"> </w:t>
      </w:r>
      <w:r w:rsidR="00847887">
        <w:rPr>
          <w:noProof/>
        </w:rPr>
        <w:t>The l</w:t>
      </w:r>
      <w:r w:rsidR="0096486C" w:rsidRPr="006C2791">
        <w:rPr>
          <w:noProof/>
        </w:rPr>
        <w:t>ikely impacts o</w:t>
      </w:r>
      <w:r w:rsidRPr="006C2791">
        <w:rPr>
          <w:noProof/>
        </w:rPr>
        <w:t>f</w:t>
      </w:r>
      <w:r w:rsidR="0096486C" w:rsidRPr="006C2791">
        <w:rPr>
          <w:noProof/>
        </w:rPr>
        <w:t xml:space="preserve"> simplification and </w:t>
      </w:r>
      <w:r w:rsidR="00847887">
        <w:rPr>
          <w:noProof/>
        </w:rPr>
        <w:t xml:space="preserve">the </w:t>
      </w:r>
      <w:r w:rsidRPr="006C2791">
        <w:rPr>
          <w:noProof/>
        </w:rPr>
        <w:t>reduced</w:t>
      </w:r>
      <w:r w:rsidR="0096486C" w:rsidRPr="006C2791">
        <w:rPr>
          <w:noProof/>
        </w:rPr>
        <w:t xml:space="preserve"> administrative burden are explored in more detail in the </w:t>
      </w:r>
      <w:r w:rsidR="000F321A" w:rsidRPr="006C2791">
        <w:rPr>
          <w:noProof/>
        </w:rPr>
        <w:t>interim evaluation</w:t>
      </w:r>
      <w:r w:rsidR="0096486C" w:rsidRPr="006C2791">
        <w:rPr>
          <w:noProof/>
        </w:rPr>
        <w:t>.</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Fundamental rights</w:t>
      </w:r>
    </w:p>
    <w:p w:rsidR="008F031D" w:rsidRPr="006C2791" w:rsidRDefault="008B0AF1" w:rsidP="00550536">
      <w:pPr>
        <w:pBdr>
          <w:top w:val="nil"/>
          <w:left w:val="nil"/>
          <w:bottom w:val="nil"/>
          <w:right w:val="nil"/>
          <w:between w:val="nil"/>
          <w:bar w:val="nil"/>
        </w:pBdr>
        <w:spacing w:before="0" w:after="240"/>
        <w:rPr>
          <w:noProof/>
        </w:rPr>
      </w:pPr>
      <w:r w:rsidRPr="006C2791">
        <w:rPr>
          <w:noProof/>
        </w:rPr>
        <w:t xml:space="preserve">The proposed </w:t>
      </w:r>
      <w:r w:rsidR="00847887">
        <w:rPr>
          <w:noProof/>
        </w:rPr>
        <w:t>r</w:t>
      </w:r>
      <w:r w:rsidRPr="006C2791">
        <w:rPr>
          <w:noProof/>
        </w:rPr>
        <w:t>egulation respects fundamental rights and observes the principles recognised in the Charter of Fundamental Rights of the European Union. Recital</w:t>
      </w:r>
      <w:r w:rsidR="00753608">
        <w:rPr>
          <w:noProof/>
        </w:rPr>
        <w:t> </w:t>
      </w:r>
      <w:r w:rsidR="00F9703C" w:rsidRPr="006C2791">
        <w:rPr>
          <w:noProof/>
        </w:rPr>
        <w:t>2</w:t>
      </w:r>
      <w:r w:rsidR="00551BDD">
        <w:rPr>
          <w:noProof/>
        </w:rPr>
        <w:t>1</w:t>
      </w:r>
      <w:r w:rsidRPr="006C2791">
        <w:rPr>
          <w:noProof/>
        </w:rPr>
        <w:t xml:space="preserve"> of the proposed </w:t>
      </w:r>
      <w:r w:rsidR="00847887">
        <w:rPr>
          <w:noProof/>
        </w:rPr>
        <w:t>r</w:t>
      </w:r>
      <w:r w:rsidRPr="006C2791">
        <w:rPr>
          <w:noProof/>
        </w:rPr>
        <w:t>egulation ensures that the Programme’s actions are also in line with the Charter.</w:t>
      </w:r>
    </w:p>
    <w:p w:rsidR="008F031D" w:rsidRPr="006C2791" w:rsidRDefault="008F031D" w:rsidP="00550536">
      <w:pPr>
        <w:pStyle w:val="ManualHeading1"/>
        <w:rPr>
          <w:noProof/>
        </w:rPr>
      </w:pPr>
      <w:r w:rsidRPr="006C2791">
        <w:rPr>
          <w:noProof/>
        </w:rPr>
        <w:t>4.</w:t>
      </w:r>
      <w:r w:rsidRPr="006C2791">
        <w:rPr>
          <w:noProof/>
        </w:rPr>
        <w:tab/>
        <w:t>BUDGETARY IMPLICATIONS</w:t>
      </w:r>
    </w:p>
    <w:p w:rsidR="008F031D" w:rsidRPr="006C2791" w:rsidRDefault="006C0D59" w:rsidP="00044058">
      <w:pPr>
        <w:pBdr>
          <w:top w:val="nil"/>
          <w:left w:val="nil"/>
          <w:bottom w:val="nil"/>
          <w:right w:val="nil"/>
          <w:between w:val="nil"/>
          <w:bar w:val="nil"/>
        </w:pBdr>
        <w:spacing w:before="0" w:after="240"/>
        <w:rPr>
          <w:rFonts w:eastAsia="Arial Unicode MS"/>
          <w:noProof/>
        </w:rPr>
      </w:pPr>
      <w:r w:rsidRPr="006C2791">
        <w:rPr>
          <w:noProof/>
        </w:rPr>
        <w:t xml:space="preserve">The budget for this proposal uses current prices. The legislative financial statement attached to the proposal sets out the implications in terms of the budget and </w:t>
      </w:r>
      <w:r w:rsidR="4A3B1376" w:rsidRPr="006C2791">
        <w:rPr>
          <w:noProof/>
        </w:rPr>
        <w:t xml:space="preserve">in terms of </w:t>
      </w:r>
      <w:r w:rsidRPr="006C2791">
        <w:rPr>
          <w:noProof/>
        </w:rPr>
        <w:t>human and administrative resources.</w:t>
      </w:r>
      <w:r w:rsidR="00F9703C" w:rsidRPr="006C2791">
        <w:rPr>
          <w:noProof/>
        </w:rPr>
        <w:t xml:space="preserve"> Th</w:t>
      </w:r>
      <w:r w:rsidR="009623C8">
        <w:rPr>
          <w:noProof/>
        </w:rPr>
        <w:t>o</w:t>
      </w:r>
      <w:r w:rsidR="00F9703C" w:rsidRPr="006C2791">
        <w:rPr>
          <w:noProof/>
        </w:rPr>
        <w:t>se implications have been known since the financial envelope for</w:t>
      </w:r>
      <w:r w:rsidR="009623C8">
        <w:rPr>
          <w:noProof/>
        </w:rPr>
        <w:t xml:space="preserve"> the</w:t>
      </w:r>
      <w:r w:rsidR="00F9703C" w:rsidRPr="006C2791">
        <w:rPr>
          <w:noProof/>
        </w:rPr>
        <w:t xml:space="preserve"> Euratom Programmes </w:t>
      </w:r>
      <w:r w:rsidR="009623C8">
        <w:rPr>
          <w:noProof/>
        </w:rPr>
        <w:t>was</w:t>
      </w:r>
      <w:r w:rsidR="00F9703C" w:rsidRPr="006C2791">
        <w:rPr>
          <w:noProof/>
        </w:rPr>
        <w:t xml:space="preserve"> agreed </w:t>
      </w:r>
      <w:r w:rsidR="00D25A9F" w:rsidRPr="006C2791">
        <w:rPr>
          <w:noProof/>
        </w:rPr>
        <w:t>for</w:t>
      </w:r>
      <w:r w:rsidR="00F9703C" w:rsidRPr="006C2791">
        <w:rPr>
          <w:noProof/>
        </w:rPr>
        <w:t xml:space="preserve"> the 2021-2027 MFF.</w:t>
      </w:r>
    </w:p>
    <w:p w:rsidR="008F031D" w:rsidRPr="006C2791" w:rsidRDefault="008F031D" w:rsidP="00550536">
      <w:pPr>
        <w:pStyle w:val="ManualHeading1"/>
        <w:rPr>
          <w:noProof/>
        </w:rPr>
      </w:pPr>
      <w:r w:rsidRPr="006C2791">
        <w:rPr>
          <w:noProof/>
        </w:rPr>
        <w:t>5.</w:t>
      </w:r>
      <w:r w:rsidRPr="006C2791">
        <w:rPr>
          <w:noProof/>
        </w:rPr>
        <w:tab/>
        <w:t>OTHER ELEMENTS</w:t>
      </w:r>
    </w:p>
    <w:p w:rsidR="008F031D" w:rsidRPr="006C2791" w:rsidRDefault="008F031D" w:rsidP="00A4693B">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Implementation plans and monitoring, evaluation and reporting arrangements</w:t>
      </w:r>
    </w:p>
    <w:p w:rsidR="006C0D59" w:rsidRPr="006C2791" w:rsidRDefault="006C0D59" w:rsidP="006C0D59">
      <w:pPr>
        <w:pBdr>
          <w:top w:val="nil"/>
          <w:left w:val="nil"/>
          <w:bottom w:val="nil"/>
          <w:right w:val="nil"/>
          <w:between w:val="nil"/>
          <w:bar w:val="nil"/>
        </w:pBdr>
        <w:spacing w:before="0" w:after="240"/>
        <w:rPr>
          <w:noProof/>
        </w:rPr>
      </w:pPr>
      <w:r w:rsidRPr="006C2791">
        <w:rPr>
          <w:noProof/>
        </w:rPr>
        <w:t>The Commission will implement the Programme</w:t>
      </w:r>
      <w:r w:rsidR="001D5587" w:rsidRPr="006C2791">
        <w:rPr>
          <w:noProof/>
        </w:rPr>
        <w:t xml:space="preserve"> through direct management and indirect management by European Partnerships (see Article</w:t>
      </w:r>
      <w:r w:rsidR="006C2791">
        <w:rPr>
          <w:noProof/>
        </w:rPr>
        <w:t> </w:t>
      </w:r>
      <w:r w:rsidR="001D5587" w:rsidRPr="006C2791">
        <w:rPr>
          <w:noProof/>
        </w:rPr>
        <w:t>6(1) of the proposal)</w:t>
      </w:r>
      <w:r w:rsidRPr="006C2791">
        <w:rPr>
          <w:noProof/>
        </w:rPr>
        <w:t>.</w:t>
      </w:r>
    </w:p>
    <w:p w:rsidR="008F031D" w:rsidRPr="006C2791" w:rsidRDefault="001261E9" w:rsidP="006C0D59">
      <w:pPr>
        <w:pBdr>
          <w:top w:val="nil"/>
          <w:left w:val="nil"/>
          <w:bottom w:val="nil"/>
          <w:right w:val="nil"/>
          <w:between w:val="nil"/>
          <w:bar w:val="nil"/>
        </w:pBdr>
        <w:spacing w:before="0" w:after="240"/>
        <w:rPr>
          <w:noProof/>
        </w:rPr>
      </w:pPr>
      <w:r w:rsidRPr="006C2791">
        <w:rPr>
          <w:noProof/>
        </w:rPr>
        <w:t>The m</w:t>
      </w:r>
      <w:r w:rsidR="00E54807" w:rsidRPr="006C2791">
        <w:rPr>
          <w:noProof/>
        </w:rPr>
        <w:t xml:space="preserve">onitoring, </w:t>
      </w:r>
      <w:r w:rsidR="00E54807" w:rsidRPr="006C2791">
        <w:rPr>
          <w:noProof/>
          <w:u w:color="000000"/>
          <w:bdr w:val="nil"/>
        </w:rPr>
        <w:t>evaluation and reporting</w:t>
      </w:r>
      <w:r w:rsidR="005063A4">
        <w:rPr>
          <w:noProof/>
          <w:u w:color="000000"/>
          <w:bdr w:val="nil"/>
        </w:rPr>
        <w:t xml:space="preserve"> arrangements for the Programme</w:t>
      </w:r>
      <w:r w:rsidR="00E54807" w:rsidRPr="006C2791">
        <w:rPr>
          <w:noProof/>
          <w:u w:color="000000"/>
          <w:bdr w:val="nil"/>
        </w:rPr>
        <w:t xml:space="preserve"> will </w:t>
      </w:r>
      <w:r w:rsidRPr="006C2791">
        <w:rPr>
          <w:noProof/>
          <w:u w:color="000000"/>
          <w:bdr w:val="nil"/>
        </w:rPr>
        <w:t>be based on</w:t>
      </w:r>
      <w:r w:rsidR="00E54807" w:rsidRPr="006C2791">
        <w:rPr>
          <w:noProof/>
          <w:u w:color="000000"/>
          <w:bdr w:val="nil"/>
        </w:rPr>
        <w:t xml:space="preserve"> </w:t>
      </w:r>
      <w:r w:rsidR="005063A4">
        <w:rPr>
          <w:noProof/>
          <w:u w:color="000000"/>
          <w:bdr w:val="nil"/>
        </w:rPr>
        <w:t xml:space="preserve">those of </w:t>
      </w:r>
      <w:r w:rsidR="009623C8">
        <w:rPr>
          <w:noProof/>
          <w:u w:color="000000"/>
          <w:bdr w:val="nil"/>
        </w:rPr>
        <w:t xml:space="preserve">its </w:t>
      </w:r>
      <w:r w:rsidRPr="006C2791">
        <w:rPr>
          <w:noProof/>
          <w:u w:color="000000"/>
          <w:bdr w:val="nil"/>
        </w:rPr>
        <w:t>predecessor</w:t>
      </w:r>
      <w:r w:rsidR="00E54807" w:rsidRPr="006C2791">
        <w:rPr>
          <w:noProof/>
          <w:u w:color="000000"/>
          <w:bdr w:val="nil"/>
        </w:rPr>
        <w:t xml:space="preserve">. </w:t>
      </w:r>
      <w:r w:rsidRPr="006C2791">
        <w:rPr>
          <w:noProof/>
          <w:u w:color="000000"/>
          <w:bdr w:val="nil"/>
        </w:rPr>
        <w:t>A f</w:t>
      </w:r>
      <w:r w:rsidR="00E54807" w:rsidRPr="006C2791">
        <w:rPr>
          <w:noProof/>
          <w:u w:color="000000"/>
          <w:bdr w:val="nil"/>
        </w:rPr>
        <w:t xml:space="preserve">inal evaluation will be carried out </w:t>
      </w:r>
      <w:r w:rsidRPr="006C2791">
        <w:rPr>
          <w:noProof/>
          <w:u w:color="000000"/>
          <w:bdr w:val="nil"/>
        </w:rPr>
        <w:t>within</w:t>
      </w:r>
      <w:r w:rsidR="00E54807" w:rsidRPr="006C2791">
        <w:rPr>
          <w:noProof/>
          <w:u w:color="000000"/>
          <w:bdr w:val="nil"/>
        </w:rPr>
        <w:t xml:space="preserve"> </w:t>
      </w:r>
      <w:r w:rsidR="009623C8">
        <w:rPr>
          <w:noProof/>
          <w:u w:color="000000"/>
          <w:bdr w:val="nil"/>
        </w:rPr>
        <w:t>4 </w:t>
      </w:r>
      <w:r w:rsidR="00E54807" w:rsidRPr="006C2791">
        <w:rPr>
          <w:noProof/>
          <w:u w:color="000000"/>
          <w:bdr w:val="nil"/>
        </w:rPr>
        <w:t xml:space="preserve">years </w:t>
      </w:r>
      <w:r w:rsidR="009623C8">
        <w:rPr>
          <w:noProof/>
          <w:u w:color="000000"/>
          <w:bdr w:val="nil"/>
        </w:rPr>
        <w:t xml:space="preserve">of </w:t>
      </w:r>
      <w:r w:rsidRPr="006C2791">
        <w:rPr>
          <w:noProof/>
          <w:u w:color="000000"/>
          <w:bdr w:val="nil"/>
        </w:rPr>
        <w:t xml:space="preserve">the Programme’s </w:t>
      </w:r>
      <w:r w:rsidR="00E54807" w:rsidRPr="006C2791">
        <w:rPr>
          <w:noProof/>
          <w:u w:color="000000"/>
          <w:bdr w:val="nil"/>
        </w:rPr>
        <w:t xml:space="preserve">completion to </w:t>
      </w:r>
      <w:r w:rsidR="006C0D59" w:rsidRPr="006C2791">
        <w:rPr>
          <w:noProof/>
        </w:rPr>
        <w:t xml:space="preserve">assess </w:t>
      </w:r>
      <w:r w:rsidR="009623C8">
        <w:rPr>
          <w:noProof/>
        </w:rPr>
        <w:t xml:space="preserve">its </w:t>
      </w:r>
      <w:r w:rsidR="006C0D59" w:rsidRPr="006C2791">
        <w:rPr>
          <w:noProof/>
        </w:rPr>
        <w:t>effects on the ground</w:t>
      </w:r>
      <w:r w:rsidRPr="006C2791">
        <w:rPr>
          <w:noProof/>
        </w:rPr>
        <w:t>.</w:t>
      </w:r>
      <w:r w:rsidR="001914F4" w:rsidRPr="006C2791">
        <w:rPr>
          <w:noProof/>
        </w:rPr>
        <w:t xml:space="preserve"> </w:t>
      </w:r>
      <w:r w:rsidR="006C0D59" w:rsidRPr="006C2791">
        <w:rPr>
          <w:noProof/>
        </w:rPr>
        <w:t xml:space="preserve">Direct and indirect actions will be subject to a common </w:t>
      </w:r>
      <w:r w:rsidR="0046282E" w:rsidRPr="006C2791">
        <w:rPr>
          <w:noProof/>
        </w:rPr>
        <w:t xml:space="preserve">final </w:t>
      </w:r>
      <w:r w:rsidR="006C0D59" w:rsidRPr="006C2791">
        <w:rPr>
          <w:noProof/>
        </w:rPr>
        <w:t>evaluation.</w:t>
      </w:r>
    </w:p>
    <w:p w:rsidR="008F031D" w:rsidRPr="006C2791" w:rsidRDefault="008F031D" w:rsidP="004726A6">
      <w:pPr>
        <w:pStyle w:val="ManualHeading2"/>
        <w:rPr>
          <w:rFonts w:eastAsia="Arial Unicode MS"/>
          <w:noProof/>
          <w:u w:color="000000"/>
          <w:bdr w:val="nil"/>
          <w:lang w:eastAsia="en-GB"/>
        </w:rPr>
      </w:pPr>
      <w:r w:rsidRPr="006C2791">
        <w:rPr>
          <w:rFonts w:eastAsia="Arial Unicode MS"/>
          <w:noProof/>
          <w:u w:color="000000"/>
          <w:bdr w:val="nil"/>
          <w:lang w:eastAsia="en-GB"/>
        </w:rPr>
        <w:t>•</w:t>
      </w:r>
      <w:r w:rsidRPr="006C2791">
        <w:rPr>
          <w:rFonts w:eastAsia="Arial Unicode MS"/>
          <w:noProof/>
          <w:u w:color="000000"/>
          <w:bdr w:val="nil"/>
          <w:lang w:eastAsia="en-GB"/>
        </w:rPr>
        <w:tab/>
        <w:t>Detailed explanation of the specific provisions of the proposal</w:t>
      </w:r>
    </w:p>
    <w:p w:rsidR="00FC5BFD" w:rsidRPr="006C2791" w:rsidRDefault="00FC5BFD" w:rsidP="00FC5BFD">
      <w:pPr>
        <w:pBdr>
          <w:top w:val="nil"/>
          <w:left w:val="nil"/>
          <w:bottom w:val="nil"/>
          <w:right w:val="nil"/>
          <w:between w:val="nil"/>
          <w:bar w:val="nil"/>
        </w:pBdr>
        <w:spacing w:before="0" w:after="240"/>
        <w:rPr>
          <w:noProof/>
        </w:rPr>
      </w:pPr>
      <w:r w:rsidRPr="006C2791">
        <w:rPr>
          <w:noProof/>
        </w:rPr>
        <w:t xml:space="preserve">Chapter I sets out the </w:t>
      </w:r>
      <w:r w:rsidR="009623C8">
        <w:rPr>
          <w:noProof/>
        </w:rPr>
        <w:t>g</w:t>
      </w:r>
      <w:r w:rsidRPr="006C2791">
        <w:rPr>
          <w:noProof/>
        </w:rPr>
        <w:t xml:space="preserve">eneral </w:t>
      </w:r>
      <w:r w:rsidR="009623C8">
        <w:rPr>
          <w:noProof/>
        </w:rPr>
        <w:t>p</w:t>
      </w:r>
      <w:r w:rsidRPr="006C2791">
        <w:rPr>
          <w:noProof/>
        </w:rPr>
        <w:t xml:space="preserve">rovisions of the proposed </w:t>
      </w:r>
      <w:r w:rsidR="009623C8">
        <w:rPr>
          <w:noProof/>
        </w:rPr>
        <w:t>r</w:t>
      </w:r>
      <w:r w:rsidRPr="006C2791">
        <w:rPr>
          <w:noProof/>
        </w:rPr>
        <w:t xml:space="preserve">egulation. It includes articles on the subject matter, definitions, Programme objectives, budget, </w:t>
      </w:r>
      <w:r w:rsidR="001A1CB7">
        <w:rPr>
          <w:noProof/>
        </w:rPr>
        <w:t xml:space="preserve">the </w:t>
      </w:r>
      <w:r w:rsidRPr="006C2791">
        <w:rPr>
          <w:noProof/>
        </w:rPr>
        <w:t xml:space="preserve">association of </w:t>
      </w:r>
      <w:r w:rsidR="00B0620A">
        <w:rPr>
          <w:noProof/>
        </w:rPr>
        <w:t>t</w:t>
      </w:r>
      <w:r w:rsidRPr="006C2791">
        <w:rPr>
          <w:noProof/>
        </w:rPr>
        <w:t xml:space="preserve">hird </w:t>
      </w:r>
      <w:r w:rsidR="00B0620A">
        <w:rPr>
          <w:noProof/>
        </w:rPr>
        <w:t>c</w:t>
      </w:r>
      <w:r w:rsidRPr="006C2791">
        <w:rPr>
          <w:noProof/>
        </w:rPr>
        <w:t>ountries</w:t>
      </w:r>
      <w:r w:rsidR="001A1CB7">
        <w:rPr>
          <w:noProof/>
        </w:rPr>
        <w:t xml:space="preserve"> </w:t>
      </w:r>
      <w:r w:rsidR="00B0620A">
        <w:rPr>
          <w:noProof/>
        </w:rPr>
        <w:t xml:space="preserve">to </w:t>
      </w:r>
      <w:r w:rsidR="001A1CB7">
        <w:rPr>
          <w:noProof/>
        </w:rPr>
        <w:t>the Programme</w:t>
      </w:r>
      <w:r w:rsidRPr="006C2791">
        <w:rPr>
          <w:noProof/>
        </w:rPr>
        <w:t>, implementation and forms of funding, European Partnerships, open science, eligible actions and rules of participation</w:t>
      </w:r>
      <w:r w:rsidR="00371056">
        <w:rPr>
          <w:noProof/>
        </w:rPr>
        <w:t>,</w:t>
      </w:r>
      <w:r w:rsidRPr="006C2791">
        <w:rPr>
          <w:noProof/>
        </w:rPr>
        <w:t xml:space="preserve"> and cumulative, alternative and combined funding.</w:t>
      </w:r>
    </w:p>
    <w:p w:rsidR="00FC5BFD" w:rsidRPr="006C2791" w:rsidRDefault="00FC5BFD" w:rsidP="00FC5BFD">
      <w:pPr>
        <w:pBdr>
          <w:top w:val="nil"/>
          <w:left w:val="nil"/>
          <w:bottom w:val="nil"/>
          <w:right w:val="nil"/>
          <w:between w:val="nil"/>
          <w:bar w:val="nil"/>
        </w:pBdr>
        <w:spacing w:before="0" w:after="240"/>
        <w:rPr>
          <w:noProof/>
        </w:rPr>
      </w:pPr>
      <w:r w:rsidRPr="006C2791">
        <w:rPr>
          <w:noProof/>
        </w:rPr>
        <w:t xml:space="preserve">The </w:t>
      </w:r>
      <w:r w:rsidR="001A1CB7">
        <w:rPr>
          <w:noProof/>
        </w:rPr>
        <w:t xml:space="preserve">only </w:t>
      </w:r>
      <w:r w:rsidRPr="006C2791">
        <w:rPr>
          <w:noProof/>
        </w:rPr>
        <w:t xml:space="preserve">changes </w:t>
      </w:r>
      <w:r w:rsidR="00551BDD">
        <w:rPr>
          <w:noProof/>
        </w:rPr>
        <w:t>compared</w:t>
      </w:r>
      <w:r w:rsidRPr="006C2791">
        <w:rPr>
          <w:noProof/>
        </w:rPr>
        <w:t xml:space="preserve"> to Chapter I of </w:t>
      </w:r>
      <w:r w:rsidR="00551BDD" w:rsidRPr="00551BDD">
        <w:rPr>
          <w:noProof/>
        </w:rPr>
        <w:t xml:space="preserve">Regulation (Euratom) 2021/765 </w:t>
      </w:r>
      <w:r w:rsidRPr="006C2791">
        <w:rPr>
          <w:noProof/>
        </w:rPr>
        <w:t xml:space="preserve">are those </w:t>
      </w:r>
      <w:r w:rsidR="001A1CB7">
        <w:rPr>
          <w:noProof/>
        </w:rPr>
        <w:t xml:space="preserve">needed </w:t>
      </w:r>
      <w:r w:rsidRPr="006C2791">
        <w:rPr>
          <w:noProof/>
        </w:rPr>
        <w:t>to update the text to the new</w:t>
      </w:r>
      <w:r w:rsidR="001914F4" w:rsidRPr="006C2791">
        <w:rPr>
          <w:noProof/>
        </w:rPr>
        <w:t xml:space="preserve"> </w:t>
      </w:r>
      <w:r w:rsidR="00AA0E6F" w:rsidRPr="006C2791">
        <w:rPr>
          <w:noProof/>
        </w:rPr>
        <w:t>period covered by the</w:t>
      </w:r>
      <w:r w:rsidR="00385A78">
        <w:rPr>
          <w:noProof/>
        </w:rPr>
        <w:t xml:space="preserve"> Programme</w:t>
      </w:r>
      <w:r w:rsidRPr="006C2791">
        <w:rPr>
          <w:noProof/>
        </w:rPr>
        <w:t xml:space="preserve">, </w:t>
      </w:r>
      <w:r w:rsidR="00EF2A57" w:rsidRPr="006C2791">
        <w:rPr>
          <w:noProof/>
        </w:rPr>
        <w:t xml:space="preserve">to </w:t>
      </w:r>
      <w:r w:rsidR="009A1383" w:rsidRPr="006C2791">
        <w:rPr>
          <w:noProof/>
        </w:rPr>
        <w:t>update</w:t>
      </w:r>
      <w:r w:rsidR="00EF2A57" w:rsidRPr="006C2791">
        <w:rPr>
          <w:noProof/>
        </w:rPr>
        <w:t xml:space="preserve"> the</w:t>
      </w:r>
      <w:r w:rsidRPr="006C2791">
        <w:rPr>
          <w:noProof/>
        </w:rPr>
        <w:t xml:space="preserve"> financial envelope and </w:t>
      </w:r>
      <w:r w:rsidR="001A1CB7">
        <w:rPr>
          <w:noProof/>
        </w:rPr>
        <w:t>to</w:t>
      </w:r>
      <w:r w:rsidRPr="006C2791">
        <w:rPr>
          <w:noProof/>
        </w:rPr>
        <w:t xml:space="preserve"> remo</w:t>
      </w:r>
      <w:r w:rsidR="001A1CB7">
        <w:rPr>
          <w:noProof/>
        </w:rPr>
        <w:t>ve</w:t>
      </w:r>
      <w:r w:rsidRPr="006C2791">
        <w:rPr>
          <w:noProof/>
        </w:rPr>
        <w:t xml:space="preserve"> retroactivity provisions</w:t>
      </w:r>
      <w:r w:rsidR="001A1CB7">
        <w:rPr>
          <w:noProof/>
        </w:rPr>
        <w:t>,</w:t>
      </w:r>
      <w:r w:rsidRPr="006C2791">
        <w:rPr>
          <w:noProof/>
        </w:rPr>
        <w:t xml:space="preserve"> as this Regulation is expected to come into</w:t>
      </w:r>
      <w:r w:rsidR="00EA313E">
        <w:rPr>
          <w:noProof/>
        </w:rPr>
        <w:t xml:space="preserve"> </w:t>
      </w:r>
      <w:r w:rsidRPr="006C2791">
        <w:rPr>
          <w:noProof/>
        </w:rPr>
        <w:t>effect before the start of the Programme.</w:t>
      </w:r>
    </w:p>
    <w:p w:rsidR="00FC5BFD" w:rsidRPr="006C2791" w:rsidRDefault="00FC5BFD" w:rsidP="00FC5BFD">
      <w:pPr>
        <w:pBdr>
          <w:top w:val="nil"/>
          <w:left w:val="nil"/>
          <w:bottom w:val="nil"/>
          <w:right w:val="nil"/>
          <w:between w:val="nil"/>
          <w:bar w:val="nil"/>
        </w:pBdr>
        <w:spacing w:before="0" w:after="240"/>
        <w:rPr>
          <w:noProof/>
        </w:rPr>
      </w:pPr>
      <w:r w:rsidRPr="006C2791">
        <w:rPr>
          <w:noProof/>
        </w:rPr>
        <w:t>Chapter II (</w:t>
      </w:r>
      <w:r w:rsidR="006C2791">
        <w:rPr>
          <w:noProof/>
        </w:rPr>
        <w:t>‘</w:t>
      </w:r>
      <w:r w:rsidRPr="006C2791">
        <w:rPr>
          <w:noProof/>
        </w:rPr>
        <w:t>Programming, monitoring, evaluation and control</w:t>
      </w:r>
      <w:r w:rsidR="006C2791">
        <w:rPr>
          <w:noProof/>
        </w:rPr>
        <w:t>’</w:t>
      </w:r>
      <w:r w:rsidRPr="006C2791">
        <w:rPr>
          <w:noProof/>
        </w:rPr>
        <w:t xml:space="preserve">) includes provisions on work programmes, monitoring and reporting, information, communication, publicity and dissemination and exploitation, evaluation, audits, </w:t>
      </w:r>
      <w:r w:rsidR="00371056">
        <w:rPr>
          <w:noProof/>
        </w:rPr>
        <w:t xml:space="preserve">the </w:t>
      </w:r>
      <w:r w:rsidRPr="006C2791">
        <w:rPr>
          <w:noProof/>
        </w:rPr>
        <w:t xml:space="preserve">committee procedure and </w:t>
      </w:r>
      <w:r w:rsidR="001A1CB7">
        <w:rPr>
          <w:noProof/>
        </w:rPr>
        <w:t xml:space="preserve">the </w:t>
      </w:r>
      <w:r w:rsidRPr="006C2791">
        <w:rPr>
          <w:noProof/>
        </w:rPr>
        <w:t>protection of the</w:t>
      </w:r>
      <w:r w:rsidR="001A1CB7">
        <w:rPr>
          <w:noProof/>
        </w:rPr>
        <w:t xml:space="preserve"> EU’s</w:t>
      </w:r>
      <w:r w:rsidRPr="006C2791">
        <w:rPr>
          <w:noProof/>
        </w:rPr>
        <w:t xml:space="preserve"> financial interests. </w:t>
      </w:r>
      <w:r w:rsidR="00C94011">
        <w:rPr>
          <w:noProof/>
        </w:rPr>
        <w:t>N</w:t>
      </w:r>
      <w:r w:rsidRPr="006C2791">
        <w:rPr>
          <w:noProof/>
        </w:rPr>
        <w:t xml:space="preserve">o changes </w:t>
      </w:r>
      <w:r w:rsidR="0021794B">
        <w:rPr>
          <w:noProof/>
        </w:rPr>
        <w:t xml:space="preserve">are </w:t>
      </w:r>
      <w:r w:rsidRPr="006C2791">
        <w:rPr>
          <w:noProof/>
        </w:rPr>
        <w:t xml:space="preserve">proposed </w:t>
      </w:r>
      <w:r w:rsidR="00C94011">
        <w:rPr>
          <w:noProof/>
        </w:rPr>
        <w:t>t</w:t>
      </w:r>
      <w:r w:rsidRPr="006C2791">
        <w:rPr>
          <w:noProof/>
        </w:rPr>
        <w:t>here</w:t>
      </w:r>
      <w:r w:rsidR="001A1CB7">
        <w:rPr>
          <w:noProof/>
        </w:rPr>
        <w:t>,</w:t>
      </w:r>
      <w:r w:rsidRPr="006C2791">
        <w:rPr>
          <w:noProof/>
        </w:rPr>
        <w:t xml:space="preserve"> except for the removal of the requirement </w:t>
      </w:r>
      <w:r w:rsidR="001A1CB7">
        <w:rPr>
          <w:noProof/>
        </w:rPr>
        <w:t>for</w:t>
      </w:r>
      <w:r w:rsidRPr="006C2791">
        <w:rPr>
          <w:noProof/>
        </w:rPr>
        <w:t xml:space="preserve"> an interim evaluatio</w:t>
      </w:r>
      <w:r w:rsidR="006244F8">
        <w:rPr>
          <w:noProof/>
        </w:rPr>
        <w:t>n</w:t>
      </w:r>
      <w:r w:rsidRPr="006C2791">
        <w:rPr>
          <w:noProof/>
        </w:rPr>
        <w:t xml:space="preserve"> and the consequential reorganisation of Article</w:t>
      </w:r>
      <w:r w:rsidR="006C2791">
        <w:rPr>
          <w:noProof/>
        </w:rPr>
        <w:t> </w:t>
      </w:r>
      <w:r w:rsidRPr="006C2791">
        <w:rPr>
          <w:noProof/>
        </w:rPr>
        <w:t>14.</w:t>
      </w:r>
    </w:p>
    <w:p w:rsidR="00FC5BFD" w:rsidRPr="006C2791" w:rsidRDefault="00FC5BFD" w:rsidP="00FC5BFD">
      <w:pPr>
        <w:pBdr>
          <w:top w:val="nil"/>
          <w:left w:val="nil"/>
          <w:bottom w:val="nil"/>
          <w:right w:val="nil"/>
          <w:between w:val="nil"/>
          <w:bar w:val="nil"/>
        </w:pBdr>
        <w:spacing w:before="0" w:after="240"/>
        <w:rPr>
          <w:noProof/>
        </w:rPr>
      </w:pPr>
      <w:r w:rsidRPr="006C2791">
        <w:rPr>
          <w:noProof/>
        </w:rPr>
        <w:t>Only minor updates are proposed for Chapter III (</w:t>
      </w:r>
      <w:r w:rsidR="006C2791">
        <w:rPr>
          <w:noProof/>
        </w:rPr>
        <w:t>‘</w:t>
      </w:r>
      <w:r w:rsidRPr="006C2791">
        <w:rPr>
          <w:noProof/>
        </w:rPr>
        <w:t>Transitional and final provisions</w:t>
      </w:r>
      <w:r w:rsidR="006C2791">
        <w:rPr>
          <w:noProof/>
        </w:rPr>
        <w:t>’</w:t>
      </w:r>
      <w:r w:rsidRPr="006C2791">
        <w:rPr>
          <w:noProof/>
        </w:rPr>
        <w:t>)</w:t>
      </w:r>
      <w:r w:rsidR="00C94011">
        <w:rPr>
          <w:noProof/>
        </w:rPr>
        <w:t>,</w:t>
      </w:r>
      <w:r w:rsidRPr="006C2791">
        <w:rPr>
          <w:noProof/>
        </w:rPr>
        <w:t xml:space="preserve"> which include repeal</w:t>
      </w:r>
      <w:r w:rsidR="00C94011">
        <w:rPr>
          <w:noProof/>
        </w:rPr>
        <w:t>ing</w:t>
      </w:r>
      <w:r w:rsidRPr="006C2791">
        <w:rPr>
          <w:noProof/>
        </w:rPr>
        <w:t xml:space="preserve"> </w:t>
      </w:r>
      <w:r w:rsidR="00551BDD" w:rsidRPr="00551BDD">
        <w:rPr>
          <w:noProof/>
        </w:rPr>
        <w:t>Regulation (Euratom) 2021/765</w:t>
      </w:r>
      <w:r w:rsidRPr="006C2791">
        <w:rPr>
          <w:noProof/>
        </w:rPr>
        <w:t>,</w:t>
      </w:r>
      <w:r w:rsidR="00C94011">
        <w:rPr>
          <w:noProof/>
        </w:rPr>
        <w:t xml:space="preserve"> and updating ‘T</w:t>
      </w:r>
      <w:r w:rsidRPr="006C2791">
        <w:rPr>
          <w:noProof/>
        </w:rPr>
        <w:t>ransitional provisions</w:t>
      </w:r>
      <w:r w:rsidR="00C94011">
        <w:rPr>
          <w:noProof/>
        </w:rPr>
        <w:t>’</w:t>
      </w:r>
      <w:r w:rsidRPr="006C2791">
        <w:rPr>
          <w:noProof/>
        </w:rPr>
        <w:t xml:space="preserve"> and </w:t>
      </w:r>
      <w:r w:rsidR="00C94011">
        <w:rPr>
          <w:noProof/>
        </w:rPr>
        <w:t>‘E</w:t>
      </w:r>
      <w:r w:rsidRPr="006C2791">
        <w:rPr>
          <w:noProof/>
        </w:rPr>
        <w:t>ntry into force</w:t>
      </w:r>
      <w:r w:rsidR="00C94011">
        <w:rPr>
          <w:noProof/>
        </w:rPr>
        <w:t>’</w:t>
      </w:r>
      <w:r w:rsidRPr="006C2791">
        <w:rPr>
          <w:noProof/>
        </w:rPr>
        <w:t>. Retroactivity provisions are no longer necessary and have been removed.</w:t>
      </w:r>
    </w:p>
    <w:p w:rsidR="00BA4A52" w:rsidRPr="006C2791" w:rsidRDefault="00684C87" w:rsidP="009C08F8">
      <w:pPr>
        <w:pBdr>
          <w:top w:val="nil"/>
          <w:left w:val="nil"/>
          <w:bottom w:val="nil"/>
          <w:right w:val="nil"/>
          <w:between w:val="nil"/>
          <w:bar w:val="nil"/>
        </w:pBdr>
        <w:spacing w:before="0" w:after="240"/>
        <w:rPr>
          <w:noProof/>
        </w:rPr>
      </w:pPr>
      <w:r>
        <w:rPr>
          <w:noProof/>
        </w:rPr>
        <w:t>Only two changes will be made to t</w:t>
      </w:r>
      <w:r w:rsidR="00FC5BFD" w:rsidRPr="006C2791">
        <w:rPr>
          <w:noProof/>
        </w:rPr>
        <w:t>he Programme’s activities (Annex I)</w:t>
      </w:r>
      <w:r w:rsidR="00BA4A52" w:rsidRPr="006C2791">
        <w:rPr>
          <w:noProof/>
        </w:rPr>
        <w:t>. The first is</w:t>
      </w:r>
      <w:r w:rsidR="00D010C4" w:rsidRPr="006C2791">
        <w:rPr>
          <w:noProof/>
        </w:rPr>
        <w:t xml:space="preserve"> the addition</w:t>
      </w:r>
      <w:r w:rsidR="00FC5BFD" w:rsidRPr="006C2791">
        <w:rPr>
          <w:noProof/>
        </w:rPr>
        <w:t xml:space="preserve"> of a provision </w:t>
      </w:r>
      <w:r w:rsidR="009C08F8" w:rsidRPr="006C2791">
        <w:rPr>
          <w:noProof/>
        </w:rPr>
        <w:t xml:space="preserve">to ensure funding continuity for European </w:t>
      </w:r>
      <w:r w:rsidR="001261E9" w:rsidRPr="006C2791">
        <w:rPr>
          <w:noProof/>
        </w:rPr>
        <w:t xml:space="preserve">Partnerships and other ongoing actions </w:t>
      </w:r>
      <w:r w:rsidR="00371056">
        <w:rPr>
          <w:noProof/>
        </w:rPr>
        <w:t>that</w:t>
      </w:r>
      <w:r w:rsidR="001261E9" w:rsidRPr="006C2791">
        <w:rPr>
          <w:noProof/>
        </w:rPr>
        <w:t xml:space="preserve"> may require a top-up</w:t>
      </w:r>
      <w:r w:rsidR="00FC5BFD" w:rsidRPr="006C2791">
        <w:rPr>
          <w:rStyle w:val="FootnoteReference"/>
          <w:noProof/>
        </w:rPr>
        <w:footnoteReference w:id="32"/>
      </w:r>
      <w:r w:rsidR="00FC5BFD" w:rsidRPr="006C2791">
        <w:rPr>
          <w:noProof/>
        </w:rPr>
        <w:t>. Th</w:t>
      </w:r>
      <w:r w:rsidR="00371056">
        <w:rPr>
          <w:noProof/>
        </w:rPr>
        <w:t>at</w:t>
      </w:r>
      <w:r w:rsidR="00FC5BFD" w:rsidRPr="006C2791">
        <w:rPr>
          <w:noProof/>
        </w:rPr>
        <w:t xml:space="preserve"> </w:t>
      </w:r>
      <w:r w:rsidR="00BA4A52" w:rsidRPr="006C2791">
        <w:rPr>
          <w:noProof/>
        </w:rPr>
        <w:t>provision</w:t>
      </w:r>
      <w:r w:rsidR="00FC5BFD" w:rsidRPr="006C2791">
        <w:rPr>
          <w:noProof/>
        </w:rPr>
        <w:t xml:space="preserve"> will allow the Commission, via a work programme, to continue to fund grants awarded under the 2021-2025 Programme</w:t>
      </w:r>
      <w:r w:rsidR="00BA4A52" w:rsidRPr="006C2791">
        <w:rPr>
          <w:noProof/>
        </w:rPr>
        <w:t xml:space="preserve"> and effectively cover the </w:t>
      </w:r>
      <w:r w:rsidR="00371056">
        <w:rPr>
          <w:noProof/>
        </w:rPr>
        <w:t>7 </w:t>
      </w:r>
      <w:r w:rsidR="00BA4A52" w:rsidRPr="006C2791">
        <w:rPr>
          <w:noProof/>
        </w:rPr>
        <w:t>years of the 2021-2027</w:t>
      </w:r>
      <w:r>
        <w:rPr>
          <w:noProof/>
        </w:rPr>
        <w:t xml:space="preserve"> </w:t>
      </w:r>
      <w:r w:rsidRPr="006C2791">
        <w:rPr>
          <w:noProof/>
        </w:rPr>
        <w:t>MFF</w:t>
      </w:r>
      <w:r w:rsidR="00FC5BFD" w:rsidRPr="006C2791">
        <w:rPr>
          <w:noProof/>
        </w:rPr>
        <w:t>.</w:t>
      </w:r>
    </w:p>
    <w:p w:rsidR="009C08F8" w:rsidRPr="006C2791" w:rsidRDefault="00BA4A52" w:rsidP="00FC5BFD">
      <w:pPr>
        <w:pBdr>
          <w:top w:val="nil"/>
          <w:left w:val="nil"/>
          <w:bottom w:val="nil"/>
          <w:right w:val="nil"/>
          <w:between w:val="nil"/>
          <w:bar w:val="nil"/>
        </w:pBdr>
        <w:spacing w:before="0" w:after="240"/>
        <w:rPr>
          <w:noProof/>
        </w:rPr>
      </w:pPr>
      <w:r w:rsidRPr="006C2791">
        <w:rPr>
          <w:noProof/>
        </w:rPr>
        <w:t>The</w:t>
      </w:r>
      <w:r w:rsidR="00FC5BFD" w:rsidRPr="006C2791">
        <w:rPr>
          <w:noProof/>
        </w:rPr>
        <w:t xml:space="preserve"> </w:t>
      </w:r>
      <w:r w:rsidRPr="006C2791">
        <w:rPr>
          <w:noProof/>
        </w:rPr>
        <w:t xml:space="preserve">second </w:t>
      </w:r>
      <w:r w:rsidR="00D010C4" w:rsidRPr="006C2791">
        <w:rPr>
          <w:noProof/>
        </w:rPr>
        <w:t>change</w:t>
      </w:r>
      <w:r w:rsidRPr="006C2791">
        <w:rPr>
          <w:noProof/>
        </w:rPr>
        <w:t xml:space="preserve"> to Annex I is </w:t>
      </w:r>
      <w:r w:rsidR="00684C87">
        <w:rPr>
          <w:noProof/>
        </w:rPr>
        <w:t>in S</w:t>
      </w:r>
      <w:r w:rsidR="006A2ADD" w:rsidRPr="006C2791">
        <w:rPr>
          <w:noProof/>
        </w:rPr>
        <w:t>ection</w:t>
      </w:r>
      <w:r w:rsidRPr="006C2791">
        <w:rPr>
          <w:noProof/>
        </w:rPr>
        <w:t xml:space="preserve"> (c) on fusion research</w:t>
      </w:r>
      <w:r w:rsidR="00684C87">
        <w:rPr>
          <w:noProof/>
        </w:rPr>
        <w:t>, which provides</w:t>
      </w:r>
      <w:r w:rsidR="009C08F8" w:rsidRPr="006C2791">
        <w:rPr>
          <w:noProof/>
        </w:rPr>
        <w:t xml:space="preserve"> for funding for research in th</w:t>
      </w:r>
      <w:r w:rsidR="00371056">
        <w:rPr>
          <w:noProof/>
        </w:rPr>
        <w:t>at</w:t>
      </w:r>
      <w:r w:rsidR="009C08F8" w:rsidRPr="006C2791">
        <w:rPr>
          <w:noProof/>
        </w:rPr>
        <w:t xml:space="preserve"> field in addition to </w:t>
      </w:r>
      <w:r w:rsidR="00371056">
        <w:rPr>
          <w:noProof/>
        </w:rPr>
        <w:t>the funding</w:t>
      </w:r>
      <w:r w:rsidR="009C08F8" w:rsidRPr="006C2791">
        <w:rPr>
          <w:noProof/>
        </w:rPr>
        <w:t xml:space="preserve"> provided to the co-funded European Partnership. </w:t>
      </w:r>
      <w:r w:rsidR="002B3690" w:rsidRPr="006C2791">
        <w:rPr>
          <w:noProof/>
        </w:rPr>
        <w:t>In line with findings of the interim evaluation, t</w:t>
      </w:r>
      <w:r w:rsidR="009C08F8" w:rsidRPr="006C2791">
        <w:rPr>
          <w:noProof/>
        </w:rPr>
        <w:t>h</w:t>
      </w:r>
      <w:r w:rsidR="00371056">
        <w:rPr>
          <w:noProof/>
        </w:rPr>
        <w:t>at</w:t>
      </w:r>
      <w:r w:rsidR="009C08F8" w:rsidRPr="006C2791">
        <w:rPr>
          <w:noProof/>
        </w:rPr>
        <w:t xml:space="preserve"> additional funding will </w:t>
      </w:r>
      <w:r w:rsidR="00283BF3" w:rsidRPr="006C2791">
        <w:rPr>
          <w:noProof/>
        </w:rPr>
        <w:t xml:space="preserve">support actions </w:t>
      </w:r>
      <w:r w:rsidR="00371056">
        <w:rPr>
          <w:noProof/>
        </w:rPr>
        <w:t xml:space="preserve">that </w:t>
      </w:r>
      <w:r w:rsidR="00283BF3" w:rsidRPr="006C2791">
        <w:rPr>
          <w:noProof/>
        </w:rPr>
        <w:t>address</w:t>
      </w:r>
      <w:r w:rsidR="00371056">
        <w:rPr>
          <w:noProof/>
        </w:rPr>
        <w:t xml:space="preserve"> the</w:t>
      </w:r>
      <w:r w:rsidR="00283BF3" w:rsidRPr="006C2791">
        <w:rPr>
          <w:noProof/>
        </w:rPr>
        <w:t xml:space="preserve"> main bottlenecks in fusion development and </w:t>
      </w:r>
      <w:r w:rsidR="00684C87">
        <w:rPr>
          <w:noProof/>
        </w:rPr>
        <w:t xml:space="preserve">will </w:t>
      </w:r>
      <w:r w:rsidR="002B3690" w:rsidRPr="006C2791">
        <w:rPr>
          <w:noProof/>
        </w:rPr>
        <w:t>involv</w:t>
      </w:r>
      <w:r w:rsidR="00371056">
        <w:rPr>
          <w:noProof/>
        </w:rPr>
        <w:t>e</w:t>
      </w:r>
      <w:r w:rsidR="002B3690" w:rsidRPr="006C2791">
        <w:rPr>
          <w:noProof/>
        </w:rPr>
        <w:t xml:space="preserve"> </w:t>
      </w:r>
      <w:r w:rsidR="00D25A9F" w:rsidRPr="006C2791">
        <w:rPr>
          <w:noProof/>
        </w:rPr>
        <w:t xml:space="preserve">the </w:t>
      </w:r>
      <w:r w:rsidR="002B3690" w:rsidRPr="006C2791">
        <w:rPr>
          <w:noProof/>
        </w:rPr>
        <w:t xml:space="preserve">private sector. Support </w:t>
      </w:r>
      <w:r w:rsidR="00283BF3" w:rsidRPr="006C2791">
        <w:rPr>
          <w:noProof/>
        </w:rPr>
        <w:t xml:space="preserve">will </w:t>
      </w:r>
      <w:r w:rsidR="009C08F8" w:rsidRPr="006C2791">
        <w:rPr>
          <w:noProof/>
        </w:rPr>
        <w:t xml:space="preserve">be provided </w:t>
      </w:r>
      <w:r w:rsidR="00D25A9F" w:rsidRPr="006C2791">
        <w:rPr>
          <w:noProof/>
        </w:rPr>
        <w:t>through</w:t>
      </w:r>
      <w:r w:rsidR="009C08F8" w:rsidRPr="006C2791">
        <w:rPr>
          <w:noProof/>
        </w:rPr>
        <w:t xml:space="preserve"> calls for proposals</w:t>
      </w:r>
      <w:r w:rsidR="002B3690" w:rsidRPr="006C2791">
        <w:rPr>
          <w:noProof/>
        </w:rPr>
        <w:t>.</w:t>
      </w:r>
    </w:p>
    <w:p w:rsidR="008F031D" w:rsidRPr="006C2791" w:rsidRDefault="008F031D" w:rsidP="00F33681">
      <w:pPr>
        <w:spacing w:before="0" w:after="0"/>
        <w:jc w:val="left"/>
        <w:rPr>
          <w:noProof/>
        </w:rPr>
        <w:sectPr w:rsidR="008F031D" w:rsidRPr="006C2791" w:rsidSect="008A2E9F">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2C6598" w:rsidRDefault="003608D2">
      <w:pPr>
        <w:pStyle w:val="Rfrenceinterinstitutionnelle"/>
        <w:rPr>
          <w:noProof/>
        </w:rPr>
      </w:pPr>
      <w:r>
        <w:rPr>
          <w:noProof/>
        </w:rPr>
        <w:t>2025/0035 (NLE)</w:t>
      </w:r>
    </w:p>
    <w:p w:rsidR="008F031D" w:rsidRPr="006C2791" w:rsidRDefault="00262187" w:rsidP="00262187">
      <w:pPr>
        <w:pStyle w:val="Statut"/>
        <w:rPr>
          <w:noProof/>
        </w:rPr>
      </w:pPr>
      <w:r w:rsidRPr="00262187">
        <w:rPr>
          <w:noProof/>
        </w:rPr>
        <w:t>Proposal for a</w:t>
      </w:r>
    </w:p>
    <w:p w:rsidR="008F031D" w:rsidRPr="006C2791" w:rsidRDefault="00262187" w:rsidP="00262187">
      <w:pPr>
        <w:pStyle w:val="Typedudocument"/>
        <w:rPr>
          <w:noProof/>
        </w:rPr>
      </w:pPr>
      <w:r w:rsidRPr="00262187">
        <w:rPr>
          <w:noProof/>
        </w:rPr>
        <w:t>COUNCIL REGULATION</w:t>
      </w:r>
    </w:p>
    <w:p w:rsidR="008F031D" w:rsidRPr="006C2791" w:rsidRDefault="00262187" w:rsidP="00262187">
      <w:pPr>
        <w:pStyle w:val="Titreobjet"/>
        <w:rPr>
          <w:noProof/>
        </w:rPr>
      </w:pPr>
      <w:r w:rsidRPr="00262187">
        <w:rPr>
          <w:noProof/>
        </w:rPr>
        <w:t>establishing the Research and Training Programme of the European Atomic Energy Community for the period 2026-2027 complementing Horizon Europe – the Framework Programme for Research and Innovation and repealing Council Regulation (Euratom) 2021/765</w:t>
      </w:r>
    </w:p>
    <w:p w:rsidR="008F031D" w:rsidRPr="006C2791" w:rsidRDefault="008F031D" w:rsidP="005A7A15">
      <w:pPr>
        <w:pStyle w:val="Institutionquiagit"/>
        <w:rPr>
          <w:noProof/>
        </w:rPr>
      </w:pPr>
      <w:r w:rsidRPr="006C2791">
        <w:rPr>
          <w:noProof/>
        </w:rPr>
        <w:t xml:space="preserve">THE COUNCIL OF THE EUROPEAN </w:t>
      </w:r>
      <w:smartTag w:uri="urn:schemas-microsoft-com:office:smarttags" w:element="place">
        <w:r w:rsidRPr="006C2791">
          <w:rPr>
            <w:noProof/>
          </w:rPr>
          <w:t>UNION</w:t>
        </w:r>
      </w:smartTag>
      <w:r w:rsidRPr="006C2791">
        <w:rPr>
          <w:noProof/>
        </w:rPr>
        <w:t>,</w:t>
      </w:r>
    </w:p>
    <w:p w:rsidR="008F031D" w:rsidRPr="006C2791" w:rsidRDefault="008F031D" w:rsidP="004D22B2">
      <w:pPr>
        <w:rPr>
          <w:noProof/>
        </w:rPr>
      </w:pPr>
      <w:r w:rsidRPr="006C2791">
        <w:rPr>
          <w:noProof/>
        </w:rPr>
        <w:t xml:space="preserve">Having regard to the Treaty establishing the European Atomic Energy Community, and in particular </w:t>
      </w:r>
      <w:r w:rsidR="00734720" w:rsidRPr="006C2791">
        <w:rPr>
          <w:noProof/>
        </w:rPr>
        <w:t xml:space="preserve">the first paragraph of </w:t>
      </w:r>
      <w:r w:rsidRPr="006C2791">
        <w:rPr>
          <w:noProof/>
        </w:rPr>
        <w:t xml:space="preserve">Article </w:t>
      </w:r>
      <w:r w:rsidR="00734720" w:rsidRPr="006C2791">
        <w:rPr>
          <w:noProof/>
        </w:rPr>
        <w:t xml:space="preserve">7 </w:t>
      </w:r>
      <w:r w:rsidRPr="006C2791">
        <w:rPr>
          <w:noProof/>
        </w:rPr>
        <w:t>thereof,</w:t>
      </w:r>
    </w:p>
    <w:p w:rsidR="00861E8A" w:rsidRPr="006C2791" w:rsidRDefault="008F031D" w:rsidP="004D22B2">
      <w:pPr>
        <w:rPr>
          <w:noProof/>
        </w:rPr>
      </w:pPr>
      <w:r w:rsidRPr="006C2791">
        <w:rPr>
          <w:noProof/>
        </w:rPr>
        <w:t>Having regard to the proposal from the European Commission,</w:t>
      </w:r>
    </w:p>
    <w:p w:rsidR="008F031D" w:rsidRPr="006C2791" w:rsidRDefault="00861E8A" w:rsidP="004D22B2">
      <w:pPr>
        <w:rPr>
          <w:noProof/>
        </w:rPr>
      </w:pPr>
      <w:r w:rsidRPr="006C2791">
        <w:rPr>
          <w:noProof/>
        </w:rPr>
        <w:t>After</w:t>
      </w:r>
      <w:r w:rsidR="008F031D" w:rsidRPr="006C2791">
        <w:rPr>
          <w:noProof/>
        </w:rPr>
        <w:t xml:space="preserve"> </w:t>
      </w:r>
      <w:r w:rsidRPr="006C2791">
        <w:rPr>
          <w:noProof/>
        </w:rPr>
        <w:t>consulting</w:t>
      </w:r>
      <w:r w:rsidR="008F031D" w:rsidRPr="006C2791">
        <w:rPr>
          <w:noProof/>
        </w:rPr>
        <w:t xml:space="preserve"> the Scientific and Technical Committee,</w:t>
      </w:r>
    </w:p>
    <w:p w:rsidR="008F031D" w:rsidRPr="006C2791" w:rsidRDefault="008F031D" w:rsidP="005A7A15">
      <w:pPr>
        <w:rPr>
          <w:noProof/>
        </w:rPr>
      </w:pPr>
      <w:r w:rsidRPr="006C2791">
        <w:rPr>
          <w:noProof/>
        </w:rPr>
        <w:t>Whereas:</w:t>
      </w:r>
    </w:p>
    <w:p w:rsidR="00861E8A" w:rsidRPr="006C2791" w:rsidRDefault="003B702E" w:rsidP="003B702E">
      <w:pPr>
        <w:pStyle w:val="ManualConsidrant"/>
        <w:rPr>
          <w:noProof/>
        </w:rPr>
      </w:pPr>
      <w:r w:rsidRPr="003B702E">
        <w:rPr>
          <w:noProof/>
        </w:rPr>
        <w:t>(1)</w:t>
      </w:r>
      <w:r w:rsidRPr="003B702E">
        <w:rPr>
          <w:noProof/>
        </w:rPr>
        <w:tab/>
      </w:r>
      <w:r w:rsidR="00861E8A" w:rsidRPr="006C2791">
        <w:rPr>
          <w:noProof/>
        </w:rPr>
        <w:t>The European Atomic Energy Community (the ‘Community’) aims to raise the living standard in the Member States by promoting and facilitating nuclear research in the Member States and complementing it by carrying out a Community research and training programme.</w:t>
      </w:r>
    </w:p>
    <w:p w:rsidR="00861E8A" w:rsidRPr="006C2791" w:rsidRDefault="003B702E" w:rsidP="003B702E">
      <w:pPr>
        <w:pStyle w:val="ManualConsidrant"/>
        <w:rPr>
          <w:noProof/>
        </w:rPr>
      </w:pPr>
      <w:r w:rsidRPr="003B702E">
        <w:rPr>
          <w:noProof/>
        </w:rPr>
        <w:t>(2)</w:t>
      </w:r>
      <w:r w:rsidRPr="003B702E">
        <w:rPr>
          <w:noProof/>
        </w:rPr>
        <w:tab/>
      </w:r>
      <w:r w:rsidR="00861E8A" w:rsidRPr="006C2791">
        <w:rPr>
          <w:noProof/>
        </w:rPr>
        <w:t>Nuclear research can contribute to social well-being, economic prosperity and environmental sustainability by improving nuclear safety, security and radiation protection. Research on radiation protection has led to improvements in medical technologies from which many citizens benefit, and that research can lead to improvements in other sectors such as industry, agriculture, environment and security.</w:t>
      </w:r>
    </w:p>
    <w:p w:rsidR="00861E8A" w:rsidRPr="006C2791" w:rsidRDefault="003B702E" w:rsidP="003B702E">
      <w:pPr>
        <w:pStyle w:val="ManualConsidrant"/>
        <w:rPr>
          <w:noProof/>
        </w:rPr>
      </w:pPr>
      <w:r w:rsidRPr="003B702E">
        <w:rPr>
          <w:noProof/>
        </w:rPr>
        <w:t>(3)</w:t>
      </w:r>
      <w:r w:rsidRPr="003B702E">
        <w:rPr>
          <w:noProof/>
        </w:rPr>
        <w:tab/>
      </w:r>
      <w:r w:rsidR="00861E8A" w:rsidRPr="006C2791">
        <w:rPr>
          <w:noProof/>
        </w:rPr>
        <w:t>In full respect of the Member States’ right to decide on their energy mix, research results of the programme established by this Regulation could potentially contribute towards a climate neutral energy system in a safe, efficient and secure way.</w:t>
      </w:r>
    </w:p>
    <w:p w:rsidR="00861E8A" w:rsidRPr="006C2791" w:rsidRDefault="003B702E" w:rsidP="003B702E">
      <w:pPr>
        <w:pStyle w:val="ManualConsidrant"/>
        <w:rPr>
          <w:noProof/>
        </w:rPr>
      </w:pPr>
      <w:r w:rsidRPr="003B702E">
        <w:rPr>
          <w:noProof/>
        </w:rPr>
        <w:t>(4)</w:t>
      </w:r>
      <w:r w:rsidRPr="003B702E">
        <w:rPr>
          <w:noProof/>
        </w:rPr>
        <w:tab/>
      </w:r>
      <w:r w:rsidR="00861E8A" w:rsidRPr="006C2791">
        <w:rPr>
          <w:noProof/>
        </w:rPr>
        <w:t>In order to ensure the continuity of nuclear research at Community level, it is necessary to establish the Research and Training Programme of the Community for the period from 1</w:t>
      </w:r>
      <w:r w:rsidR="00C265CC">
        <w:rPr>
          <w:noProof/>
        </w:rPr>
        <w:t> </w:t>
      </w:r>
      <w:r w:rsidR="00861E8A" w:rsidRPr="006C2791">
        <w:rPr>
          <w:noProof/>
        </w:rPr>
        <w:t>January 2026 to 31</w:t>
      </w:r>
      <w:r w:rsidR="00C265CC">
        <w:rPr>
          <w:noProof/>
        </w:rPr>
        <w:t> </w:t>
      </w:r>
      <w:r w:rsidR="00861E8A" w:rsidRPr="006C2791">
        <w:rPr>
          <w:noProof/>
        </w:rPr>
        <w:t xml:space="preserve">December 2027 (the ‘Euratom Programme’) </w:t>
      </w:r>
      <w:r w:rsidR="006461AF">
        <w:rPr>
          <w:noProof/>
        </w:rPr>
        <w:t>so that</w:t>
      </w:r>
      <w:r w:rsidR="00861E8A" w:rsidRPr="006C2791">
        <w:rPr>
          <w:noProof/>
        </w:rPr>
        <w:t xml:space="preserve"> its duration </w:t>
      </w:r>
      <w:r w:rsidR="006461AF">
        <w:rPr>
          <w:noProof/>
        </w:rPr>
        <w:t xml:space="preserve">is aligned </w:t>
      </w:r>
      <w:r w:rsidR="00861E8A" w:rsidRPr="006C2791">
        <w:rPr>
          <w:noProof/>
        </w:rPr>
        <w:t>with that of the multiannual financial framework for the years 2021 to 2027 laid down in Council Regulation (EU, Euratom) 2020/2093</w:t>
      </w:r>
      <w:r w:rsidR="00474603">
        <w:rPr>
          <w:rStyle w:val="FootnoteReference"/>
          <w:noProof/>
        </w:rPr>
        <w:footnoteReference w:id="33"/>
      </w:r>
      <w:r w:rsidR="00861E8A" w:rsidRPr="006C2791">
        <w:rPr>
          <w:noProof/>
        </w:rPr>
        <w:t>. The Euratom Programme should continue carrying out the key research activities of the previous programme, with the same objectives and using the same mode of implementation.</w:t>
      </w:r>
    </w:p>
    <w:p w:rsidR="00861E8A" w:rsidRPr="006C2791" w:rsidRDefault="003B702E" w:rsidP="003B702E">
      <w:pPr>
        <w:pStyle w:val="ManualConsidrant"/>
        <w:rPr>
          <w:noProof/>
        </w:rPr>
      </w:pPr>
      <w:r w:rsidRPr="003B702E">
        <w:rPr>
          <w:noProof/>
        </w:rPr>
        <w:t>(5)</w:t>
      </w:r>
      <w:r w:rsidRPr="003B702E">
        <w:rPr>
          <w:noProof/>
        </w:rPr>
        <w:tab/>
      </w:r>
      <w:r w:rsidR="00861E8A" w:rsidRPr="006C2791">
        <w:rPr>
          <w:noProof/>
        </w:rPr>
        <w:t xml:space="preserve">The Commission’s Report on the interim evaluation of the </w:t>
      </w:r>
      <w:r w:rsidR="00FD26B9" w:rsidRPr="006C2791">
        <w:rPr>
          <w:noProof/>
        </w:rPr>
        <w:t>2021-2025</w:t>
      </w:r>
      <w:r w:rsidR="00861E8A" w:rsidRPr="006C2791">
        <w:rPr>
          <w:noProof/>
        </w:rPr>
        <w:t xml:space="preserve"> Euratom Research and Training Programme</w:t>
      </w:r>
      <w:r w:rsidR="00BC6720" w:rsidRPr="006C2791">
        <w:rPr>
          <w:rStyle w:val="FootnoteReference"/>
          <w:noProof/>
        </w:rPr>
        <w:footnoteReference w:id="34"/>
      </w:r>
      <w:r w:rsidR="00BC6720">
        <w:rPr>
          <w:noProof/>
        </w:rPr>
        <w:t xml:space="preserve"> </w:t>
      </w:r>
      <w:r w:rsidR="00DC7A10" w:rsidRPr="006C2791">
        <w:rPr>
          <w:noProof/>
        </w:rPr>
        <w:t>highlighted the relevance of</w:t>
      </w:r>
      <w:r w:rsidR="00861E8A" w:rsidRPr="006C2791">
        <w:rPr>
          <w:noProof/>
        </w:rPr>
        <w:t xml:space="preserve"> the Euratom Programme</w:t>
      </w:r>
      <w:r w:rsidR="00DC7A10" w:rsidRPr="006C2791">
        <w:rPr>
          <w:noProof/>
        </w:rPr>
        <w:t>’s different features</w:t>
      </w:r>
      <w:r w:rsidR="00861E8A" w:rsidRPr="006C2791">
        <w:rPr>
          <w:noProof/>
        </w:rPr>
        <w:t>. The</w:t>
      </w:r>
      <w:r w:rsidR="00474603">
        <w:rPr>
          <w:noProof/>
        </w:rPr>
        <w:t>y</w:t>
      </w:r>
      <w:r w:rsidR="00861E8A" w:rsidRPr="006C2791">
        <w:rPr>
          <w:noProof/>
        </w:rPr>
        <w:t xml:space="preserve"> include: </w:t>
      </w:r>
      <w:r w:rsidR="0083177C">
        <w:rPr>
          <w:noProof/>
        </w:rPr>
        <w:t>(i)</w:t>
      </w:r>
      <w:r w:rsidR="0083177C" w:rsidRPr="006C2791">
        <w:rPr>
          <w:noProof/>
        </w:rPr>
        <w:t xml:space="preserve"> the wide research portfolio supporting nuclear safety, security and safeguards</w:t>
      </w:r>
      <w:r w:rsidR="00DF4BA7">
        <w:rPr>
          <w:noProof/>
        </w:rPr>
        <w:t>,</w:t>
      </w:r>
      <w:r w:rsidR="0083177C">
        <w:rPr>
          <w:noProof/>
        </w:rPr>
        <w:t xml:space="preserve"> </w:t>
      </w:r>
      <w:r w:rsidR="0083177C" w:rsidRPr="006C2791">
        <w:rPr>
          <w:noProof/>
        </w:rPr>
        <w:t>radiation protection and non</w:t>
      </w:r>
      <w:r w:rsidR="0083177C">
        <w:rPr>
          <w:noProof/>
        </w:rPr>
        <w:noBreakHyphen/>
      </w:r>
      <w:r w:rsidR="0083177C" w:rsidRPr="006C2791">
        <w:rPr>
          <w:noProof/>
        </w:rPr>
        <w:t>power applications</w:t>
      </w:r>
      <w:r w:rsidR="0083177C">
        <w:rPr>
          <w:noProof/>
        </w:rPr>
        <w:t xml:space="preserve">; (ii) </w:t>
      </w:r>
      <w:r w:rsidR="0083177C" w:rsidRPr="006C2791">
        <w:rPr>
          <w:noProof/>
        </w:rPr>
        <w:t>EU</w:t>
      </w:r>
      <w:r w:rsidR="0083177C">
        <w:rPr>
          <w:noProof/>
        </w:rPr>
        <w:t>-</w:t>
      </w:r>
      <w:r w:rsidR="0083177C" w:rsidRPr="006C2791">
        <w:rPr>
          <w:noProof/>
        </w:rPr>
        <w:t>added value</w:t>
      </w:r>
      <w:r w:rsidR="0083177C">
        <w:rPr>
          <w:noProof/>
        </w:rPr>
        <w:t xml:space="preserve"> for</w:t>
      </w:r>
      <w:r w:rsidR="0083177C" w:rsidRPr="006C2791">
        <w:rPr>
          <w:noProof/>
        </w:rPr>
        <w:t xml:space="preserve"> fission research</w:t>
      </w:r>
      <w:r w:rsidR="0083177C">
        <w:rPr>
          <w:noProof/>
        </w:rPr>
        <w:t>; (i</w:t>
      </w:r>
      <w:r w:rsidR="00DF4BA7">
        <w:rPr>
          <w:noProof/>
        </w:rPr>
        <w:t>ii</w:t>
      </w:r>
      <w:r w:rsidR="0083177C">
        <w:rPr>
          <w:noProof/>
        </w:rPr>
        <w:t xml:space="preserve">) </w:t>
      </w:r>
      <w:r w:rsidR="0083177C" w:rsidRPr="006C2791">
        <w:rPr>
          <w:noProof/>
        </w:rPr>
        <w:t xml:space="preserve">support </w:t>
      </w:r>
      <w:r w:rsidR="0083177C">
        <w:rPr>
          <w:noProof/>
        </w:rPr>
        <w:t xml:space="preserve">for </w:t>
      </w:r>
      <w:r w:rsidR="0083177C" w:rsidRPr="006C2791">
        <w:rPr>
          <w:noProof/>
        </w:rPr>
        <w:t xml:space="preserve">stakeholders </w:t>
      </w:r>
      <w:r w:rsidR="0083177C">
        <w:rPr>
          <w:noProof/>
        </w:rPr>
        <w:t xml:space="preserve">through improved </w:t>
      </w:r>
      <w:r w:rsidR="0083177C" w:rsidRPr="006C2791">
        <w:rPr>
          <w:noProof/>
        </w:rPr>
        <w:t>safety and the knowledge base to ensure the safe long-term operation of current nuclear power plants</w:t>
      </w:r>
      <w:r w:rsidR="0083177C">
        <w:rPr>
          <w:noProof/>
        </w:rPr>
        <w:t>; (</w:t>
      </w:r>
      <w:r w:rsidR="00DF4BA7">
        <w:rPr>
          <w:noProof/>
        </w:rPr>
        <w:t>i</w:t>
      </w:r>
      <w:r w:rsidR="0083177C">
        <w:rPr>
          <w:noProof/>
        </w:rPr>
        <w:t xml:space="preserve">v) </w:t>
      </w:r>
      <w:r w:rsidR="0083177C" w:rsidRPr="006C2791">
        <w:rPr>
          <w:noProof/>
        </w:rPr>
        <w:t>building the safety, security and safeguards case for advanced nuclear systems</w:t>
      </w:r>
      <w:r w:rsidR="0083177C">
        <w:rPr>
          <w:noProof/>
        </w:rPr>
        <w:t xml:space="preserve">; (v) </w:t>
      </w:r>
      <w:r w:rsidR="0083177C" w:rsidRPr="006C2791">
        <w:rPr>
          <w:noProof/>
        </w:rPr>
        <w:t>further developing fusion research by improving governance</w:t>
      </w:r>
      <w:r w:rsidR="0083177C">
        <w:rPr>
          <w:noProof/>
        </w:rPr>
        <w:t xml:space="preserve">; and (vi) </w:t>
      </w:r>
      <w:r w:rsidR="0083177C" w:rsidRPr="006C2791">
        <w:rPr>
          <w:noProof/>
        </w:rPr>
        <w:t>defining programm</w:t>
      </w:r>
      <w:r w:rsidR="0083177C">
        <w:rPr>
          <w:noProof/>
        </w:rPr>
        <w:t>e</w:t>
      </w:r>
      <w:r w:rsidR="0083177C" w:rsidRPr="006C2791">
        <w:rPr>
          <w:noProof/>
        </w:rPr>
        <w:t xml:space="preserve"> priorities and identifying more credible and realistic paths. The report concluded </w:t>
      </w:r>
      <w:r w:rsidR="0083177C">
        <w:rPr>
          <w:noProof/>
        </w:rPr>
        <w:t xml:space="preserve">that those </w:t>
      </w:r>
      <w:r w:rsidR="0083177C" w:rsidRPr="006C2791">
        <w:rPr>
          <w:noProof/>
        </w:rPr>
        <w:t>features</w:t>
      </w:r>
      <w:r w:rsidR="0083177C">
        <w:rPr>
          <w:noProof/>
        </w:rPr>
        <w:t xml:space="preserve"> must be maintained </w:t>
      </w:r>
      <w:r w:rsidR="0083177C" w:rsidRPr="006C2791">
        <w:rPr>
          <w:noProof/>
        </w:rPr>
        <w:t>in the</w:t>
      </w:r>
      <w:r w:rsidR="0083177C">
        <w:rPr>
          <w:noProof/>
        </w:rPr>
        <w:t xml:space="preserve"> </w:t>
      </w:r>
      <w:r w:rsidR="0083177C" w:rsidRPr="006C2791">
        <w:rPr>
          <w:noProof/>
        </w:rPr>
        <w:t>Programme’s extension.</w:t>
      </w:r>
    </w:p>
    <w:p w:rsidR="00832A56" w:rsidRPr="006C2791" w:rsidRDefault="003B702E" w:rsidP="003B702E">
      <w:pPr>
        <w:pStyle w:val="ManualConsidrant"/>
        <w:rPr>
          <w:noProof/>
        </w:rPr>
      </w:pPr>
      <w:r w:rsidRPr="003B702E">
        <w:rPr>
          <w:noProof/>
        </w:rPr>
        <w:t>(6)</w:t>
      </w:r>
      <w:r w:rsidRPr="003B702E">
        <w:rPr>
          <w:noProof/>
        </w:rPr>
        <w:tab/>
      </w:r>
      <w:r w:rsidR="00832A56" w:rsidRPr="006C2791">
        <w:rPr>
          <w:noProof/>
        </w:rPr>
        <w:t>The conception and design of the Euratom Programme is set against the need to establish a critical mass of supported activities. This is to be achieved by establishing a limited number of specific objectives focussed on safe use of nuclear fission for power and non-power applications, maintaining and developing necessary expertise, fostering fusion energy and supporting the policies of the Union and its Member States on nuclear safety, safeguards and security.</w:t>
      </w:r>
    </w:p>
    <w:p w:rsidR="00832A56" w:rsidRPr="006C2791" w:rsidRDefault="003B702E" w:rsidP="003B702E">
      <w:pPr>
        <w:pStyle w:val="ManualConsidrant"/>
        <w:rPr>
          <w:noProof/>
        </w:rPr>
      </w:pPr>
      <w:r w:rsidRPr="003B702E">
        <w:rPr>
          <w:noProof/>
        </w:rPr>
        <w:t>(7)</w:t>
      </w:r>
      <w:r w:rsidRPr="003B702E">
        <w:rPr>
          <w:noProof/>
        </w:rPr>
        <w:tab/>
      </w:r>
      <w:r w:rsidR="00832A56" w:rsidRPr="006C2791">
        <w:rPr>
          <w:noProof/>
        </w:rPr>
        <w:t>The Euratom Programme is a crucial part of the Union’s efforts to further develop technological leadership and promote excellence in nuclear research and innovation to ensure the highest standards of safety, security, safeguards, radiation protection, safe spent fuel, radioactive waste management and decommissioning in the nuclear field, in accordance with the programme objectives set out in this Regulation.</w:t>
      </w:r>
    </w:p>
    <w:p w:rsidR="00832A56" w:rsidRPr="006C2791" w:rsidRDefault="003B702E" w:rsidP="003B702E">
      <w:pPr>
        <w:pStyle w:val="ManualConsidrant"/>
        <w:rPr>
          <w:noProof/>
        </w:rPr>
      </w:pPr>
      <w:r w:rsidRPr="003B702E">
        <w:rPr>
          <w:noProof/>
        </w:rPr>
        <w:t>(8)</w:t>
      </w:r>
      <w:r w:rsidRPr="003B702E">
        <w:rPr>
          <w:noProof/>
        </w:rPr>
        <w:tab/>
      </w:r>
      <w:r w:rsidR="00832A56" w:rsidRPr="006C2791">
        <w:rPr>
          <w:noProof/>
        </w:rPr>
        <w:t>As all Member States make use of radioactive materials, it is important to ensure the responsible and safe management of spent fuel and radioactive waste, as required by the Council Directive 2011/70/Euratom</w:t>
      </w:r>
      <w:r w:rsidR="00822AA0" w:rsidRPr="006C2791">
        <w:rPr>
          <w:rStyle w:val="FootnoteReference"/>
          <w:noProof/>
        </w:rPr>
        <w:footnoteReference w:id="35"/>
      </w:r>
      <w:r w:rsidR="00832A56" w:rsidRPr="006C2791">
        <w:rPr>
          <w:noProof/>
        </w:rPr>
        <w:t>, in order to avoid imposing undue burdens on future generations. The Euratom Programme should continue to improve and support research and development relating to technologies and competencies in the area of spent fuel and radioactive waste management.</w:t>
      </w:r>
    </w:p>
    <w:p w:rsidR="00832A56" w:rsidRPr="006C2791" w:rsidRDefault="003B702E" w:rsidP="003B702E">
      <w:pPr>
        <w:pStyle w:val="ManualConsidrant"/>
        <w:rPr>
          <w:noProof/>
        </w:rPr>
      </w:pPr>
      <w:r w:rsidRPr="003B702E">
        <w:rPr>
          <w:noProof/>
        </w:rPr>
        <w:t>(9)</w:t>
      </w:r>
      <w:r w:rsidRPr="003B702E">
        <w:rPr>
          <w:noProof/>
        </w:rPr>
        <w:tab/>
      </w:r>
      <w:r w:rsidR="00832A56" w:rsidRPr="006C2791">
        <w:rPr>
          <w:noProof/>
        </w:rPr>
        <w:t>In the context of this Regulation, fusion energy research is being implemented in accordance with the European Fusion Roadmap, which outlines the research and developments required to provide the basis for an electricity-generating fusion power plant, and with Council Decision 2007/198/Euratom</w:t>
      </w:r>
      <w:r w:rsidR="00822AA0" w:rsidRPr="006C2791">
        <w:rPr>
          <w:rStyle w:val="FootnoteReference"/>
          <w:noProof/>
        </w:rPr>
        <w:footnoteReference w:id="36"/>
      </w:r>
      <w:r w:rsidR="00832A56" w:rsidRPr="006C2791">
        <w:rPr>
          <w:noProof/>
        </w:rPr>
        <w:t xml:space="preserve">. In the short-to-medium term the key step is the completion of the construction and initial operation of ITER and a vigorous fusion research programme should complement the European activities on ITER in order to support the future ITER operations and the preparation for the </w:t>
      </w:r>
      <w:r w:rsidR="002C6A7F">
        <w:rPr>
          <w:noProof/>
        </w:rPr>
        <w:t>first fusion power plant</w:t>
      </w:r>
      <w:r w:rsidR="00832A56" w:rsidRPr="006C2791">
        <w:rPr>
          <w:noProof/>
        </w:rPr>
        <w:t>.</w:t>
      </w:r>
    </w:p>
    <w:p w:rsidR="00832A56" w:rsidRPr="006C2791" w:rsidRDefault="003B702E" w:rsidP="003B702E">
      <w:pPr>
        <w:pStyle w:val="ManualConsidrant"/>
        <w:rPr>
          <w:noProof/>
        </w:rPr>
      </w:pPr>
      <w:r w:rsidRPr="003B702E">
        <w:rPr>
          <w:noProof/>
        </w:rPr>
        <w:t>(10)</w:t>
      </w:r>
      <w:r w:rsidRPr="003B702E">
        <w:rPr>
          <w:noProof/>
        </w:rPr>
        <w:tab/>
      </w:r>
      <w:r w:rsidR="00832A56" w:rsidRPr="006C2791">
        <w:rPr>
          <w:noProof/>
        </w:rPr>
        <w:t>By supporting nuclear research, the Euratom Programme should contribute to achieving the objectives of the Horizon Europe – the Framework Programme for Research and Innovation (‘Horizon Europe’) established by Regulation (EU) 2021/695 of the European Parliament and of the Council</w:t>
      </w:r>
      <w:r w:rsidR="00822AA0" w:rsidRPr="006C2791">
        <w:rPr>
          <w:rStyle w:val="FootnoteReference"/>
          <w:noProof/>
        </w:rPr>
        <w:footnoteReference w:id="37"/>
      </w:r>
      <w:r w:rsidR="00832A56" w:rsidRPr="006C2791">
        <w:rPr>
          <w:noProof/>
        </w:rPr>
        <w:t xml:space="preserve"> and should facilitate the implementation of the Europe 2030 strategy and the strengthening of the European research area.</w:t>
      </w:r>
    </w:p>
    <w:p w:rsidR="00832A56" w:rsidRPr="006C2791" w:rsidRDefault="003B702E" w:rsidP="003B702E">
      <w:pPr>
        <w:pStyle w:val="ManualConsidrant"/>
        <w:rPr>
          <w:noProof/>
        </w:rPr>
      </w:pPr>
      <w:r w:rsidRPr="003B702E">
        <w:rPr>
          <w:noProof/>
        </w:rPr>
        <w:t>(11)</w:t>
      </w:r>
      <w:r w:rsidRPr="003B702E">
        <w:rPr>
          <w:noProof/>
        </w:rPr>
        <w:tab/>
      </w:r>
      <w:r w:rsidR="00832A56" w:rsidRPr="006C2791">
        <w:rPr>
          <w:noProof/>
        </w:rPr>
        <w:t>The Euratom Programme should seek synergies with Horizon Europe and other Union programmes, from their design and strategic planning, through project selection, management, communication, dissemination and exploitation of results, to monitoring, auditing and governance.</w:t>
      </w:r>
    </w:p>
    <w:p w:rsidR="00832A56" w:rsidRPr="006C2791" w:rsidRDefault="003B702E" w:rsidP="003B702E">
      <w:pPr>
        <w:pStyle w:val="ManualConsidrant"/>
        <w:rPr>
          <w:noProof/>
        </w:rPr>
      </w:pPr>
      <w:r w:rsidRPr="003B702E">
        <w:rPr>
          <w:noProof/>
        </w:rPr>
        <w:t>(12)</w:t>
      </w:r>
      <w:r w:rsidRPr="003B702E">
        <w:rPr>
          <w:noProof/>
        </w:rPr>
        <w:tab/>
      </w:r>
      <w:r w:rsidR="00832A56" w:rsidRPr="006C2791">
        <w:rPr>
          <w:noProof/>
        </w:rPr>
        <w:t>The Euratom Programme’s actions should be proportionate, without duplicating or crowding out private financing, and should have a clear European added value. This will ensure consistency between the actions of the Euratom Programme and Union State aid rules, avoiding undue distortions of competition in the internal market.</w:t>
      </w:r>
    </w:p>
    <w:p w:rsidR="00832A56" w:rsidRPr="006C2791" w:rsidRDefault="003B702E" w:rsidP="003B702E">
      <w:pPr>
        <w:pStyle w:val="ManualConsidrant"/>
        <w:rPr>
          <w:noProof/>
        </w:rPr>
      </w:pPr>
      <w:r w:rsidRPr="003B702E">
        <w:rPr>
          <w:noProof/>
        </w:rPr>
        <w:t>(13)</w:t>
      </w:r>
      <w:r w:rsidRPr="003B702E">
        <w:rPr>
          <w:noProof/>
        </w:rPr>
        <w:tab/>
      </w:r>
      <w:r w:rsidR="00832A56" w:rsidRPr="006C2791">
        <w:rPr>
          <w:noProof/>
        </w:rPr>
        <w:t>While it is for each Member State to choose whether or not to make use of nuclear power, it is also acknowledged that nuclear energy plays different roles in different Member States. The Euratom Programme will also contribute to fostering a broad discussion among all relevant stakeholders regarding the opportunities and risks of nuclear energy.</w:t>
      </w:r>
    </w:p>
    <w:p w:rsidR="00832A56" w:rsidRPr="006C2791" w:rsidRDefault="003B702E" w:rsidP="003B702E">
      <w:pPr>
        <w:pStyle w:val="ManualConsidrant"/>
        <w:rPr>
          <w:noProof/>
        </w:rPr>
      </w:pPr>
      <w:r w:rsidRPr="003B702E">
        <w:rPr>
          <w:noProof/>
        </w:rPr>
        <w:t>(14)</w:t>
      </w:r>
      <w:r w:rsidRPr="003B702E">
        <w:rPr>
          <w:noProof/>
        </w:rPr>
        <w:tab/>
      </w:r>
      <w:r w:rsidR="00832A56" w:rsidRPr="006C2791">
        <w:rPr>
          <w:noProof/>
        </w:rPr>
        <w:t>To address the needs for education and training, the Euratom Programme should offer support through financial contributions so that researchers in the nuclear field become eligible to benefit from Marie Skłodowska-Curie Actions (MSCA) on an equal footing with researchers in other fields.</w:t>
      </w:r>
    </w:p>
    <w:p w:rsidR="00832A56" w:rsidRPr="006C2791" w:rsidRDefault="003B702E" w:rsidP="003B702E">
      <w:pPr>
        <w:pStyle w:val="ManualConsidrant"/>
        <w:rPr>
          <w:noProof/>
        </w:rPr>
      </w:pPr>
      <w:r w:rsidRPr="003B702E">
        <w:rPr>
          <w:noProof/>
        </w:rPr>
        <w:t>(15)</w:t>
      </w:r>
      <w:r w:rsidRPr="003B702E">
        <w:rPr>
          <w:noProof/>
        </w:rPr>
        <w:tab/>
      </w:r>
      <w:r w:rsidR="00832A56" w:rsidRPr="006C2791">
        <w:rPr>
          <w:noProof/>
        </w:rPr>
        <w:t>This Regulation lays down a financial envelope for the entire duration of the Euratom Programme which is to constitute the prime reference amount, within the meaning of point 18 of the 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sidR="00822AA0" w:rsidRPr="006C2791">
        <w:rPr>
          <w:rStyle w:val="FootnoteReference"/>
          <w:noProof/>
        </w:rPr>
        <w:footnoteReference w:id="38"/>
      </w:r>
      <w:r w:rsidR="00832A56" w:rsidRPr="006C2791">
        <w:rPr>
          <w:noProof/>
        </w:rPr>
        <w:t>, for the European Parliament and the Council during the annual budgetary procedure.</w:t>
      </w:r>
    </w:p>
    <w:p w:rsidR="00832A56" w:rsidRPr="006C2791" w:rsidRDefault="003B702E" w:rsidP="003B702E">
      <w:pPr>
        <w:pStyle w:val="ManualConsidrant"/>
        <w:rPr>
          <w:noProof/>
        </w:rPr>
      </w:pPr>
      <w:r w:rsidRPr="003B702E">
        <w:rPr>
          <w:noProof/>
        </w:rPr>
        <w:t>(16)</w:t>
      </w:r>
      <w:r w:rsidRPr="003B702E">
        <w:rPr>
          <w:noProof/>
        </w:rPr>
        <w:tab/>
      </w:r>
      <w:r w:rsidR="00832A56" w:rsidRPr="006C2791">
        <w:rPr>
          <w:noProof/>
        </w:rPr>
        <w:t xml:space="preserve">Regulation (EU, Euratom) </w:t>
      </w:r>
      <w:r w:rsidR="00424CCD" w:rsidRPr="00424CCD">
        <w:rPr>
          <w:noProof/>
        </w:rPr>
        <w:t>2024/2509</w:t>
      </w:r>
      <w:r w:rsidR="00832A56" w:rsidRPr="006C2791">
        <w:rPr>
          <w:noProof/>
        </w:rPr>
        <w:t xml:space="preserve"> of the European Parliament and of the Council</w:t>
      </w:r>
      <w:r w:rsidR="00822AA0" w:rsidRPr="006C2791">
        <w:rPr>
          <w:rStyle w:val="FootnoteReference"/>
          <w:noProof/>
        </w:rPr>
        <w:footnoteReference w:id="39"/>
      </w:r>
      <w:r w:rsidR="00832A56" w:rsidRPr="006C2791">
        <w:rPr>
          <w:noProof/>
        </w:rPr>
        <w:t xml:space="preserve"> (the ‘Financial Regulation’) applies to the Euratom Programme. The Financial Regulation lays down rules on the implementation of the Union budget, including the rules on grants, </w:t>
      </w:r>
      <w:r w:rsidR="006C2791">
        <w:rPr>
          <w:noProof/>
        </w:rPr>
        <w:t>prizes</w:t>
      </w:r>
      <w:r w:rsidR="00832A56" w:rsidRPr="006C2791">
        <w:rPr>
          <w:noProof/>
        </w:rPr>
        <w:t>, procurement, indirect management, financial instruments, budgetary guarantees, financial assistance and the reimbursement of external experts. Rules adopted on the basis of Article 322 of the Treaty on the Functioning of the European Union (TFEU) also include a general regime of conditionality for the protection of the Union budget.</w:t>
      </w:r>
    </w:p>
    <w:p w:rsidR="00832A56" w:rsidRPr="006C2791" w:rsidRDefault="003B702E" w:rsidP="003B702E">
      <w:pPr>
        <w:pStyle w:val="ManualConsidrant"/>
        <w:rPr>
          <w:noProof/>
        </w:rPr>
      </w:pPr>
      <w:r w:rsidRPr="003B702E">
        <w:rPr>
          <w:noProof/>
        </w:rPr>
        <w:t>(17)</w:t>
      </w:r>
      <w:r w:rsidRPr="003B702E">
        <w:rPr>
          <w:noProof/>
        </w:rPr>
        <w:tab/>
      </w:r>
      <w:r w:rsidR="00832A56" w:rsidRPr="006C2791">
        <w:rPr>
          <w:noProof/>
        </w:rPr>
        <w:t>The types of financing and the methods of implementation under this Regulation should be chosen on the basis of their suitability to achieving the specific objectives of the actions and to deliver results, taking into account, in particular, the costs of controls, the administrative burden, and the expected risk of non-compliance. For grants, this should include consideration of the use of lump sums, flat rates and unit costs.</w:t>
      </w:r>
    </w:p>
    <w:p w:rsidR="00832A56" w:rsidRPr="006C2791" w:rsidRDefault="003B702E" w:rsidP="003B702E">
      <w:pPr>
        <w:pStyle w:val="ManualConsidrant"/>
        <w:rPr>
          <w:noProof/>
        </w:rPr>
      </w:pPr>
      <w:r w:rsidRPr="003B702E">
        <w:rPr>
          <w:noProof/>
        </w:rPr>
        <w:t>(18)</w:t>
      </w:r>
      <w:r w:rsidRPr="003B702E">
        <w:rPr>
          <w:noProof/>
        </w:rPr>
        <w:tab/>
      </w:r>
      <w:r w:rsidR="00832A56" w:rsidRPr="006C2791">
        <w:rPr>
          <w:noProof/>
        </w:rPr>
        <w:t>Particular attention should be paid to ensuring adequate participation of small and medium-sized enterprises (SMEs) and the private sector in general. Quantitative and qualitative assessments of SME participation should be undertaken as part of the evaluation and monitoring arrangements.</w:t>
      </w:r>
    </w:p>
    <w:p w:rsidR="00832A56" w:rsidRPr="006C2791" w:rsidRDefault="003B702E" w:rsidP="003B702E">
      <w:pPr>
        <w:pStyle w:val="ManualConsidrant"/>
        <w:rPr>
          <w:noProof/>
        </w:rPr>
      </w:pPr>
      <w:r w:rsidRPr="003B702E">
        <w:rPr>
          <w:noProof/>
        </w:rPr>
        <w:t>(19)</w:t>
      </w:r>
      <w:r w:rsidRPr="003B702E">
        <w:rPr>
          <w:noProof/>
        </w:rPr>
        <w:tab/>
      </w:r>
      <w:r w:rsidR="00832A56" w:rsidRPr="006C2791">
        <w:rPr>
          <w:noProof/>
        </w:rPr>
        <w:t>The activities developed under the Euratom Programme should aim at eliminating gender inequalities and promoting equality between women and men in research and innovation, in accordance with Articles 2 and 3 of the Treaty on European Union and Article 8 TFEU. The gender dimension should be integrated in research and innovation and followed through at all stages of the research cycle.</w:t>
      </w:r>
    </w:p>
    <w:p w:rsidR="00832A56" w:rsidRPr="006C2791" w:rsidRDefault="003B702E" w:rsidP="003B702E">
      <w:pPr>
        <w:pStyle w:val="ManualConsidrant"/>
        <w:rPr>
          <w:noProof/>
        </w:rPr>
      </w:pPr>
      <w:r w:rsidRPr="003B702E">
        <w:rPr>
          <w:noProof/>
        </w:rPr>
        <w:t>(20)</w:t>
      </w:r>
      <w:r w:rsidRPr="003B702E">
        <w:rPr>
          <w:noProof/>
        </w:rPr>
        <w:tab/>
      </w:r>
      <w:r w:rsidR="00832A56" w:rsidRPr="006C2791">
        <w:rPr>
          <w:noProof/>
        </w:rPr>
        <w:t>With the aim of deepening the relationship between science and society and reinforcing public confidence in science, the Euratom Programme should favour the informed engagement of citizens and civil society in research and innovation matters by promoting science education, making scientific knowledge more accessible, developing responsible research and innovation agendas that meet the concerns and expectations of citizens and civil society, and facilitating the participation of citizens and civil society in activities under the Euratom Programme.</w:t>
      </w:r>
    </w:p>
    <w:p w:rsidR="00832A56" w:rsidRPr="006C2791" w:rsidRDefault="003B702E" w:rsidP="003B702E">
      <w:pPr>
        <w:pStyle w:val="ManualConsidrant"/>
        <w:rPr>
          <w:noProof/>
        </w:rPr>
      </w:pPr>
      <w:r w:rsidRPr="003B702E">
        <w:rPr>
          <w:noProof/>
        </w:rPr>
        <w:t>(21)</w:t>
      </w:r>
      <w:r w:rsidRPr="003B702E">
        <w:rPr>
          <w:noProof/>
        </w:rPr>
        <w:tab/>
      </w:r>
      <w:r w:rsidR="00832A56" w:rsidRPr="006C2791">
        <w:rPr>
          <w:noProof/>
        </w:rPr>
        <w:t>Actions which fall within the scope of the Euratom Programme should respect fundamental rights and observe the principles acknowledged in particular by the Charter of Fundamental Rights of the European Union.</w:t>
      </w:r>
    </w:p>
    <w:p w:rsidR="00832A56" w:rsidRPr="006C2791" w:rsidRDefault="003B702E" w:rsidP="003B702E">
      <w:pPr>
        <w:pStyle w:val="ManualConsidrant"/>
        <w:rPr>
          <w:noProof/>
        </w:rPr>
      </w:pPr>
      <w:r w:rsidRPr="003B702E">
        <w:rPr>
          <w:noProof/>
        </w:rPr>
        <w:t>(22)</w:t>
      </w:r>
      <w:r w:rsidRPr="003B702E">
        <w:rPr>
          <w:noProof/>
        </w:rPr>
        <w:tab/>
      </w:r>
      <w:r w:rsidR="00832A56" w:rsidRPr="006C2791">
        <w:rPr>
          <w:noProof/>
        </w:rPr>
        <w:t>It is important to continue to facilitate the exploitation of intellectual property developed by participants, while protecting the legitimate interests of other participants and the Community in accordance with Title II, Chapter 2 of the Treaty establishing the European Atomic Energy Community (‘the Euratom Treaty’).</w:t>
      </w:r>
    </w:p>
    <w:p w:rsidR="00832A56" w:rsidRPr="006C2791" w:rsidRDefault="003B702E" w:rsidP="003B702E">
      <w:pPr>
        <w:pStyle w:val="ManualConsidrant"/>
        <w:rPr>
          <w:noProof/>
        </w:rPr>
      </w:pPr>
      <w:r w:rsidRPr="003B702E">
        <w:rPr>
          <w:noProof/>
        </w:rPr>
        <w:t>(23)</w:t>
      </w:r>
      <w:r w:rsidRPr="003B702E">
        <w:rPr>
          <w:noProof/>
        </w:rPr>
        <w:tab/>
      </w:r>
      <w:r w:rsidR="00832A56" w:rsidRPr="006C2791">
        <w:rPr>
          <w:noProof/>
        </w:rPr>
        <w:t>In order to ensure the greatest possible impact of Euratom funding, the Community may, where appropriate, consider European Partnerships with public or private sector partners provided that the desired impact can be obtained more effectively in partnership than by the Community alone, when compared to other forms of support of the Euratom Programme. This Regulation should ensure that such partnerships have a clear life-cycle approach of European Partnerships and follow a transparent selection and decision-making process in accordance with Annex III of Regulation (EU) 2021/695.</w:t>
      </w:r>
    </w:p>
    <w:p w:rsidR="00832A56" w:rsidRPr="006C2791" w:rsidRDefault="003B702E" w:rsidP="003B702E">
      <w:pPr>
        <w:pStyle w:val="ManualConsidrant"/>
        <w:rPr>
          <w:noProof/>
        </w:rPr>
      </w:pPr>
      <w:r w:rsidRPr="003B702E">
        <w:rPr>
          <w:noProof/>
        </w:rPr>
        <w:t>(24)</w:t>
      </w:r>
      <w:r w:rsidRPr="003B702E">
        <w:rPr>
          <w:noProof/>
        </w:rPr>
        <w:tab/>
      </w:r>
      <w:r w:rsidR="00832A56" w:rsidRPr="006C2791">
        <w:rPr>
          <w:noProof/>
        </w:rPr>
        <w:t>It should also be possible to address the objectives of the Euratom Programme through financial instruments and budgetary guarantees under programmes based on the TFEU, provided that actions comply with the objectives and rules of such programmes.</w:t>
      </w:r>
    </w:p>
    <w:p w:rsidR="00832A56" w:rsidRPr="006C2791" w:rsidRDefault="003B702E" w:rsidP="003B702E">
      <w:pPr>
        <w:pStyle w:val="ManualConsidrant"/>
        <w:rPr>
          <w:noProof/>
        </w:rPr>
      </w:pPr>
      <w:r w:rsidRPr="003B702E">
        <w:rPr>
          <w:noProof/>
        </w:rPr>
        <w:t>(25)</w:t>
      </w:r>
      <w:r w:rsidRPr="003B702E">
        <w:rPr>
          <w:noProof/>
        </w:rPr>
        <w:tab/>
      </w:r>
      <w:r w:rsidR="00832A56" w:rsidRPr="006C2791">
        <w:rPr>
          <w:noProof/>
        </w:rPr>
        <w:t>In order to ensure the most efficient implementation possible and to achieve a coherent, comprehensive and transparent framework for beneficiaries, participation in the Euratom Programme and dissemination of research results should be subject to the relevant rules of Regulation (EU) 2021/695, with certain adaptations or exceptions. The relevant definitions and main types of action set out in that Regulation should apply to the Euratom Programme.</w:t>
      </w:r>
    </w:p>
    <w:p w:rsidR="00832A56" w:rsidRPr="006C2791" w:rsidRDefault="003B702E" w:rsidP="003B702E">
      <w:pPr>
        <w:pStyle w:val="ManualConsidrant"/>
        <w:rPr>
          <w:noProof/>
        </w:rPr>
      </w:pPr>
      <w:r w:rsidRPr="003B702E">
        <w:rPr>
          <w:noProof/>
        </w:rPr>
        <w:t>(26)</w:t>
      </w:r>
      <w:r w:rsidRPr="003B702E">
        <w:rPr>
          <w:noProof/>
        </w:rPr>
        <w:tab/>
      </w:r>
      <w:r w:rsidR="00832A56" w:rsidRPr="006C2791">
        <w:rPr>
          <w:noProof/>
        </w:rPr>
        <w:t>The participant guarantee fund set up under Horizon 2020 established by Regulation (EU) No 1291/2013 of the European Parliament and the Council</w:t>
      </w:r>
      <w:r w:rsidR="00822AA0" w:rsidRPr="006C2791">
        <w:rPr>
          <w:rStyle w:val="FootnoteReference"/>
          <w:noProof/>
        </w:rPr>
        <w:footnoteReference w:id="40"/>
      </w:r>
      <w:r w:rsidR="00832A56" w:rsidRPr="006C2791">
        <w:rPr>
          <w:noProof/>
        </w:rPr>
        <w:t xml:space="preserve"> and managed by the Commission has proved to be an important safeguard mechanism which mitigates the risks associated with the amounts due and not reimbursed by defaulting participants. Therefore, this safeguard mechanism should be continued. The mutual insurance mechanism established pursuant to Regulation (EU) 2021/695 should cover actions under this Regulation.</w:t>
      </w:r>
    </w:p>
    <w:p w:rsidR="00832A56" w:rsidRPr="006C2791" w:rsidRDefault="003B702E" w:rsidP="003B702E">
      <w:pPr>
        <w:pStyle w:val="ManualConsidrant"/>
        <w:rPr>
          <w:noProof/>
        </w:rPr>
      </w:pPr>
      <w:r w:rsidRPr="003B702E">
        <w:rPr>
          <w:noProof/>
        </w:rPr>
        <w:t>(27)</w:t>
      </w:r>
      <w:r w:rsidRPr="003B702E">
        <w:rPr>
          <w:noProof/>
        </w:rPr>
        <w:tab/>
      </w:r>
      <w:r w:rsidR="00832A56" w:rsidRPr="006C2791">
        <w:rPr>
          <w:noProof/>
        </w:rPr>
        <w:t>The Joint Research Centre (the ‘JRC’) should continue to provide Union and Member States, as appropriate, with independent customer-driven scientific evidence and technical support throughout the whole policy cycle. The direct actions of the JRC should be implemented in a flexible, efficient and transparent manner, taking into account the relevant needs of the users of the JRC and the needs of Union policies, in particular in the field of nuclear safety, safeguards and security, and ensuring the protection of the financial interests of the Union. According to the Council conclusions of 26 April 1994 on the role of the JRC, the JRC should continue to generate additional resources through competitive support activities for Union policies or on behalf of third parties. The JRC should be able to participate in indirect actions, where the relevant work programme so provides.</w:t>
      </w:r>
    </w:p>
    <w:p w:rsidR="00832A56" w:rsidRPr="006C2791" w:rsidRDefault="003B702E" w:rsidP="003B702E">
      <w:pPr>
        <w:pStyle w:val="ManualConsidrant"/>
        <w:rPr>
          <w:noProof/>
        </w:rPr>
      </w:pPr>
      <w:r w:rsidRPr="003B702E">
        <w:rPr>
          <w:noProof/>
        </w:rPr>
        <w:t>(28)</w:t>
      </w:r>
      <w:r w:rsidRPr="003B702E">
        <w:rPr>
          <w:noProof/>
        </w:rPr>
        <w:tab/>
      </w:r>
      <w:r w:rsidR="00832A56" w:rsidRPr="006C2791">
        <w:rPr>
          <w:noProof/>
        </w:rPr>
        <w:t>In accordance with the Financial Regulation, Regulation (EU, Euratom) No 883/2013 of the European Parliament and of the Council</w:t>
      </w:r>
      <w:r w:rsidR="00822AA0" w:rsidRPr="006C2791">
        <w:rPr>
          <w:rStyle w:val="FootnoteReference"/>
          <w:noProof/>
        </w:rPr>
        <w:footnoteReference w:id="41"/>
      </w:r>
      <w:r w:rsidR="00832A56" w:rsidRPr="006C2791">
        <w:rPr>
          <w:noProof/>
        </w:rPr>
        <w:t xml:space="preserve"> and Council Regulations (EC, Euratom) No 2988/95</w:t>
      </w:r>
      <w:r w:rsidR="00157218" w:rsidRPr="006C2791">
        <w:rPr>
          <w:rStyle w:val="FootnoteReference"/>
          <w:noProof/>
        </w:rPr>
        <w:footnoteReference w:id="42"/>
      </w:r>
      <w:r w:rsidR="00832A56" w:rsidRPr="006C2791">
        <w:rPr>
          <w:noProof/>
        </w:rPr>
        <w:t>, (Euratom, EC) No 2185/96</w:t>
      </w:r>
      <w:r w:rsidR="00157218" w:rsidRPr="006C2791">
        <w:rPr>
          <w:rStyle w:val="FootnoteReference"/>
          <w:noProof/>
        </w:rPr>
        <w:footnoteReference w:id="43"/>
      </w:r>
      <w:r w:rsidR="00832A56" w:rsidRPr="006C2791">
        <w:rPr>
          <w:noProof/>
        </w:rPr>
        <w:t xml:space="preserve"> and (EU) 2017/1939</w:t>
      </w:r>
      <w:r w:rsidR="00157218" w:rsidRPr="006C2791">
        <w:rPr>
          <w:rStyle w:val="FootnoteReference"/>
          <w:noProof/>
        </w:rPr>
        <w:footnoteReference w:id="44"/>
      </w:r>
      <w:r w:rsidR="00832A56" w:rsidRPr="006C2791">
        <w:rPr>
          <w:noProof/>
        </w:rPr>
        <w:t>, the financial interests of the Union are to be protected by means of proportionate measures, including measures related to the prevention, detection, correction and investigation of irregularities, including fraud, to the recovery of funds lost, wrongly paid or incorrectly used, and, where appropriate, to the imposition of administrative penalties. In particular, in accordance with Regulations (Euratom, EC) No 2185/96 and (EU, Euratom) No 883/2013, the European Anti-Fraud Office (OLAF) has the power to carry out administrative investigations, including on-the-spot checks and inspections, with a view to establishing whether there has been fraud, corruption or any other illegal activity affecting the financial interests of the Union.</w:t>
      </w:r>
    </w:p>
    <w:p w:rsidR="00832A56" w:rsidRPr="006C2791" w:rsidRDefault="00832A56" w:rsidP="00CE3160">
      <w:pPr>
        <w:pStyle w:val="Text1"/>
        <w:ind w:left="709"/>
        <w:rPr>
          <w:noProof/>
        </w:rPr>
      </w:pPr>
      <w:r w:rsidRPr="006C2791">
        <w:rPr>
          <w:noProof/>
        </w:rPr>
        <w:t>The European Public Prosecutor’s Office (the ‘EPPO’) is empowered, in accordance with Regulation (EU) 2017/1939, to investigate and prosecute criminal offences affecting the financial interests of the Union as provided for in Directive (EU) 2017/1371 of the European Parliament and of the Council</w:t>
      </w:r>
      <w:r w:rsidR="00157218" w:rsidRPr="006C2791">
        <w:rPr>
          <w:rStyle w:val="FootnoteReference"/>
          <w:noProof/>
        </w:rPr>
        <w:footnoteReference w:id="45"/>
      </w:r>
      <w:r w:rsidRPr="006C2791">
        <w:rPr>
          <w:noProof/>
        </w:rPr>
        <w:t>.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rsidR="00832A56" w:rsidRPr="006C2791" w:rsidRDefault="003B702E" w:rsidP="003B702E">
      <w:pPr>
        <w:pStyle w:val="ManualConsidrant"/>
        <w:rPr>
          <w:noProof/>
        </w:rPr>
      </w:pPr>
      <w:r w:rsidRPr="003B702E">
        <w:rPr>
          <w:noProof/>
        </w:rPr>
        <w:t>(29)</w:t>
      </w:r>
      <w:r w:rsidRPr="003B702E">
        <w:rPr>
          <w:noProof/>
        </w:rPr>
        <w:tab/>
      </w:r>
      <w:r w:rsidR="00832A56" w:rsidRPr="006C2791">
        <w:rPr>
          <w:noProof/>
        </w:rPr>
        <w:t>Third countries may participate on the basis of their respective legal instruments. A specific provision should be introduced in this Regulation requiring third countries to grant the necessary rights and access required for the authorising officer responsible, OLAF and the Court of Auditors to comprehensively exert their respective competences.</w:t>
      </w:r>
    </w:p>
    <w:p w:rsidR="00832A56" w:rsidRPr="006C2791" w:rsidRDefault="003B702E" w:rsidP="003B702E">
      <w:pPr>
        <w:pStyle w:val="ManualConsidrant"/>
        <w:rPr>
          <w:noProof/>
        </w:rPr>
      </w:pPr>
      <w:r w:rsidRPr="003B702E">
        <w:rPr>
          <w:noProof/>
        </w:rPr>
        <w:t>(30)</w:t>
      </w:r>
      <w:r w:rsidRPr="003B702E">
        <w:rPr>
          <w:noProof/>
        </w:rPr>
        <w:tab/>
      </w:r>
      <w:r w:rsidR="00832A56" w:rsidRPr="006C2791">
        <w:rPr>
          <w:noProof/>
        </w:rPr>
        <w:t>In order to ensure uniform conditions for the implementation of the actions under the Euratom Programme and their monitoring and evaluation, implementing powers should be conferred on the Commission. Those powers should be exercised in accordance with Regulation (EU) No 182/2011 of the European Parliament and of the Council</w:t>
      </w:r>
      <w:r w:rsidR="00157218" w:rsidRPr="006C2791">
        <w:rPr>
          <w:rStyle w:val="FootnoteReference"/>
          <w:noProof/>
        </w:rPr>
        <w:footnoteReference w:id="46"/>
      </w:r>
      <w:r w:rsidR="00832A56" w:rsidRPr="006C2791">
        <w:rPr>
          <w:noProof/>
        </w:rPr>
        <w:t>.</w:t>
      </w:r>
    </w:p>
    <w:p w:rsidR="00832A56" w:rsidRPr="006C2791" w:rsidRDefault="003B702E" w:rsidP="003B702E">
      <w:pPr>
        <w:pStyle w:val="ManualConsidrant"/>
        <w:rPr>
          <w:noProof/>
        </w:rPr>
      </w:pPr>
      <w:r w:rsidRPr="003B702E">
        <w:rPr>
          <w:noProof/>
        </w:rPr>
        <w:t>(31)</w:t>
      </w:r>
      <w:r w:rsidRPr="003B702E">
        <w:rPr>
          <w:noProof/>
        </w:rPr>
        <w:tab/>
      </w:r>
      <w:r w:rsidR="00832A56" w:rsidRPr="006C2791">
        <w:rPr>
          <w:noProof/>
        </w:rPr>
        <w:t>Pursuant to paragraph 22 and 23 of the Interinstitutional agreement of 13 April 2016 on Better Law-Making</w:t>
      </w:r>
      <w:r w:rsidR="00157218" w:rsidRPr="006C2791">
        <w:rPr>
          <w:rStyle w:val="FootnoteReference"/>
          <w:noProof/>
        </w:rPr>
        <w:footnoteReference w:id="47"/>
      </w:r>
      <w:r w:rsidR="00832A56" w:rsidRPr="006C2791">
        <w:rPr>
          <w:noProof/>
        </w:rPr>
        <w:t>, the Euratom Programme should be evaluated on the basis of information collected in accordance with specific monitoring requirements, while avoiding an administrative burden, in particular on Member States, and overregulation. Those requirements, where appropriate, should include measurable indicators as a basis for evaluating the effects of the Euratom Programme on the ground.</w:t>
      </w:r>
    </w:p>
    <w:p w:rsidR="00832A56" w:rsidRPr="006C2791" w:rsidRDefault="003B702E" w:rsidP="003B702E">
      <w:pPr>
        <w:pStyle w:val="ManualConsidrant"/>
        <w:rPr>
          <w:noProof/>
        </w:rPr>
      </w:pPr>
      <w:r w:rsidRPr="003B702E">
        <w:rPr>
          <w:noProof/>
        </w:rPr>
        <w:t>(32)</w:t>
      </w:r>
      <w:r w:rsidRPr="003B702E">
        <w:rPr>
          <w:noProof/>
        </w:rPr>
        <w:tab/>
      </w:r>
      <w:r w:rsidR="00832A56" w:rsidRPr="006C2791">
        <w:rPr>
          <w:noProof/>
        </w:rPr>
        <w:t>The Board of Governors of the JRC, set up by Commission Decision 96/282/Euratom</w:t>
      </w:r>
      <w:r w:rsidR="00157218" w:rsidRPr="006C2791">
        <w:rPr>
          <w:rStyle w:val="FootnoteReference"/>
          <w:noProof/>
        </w:rPr>
        <w:footnoteReference w:id="48"/>
      </w:r>
      <w:r w:rsidR="00832A56" w:rsidRPr="006C2791">
        <w:rPr>
          <w:noProof/>
        </w:rPr>
        <w:t>, has been consulted on the scientific and technological content of the direct actions of the JRC.</w:t>
      </w:r>
    </w:p>
    <w:p w:rsidR="00832A56" w:rsidRPr="006C2791" w:rsidRDefault="003B702E" w:rsidP="003B702E">
      <w:pPr>
        <w:pStyle w:val="ManualConsidrant"/>
        <w:rPr>
          <w:noProof/>
        </w:rPr>
      </w:pPr>
      <w:r w:rsidRPr="003B702E">
        <w:rPr>
          <w:noProof/>
        </w:rPr>
        <w:t>(33)</w:t>
      </w:r>
      <w:r w:rsidRPr="003B702E">
        <w:rPr>
          <w:noProof/>
        </w:rPr>
        <w:tab/>
      </w:r>
      <w:r w:rsidR="00832A56" w:rsidRPr="006C2791">
        <w:rPr>
          <w:noProof/>
        </w:rPr>
        <w:t>The European Parliament has been consulted on a voluntary basis and has delivered an opinion</w:t>
      </w:r>
      <w:r w:rsidR="00157218" w:rsidRPr="006C2791">
        <w:rPr>
          <w:rStyle w:val="FootnoteReference"/>
          <w:noProof/>
        </w:rPr>
        <w:footnoteReference w:id="49"/>
      </w:r>
      <w:r w:rsidR="00832A56" w:rsidRPr="006C2791">
        <w:rPr>
          <w:noProof/>
        </w:rPr>
        <w:t>. The European Economic and Social Committee has also been consulted on a voluntary basis and has delivered an opinion</w:t>
      </w:r>
      <w:r w:rsidR="00157218" w:rsidRPr="006C2791">
        <w:rPr>
          <w:rStyle w:val="FootnoteReference"/>
          <w:noProof/>
        </w:rPr>
        <w:footnoteReference w:id="50"/>
      </w:r>
      <w:r w:rsidR="00832A56" w:rsidRPr="006C2791">
        <w:rPr>
          <w:noProof/>
        </w:rPr>
        <w:t>.</w:t>
      </w:r>
    </w:p>
    <w:p w:rsidR="00157218" w:rsidRPr="006C2791" w:rsidRDefault="003B702E" w:rsidP="003B702E">
      <w:pPr>
        <w:pStyle w:val="ManualConsidrant"/>
        <w:rPr>
          <w:noProof/>
        </w:rPr>
      </w:pPr>
      <w:r w:rsidRPr="003B702E">
        <w:rPr>
          <w:noProof/>
        </w:rPr>
        <w:t>(34)</w:t>
      </w:r>
      <w:r w:rsidRPr="003B702E">
        <w:rPr>
          <w:noProof/>
        </w:rPr>
        <w:tab/>
      </w:r>
      <w:r w:rsidR="00832A56" w:rsidRPr="006C2791">
        <w:rPr>
          <w:noProof/>
        </w:rPr>
        <w:t xml:space="preserve">For reasons of legal certainty, </w:t>
      </w:r>
      <w:r w:rsidR="006212CF" w:rsidRPr="006C2791">
        <w:rPr>
          <w:noProof/>
        </w:rPr>
        <w:t xml:space="preserve">Council </w:t>
      </w:r>
      <w:r w:rsidR="00832A56" w:rsidRPr="006C2791">
        <w:rPr>
          <w:noProof/>
        </w:rPr>
        <w:t xml:space="preserve">Regulation (Euratom) </w:t>
      </w:r>
      <w:r w:rsidR="006212CF" w:rsidRPr="006C2791">
        <w:rPr>
          <w:noProof/>
        </w:rPr>
        <w:t>2021/765</w:t>
      </w:r>
      <w:r w:rsidR="006212CF" w:rsidRPr="006C2791">
        <w:rPr>
          <w:rStyle w:val="FootnoteReference"/>
          <w:noProof/>
        </w:rPr>
        <w:footnoteReference w:id="51"/>
      </w:r>
      <w:r w:rsidR="00832A56" w:rsidRPr="006C2791">
        <w:rPr>
          <w:noProof/>
        </w:rPr>
        <w:t xml:space="preserve"> should be repealed</w:t>
      </w:r>
      <w:r w:rsidR="0015700C">
        <w:rPr>
          <w:noProof/>
        </w:rPr>
        <w:t>,</w:t>
      </w:r>
    </w:p>
    <w:p w:rsidR="008F031D" w:rsidRPr="006C2791" w:rsidRDefault="008F031D" w:rsidP="008C364E">
      <w:pPr>
        <w:pStyle w:val="Formuledadoption"/>
        <w:rPr>
          <w:noProof/>
        </w:rPr>
      </w:pPr>
      <w:r w:rsidRPr="006C2791">
        <w:rPr>
          <w:noProof/>
        </w:rPr>
        <w:t>HAS ADOPTED THIS REGULATION:</w:t>
      </w:r>
    </w:p>
    <w:p w:rsidR="00F07762" w:rsidRPr="006C2791" w:rsidRDefault="00F07762" w:rsidP="00F07762">
      <w:pPr>
        <w:pStyle w:val="ChapterTitle"/>
        <w:rPr>
          <w:noProof/>
        </w:rPr>
      </w:pPr>
      <w:r w:rsidRPr="006C2791">
        <w:rPr>
          <w:noProof/>
        </w:rPr>
        <w:t>C</w:t>
      </w:r>
      <w:r w:rsidR="00277A79" w:rsidRPr="006C2791">
        <w:rPr>
          <w:noProof/>
        </w:rPr>
        <w:t>hapter I</w:t>
      </w:r>
    </w:p>
    <w:p w:rsidR="00F07762" w:rsidRPr="006C2791" w:rsidRDefault="00F07762" w:rsidP="00F07762">
      <w:pPr>
        <w:pStyle w:val="ChapterTitle"/>
        <w:rPr>
          <w:noProof/>
        </w:rPr>
      </w:pPr>
      <w:r w:rsidRPr="006C2791">
        <w:rPr>
          <w:noProof/>
        </w:rPr>
        <w:t>General provisions</w:t>
      </w:r>
    </w:p>
    <w:p w:rsidR="008F031D" w:rsidRPr="006C2791" w:rsidRDefault="008F031D" w:rsidP="005A7A15">
      <w:pPr>
        <w:pStyle w:val="Titrearticle"/>
        <w:rPr>
          <w:noProof/>
        </w:rPr>
      </w:pPr>
      <w:r w:rsidRPr="006C2791">
        <w:rPr>
          <w:noProof/>
        </w:rPr>
        <w:t>Article 1</w:t>
      </w:r>
    </w:p>
    <w:p w:rsidR="00DE1806" w:rsidRPr="000350FD" w:rsidRDefault="00DE1806" w:rsidP="000350FD">
      <w:pPr>
        <w:spacing w:before="360" w:after="360"/>
        <w:jc w:val="center"/>
        <w:rPr>
          <w:b/>
          <w:bCs/>
          <w:noProof/>
        </w:rPr>
      </w:pPr>
      <w:r w:rsidRPr="000350FD">
        <w:rPr>
          <w:b/>
          <w:bCs/>
          <w:noProof/>
        </w:rPr>
        <w:t>Subject matter</w:t>
      </w:r>
    </w:p>
    <w:p w:rsidR="00DE1806" w:rsidRPr="006C2791" w:rsidRDefault="00DE1806" w:rsidP="00DE1806">
      <w:pPr>
        <w:rPr>
          <w:noProof/>
        </w:rPr>
      </w:pPr>
      <w:r w:rsidRPr="006C2791">
        <w:rPr>
          <w:noProof/>
        </w:rPr>
        <w:t xml:space="preserve">This Regulation establishes the Research and Training Programme of the European Atomic Energy Community for the period from 1 January </w:t>
      </w:r>
      <w:r w:rsidR="00F07762" w:rsidRPr="006C2791">
        <w:rPr>
          <w:noProof/>
        </w:rPr>
        <w:t>2026</w:t>
      </w:r>
      <w:r w:rsidRPr="006C2791">
        <w:rPr>
          <w:noProof/>
        </w:rPr>
        <w:t xml:space="preserve"> to 31 December </w:t>
      </w:r>
      <w:r w:rsidR="00F07762" w:rsidRPr="006C2791">
        <w:rPr>
          <w:noProof/>
        </w:rPr>
        <w:t>2027</w:t>
      </w:r>
      <w:r w:rsidRPr="006C2791">
        <w:rPr>
          <w:noProof/>
        </w:rPr>
        <w:t xml:space="preserve"> (the ‘Euratom Programme’) and the rules for participation and dissemination in indirect actions under the Euratom Programme, complementing Horizon Europe.</w:t>
      </w:r>
    </w:p>
    <w:p w:rsidR="00DE1806" w:rsidRPr="006C2791" w:rsidRDefault="00DE1806" w:rsidP="00DE1806">
      <w:pPr>
        <w:rPr>
          <w:noProof/>
        </w:rPr>
      </w:pPr>
      <w:r w:rsidRPr="006C2791">
        <w:rPr>
          <w:noProof/>
        </w:rPr>
        <w:t xml:space="preserve">It lays down the objectives of the Euratom Programme, the budget for the period </w:t>
      </w:r>
      <w:r w:rsidR="00F07762" w:rsidRPr="006C2791">
        <w:rPr>
          <w:noProof/>
        </w:rPr>
        <w:t>2026</w:t>
      </w:r>
      <w:r w:rsidR="00F07762" w:rsidRPr="006C2791">
        <w:rPr>
          <w:noProof/>
        </w:rPr>
        <w:noBreakHyphen/>
        <w:t>2027</w:t>
      </w:r>
      <w:r w:rsidRPr="006C2791">
        <w:rPr>
          <w:noProof/>
        </w:rPr>
        <w:t>, the forms of funding and the rules for providing such funding.</w:t>
      </w:r>
    </w:p>
    <w:p w:rsidR="00DE1806" w:rsidRPr="006C2791" w:rsidRDefault="00DE1806" w:rsidP="00DE1806">
      <w:pPr>
        <w:pStyle w:val="Titrearticle"/>
        <w:rPr>
          <w:noProof/>
        </w:rPr>
      </w:pPr>
      <w:r w:rsidRPr="006C2791">
        <w:rPr>
          <w:noProof/>
        </w:rPr>
        <w:t>Article 2</w:t>
      </w:r>
    </w:p>
    <w:p w:rsidR="00DE1806" w:rsidRPr="000350FD" w:rsidRDefault="00DE1806" w:rsidP="000350FD">
      <w:pPr>
        <w:spacing w:before="360" w:after="360"/>
        <w:jc w:val="center"/>
        <w:rPr>
          <w:b/>
          <w:bCs/>
          <w:noProof/>
        </w:rPr>
      </w:pPr>
      <w:r w:rsidRPr="000350FD">
        <w:rPr>
          <w:b/>
          <w:bCs/>
          <w:noProof/>
        </w:rPr>
        <w:t>Definitions</w:t>
      </w:r>
    </w:p>
    <w:p w:rsidR="00DE1806" w:rsidRPr="006C2791" w:rsidRDefault="00DE1806" w:rsidP="00DE1806">
      <w:pPr>
        <w:rPr>
          <w:noProof/>
        </w:rPr>
      </w:pPr>
      <w:r w:rsidRPr="006C2791">
        <w:rPr>
          <w:noProof/>
        </w:rPr>
        <w:t>For the purposes of this Regulation, the relevant definitions set out in Regulation (EU) 2021/695 apply. References in those definitions to the Union and Horizon Europe shall be construed as references to the European Atomic Energy Community (the ‘Community’) and the Euratom Programme respectively. However, for the purposes of this Regulation, ‘work programme’ means the document adopted by the Commission for the implementation of the Euratom Programme in accordance with Article 16 of this Regulation.</w:t>
      </w:r>
    </w:p>
    <w:p w:rsidR="00DE1806" w:rsidRPr="006C2791" w:rsidRDefault="00DE1806" w:rsidP="00DE1806">
      <w:pPr>
        <w:rPr>
          <w:noProof/>
        </w:rPr>
      </w:pPr>
      <w:r w:rsidRPr="006C2791">
        <w:rPr>
          <w:noProof/>
        </w:rPr>
        <w:t xml:space="preserve">All references in this Regulation to Regulation (EU) 2021/695 are to the version in force on </w:t>
      </w:r>
      <w:r w:rsidR="00EA313E">
        <w:rPr>
          <w:noProof/>
        </w:rPr>
        <w:t>[</w:t>
      </w:r>
      <w:r w:rsidR="00EA313E" w:rsidRPr="0081758F">
        <w:rPr>
          <w:i/>
          <w:iCs/>
          <w:noProof/>
        </w:rPr>
        <w:t>the day of this Regulation’s adoption</w:t>
      </w:r>
      <w:r w:rsidR="00EA313E">
        <w:rPr>
          <w:noProof/>
        </w:rPr>
        <w:t>]</w:t>
      </w:r>
      <w:r w:rsidRPr="006C2791">
        <w:rPr>
          <w:noProof/>
        </w:rPr>
        <w:t>.</w:t>
      </w:r>
    </w:p>
    <w:p w:rsidR="00DE1806" w:rsidRPr="006C2791" w:rsidRDefault="00DE1806" w:rsidP="00DE1806">
      <w:pPr>
        <w:pStyle w:val="Titrearticle"/>
        <w:rPr>
          <w:noProof/>
        </w:rPr>
      </w:pPr>
      <w:r w:rsidRPr="006C2791">
        <w:rPr>
          <w:noProof/>
        </w:rPr>
        <w:t>Article 3</w:t>
      </w:r>
    </w:p>
    <w:p w:rsidR="00DE1806" w:rsidRPr="000350FD" w:rsidRDefault="00DE1806" w:rsidP="000350FD">
      <w:pPr>
        <w:spacing w:before="360" w:after="360"/>
        <w:jc w:val="center"/>
        <w:rPr>
          <w:b/>
          <w:bCs/>
          <w:noProof/>
        </w:rPr>
      </w:pPr>
      <w:r w:rsidRPr="000350FD">
        <w:rPr>
          <w:b/>
          <w:bCs/>
          <w:noProof/>
        </w:rPr>
        <w:t>Programme objectives</w:t>
      </w:r>
    </w:p>
    <w:p w:rsidR="00DE1806" w:rsidRPr="006C2791" w:rsidRDefault="00DE1806" w:rsidP="00D62CD6">
      <w:pPr>
        <w:pStyle w:val="ManualNumPar1"/>
        <w:rPr>
          <w:noProof/>
        </w:rPr>
      </w:pPr>
      <w:r w:rsidRPr="006C2791">
        <w:rPr>
          <w:noProof/>
        </w:rPr>
        <w:t>1.</w:t>
      </w:r>
      <w:r w:rsidRPr="006C2791">
        <w:rPr>
          <w:noProof/>
        </w:rPr>
        <w:tab/>
        <w:t xml:space="preserve">The general objective of the Euratom Programme is to pursue nuclear research and training activities, with an emphasis on the continuous improvement of nuclear safety, security and radiation protection, as well as to complement the achievement of Horizon Europe’s objectives </w:t>
      </w:r>
      <w:r w:rsidRPr="00471A6E">
        <w:rPr>
          <w:iCs/>
          <w:noProof/>
        </w:rPr>
        <w:t>inter alia</w:t>
      </w:r>
      <w:r w:rsidRPr="006C2791">
        <w:rPr>
          <w:noProof/>
        </w:rPr>
        <w:t xml:space="preserve"> in the context of the energy transition.</w:t>
      </w:r>
    </w:p>
    <w:p w:rsidR="00DE1806" w:rsidRPr="006C2791" w:rsidRDefault="00DE1806" w:rsidP="00D62CD6">
      <w:pPr>
        <w:pStyle w:val="ManualNumPar1"/>
        <w:rPr>
          <w:noProof/>
        </w:rPr>
      </w:pPr>
      <w:r w:rsidRPr="006C2791">
        <w:rPr>
          <w:noProof/>
        </w:rPr>
        <w:t>2.</w:t>
      </w:r>
      <w:r w:rsidRPr="006C2791">
        <w:rPr>
          <w:noProof/>
        </w:rPr>
        <w:tab/>
        <w:t>The Euratom Programme has the following specific objectives:</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improve and support nuclear safety, security, safeguards, radiation protection, safe spent fuel and radioactive waste management and decommissioning, including the safe and secure use of nuclear power and of non-power applications of ionizing radiation;</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maintain and further develop expertise and competence in the nuclear field within the Community;</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foster the development of fusion energy as a potential future energy source for electricity production and contribute to the implementation of the European fusion roadmap;</w:t>
      </w:r>
    </w:p>
    <w:p w:rsidR="00DE1806" w:rsidRPr="006C2791" w:rsidRDefault="003B702E" w:rsidP="003B702E">
      <w:pPr>
        <w:pStyle w:val="Point1"/>
        <w:rPr>
          <w:noProof/>
        </w:rPr>
      </w:pPr>
      <w:r w:rsidRPr="003B702E">
        <w:rPr>
          <w:noProof/>
        </w:rPr>
        <w:t>(d)</w:t>
      </w:r>
      <w:r w:rsidRPr="003B702E">
        <w:rPr>
          <w:noProof/>
        </w:rPr>
        <w:tab/>
      </w:r>
      <w:r w:rsidR="00DE1806" w:rsidRPr="006C2791">
        <w:rPr>
          <w:noProof/>
        </w:rPr>
        <w:t>support the policy of the Union and its Member States on continuous improvement of nuclear safety, safeguards and security.</w:t>
      </w:r>
    </w:p>
    <w:p w:rsidR="00DE1806" w:rsidRPr="006C2791" w:rsidRDefault="00DE1806" w:rsidP="00D62CD6">
      <w:pPr>
        <w:pStyle w:val="ManualNumPar1"/>
        <w:rPr>
          <w:noProof/>
        </w:rPr>
      </w:pPr>
      <w:r w:rsidRPr="006C2791">
        <w:rPr>
          <w:noProof/>
        </w:rPr>
        <w:t>3.</w:t>
      </w:r>
      <w:r w:rsidRPr="006C2791">
        <w:rPr>
          <w:noProof/>
        </w:rPr>
        <w:tab/>
        <w:t>The objectives listed in paragraphs 1 and 2 shall be implemented in accordance with Annex I. The implementation of those objectives may, if duly justified, include responses to emerging opportunities, crises and threats.</w:t>
      </w:r>
    </w:p>
    <w:p w:rsidR="00DE1806" w:rsidRPr="006C2791" w:rsidRDefault="00DE1806" w:rsidP="00DE1806">
      <w:pPr>
        <w:pStyle w:val="Titrearticle"/>
        <w:rPr>
          <w:noProof/>
        </w:rPr>
      </w:pPr>
      <w:r w:rsidRPr="006C2791">
        <w:rPr>
          <w:noProof/>
        </w:rPr>
        <w:t>Article 4</w:t>
      </w:r>
    </w:p>
    <w:p w:rsidR="00DE1806" w:rsidRPr="000350FD" w:rsidRDefault="00DE1806" w:rsidP="000350FD">
      <w:pPr>
        <w:spacing w:before="360" w:after="360"/>
        <w:jc w:val="center"/>
        <w:rPr>
          <w:b/>
          <w:bCs/>
          <w:noProof/>
        </w:rPr>
      </w:pPr>
      <w:r w:rsidRPr="000350FD">
        <w:rPr>
          <w:b/>
          <w:bCs/>
          <w:noProof/>
        </w:rPr>
        <w:t>Budget</w:t>
      </w:r>
    </w:p>
    <w:p w:rsidR="00DE1806" w:rsidRPr="006C2791" w:rsidRDefault="00DE1806" w:rsidP="00D62CD6">
      <w:pPr>
        <w:pStyle w:val="ManualNumPar1"/>
        <w:rPr>
          <w:noProof/>
        </w:rPr>
      </w:pPr>
      <w:r w:rsidRPr="006C2791">
        <w:rPr>
          <w:noProof/>
        </w:rPr>
        <w:t>1.</w:t>
      </w:r>
      <w:r w:rsidRPr="006C2791">
        <w:rPr>
          <w:noProof/>
        </w:rPr>
        <w:tab/>
        <w:t xml:space="preserve">The financial envelope for the implementation of the Euratom Programme for the period from 1 January </w:t>
      </w:r>
      <w:r w:rsidR="00F07762" w:rsidRPr="006C2791">
        <w:rPr>
          <w:noProof/>
        </w:rPr>
        <w:t>2026</w:t>
      </w:r>
      <w:r w:rsidRPr="006C2791">
        <w:rPr>
          <w:noProof/>
        </w:rPr>
        <w:t xml:space="preserve"> to 31 December </w:t>
      </w:r>
      <w:r w:rsidR="00F07762" w:rsidRPr="006C2791">
        <w:rPr>
          <w:noProof/>
        </w:rPr>
        <w:t>2027</w:t>
      </w:r>
      <w:r w:rsidRPr="006C2791">
        <w:rPr>
          <w:noProof/>
        </w:rPr>
        <w:t xml:space="preserve"> shall be EUR</w:t>
      </w:r>
      <w:r w:rsidR="00C74364">
        <w:rPr>
          <w:noProof/>
        </w:rPr>
        <w:t> </w:t>
      </w:r>
      <w:r w:rsidR="00C74364" w:rsidRPr="00C74364">
        <w:rPr>
          <w:noProof/>
        </w:rPr>
        <w:t>598</w:t>
      </w:r>
      <w:r w:rsidR="00C74364">
        <w:rPr>
          <w:noProof/>
        </w:rPr>
        <w:t> </w:t>
      </w:r>
      <w:r w:rsidR="00C74364" w:rsidRPr="00C74364">
        <w:rPr>
          <w:noProof/>
        </w:rPr>
        <w:t>346</w:t>
      </w:r>
      <w:r w:rsidR="00C74364">
        <w:rPr>
          <w:noProof/>
        </w:rPr>
        <w:t> </w:t>
      </w:r>
      <w:r w:rsidR="00C74364" w:rsidRPr="00C74364">
        <w:rPr>
          <w:noProof/>
        </w:rPr>
        <w:t>804</w:t>
      </w:r>
      <w:r w:rsidR="00B6189A" w:rsidRPr="006C2791">
        <w:rPr>
          <w:noProof/>
        </w:rPr>
        <w:t> </w:t>
      </w:r>
      <w:r w:rsidRPr="006C2791">
        <w:rPr>
          <w:noProof/>
        </w:rPr>
        <w:t>in current prices.</w:t>
      </w:r>
    </w:p>
    <w:p w:rsidR="00DE1806" w:rsidRPr="006C2791" w:rsidRDefault="00DE1806" w:rsidP="00D62CD6">
      <w:pPr>
        <w:pStyle w:val="ManualNumPar1"/>
        <w:rPr>
          <w:noProof/>
        </w:rPr>
      </w:pPr>
      <w:r w:rsidRPr="006C2791">
        <w:rPr>
          <w:noProof/>
        </w:rPr>
        <w:t>2.</w:t>
      </w:r>
      <w:r w:rsidRPr="006C2791">
        <w:rPr>
          <w:noProof/>
        </w:rPr>
        <w:tab/>
        <w:t>The indicative distribution of the amount referred to in paragraph 1 shall be:</w:t>
      </w:r>
    </w:p>
    <w:p w:rsidR="00277A79" w:rsidRPr="006C2791" w:rsidRDefault="003B702E" w:rsidP="003B702E">
      <w:pPr>
        <w:pStyle w:val="Point1"/>
        <w:rPr>
          <w:noProof/>
        </w:rPr>
      </w:pPr>
      <w:r w:rsidRPr="003B702E">
        <w:rPr>
          <w:noProof/>
        </w:rPr>
        <w:t>(a)</w:t>
      </w:r>
      <w:r w:rsidRPr="003B702E">
        <w:rPr>
          <w:noProof/>
        </w:rPr>
        <w:tab/>
      </w:r>
      <w:r w:rsidR="00DE1806" w:rsidRPr="006C2791">
        <w:rPr>
          <w:noProof/>
        </w:rPr>
        <w:t>EUR</w:t>
      </w:r>
      <w:r w:rsidR="0014004B">
        <w:rPr>
          <w:noProof/>
        </w:rPr>
        <w:t> </w:t>
      </w:r>
      <w:r w:rsidR="00C74364" w:rsidRPr="00C74364">
        <w:rPr>
          <w:noProof/>
        </w:rPr>
        <w:t>252</w:t>
      </w:r>
      <w:r w:rsidR="0014004B">
        <w:rPr>
          <w:noProof/>
        </w:rPr>
        <w:t> </w:t>
      </w:r>
      <w:r w:rsidR="00C74364" w:rsidRPr="00C74364">
        <w:rPr>
          <w:noProof/>
        </w:rPr>
        <w:t>532</w:t>
      </w:r>
      <w:r w:rsidR="0014004B">
        <w:rPr>
          <w:noProof/>
        </w:rPr>
        <w:t> </w:t>
      </w:r>
      <w:r w:rsidR="00C74364" w:rsidRPr="00C74364">
        <w:rPr>
          <w:noProof/>
        </w:rPr>
        <w:t>225</w:t>
      </w:r>
      <w:r w:rsidR="00DE1806" w:rsidRPr="006C2791">
        <w:rPr>
          <w:noProof/>
        </w:rPr>
        <w:t xml:space="preserve"> for indirect actions in fusion research and development;</w:t>
      </w:r>
    </w:p>
    <w:p w:rsidR="00277A79" w:rsidRPr="006C2791" w:rsidRDefault="003B702E" w:rsidP="003B702E">
      <w:pPr>
        <w:pStyle w:val="Point1"/>
        <w:rPr>
          <w:noProof/>
        </w:rPr>
      </w:pPr>
      <w:r w:rsidRPr="003B702E">
        <w:rPr>
          <w:noProof/>
        </w:rPr>
        <w:t>(b)</w:t>
      </w:r>
      <w:r w:rsidRPr="003B702E">
        <w:rPr>
          <w:noProof/>
        </w:rPr>
        <w:tab/>
      </w:r>
      <w:r w:rsidR="00DE1806" w:rsidRPr="006C2791">
        <w:rPr>
          <w:noProof/>
        </w:rPr>
        <w:t>EUR</w:t>
      </w:r>
      <w:r w:rsidR="0014004B">
        <w:rPr>
          <w:noProof/>
        </w:rPr>
        <w:t> </w:t>
      </w:r>
      <w:r w:rsidR="00C74364" w:rsidRPr="00C74364">
        <w:rPr>
          <w:noProof/>
        </w:rPr>
        <w:t>115</w:t>
      </w:r>
      <w:r w:rsidR="0014004B">
        <w:rPr>
          <w:noProof/>
        </w:rPr>
        <w:t> </w:t>
      </w:r>
      <w:r w:rsidR="00C74364" w:rsidRPr="00C74364">
        <w:rPr>
          <w:noProof/>
        </w:rPr>
        <w:t>339</w:t>
      </w:r>
      <w:r w:rsidR="0014004B">
        <w:rPr>
          <w:noProof/>
        </w:rPr>
        <w:t> </w:t>
      </w:r>
      <w:r w:rsidR="00C74364" w:rsidRPr="00C74364">
        <w:rPr>
          <w:noProof/>
        </w:rPr>
        <w:t>356</w:t>
      </w:r>
      <w:r w:rsidR="00DE1806" w:rsidRPr="006C2791">
        <w:rPr>
          <w:noProof/>
        </w:rPr>
        <w:t xml:space="preserve"> for indirect actions in nuclear fission, safety and radiation protection;</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EUR</w:t>
      </w:r>
      <w:r w:rsidR="0014004B">
        <w:rPr>
          <w:noProof/>
        </w:rPr>
        <w:t> </w:t>
      </w:r>
      <w:r w:rsidR="00C74364" w:rsidRPr="00C74364">
        <w:rPr>
          <w:noProof/>
        </w:rPr>
        <w:t>230</w:t>
      </w:r>
      <w:r w:rsidR="0014004B">
        <w:rPr>
          <w:noProof/>
        </w:rPr>
        <w:t> </w:t>
      </w:r>
      <w:r w:rsidR="00C74364" w:rsidRPr="00C74364">
        <w:rPr>
          <w:noProof/>
        </w:rPr>
        <w:t>475</w:t>
      </w:r>
      <w:r w:rsidR="0014004B">
        <w:rPr>
          <w:noProof/>
        </w:rPr>
        <w:t> </w:t>
      </w:r>
      <w:r w:rsidR="00C74364" w:rsidRPr="00C74364">
        <w:rPr>
          <w:noProof/>
        </w:rPr>
        <w:t>223</w:t>
      </w:r>
      <w:r w:rsidR="00DE1806" w:rsidRPr="006C2791">
        <w:rPr>
          <w:noProof/>
        </w:rPr>
        <w:t xml:space="preserve"> for direct actions undertaken by the Joint Research Centre.</w:t>
      </w:r>
    </w:p>
    <w:p w:rsidR="00DE1806" w:rsidRPr="006C2791" w:rsidRDefault="00DE1806" w:rsidP="00277A79">
      <w:pPr>
        <w:pStyle w:val="Text1"/>
        <w:rPr>
          <w:noProof/>
        </w:rPr>
      </w:pPr>
      <w:r w:rsidRPr="006C2791">
        <w:rPr>
          <w:noProof/>
        </w:rPr>
        <w:t>The Commission may not deviate from the amount referred to in point (c) of this paragraph.</w:t>
      </w:r>
    </w:p>
    <w:p w:rsidR="00DE1806" w:rsidRPr="006C2791" w:rsidRDefault="00DE1806" w:rsidP="00D62CD6">
      <w:pPr>
        <w:pStyle w:val="ManualNumPar1"/>
        <w:rPr>
          <w:noProof/>
        </w:rPr>
      </w:pPr>
      <w:r w:rsidRPr="006C2791">
        <w:rPr>
          <w:noProof/>
        </w:rPr>
        <w:t>3.</w:t>
      </w:r>
      <w:r w:rsidRPr="006C2791">
        <w:rPr>
          <w:noProof/>
        </w:rPr>
        <w:tab/>
        <w:t>The amount referred to in paragraph 1 may also be used to cover expenses for preparation, monitoring, control, audit, evaluation and other activities and expenditures necessary for managing and implementing the Euratom Programme, including all administrative expenditure, as well as evaluating the achievement of its objectives. The administrative expenses related to indirect actions shall not exceed 6% of the amount distributed to indirect actions of the Euratom Programme referred to in points (a) and (b) of paragraph 2. In addition, the amount referred to in paragraph 1 may also cover:</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in so far as they are related to the objectives of the Euratom Programme, expenses relating to studies, meetings of experts, information and communication actions;</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expenses linked to information technology networks focusing on information processing and exchange, including corporate information technology tools and other technical and administrative assistance needed in connection with the management of the Euratom Programme.</w:t>
      </w:r>
    </w:p>
    <w:p w:rsidR="00DE1806" w:rsidRPr="006C2791" w:rsidRDefault="00C82DDA" w:rsidP="00D62CD6">
      <w:pPr>
        <w:pStyle w:val="ManualNumPar1"/>
        <w:rPr>
          <w:noProof/>
        </w:rPr>
      </w:pPr>
      <w:r w:rsidRPr="006C2791">
        <w:rPr>
          <w:noProof/>
        </w:rPr>
        <w:t>4.</w:t>
      </w:r>
      <w:r w:rsidRPr="006C2791">
        <w:rPr>
          <w:noProof/>
        </w:rPr>
        <w:tab/>
      </w:r>
      <w:r w:rsidR="00DE1806" w:rsidRPr="006C2791">
        <w:rPr>
          <w:noProof/>
        </w:rPr>
        <w:t>If necessary to enable the management of actions not completed by 31</w:t>
      </w:r>
      <w:r w:rsidR="00DD5767" w:rsidRPr="006C2791">
        <w:rPr>
          <w:noProof/>
        </w:rPr>
        <w:t> </w:t>
      </w:r>
      <w:r w:rsidR="00DE1806" w:rsidRPr="006C2791">
        <w:rPr>
          <w:noProof/>
        </w:rPr>
        <w:t>December</w:t>
      </w:r>
      <w:r w:rsidR="00DD5767" w:rsidRPr="006C2791">
        <w:rPr>
          <w:noProof/>
        </w:rPr>
        <w:t> 2027</w:t>
      </w:r>
      <w:r w:rsidR="00DE1806" w:rsidRPr="006C2791">
        <w:rPr>
          <w:noProof/>
        </w:rPr>
        <w:t xml:space="preserve">, appropriations may be entered in the budget beyond </w:t>
      </w:r>
      <w:r w:rsidR="00DD5767" w:rsidRPr="006C2791">
        <w:rPr>
          <w:noProof/>
        </w:rPr>
        <w:t>2027</w:t>
      </w:r>
      <w:r w:rsidR="00DE1806" w:rsidRPr="006C2791">
        <w:rPr>
          <w:noProof/>
        </w:rPr>
        <w:t xml:space="preserve"> to cover the expenses provided for in paragraph 3.</w:t>
      </w:r>
    </w:p>
    <w:p w:rsidR="00DE1806" w:rsidRPr="006C2791" w:rsidRDefault="00DE1806" w:rsidP="00D62CD6">
      <w:pPr>
        <w:pStyle w:val="ManualNumPar1"/>
        <w:rPr>
          <w:noProof/>
        </w:rPr>
      </w:pPr>
      <w:r w:rsidRPr="006C2791">
        <w:rPr>
          <w:noProof/>
        </w:rPr>
        <w:t>5.</w:t>
      </w:r>
      <w:r w:rsidR="00C82DDA" w:rsidRPr="006C2791">
        <w:rPr>
          <w:noProof/>
        </w:rPr>
        <w:tab/>
      </w:r>
      <w:r w:rsidRPr="006C2791">
        <w:rPr>
          <w:noProof/>
        </w:rPr>
        <w:t>Budgetary commitments for actions extending over more than one financial year may be broken down into annual instalments over several years.</w:t>
      </w:r>
    </w:p>
    <w:p w:rsidR="00C82DDA" w:rsidRPr="006C2791" w:rsidRDefault="00DE1806" w:rsidP="00D62CD6">
      <w:pPr>
        <w:pStyle w:val="ManualNumPar1"/>
        <w:rPr>
          <w:noProof/>
        </w:rPr>
      </w:pPr>
      <w:r w:rsidRPr="006C2791">
        <w:rPr>
          <w:noProof/>
        </w:rPr>
        <w:t>6.</w:t>
      </w:r>
      <w:r w:rsidR="00C82DDA" w:rsidRPr="006C2791">
        <w:rPr>
          <w:noProof/>
        </w:rPr>
        <w:tab/>
      </w:r>
      <w:r w:rsidRPr="006C2791">
        <w:rPr>
          <w:noProof/>
        </w:rPr>
        <w:t>Without prejudice to the Financial Regulation, expenditure for actions resulting from projects included in the first work programme may be eligible as from 1</w:t>
      </w:r>
      <w:r w:rsidR="00DD5767" w:rsidRPr="006C2791">
        <w:rPr>
          <w:noProof/>
        </w:rPr>
        <w:t> </w:t>
      </w:r>
      <w:r w:rsidRPr="006C2791">
        <w:rPr>
          <w:noProof/>
        </w:rPr>
        <w:t>January</w:t>
      </w:r>
      <w:r w:rsidR="00DD5767" w:rsidRPr="006C2791">
        <w:rPr>
          <w:noProof/>
        </w:rPr>
        <w:t> 2026</w:t>
      </w:r>
      <w:r w:rsidRPr="006C2791">
        <w:rPr>
          <w:noProof/>
        </w:rPr>
        <w:t>.</w:t>
      </w:r>
    </w:p>
    <w:p w:rsidR="00DE1806" w:rsidRPr="006C2791" w:rsidRDefault="00C82DDA" w:rsidP="00D62CD6">
      <w:pPr>
        <w:pStyle w:val="ManualNumPar1"/>
        <w:rPr>
          <w:noProof/>
        </w:rPr>
      </w:pPr>
      <w:r w:rsidRPr="006C2791">
        <w:rPr>
          <w:noProof/>
        </w:rPr>
        <w:t>7.</w:t>
      </w:r>
      <w:r w:rsidRPr="006C2791">
        <w:rPr>
          <w:noProof/>
        </w:rPr>
        <w:tab/>
      </w:r>
      <w:r w:rsidR="00DE1806" w:rsidRPr="006C2791">
        <w:rPr>
          <w:noProof/>
        </w:rPr>
        <w:t xml:space="preserve">Resources allocated to Member States under shared management may, at the request of the Member State concerned, be transferred to the Euratom Programme subject to the conditions set out in the relevant provisions of Regulation </w:t>
      </w:r>
      <w:r w:rsidR="00474603" w:rsidRPr="00474603">
        <w:rPr>
          <w:noProof/>
        </w:rPr>
        <w:t xml:space="preserve">(EU) 2021/1060 </w:t>
      </w:r>
      <w:r w:rsidR="00DE1806" w:rsidRPr="006C2791">
        <w:rPr>
          <w:noProof/>
        </w:rPr>
        <w:t>of the European Parliament and of the Council</w:t>
      </w:r>
      <w:r w:rsidR="00474603" w:rsidRPr="00E65EEC">
        <w:rPr>
          <w:rStyle w:val="FootnoteReference"/>
          <w:noProof/>
        </w:rPr>
        <w:footnoteReference w:id="52"/>
      </w:r>
      <w:r w:rsidR="00DE1806" w:rsidRPr="006C2791">
        <w:rPr>
          <w:noProof/>
        </w:rPr>
        <w:t>. The Commission shall implement those resources directly in accordance with point (a) of the first subparagraph of Article 62(1) of the Financial Regulation or indirectly in accordance with point (c) of that subparagraph. Those resources shall be used for the benefit of the Member State concerned.</w:t>
      </w:r>
    </w:p>
    <w:p w:rsidR="00DE1806" w:rsidRPr="006C2791" w:rsidRDefault="00DE1806" w:rsidP="00DE1806">
      <w:pPr>
        <w:pStyle w:val="Titrearticle"/>
        <w:rPr>
          <w:noProof/>
        </w:rPr>
      </w:pPr>
      <w:r w:rsidRPr="006C2791">
        <w:rPr>
          <w:noProof/>
        </w:rPr>
        <w:t>Article 5</w:t>
      </w:r>
    </w:p>
    <w:p w:rsidR="00DE1806" w:rsidRPr="000350FD" w:rsidRDefault="00DE1806" w:rsidP="000350FD">
      <w:pPr>
        <w:spacing w:before="360" w:after="360"/>
        <w:jc w:val="center"/>
        <w:rPr>
          <w:b/>
          <w:bCs/>
          <w:noProof/>
        </w:rPr>
      </w:pPr>
      <w:r w:rsidRPr="000350FD">
        <w:rPr>
          <w:b/>
          <w:bCs/>
          <w:noProof/>
        </w:rPr>
        <w:t>Third countries associated to the Euratom Programme</w:t>
      </w:r>
    </w:p>
    <w:p w:rsidR="00DE1806" w:rsidRPr="006C2791" w:rsidRDefault="00DD50B1" w:rsidP="00D62CD6">
      <w:pPr>
        <w:pStyle w:val="ManualNumPar1"/>
        <w:rPr>
          <w:noProof/>
        </w:rPr>
      </w:pPr>
      <w:r w:rsidRPr="006C2791">
        <w:rPr>
          <w:noProof/>
        </w:rPr>
        <w:t>1.</w:t>
      </w:r>
      <w:r w:rsidRPr="006C2791">
        <w:rPr>
          <w:noProof/>
        </w:rPr>
        <w:tab/>
      </w:r>
      <w:r w:rsidR="00DE1806" w:rsidRPr="006C2791">
        <w:rPr>
          <w:noProof/>
        </w:rPr>
        <w:t>The Euratom Programme shall be open to association of the following third countries:</w:t>
      </w:r>
    </w:p>
    <w:p w:rsidR="00DD50B1" w:rsidRPr="006C2791" w:rsidRDefault="003B702E" w:rsidP="003B702E">
      <w:pPr>
        <w:pStyle w:val="Point1"/>
        <w:rPr>
          <w:noProof/>
        </w:rPr>
      </w:pPr>
      <w:r w:rsidRPr="003B702E">
        <w:rPr>
          <w:noProof/>
        </w:rPr>
        <w:t>(a)</w:t>
      </w:r>
      <w:r w:rsidRPr="003B702E">
        <w:rPr>
          <w:noProof/>
        </w:rPr>
        <w:tab/>
      </w:r>
      <w:r w:rsidR="00DE1806" w:rsidRPr="006C2791">
        <w:rPr>
          <w:noProof/>
        </w:rPr>
        <w:t>acceding countries, candidate countries and potential candidates, in accordance with the general principles and general terms and conditions for the participation of those countries in Community programmes established in the respective framework agreements and Association Council decisions or similar agreements and in accordance with the specific conditions laid down in agreements between the Community and those countries;</w:t>
      </w:r>
    </w:p>
    <w:p w:rsidR="00DD50B1" w:rsidRPr="006C2791" w:rsidRDefault="003B702E" w:rsidP="003B702E">
      <w:pPr>
        <w:pStyle w:val="Point1"/>
        <w:rPr>
          <w:noProof/>
        </w:rPr>
      </w:pPr>
      <w:r w:rsidRPr="003B702E">
        <w:rPr>
          <w:noProof/>
        </w:rPr>
        <w:t>(b)</w:t>
      </w:r>
      <w:r w:rsidRPr="003B702E">
        <w:rPr>
          <w:noProof/>
        </w:rPr>
        <w:tab/>
      </w:r>
      <w:r w:rsidR="00DE1806" w:rsidRPr="006C2791">
        <w:rPr>
          <w:noProof/>
        </w:rPr>
        <w:t>European Neighbourhood Policy countries, in accordance with the general principles and general terms and conditions for the participation of those countries in Community programmes established in the respective framework agreements and Association Council decisions or in similar agreements and in accordance with the specific conditions laid down in agreements between the Community and those countries;</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third countries and territories that fulfil all of the following criteria:</w:t>
      </w:r>
    </w:p>
    <w:p w:rsidR="00DE1806" w:rsidRPr="006C2791" w:rsidRDefault="00DE1806" w:rsidP="00EB2182">
      <w:pPr>
        <w:pStyle w:val="ListNumberLevel3"/>
        <w:rPr>
          <w:noProof/>
        </w:rPr>
      </w:pPr>
      <w:r w:rsidRPr="006C2791">
        <w:rPr>
          <w:noProof/>
        </w:rPr>
        <w:t>(i)</w:t>
      </w:r>
      <w:r w:rsidRPr="006C2791">
        <w:rPr>
          <w:noProof/>
        </w:rPr>
        <w:tab/>
        <w:t>a good capacity in science, technology and innovation;</w:t>
      </w:r>
    </w:p>
    <w:p w:rsidR="00DE1806" w:rsidRPr="006C2791" w:rsidRDefault="00DE1806" w:rsidP="00EB2182">
      <w:pPr>
        <w:pStyle w:val="ListNumberLevel3"/>
        <w:rPr>
          <w:noProof/>
        </w:rPr>
      </w:pPr>
      <w:r w:rsidRPr="006C2791">
        <w:rPr>
          <w:noProof/>
        </w:rPr>
        <w:t>(ii)</w:t>
      </w:r>
      <w:r w:rsidRPr="006C2791">
        <w:rPr>
          <w:noProof/>
        </w:rPr>
        <w:tab/>
        <w:t>commitment to a rules-based open market economy, including fair and equitable dealing with intellectual property rights, backed by democratic institutions;</w:t>
      </w:r>
    </w:p>
    <w:p w:rsidR="00DE1806" w:rsidRPr="006C2791" w:rsidRDefault="00DE1806" w:rsidP="00EB2182">
      <w:pPr>
        <w:pStyle w:val="ListNumberLevel3"/>
        <w:rPr>
          <w:noProof/>
        </w:rPr>
      </w:pPr>
      <w:r w:rsidRPr="006C2791">
        <w:rPr>
          <w:noProof/>
        </w:rPr>
        <w:t>(iii)</w:t>
      </w:r>
      <w:r w:rsidRPr="006C2791">
        <w:rPr>
          <w:noProof/>
        </w:rPr>
        <w:tab/>
        <w:t>active promotion of policies to improve the economic and social well-being of citizens.</w:t>
      </w:r>
    </w:p>
    <w:p w:rsidR="00DE1806" w:rsidRPr="006C2791" w:rsidRDefault="00EB2182" w:rsidP="00D62CD6">
      <w:pPr>
        <w:pStyle w:val="ManualNumPar1"/>
        <w:rPr>
          <w:noProof/>
        </w:rPr>
      </w:pPr>
      <w:r w:rsidRPr="006C2791">
        <w:rPr>
          <w:noProof/>
        </w:rPr>
        <w:t>2.</w:t>
      </w:r>
      <w:r w:rsidRPr="006C2791">
        <w:rPr>
          <w:noProof/>
        </w:rPr>
        <w:tab/>
      </w:r>
      <w:r w:rsidR="00DE1806" w:rsidRPr="006C2791">
        <w:rPr>
          <w:noProof/>
        </w:rPr>
        <w:t>Association to the Euratom Programme of each of the third countries under point (c) of paragraph 1 shall be in accordance with the conditions laid down in a specific agreement covering the participation of the third country to any Community or Union programme, provided that the agreement:</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ensures a fair balance as regards the contributions and benefits of the third country participating in the Community or Union programmes;</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lays down the conditions of participation in the Community or Union programmes, including the calculation of financial contributions to the individual programmes and their administrative costs;</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does not confer to the third country a decisional power in respect of the Euratom Programme;</w:t>
      </w:r>
    </w:p>
    <w:p w:rsidR="00DE1806" w:rsidRPr="006C2791" w:rsidRDefault="003B702E" w:rsidP="003B702E">
      <w:pPr>
        <w:pStyle w:val="Point1"/>
        <w:rPr>
          <w:noProof/>
        </w:rPr>
      </w:pPr>
      <w:r w:rsidRPr="003B702E">
        <w:rPr>
          <w:noProof/>
        </w:rPr>
        <w:t>(d)</w:t>
      </w:r>
      <w:r w:rsidRPr="003B702E">
        <w:rPr>
          <w:noProof/>
        </w:rPr>
        <w:tab/>
      </w:r>
      <w:r w:rsidR="00DE1806" w:rsidRPr="006C2791">
        <w:rPr>
          <w:noProof/>
        </w:rPr>
        <w:t>guarantees the rights of the Union to ensure sound financial management and to protect the Union’s financial interests.</w:t>
      </w:r>
    </w:p>
    <w:p w:rsidR="00DE1806" w:rsidRPr="006C2791" w:rsidRDefault="00DE1806" w:rsidP="00EB2182">
      <w:pPr>
        <w:pStyle w:val="Text1"/>
        <w:rPr>
          <w:noProof/>
        </w:rPr>
      </w:pPr>
      <w:r w:rsidRPr="006C2791">
        <w:rPr>
          <w:noProof/>
        </w:rPr>
        <w:t>The contributions referred to in point (b) of the first subparagraph of this paragraph shall constitute assigned revenues in accordance with Article 21(5) of the Financial Regulation.</w:t>
      </w:r>
    </w:p>
    <w:p w:rsidR="00DE1806" w:rsidRPr="006C2791" w:rsidRDefault="00EB2182" w:rsidP="00D62CD6">
      <w:pPr>
        <w:pStyle w:val="ManualNumPar1"/>
        <w:rPr>
          <w:noProof/>
        </w:rPr>
      </w:pPr>
      <w:r w:rsidRPr="006C2791">
        <w:rPr>
          <w:noProof/>
        </w:rPr>
        <w:t>3.</w:t>
      </w:r>
      <w:r w:rsidRPr="006C2791">
        <w:rPr>
          <w:noProof/>
        </w:rPr>
        <w:tab/>
      </w:r>
      <w:r w:rsidR="00DE1806" w:rsidRPr="006C2791">
        <w:rPr>
          <w:noProof/>
        </w:rPr>
        <w:t>The scope of association of each third country to the Euratom Programme shall take into account the objective of driving economic growth in the Union through innovation. Accordingly, with the exception of acceding countries, candidate countries and potential candidates, parts of the Euratom Programme may be excluded from an association agreement for a specific country.</w:t>
      </w:r>
    </w:p>
    <w:p w:rsidR="00DE1806" w:rsidRPr="006C2791" w:rsidRDefault="00EB2182" w:rsidP="00D62CD6">
      <w:pPr>
        <w:pStyle w:val="ManualNumPar1"/>
        <w:rPr>
          <w:noProof/>
        </w:rPr>
      </w:pPr>
      <w:r w:rsidRPr="006C2791">
        <w:rPr>
          <w:noProof/>
        </w:rPr>
        <w:t>4.</w:t>
      </w:r>
      <w:r w:rsidRPr="006C2791">
        <w:rPr>
          <w:noProof/>
        </w:rPr>
        <w:tab/>
      </w:r>
      <w:r w:rsidR="00DE1806" w:rsidRPr="006C2791">
        <w:rPr>
          <w:noProof/>
        </w:rPr>
        <w:t>The association agreement shall, where appropriate, provide for the reciprocal participation of legal entities established in the Union in equivalent programmes of associated countries in accordance with the conditions laid down in those programmes.</w:t>
      </w:r>
    </w:p>
    <w:p w:rsidR="00DE1806" w:rsidRPr="006C2791" w:rsidRDefault="00EB2182" w:rsidP="00D62CD6">
      <w:pPr>
        <w:pStyle w:val="ManualNumPar1"/>
        <w:rPr>
          <w:noProof/>
        </w:rPr>
      </w:pPr>
      <w:r w:rsidRPr="006C2791">
        <w:rPr>
          <w:noProof/>
        </w:rPr>
        <w:t>5.</w:t>
      </w:r>
      <w:r w:rsidRPr="006C2791">
        <w:rPr>
          <w:noProof/>
        </w:rPr>
        <w:tab/>
      </w:r>
      <w:r w:rsidR="00DE1806" w:rsidRPr="006C2791">
        <w:rPr>
          <w:noProof/>
        </w:rPr>
        <w:t>Where appropriate, the conditions determining the level of financial contribution shall ensure an automatic correction of any significant imbalance compared to the amount that entities established in the associated country receive through participation in the Euratom Programme, taking into account the costs in the management, execution and operation of the Euratom Programme.</w:t>
      </w:r>
    </w:p>
    <w:p w:rsidR="00DE1806" w:rsidRPr="006C2791" w:rsidRDefault="00DE1806" w:rsidP="00DE1806">
      <w:pPr>
        <w:pStyle w:val="Titrearticle"/>
        <w:rPr>
          <w:noProof/>
        </w:rPr>
      </w:pPr>
      <w:r w:rsidRPr="006C2791">
        <w:rPr>
          <w:noProof/>
        </w:rPr>
        <w:t>Article 6</w:t>
      </w:r>
    </w:p>
    <w:p w:rsidR="00DE1806" w:rsidRPr="000350FD" w:rsidRDefault="00DE1806" w:rsidP="000350FD">
      <w:pPr>
        <w:spacing w:before="360" w:after="360"/>
        <w:jc w:val="center"/>
        <w:rPr>
          <w:b/>
          <w:bCs/>
          <w:noProof/>
        </w:rPr>
      </w:pPr>
      <w:r w:rsidRPr="000350FD">
        <w:rPr>
          <w:b/>
          <w:bCs/>
          <w:noProof/>
        </w:rPr>
        <w:t>Implementation and forms of funding</w:t>
      </w:r>
    </w:p>
    <w:p w:rsidR="00DE1806" w:rsidRPr="006C2791" w:rsidRDefault="00DE1806" w:rsidP="00D62CD6">
      <w:pPr>
        <w:pStyle w:val="ManualNumPar1"/>
        <w:rPr>
          <w:noProof/>
        </w:rPr>
      </w:pPr>
      <w:r w:rsidRPr="006C2791">
        <w:rPr>
          <w:noProof/>
        </w:rPr>
        <w:t>1.</w:t>
      </w:r>
      <w:r w:rsidR="00EB2182" w:rsidRPr="006C2791">
        <w:rPr>
          <w:noProof/>
        </w:rPr>
        <w:tab/>
      </w:r>
      <w:r w:rsidRPr="006C2791">
        <w:rPr>
          <w:noProof/>
        </w:rPr>
        <w:t>The Euratom Programme shall be implemented by means of direct management in accordance with the Financial Regulation or by means of indirect management by funding bodies referred to in point (c) of the first subparagraph of Article 62(1) of the Financial Regulation.</w:t>
      </w:r>
    </w:p>
    <w:p w:rsidR="00EB2182" w:rsidRPr="006C2791" w:rsidRDefault="00EB2182" w:rsidP="00D62CD6">
      <w:pPr>
        <w:pStyle w:val="ManualNumPar1"/>
        <w:rPr>
          <w:noProof/>
        </w:rPr>
      </w:pPr>
      <w:r w:rsidRPr="006C2791">
        <w:rPr>
          <w:noProof/>
        </w:rPr>
        <w:t>2.</w:t>
      </w:r>
      <w:r w:rsidRPr="006C2791">
        <w:rPr>
          <w:noProof/>
        </w:rPr>
        <w:tab/>
      </w:r>
      <w:r w:rsidR="00DE1806" w:rsidRPr="006C2791">
        <w:rPr>
          <w:noProof/>
        </w:rPr>
        <w:t xml:space="preserve">Funding under the Euratom Programme may be provided in any of the forms laid down in the Financial Regulation, however, grants shall be the main form of support for indirect actions under the Euratom Programme. Funding under the Euratom Programme may also be provided through </w:t>
      </w:r>
      <w:r w:rsidR="006C2791">
        <w:rPr>
          <w:noProof/>
        </w:rPr>
        <w:t>prizes</w:t>
      </w:r>
      <w:r w:rsidR="00DE1806" w:rsidRPr="006C2791">
        <w:rPr>
          <w:noProof/>
        </w:rPr>
        <w:t>, procurement and financial instruments within blending operations.</w:t>
      </w:r>
    </w:p>
    <w:p w:rsidR="00D62CD6" w:rsidRDefault="00EB2182" w:rsidP="00D62CD6">
      <w:pPr>
        <w:pStyle w:val="ManualNumPar1"/>
        <w:rPr>
          <w:noProof/>
        </w:rPr>
      </w:pPr>
      <w:r w:rsidRPr="006C2791">
        <w:rPr>
          <w:noProof/>
        </w:rPr>
        <w:t>3.</w:t>
      </w:r>
      <w:r w:rsidRPr="006C2791">
        <w:rPr>
          <w:noProof/>
        </w:rPr>
        <w:tab/>
      </w:r>
      <w:r w:rsidR="00DE1806" w:rsidRPr="006C2791">
        <w:rPr>
          <w:noProof/>
        </w:rPr>
        <w:t xml:space="preserve">The main types of action to be used under the Euratom Programme are set out and defined in Article 2 of Regulation (EU) 2021/695, such as research and innovation actions, innovation actions, innovation and market deployment actions, training and mobility actions, programme co-fund actions, pre-commercial procurement actions, public procurement of innovative solutions actions, coordination and support actions, inducement </w:t>
      </w:r>
      <w:r w:rsidR="006C2791">
        <w:rPr>
          <w:noProof/>
        </w:rPr>
        <w:t>prizes</w:t>
      </w:r>
      <w:r w:rsidR="00DE1806" w:rsidRPr="006C2791">
        <w:rPr>
          <w:noProof/>
        </w:rPr>
        <w:t xml:space="preserve"> and recognition </w:t>
      </w:r>
      <w:r w:rsidR="006C2791">
        <w:rPr>
          <w:noProof/>
        </w:rPr>
        <w:t>prizes</w:t>
      </w:r>
      <w:r w:rsidR="00DE1806" w:rsidRPr="006C2791">
        <w:rPr>
          <w:noProof/>
        </w:rPr>
        <w:t>.</w:t>
      </w:r>
    </w:p>
    <w:p w:rsidR="00DE1806" w:rsidRPr="006C2791" w:rsidRDefault="00DE1806" w:rsidP="00D62CD6">
      <w:pPr>
        <w:pStyle w:val="ManualNumPar1"/>
        <w:ind w:firstLine="0"/>
        <w:rPr>
          <w:noProof/>
        </w:rPr>
      </w:pPr>
      <w:r w:rsidRPr="006C2791">
        <w:rPr>
          <w:noProof/>
        </w:rPr>
        <w:t>The forms of funding, referred to in paragraph 2 of this Article, shall be used in a flexible manner across all objectives of the Euratom Programme with their use being determined on the basis of the needs and the characteristics of the particular objectives.</w:t>
      </w:r>
    </w:p>
    <w:p w:rsidR="00DE1806" w:rsidRPr="006C2791" w:rsidRDefault="00DE1806" w:rsidP="00D62CD6">
      <w:pPr>
        <w:pStyle w:val="ManualNumPar1"/>
        <w:rPr>
          <w:noProof/>
        </w:rPr>
      </w:pPr>
      <w:r w:rsidRPr="006C2791">
        <w:rPr>
          <w:noProof/>
        </w:rPr>
        <w:t>4.</w:t>
      </w:r>
      <w:r w:rsidR="00EB2182" w:rsidRPr="006C2791">
        <w:rPr>
          <w:noProof/>
        </w:rPr>
        <w:tab/>
      </w:r>
      <w:r w:rsidRPr="006C2791">
        <w:rPr>
          <w:noProof/>
        </w:rPr>
        <w:t>The Euratom Programme shall also support direct actions undertaken by the JRC.</w:t>
      </w:r>
    </w:p>
    <w:p w:rsidR="00DE1806" w:rsidRPr="006C2791" w:rsidRDefault="00DE1806" w:rsidP="00DE1806">
      <w:pPr>
        <w:pStyle w:val="Titrearticle"/>
        <w:rPr>
          <w:noProof/>
        </w:rPr>
      </w:pPr>
      <w:r w:rsidRPr="006C2791">
        <w:rPr>
          <w:noProof/>
        </w:rPr>
        <w:t>Article 7</w:t>
      </w:r>
    </w:p>
    <w:p w:rsidR="00DE1806" w:rsidRPr="000350FD" w:rsidRDefault="00DE1806" w:rsidP="000350FD">
      <w:pPr>
        <w:spacing w:before="360" w:after="360"/>
        <w:jc w:val="center"/>
        <w:rPr>
          <w:b/>
          <w:bCs/>
          <w:noProof/>
        </w:rPr>
      </w:pPr>
      <w:r w:rsidRPr="000350FD">
        <w:rPr>
          <w:b/>
          <w:bCs/>
          <w:noProof/>
        </w:rPr>
        <w:t>European Partnerships</w:t>
      </w:r>
    </w:p>
    <w:p w:rsidR="00DE1806" w:rsidRPr="006C2791" w:rsidRDefault="00DE1806" w:rsidP="00D62CD6">
      <w:pPr>
        <w:pStyle w:val="ManualNumPar1"/>
        <w:rPr>
          <w:noProof/>
        </w:rPr>
      </w:pPr>
      <w:r w:rsidRPr="006C2791">
        <w:rPr>
          <w:noProof/>
        </w:rPr>
        <w:t>1.</w:t>
      </w:r>
      <w:r w:rsidR="00EB2182" w:rsidRPr="006C2791">
        <w:rPr>
          <w:noProof/>
        </w:rPr>
        <w:tab/>
      </w:r>
      <w:r w:rsidRPr="006C2791">
        <w:rPr>
          <w:noProof/>
        </w:rPr>
        <w:t>Parts of the Euratom Programme may be implemented through European Partnerships.</w:t>
      </w:r>
    </w:p>
    <w:p w:rsidR="00DE1806" w:rsidRPr="006C2791" w:rsidRDefault="00DE1806" w:rsidP="00D62CD6">
      <w:pPr>
        <w:pStyle w:val="ManualNumPar1"/>
        <w:rPr>
          <w:noProof/>
        </w:rPr>
      </w:pPr>
      <w:r w:rsidRPr="006C2791">
        <w:rPr>
          <w:noProof/>
        </w:rPr>
        <w:t>2.</w:t>
      </w:r>
      <w:r w:rsidR="00EB2182" w:rsidRPr="006C2791">
        <w:rPr>
          <w:noProof/>
        </w:rPr>
        <w:tab/>
      </w:r>
      <w:r w:rsidRPr="006C2791">
        <w:rPr>
          <w:noProof/>
        </w:rPr>
        <w:t>The involvement of the Community in European Partnerships may take any of the following forms:</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participation in partnerships set up on the basis of memoranda of understanding or contractual arrangements between the Commission and public or private partners specifying the objectives of the European Partnership, related commitments from all involved sides regarding their financial or in-kind contributions, key performance and impact indicators, the results to be delivered and reporting arrangements; they include the identification of complementary research and innovation activities that are implemented by the partners and by the Euratom Programme (Co-programmed European Partnerships);</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participation in and financial contribution to a programme of research and innovation activities, specifying the objectives, key performance and impact indicators, and the results to be delivered, based on the commitment of the partners regarding their financial or in-kind contributions and the integration of their relevant activities using a Euratom Programme co-fund action (Co-funded European Partnerships).</w:t>
      </w:r>
      <w:r w:rsidR="00DE1806" w:rsidRPr="006C2791">
        <w:rPr>
          <w:noProof/>
        </w:rPr>
        <w:tab/>
      </w:r>
      <w:r w:rsidR="00DE1806" w:rsidRPr="006C2791">
        <w:rPr>
          <w:noProof/>
        </w:rPr>
        <w:tab/>
      </w:r>
      <w:r w:rsidR="00DE1806" w:rsidRPr="006C2791">
        <w:rPr>
          <w:noProof/>
        </w:rPr>
        <w:tab/>
      </w:r>
      <w:r w:rsidR="00DE1806" w:rsidRPr="006C2791">
        <w:rPr>
          <w:noProof/>
        </w:rPr>
        <w:tab/>
      </w:r>
    </w:p>
    <w:p w:rsidR="00DE1806" w:rsidRPr="006C2791" w:rsidRDefault="00DE1806" w:rsidP="00D62CD6">
      <w:pPr>
        <w:pStyle w:val="ManualNumPar1"/>
        <w:rPr>
          <w:noProof/>
        </w:rPr>
      </w:pPr>
      <w:r w:rsidRPr="006C2791">
        <w:rPr>
          <w:noProof/>
        </w:rPr>
        <w:t>3.</w:t>
      </w:r>
      <w:r w:rsidR="00EB2182" w:rsidRPr="006C2791">
        <w:rPr>
          <w:noProof/>
        </w:rPr>
        <w:tab/>
      </w:r>
      <w:r w:rsidRPr="006C2791">
        <w:rPr>
          <w:noProof/>
        </w:rPr>
        <w:t>European Partnerships shall:</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be established in cases where the objectives of the Euratom Programme would be achieved more effectively than by the Community alone when compared to other forms of support under the Euratom Programme; an appropriate share of the budget of the Euratom Programme shall be allocated to those parts;</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adhere to the principles of Union added value, transparency and openness, and to having impact within and for Europe, strong leverage effect on sufficient scale, long-term commitments of all involved parties, flexibility in implementation, coherence, coordination and complementarity with Union, local, regional, national and, where relevant, international initiatives or other European Partnerships;</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have a clear life-cycle approach, be limited in time and include conditions for phasing-out the Euratom Programme funding.</w:t>
      </w:r>
    </w:p>
    <w:p w:rsidR="00DE1806" w:rsidRPr="006C2791" w:rsidRDefault="00DE1806" w:rsidP="00D62CD6">
      <w:pPr>
        <w:pStyle w:val="ManualNumPar1"/>
        <w:rPr>
          <w:noProof/>
        </w:rPr>
      </w:pPr>
      <w:r w:rsidRPr="006C2791">
        <w:rPr>
          <w:noProof/>
        </w:rPr>
        <w:t>4.</w:t>
      </w:r>
      <w:r w:rsidR="00EB2182" w:rsidRPr="006C2791">
        <w:rPr>
          <w:noProof/>
        </w:rPr>
        <w:tab/>
      </w:r>
      <w:r w:rsidRPr="006C2791">
        <w:rPr>
          <w:noProof/>
        </w:rPr>
        <w:t>Provisions and criteria for the selection, implementation, monitoring, evaluation and phasing-out of European Partnerships are set out in Annex III to Regulation (EU) 2021/695.</w:t>
      </w:r>
    </w:p>
    <w:p w:rsidR="00DE1806" w:rsidRPr="006C2791" w:rsidRDefault="00DE1806" w:rsidP="00DE1806">
      <w:pPr>
        <w:pStyle w:val="Titrearticle"/>
        <w:rPr>
          <w:noProof/>
        </w:rPr>
      </w:pPr>
      <w:r w:rsidRPr="006C2791">
        <w:rPr>
          <w:noProof/>
        </w:rPr>
        <w:t>Article 8</w:t>
      </w:r>
    </w:p>
    <w:p w:rsidR="00DE1806" w:rsidRPr="000350FD" w:rsidRDefault="00DE1806" w:rsidP="000350FD">
      <w:pPr>
        <w:spacing w:before="360" w:after="360"/>
        <w:jc w:val="center"/>
        <w:rPr>
          <w:b/>
          <w:bCs/>
          <w:noProof/>
        </w:rPr>
      </w:pPr>
      <w:r w:rsidRPr="000350FD">
        <w:rPr>
          <w:b/>
          <w:bCs/>
          <w:noProof/>
        </w:rPr>
        <w:t>Open Science</w:t>
      </w:r>
    </w:p>
    <w:p w:rsidR="00DE1806" w:rsidRPr="006C2791" w:rsidRDefault="00DE1806" w:rsidP="00DE1806">
      <w:pPr>
        <w:rPr>
          <w:noProof/>
        </w:rPr>
      </w:pPr>
      <w:r w:rsidRPr="006C2791">
        <w:rPr>
          <w:noProof/>
        </w:rPr>
        <w:t>The provisions on open science set out in Regulation (EU) 2021/695 apply to the Euratom Programme.</w:t>
      </w:r>
    </w:p>
    <w:p w:rsidR="00DE1806" w:rsidRPr="006C2791" w:rsidRDefault="00DE1806" w:rsidP="00DE1806">
      <w:pPr>
        <w:pStyle w:val="Titrearticle"/>
        <w:rPr>
          <w:noProof/>
        </w:rPr>
      </w:pPr>
      <w:r w:rsidRPr="006C2791">
        <w:rPr>
          <w:noProof/>
        </w:rPr>
        <w:t>Article 9</w:t>
      </w:r>
    </w:p>
    <w:p w:rsidR="00DE1806" w:rsidRPr="000350FD" w:rsidRDefault="00DE1806" w:rsidP="000350FD">
      <w:pPr>
        <w:spacing w:before="360" w:after="360"/>
        <w:jc w:val="center"/>
        <w:rPr>
          <w:b/>
          <w:bCs/>
          <w:noProof/>
        </w:rPr>
      </w:pPr>
      <w:r w:rsidRPr="000350FD">
        <w:rPr>
          <w:b/>
          <w:bCs/>
          <w:noProof/>
        </w:rPr>
        <w:t>Eligible actions and rules for participation and dissemination of research results</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Only actions implementing the objectives referred to in Article 3 are eligible for funding.</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Subject to the paragraphs 3 and 4 of this Article, Title II on rules for participation and dissemination of Regulation (EU) 2021/695 applies to actions supported under the Euratom Programme. References in Regulation (EU) 2021/695 to the Union and Horizon Europe shall be construed as references to the Community and the Euratom Programme, where appropriate. References in Regulation (EU) 2021/695 to ‘security rules’ shall be construed to include the defence interests of the Member States within the meaning of Article 24 of the Euratom Treaty.</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By way of derogation from Article 40(4) of Regulation (EU) 2021/695, the right to object to transfers of ownership of results, or to grants of an exclusive licence regarding results, may extend to grants of non-exclusive licenses.</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By way of derogation from Article 41(9) of Regulation (EU) 2021/695, a beneficiary that has received Community funding shall grant access to its results on a royalty-free basis to the Community institutions, funding bodies or the European Joint Undertaking for ITER and the Development of Fusion Energy (Fusion for Energy) established by Decision 2007/198/Euratom (the ‘Joint Undertaking Fusion for Energy’), for the purpose of developing, implementing and monitoring Community policies and programmes or obligations under international cooperation with third countries and international organisations. Such access rights shall include the right to authorise third parties to use the results in public procurement and the right to sub-license. Access rights shall be limited to non-commercial and non-competitive use.</w:t>
      </w:r>
    </w:p>
    <w:p w:rsidR="00DE1806" w:rsidRPr="006C2791" w:rsidRDefault="00DE1806" w:rsidP="00D62CD6">
      <w:pPr>
        <w:pStyle w:val="ManualNumPar1"/>
        <w:rPr>
          <w:noProof/>
        </w:rPr>
      </w:pPr>
      <w:r w:rsidRPr="006C2791">
        <w:rPr>
          <w:noProof/>
        </w:rPr>
        <w:t>5.</w:t>
      </w:r>
      <w:r w:rsidR="0039691F" w:rsidRPr="006C2791">
        <w:rPr>
          <w:noProof/>
        </w:rPr>
        <w:tab/>
      </w:r>
      <w:r w:rsidRPr="006C2791">
        <w:rPr>
          <w:noProof/>
        </w:rPr>
        <w:t>The mutual insurance mechanism established pursuant to Regulation (EU) 2021/695 shall cover the risk associated with non-recovery of sums due by beneficiaries to the Commission or funding bodies under this Regulation.</w:t>
      </w:r>
    </w:p>
    <w:p w:rsidR="00DE1806" w:rsidRPr="006C2791" w:rsidRDefault="00DE1806" w:rsidP="00DE1806">
      <w:pPr>
        <w:pStyle w:val="Titrearticle"/>
        <w:rPr>
          <w:noProof/>
        </w:rPr>
      </w:pPr>
      <w:r w:rsidRPr="006C2791">
        <w:rPr>
          <w:noProof/>
        </w:rPr>
        <w:t>Article 10</w:t>
      </w:r>
    </w:p>
    <w:p w:rsidR="00DE1806" w:rsidRPr="000350FD" w:rsidRDefault="00DE1806" w:rsidP="000350FD">
      <w:pPr>
        <w:spacing w:before="360" w:after="360"/>
        <w:jc w:val="center"/>
        <w:rPr>
          <w:b/>
          <w:bCs/>
          <w:noProof/>
        </w:rPr>
      </w:pPr>
      <w:r w:rsidRPr="000350FD">
        <w:rPr>
          <w:b/>
          <w:bCs/>
          <w:noProof/>
        </w:rPr>
        <w:t>Cumulative, alternative and combined funding</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Euratom Programme shall be implemented in synergy with Horizon Europe and with other Union programmes.</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In order to achieve the objectives of the Euratom Programme and to address challenges common to the Euratom Programme and to Horizon Europe, activities cutting across the objectives set out in the Euratom Programme or those implementing Horizon Europe, or both, may benefit from the Community financial contribution, subject to Article 9. In particular, the Euratom Programme may provide a financial contribution to the Marie Skłodowska-Curie Actions (MSCA) in order to support activities relevant for nuclear research.</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An action that has received a contribution from another Union programme may also receive a contribution under the Euratom Programme, provided that the contributions do not cover the same costs. The rules of the relevant programme shall apply to the corresponding contribution to the action. The cumulative funding shall not exceed the total eligible costs of the action. The support from the different programmes may be calculated on a pro-rata basis in accordance with the documents setting out the conditions for support.</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 xml:space="preserve">Actions may receive support from the European Regional Development Fund or the European Social Fund Plus in accordance with the relevant provisions of Regulation </w:t>
      </w:r>
      <w:r w:rsidR="00032541" w:rsidRPr="00032541">
        <w:rPr>
          <w:noProof/>
        </w:rPr>
        <w:t>(EU) 2021/1060</w:t>
      </w:r>
      <w:r w:rsidRPr="006C2791">
        <w:rPr>
          <w:noProof/>
        </w:rPr>
        <w:t xml:space="preserve"> where they have been awarded a Seal of Excellence label under the Euratom Programme by virtue of complying with the following cumulative conditions:</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they have been assessed in a call for proposals under the Euratom Programme;</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they comply with the minimum quality requirements of that call for proposals;</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they may not be financed under that call for proposals due to budgetary constraints.</w:t>
      </w:r>
    </w:p>
    <w:p w:rsidR="00DE1806" w:rsidRPr="006C2791" w:rsidRDefault="00DE1806" w:rsidP="0039691F">
      <w:pPr>
        <w:pStyle w:val="ChapterTitle"/>
        <w:rPr>
          <w:noProof/>
        </w:rPr>
      </w:pPr>
      <w:r w:rsidRPr="006C2791">
        <w:rPr>
          <w:noProof/>
        </w:rPr>
        <w:t>C</w:t>
      </w:r>
      <w:r w:rsidR="0039691F" w:rsidRPr="006C2791">
        <w:rPr>
          <w:noProof/>
        </w:rPr>
        <w:t>hapter</w:t>
      </w:r>
      <w:r w:rsidRPr="006C2791">
        <w:rPr>
          <w:noProof/>
        </w:rPr>
        <w:t xml:space="preserve"> II</w:t>
      </w:r>
    </w:p>
    <w:p w:rsidR="00DE1806" w:rsidRPr="006C2791" w:rsidRDefault="00DE1806" w:rsidP="0039691F">
      <w:pPr>
        <w:pStyle w:val="ChapterTitle"/>
        <w:rPr>
          <w:noProof/>
        </w:rPr>
      </w:pPr>
      <w:r w:rsidRPr="006C2791">
        <w:rPr>
          <w:noProof/>
        </w:rPr>
        <w:t>Programming, monitoring, evaluation and control</w:t>
      </w:r>
    </w:p>
    <w:p w:rsidR="00DE1806" w:rsidRPr="006C2791" w:rsidRDefault="00DE1806" w:rsidP="00DE1806">
      <w:pPr>
        <w:pStyle w:val="Titrearticle"/>
        <w:rPr>
          <w:noProof/>
        </w:rPr>
      </w:pPr>
      <w:r w:rsidRPr="006C2791">
        <w:rPr>
          <w:noProof/>
        </w:rPr>
        <w:t>Article 11</w:t>
      </w:r>
    </w:p>
    <w:p w:rsidR="00DE1806" w:rsidRPr="000350FD" w:rsidRDefault="00DE1806" w:rsidP="000350FD">
      <w:pPr>
        <w:spacing w:before="360" w:after="360"/>
        <w:jc w:val="center"/>
        <w:rPr>
          <w:b/>
          <w:bCs/>
          <w:noProof/>
        </w:rPr>
      </w:pPr>
      <w:r w:rsidRPr="000350FD">
        <w:rPr>
          <w:b/>
          <w:bCs/>
          <w:noProof/>
        </w:rPr>
        <w:t>Work programmes</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indirect actions of the Euratom Programme shall be implemented by work programmes as referred to in Article 110 of the Financial Regulation. Work programmes shall set out, where applicable, the overall amount reserved for blending operations. The Commission shall adopt work programmes by means of implementing acts. Those implementing acts shall be adopted in accordance with the examination procedure referred to in Article 16(4).</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In addition to the requirements of Article 110 of the Financial Regulation, the work programmes shall include the following, as appropriate:</w:t>
      </w:r>
    </w:p>
    <w:p w:rsidR="00DE1806" w:rsidRPr="006C2791" w:rsidRDefault="003B702E" w:rsidP="003B702E">
      <w:pPr>
        <w:pStyle w:val="Point1"/>
        <w:rPr>
          <w:noProof/>
        </w:rPr>
      </w:pPr>
      <w:r w:rsidRPr="003B702E">
        <w:rPr>
          <w:noProof/>
        </w:rPr>
        <w:t>(a)</w:t>
      </w:r>
      <w:r w:rsidRPr="003B702E">
        <w:rPr>
          <w:noProof/>
        </w:rPr>
        <w:tab/>
      </w:r>
      <w:r w:rsidR="00DE1806" w:rsidRPr="006C2791">
        <w:rPr>
          <w:noProof/>
        </w:rPr>
        <w:t>an indication of the amount allocated to each action and an indicative implementation timetable;</w:t>
      </w:r>
    </w:p>
    <w:p w:rsidR="00DE1806" w:rsidRPr="006C2791" w:rsidRDefault="003B702E" w:rsidP="003B702E">
      <w:pPr>
        <w:pStyle w:val="Point1"/>
        <w:rPr>
          <w:noProof/>
        </w:rPr>
      </w:pPr>
      <w:r w:rsidRPr="003B702E">
        <w:rPr>
          <w:noProof/>
        </w:rPr>
        <w:t>(b)</w:t>
      </w:r>
      <w:r w:rsidRPr="003B702E">
        <w:rPr>
          <w:noProof/>
        </w:rPr>
        <w:tab/>
      </w:r>
      <w:r w:rsidR="00DE1806" w:rsidRPr="006C2791">
        <w:rPr>
          <w:noProof/>
        </w:rPr>
        <w:t>for grants, the priorities, the selection and award criteria, the relative weight of the different award criteria and the maximum rate of funding of the total eligible costs;</w:t>
      </w:r>
    </w:p>
    <w:p w:rsidR="00DE1806" w:rsidRPr="006C2791" w:rsidRDefault="003B702E" w:rsidP="003B702E">
      <w:pPr>
        <w:pStyle w:val="Point1"/>
        <w:rPr>
          <w:noProof/>
        </w:rPr>
      </w:pPr>
      <w:r w:rsidRPr="003B702E">
        <w:rPr>
          <w:noProof/>
        </w:rPr>
        <w:t>(c)</w:t>
      </w:r>
      <w:r w:rsidRPr="003B702E">
        <w:rPr>
          <w:noProof/>
        </w:rPr>
        <w:tab/>
      </w:r>
      <w:r w:rsidR="00DE1806" w:rsidRPr="006C2791">
        <w:rPr>
          <w:noProof/>
        </w:rPr>
        <w:t>any additional obligations on beneficiaries, in accordance with Articles 39 and 41 of Regulation (EU) 2021/695;</w:t>
      </w:r>
    </w:p>
    <w:p w:rsidR="00DE1806" w:rsidRPr="006C2791" w:rsidRDefault="003B702E" w:rsidP="003B702E">
      <w:pPr>
        <w:pStyle w:val="Point1"/>
        <w:rPr>
          <w:noProof/>
        </w:rPr>
      </w:pPr>
      <w:r w:rsidRPr="003B702E">
        <w:rPr>
          <w:noProof/>
        </w:rPr>
        <w:t>(d)</w:t>
      </w:r>
      <w:r w:rsidRPr="003B702E">
        <w:rPr>
          <w:noProof/>
        </w:rPr>
        <w:tab/>
      </w:r>
      <w:r w:rsidR="00DE1806" w:rsidRPr="006C2791">
        <w:rPr>
          <w:noProof/>
        </w:rPr>
        <w:t>a multiannual approach and strategic orientations for the following years of implementation.</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The Commission shall draw up a multi-annual work programme on direct actions undertaken by the JRC in accordance with Decision 96/282/Euratom.</w:t>
      </w:r>
    </w:p>
    <w:p w:rsidR="00DE1806" w:rsidRPr="006C2791" w:rsidRDefault="00DE1806" w:rsidP="00DE1806">
      <w:pPr>
        <w:pStyle w:val="Titrearticle"/>
        <w:rPr>
          <w:noProof/>
        </w:rPr>
      </w:pPr>
      <w:r w:rsidRPr="006C2791">
        <w:rPr>
          <w:noProof/>
        </w:rPr>
        <w:t>Article 12</w:t>
      </w:r>
    </w:p>
    <w:p w:rsidR="00DE1806" w:rsidRPr="000350FD" w:rsidRDefault="00DE1806" w:rsidP="000350FD">
      <w:pPr>
        <w:spacing w:before="360" w:after="360"/>
        <w:jc w:val="center"/>
        <w:rPr>
          <w:b/>
          <w:bCs/>
          <w:noProof/>
        </w:rPr>
      </w:pPr>
      <w:r w:rsidRPr="000350FD">
        <w:rPr>
          <w:b/>
          <w:bCs/>
          <w:noProof/>
        </w:rPr>
        <w:t>Monitoring and reporting</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Commission shall monitor continuously the management and implementation of the Euratom Programme. In order to enhance transparency, those data shall be made publicly available in an accessible manner on the Commission’s webpage in accordance with the latest update of those data.</w:t>
      </w:r>
    </w:p>
    <w:p w:rsidR="00DE1806" w:rsidRPr="006C2791" w:rsidRDefault="00DE1806" w:rsidP="00D62CD6">
      <w:pPr>
        <w:pStyle w:val="ManualNumPar1"/>
        <w:ind w:firstLine="0"/>
        <w:rPr>
          <w:noProof/>
        </w:rPr>
      </w:pPr>
      <w:r w:rsidRPr="006C2791">
        <w:rPr>
          <w:noProof/>
        </w:rPr>
        <w:t>Indicators to report on an annual basis on the progress of the Euratom Programme towards the achievement of the objectives laid down in Article 3 are set out in Annex II along impact pathways.</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To ensure the effective assessment of the Euratom Programme’s progress towards the achievement of its objectives, the Commission shall adopt implementing acts concerning the implementation of the monitoring and evaluation framework, in particular by setting baselines and targets in accordance with Annex II. Those implementing acts shall be adopted in accordance with the advisory procedure pursuant to Article 16(3).</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The performance reporting system shall ensure that data for monitoring the implementation and the results of the Euratom Programme are collected efficiently, effectively and in a timely manner without increasing the administrative burden on beneficiaries. To that end, proportionate reporting requirements shall be imposed on recipients of Community funds and, where appropriate, on Member States.</w:t>
      </w:r>
    </w:p>
    <w:p w:rsidR="00DE1806" w:rsidRPr="006C2791" w:rsidRDefault="00DE1806" w:rsidP="00DE1806">
      <w:pPr>
        <w:pStyle w:val="Titrearticle"/>
        <w:rPr>
          <w:noProof/>
        </w:rPr>
      </w:pPr>
      <w:r w:rsidRPr="006C2791">
        <w:rPr>
          <w:noProof/>
        </w:rPr>
        <w:t>Article 13</w:t>
      </w:r>
    </w:p>
    <w:p w:rsidR="00DE1806" w:rsidRPr="000350FD" w:rsidRDefault="00DE1806" w:rsidP="000350FD">
      <w:pPr>
        <w:spacing w:before="360" w:after="360"/>
        <w:jc w:val="center"/>
        <w:rPr>
          <w:b/>
          <w:bCs/>
          <w:noProof/>
        </w:rPr>
      </w:pPr>
      <w:r w:rsidRPr="000350FD">
        <w:rPr>
          <w:b/>
          <w:bCs/>
          <w:noProof/>
        </w:rPr>
        <w:t>Information, communication, publicity and dissemination and exploitation</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recipients of the Euratom Programme funding shall acknowledge the origin of those funds and ensure the visibility of the Community funding, in particular when promoting the actions and their results, by providing coherent, effective and proportionate targeted information to multiple audiences, including the media and the public.</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The Commission shall implement information and communication actions relating to the Euratom Programme, to actions under the Euratom Programme and to the results obtained. In addition, it shall provide timely and thorough information to Member States and beneficiaries. Evidence-based matchmaking services informed by analytics and network affinities shall be provided to interested entities in order to form consortia for collaborative projects, with particular attention to identifying networking opportunities for legal entities from low research and innovation performing Member States. On the basis of such analysis, targeted matchmaking events may be organised in function of specific calls for proposals.</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The Commission shall also establish a dissemination and exploitation strategy for increasing the availability and diffusion of the Euratom Programme’s research and innovation results and knowledge to accelerate exploitation towards market uptake and boost the impact of the Euratom Programme.</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Financial resources allocated to the Euratom Programme shall also contribute to the corporate communication of the political priorities of the Community as well as information, communication, publicity, dissemination and exploitation activities as far as they are related to the objectives referred to in Article 3.</w:t>
      </w:r>
    </w:p>
    <w:p w:rsidR="00DE1806" w:rsidRPr="006C2791" w:rsidRDefault="00DE1806" w:rsidP="00DE1806">
      <w:pPr>
        <w:pStyle w:val="Titrearticle"/>
        <w:rPr>
          <w:noProof/>
        </w:rPr>
      </w:pPr>
      <w:r w:rsidRPr="006C2791">
        <w:rPr>
          <w:noProof/>
        </w:rPr>
        <w:t>Article 14</w:t>
      </w:r>
    </w:p>
    <w:p w:rsidR="00DE1806" w:rsidRPr="000350FD" w:rsidRDefault="00DE1806" w:rsidP="000350FD">
      <w:pPr>
        <w:spacing w:before="360" w:after="360"/>
        <w:jc w:val="center"/>
        <w:rPr>
          <w:b/>
          <w:bCs/>
          <w:noProof/>
        </w:rPr>
      </w:pPr>
      <w:r w:rsidRPr="000350FD">
        <w:rPr>
          <w:b/>
          <w:bCs/>
          <w:noProof/>
        </w:rPr>
        <w:t>Evaluation</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Euratom Programme evaluations shall be carried out in a timely manner to feed into the decision-making process on the Euratom Programme, its successor and other initiatives relevant to research and innovation.</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 xml:space="preserve">At the end of the implementation of the Euratom Programme, but no later than four years after the end of the period specified in Article 1, a final evaluation of the Euratom Programme </w:t>
      </w:r>
      <w:r w:rsidR="00293668" w:rsidRPr="006C2791">
        <w:rPr>
          <w:noProof/>
        </w:rPr>
        <w:t xml:space="preserve">and of the </w:t>
      </w:r>
      <w:r w:rsidR="005A22A8">
        <w:rPr>
          <w:noProof/>
        </w:rPr>
        <w:t>P</w:t>
      </w:r>
      <w:r w:rsidR="00293668" w:rsidRPr="006C2791">
        <w:rPr>
          <w:noProof/>
        </w:rPr>
        <w:t>rogramme</w:t>
      </w:r>
      <w:r w:rsidR="005A22A8">
        <w:rPr>
          <w:noProof/>
        </w:rPr>
        <w:t xml:space="preserve"> es</w:t>
      </w:r>
      <w:r w:rsidR="00293668" w:rsidRPr="006C2791">
        <w:rPr>
          <w:noProof/>
        </w:rPr>
        <w:t xml:space="preserve">tablished by Council Regulation (Euratom) 2021/765 </w:t>
      </w:r>
      <w:r w:rsidRPr="006C2791">
        <w:rPr>
          <w:noProof/>
        </w:rPr>
        <w:t>shall be carried out by the Commission</w:t>
      </w:r>
      <w:r w:rsidR="00293668" w:rsidRPr="006C2791">
        <w:rPr>
          <w:noProof/>
        </w:rPr>
        <w:t xml:space="preserve"> with the assistance of independent experts selected </w:t>
      </w:r>
      <w:r w:rsidR="00A73323">
        <w:rPr>
          <w:noProof/>
        </w:rPr>
        <w:t>through</w:t>
      </w:r>
      <w:r w:rsidR="00293668" w:rsidRPr="006C2791">
        <w:rPr>
          <w:noProof/>
        </w:rPr>
        <w:t xml:space="preserve"> a transparent process</w:t>
      </w:r>
      <w:r w:rsidRPr="006C2791">
        <w:rPr>
          <w:noProof/>
        </w:rPr>
        <w:t>. It shall include an assessment of the long-term impact of previous Euratom Research and Training Programmes</w:t>
      </w:r>
      <w:r w:rsidR="00293668" w:rsidRPr="006C2791">
        <w:rPr>
          <w:noProof/>
        </w:rPr>
        <w:t xml:space="preserve"> and the Euratom Programme’s effectiveness, efficiency, relevance, coherence and Community added value</w:t>
      </w:r>
      <w:r w:rsidRPr="006C2791">
        <w:rPr>
          <w:noProof/>
        </w:rPr>
        <w:t>.</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The Commission shall publish and communicate the conclusions of the evaluations accompanied by its observations to the European Parliament, the Council, the European Economic and Social Committee and the Committee of the Regions.</w:t>
      </w:r>
    </w:p>
    <w:p w:rsidR="00DE1806" w:rsidRPr="006C2791" w:rsidRDefault="00DE1806" w:rsidP="00DE1806">
      <w:pPr>
        <w:pStyle w:val="Titrearticle"/>
        <w:rPr>
          <w:noProof/>
        </w:rPr>
      </w:pPr>
      <w:r w:rsidRPr="006C2791">
        <w:rPr>
          <w:noProof/>
        </w:rPr>
        <w:t>Article 15</w:t>
      </w:r>
    </w:p>
    <w:p w:rsidR="00DE1806" w:rsidRPr="000350FD" w:rsidRDefault="00DE1806" w:rsidP="000350FD">
      <w:pPr>
        <w:spacing w:before="360" w:after="360"/>
        <w:jc w:val="center"/>
        <w:rPr>
          <w:b/>
          <w:bCs/>
          <w:noProof/>
        </w:rPr>
      </w:pPr>
      <w:r w:rsidRPr="000350FD">
        <w:rPr>
          <w:b/>
          <w:bCs/>
          <w:noProof/>
        </w:rPr>
        <w:t>Audits</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control system for the Euratom Programme shall ensure an appropriate balance between trust and control, taking into account administrative and other costs of controls at all levels, especially for beneficiaries. Audit rules shall be clear, consistent and coherent throughout the Euratom Programme.</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Actions that receive joint funding from different Union programmes shall be audited only once, covering all involved programmes and their respective applicable rules.</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In addition, the Commission or the relevant funding body may rely on combined systems reviews at beneficiary level. Those combined reviews shall be optional for certain types of beneficiaries and shall consist in a systems and process audit, complemented by an audit of transactions. Such audits of transactions shall be carried out by a competent independent auditor qualified to carry out statutory audits of accounting documents in accordance with Directive 2006/43/EC of the European Parliament and of the Council</w:t>
      </w:r>
      <w:r w:rsidR="00C27064" w:rsidRPr="00E65EEC">
        <w:rPr>
          <w:rStyle w:val="FootnoteReference"/>
          <w:noProof/>
        </w:rPr>
        <w:footnoteReference w:id="53"/>
      </w:r>
      <w:r w:rsidRPr="006C2791">
        <w:rPr>
          <w:noProof/>
        </w:rPr>
        <w:t xml:space="preserve">. The system and processes audits may be used by the Commission or the relevant funding body to determine overall assurance on the sound financial management of expenditure and for reconsideration of the level of </w:t>
      </w:r>
      <w:r w:rsidRPr="00D62CD6">
        <w:rPr>
          <w:noProof/>
        </w:rPr>
        <w:t>ex</w:t>
      </w:r>
      <w:r w:rsidR="005A22A8" w:rsidRPr="00D62CD6">
        <w:rPr>
          <w:noProof/>
        </w:rPr>
        <w:t> </w:t>
      </w:r>
      <w:r w:rsidRPr="00D62CD6">
        <w:rPr>
          <w:noProof/>
        </w:rPr>
        <w:t>post</w:t>
      </w:r>
      <w:r w:rsidRPr="006C2791">
        <w:rPr>
          <w:noProof/>
        </w:rPr>
        <w:t xml:space="preserve"> audits and certificates on financial statements.</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In accordance with Article 127 of the Financial Regulation, the Commission or the funding body may rely on audits on the use of Community contributions carried out by other independent and competent persons or entities, including by other than those mandated by the Union institutions or bodies.</w:t>
      </w:r>
    </w:p>
    <w:p w:rsidR="00DE1806" w:rsidRPr="006C2791" w:rsidRDefault="00DE1806" w:rsidP="00D62CD6">
      <w:pPr>
        <w:pStyle w:val="ManualNumPar1"/>
        <w:rPr>
          <w:noProof/>
        </w:rPr>
      </w:pPr>
      <w:r w:rsidRPr="006C2791">
        <w:rPr>
          <w:noProof/>
        </w:rPr>
        <w:t>5.</w:t>
      </w:r>
      <w:r w:rsidR="0039691F" w:rsidRPr="006C2791">
        <w:rPr>
          <w:noProof/>
        </w:rPr>
        <w:tab/>
      </w:r>
      <w:r w:rsidRPr="006C2791">
        <w:rPr>
          <w:noProof/>
        </w:rPr>
        <w:t>Audits may be carried out up to two years after the payment of the balance.</w:t>
      </w:r>
    </w:p>
    <w:p w:rsidR="00DE1806" w:rsidRPr="006C2791" w:rsidRDefault="00DE1806" w:rsidP="00D62CD6">
      <w:pPr>
        <w:pStyle w:val="ManualNumPar1"/>
        <w:rPr>
          <w:noProof/>
        </w:rPr>
      </w:pPr>
      <w:r w:rsidRPr="006C2791">
        <w:rPr>
          <w:noProof/>
        </w:rPr>
        <w:t>6.</w:t>
      </w:r>
      <w:r w:rsidR="0039691F" w:rsidRPr="006C2791">
        <w:rPr>
          <w:noProof/>
        </w:rPr>
        <w:tab/>
      </w:r>
      <w:r w:rsidRPr="006C2791">
        <w:rPr>
          <w:noProof/>
        </w:rPr>
        <w:t>The Commission shall publish audit guidelines, aiming to ensure a reliable and uniform application and interpretation of the audit procedures and rules throughout the duration of the Euratom Programme.</w:t>
      </w:r>
    </w:p>
    <w:p w:rsidR="00DE1806" w:rsidRPr="006C2791" w:rsidRDefault="00DE1806" w:rsidP="00DE1806">
      <w:pPr>
        <w:pStyle w:val="Titrearticle"/>
        <w:rPr>
          <w:noProof/>
        </w:rPr>
      </w:pPr>
      <w:r w:rsidRPr="006C2791">
        <w:rPr>
          <w:noProof/>
        </w:rPr>
        <w:t>Article 16</w:t>
      </w:r>
    </w:p>
    <w:p w:rsidR="00DE1806" w:rsidRPr="000350FD" w:rsidRDefault="00DE1806" w:rsidP="000350FD">
      <w:pPr>
        <w:spacing w:before="360" w:after="360"/>
        <w:jc w:val="center"/>
        <w:rPr>
          <w:b/>
          <w:bCs/>
          <w:noProof/>
        </w:rPr>
      </w:pPr>
      <w:r w:rsidRPr="000350FD">
        <w:rPr>
          <w:b/>
          <w:bCs/>
          <w:noProof/>
        </w:rPr>
        <w:t>Committee procedure</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The Commission shall be assisted by a Committee. That committee shall be a committee within the meaning of Regulation (EU) No 182/2011.</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The Committee shall meet in two different configurations, dealing respectively with the fission related aspects and fusion related aspects of the Euratom Programme.</w:t>
      </w:r>
    </w:p>
    <w:p w:rsidR="00DE1806" w:rsidRPr="006C2791" w:rsidRDefault="00DE1806" w:rsidP="00D62CD6">
      <w:pPr>
        <w:pStyle w:val="ManualNumPar1"/>
        <w:ind w:firstLine="0"/>
        <w:rPr>
          <w:noProof/>
        </w:rPr>
      </w:pPr>
      <w:r w:rsidRPr="006C2791">
        <w:rPr>
          <w:noProof/>
        </w:rPr>
        <w:t>With a view to facilitating the implementation of the Euratom Programme, for each meeting of the Committee as defined in the agenda, the Commission will reimburse the expenses of one representative per Member State, as well as one expert or adviser per Member State for those agenda items where a Member State requires specific expertise, in accordance with Commission’s established guidelines.</w:t>
      </w:r>
    </w:p>
    <w:p w:rsidR="00DE1806" w:rsidRPr="006C2791" w:rsidRDefault="00DE1806" w:rsidP="00D62CD6">
      <w:pPr>
        <w:pStyle w:val="ManualNumPar1"/>
        <w:rPr>
          <w:noProof/>
        </w:rPr>
      </w:pPr>
      <w:r w:rsidRPr="006C2791">
        <w:rPr>
          <w:noProof/>
        </w:rPr>
        <w:t>3.</w:t>
      </w:r>
      <w:r w:rsidR="0039691F" w:rsidRPr="006C2791">
        <w:rPr>
          <w:noProof/>
        </w:rPr>
        <w:tab/>
      </w:r>
      <w:r w:rsidRPr="006C2791">
        <w:rPr>
          <w:noProof/>
        </w:rPr>
        <w:t>Where reference is made to this paragraph, Article 4 of Regulation (EU) No 182/2011 shall apply.</w:t>
      </w:r>
    </w:p>
    <w:p w:rsidR="00DE1806" w:rsidRPr="006C2791" w:rsidRDefault="00DE1806" w:rsidP="00D62CD6">
      <w:pPr>
        <w:pStyle w:val="ManualNumPar1"/>
        <w:rPr>
          <w:noProof/>
        </w:rPr>
      </w:pPr>
      <w:r w:rsidRPr="006C2791">
        <w:rPr>
          <w:noProof/>
        </w:rPr>
        <w:t>4.</w:t>
      </w:r>
      <w:r w:rsidR="0039691F" w:rsidRPr="006C2791">
        <w:rPr>
          <w:noProof/>
        </w:rPr>
        <w:tab/>
      </w:r>
      <w:r w:rsidRPr="006C2791">
        <w:rPr>
          <w:noProof/>
        </w:rPr>
        <w:t>Where reference is made to this paragraph, Article 5 of Regulation (EU) No 182/2011 shall apply.</w:t>
      </w:r>
    </w:p>
    <w:p w:rsidR="00DE1806" w:rsidRPr="006C2791" w:rsidRDefault="00DE1806" w:rsidP="00D62CD6">
      <w:pPr>
        <w:pStyle w:val="ManualNumPar1"/>
        <w:rPr>
          <w:noProof/>
        </w:rPr>
      </w:pPr>
      <w:r w:rsidRPr="006C2791">
        <w:rPr>
          <w:noProof/>
        </w:rPr>
        <w:t>5.</w:t>
      </w:r>
      <w:r w:rsidR="0039691F" w:rsidRPr="006C2791">
        <w:rPr>
          <w:noProof/>
        </w:rPr>
        <w:tab/>
      </w:r>
      <w:r w:rsidRPr="006C2791">
        <w:rPr>
          <w:noProof/>
        </w:rPr>
        <w:t>Where the opinion of the Committee is to be obtained by written procedure, that procedure shall be terminated without result where the chair of the Committee so decides or a simple majority of Committee members so requests within the time-limit for delivery of the opinion.</w:t>
      </w:r>
    </w:p>
    <w:p w:rsidR="00DE1806" w:rsidRPr="006C2791" w:rsidRDefault="00DE1806" w:rsidP="00D62CD6">
      <w:pPr>
        <w:pStyle w:val="ManualNumPar1"/>
        <w:rPr>
          <w:noProof/>
        </w:rPr>
      </w:pPr>
      <w:r w:rsidRPr="006C2791">
        <w:rPr>
          <w:noProof/>
        </w:rPr>
        <w:t>6.</w:t>
      </w:r>
      <w:r w:rsidR="0039691F" w:rsidRPr="006C2791">
        <w:rPr>
          <w:noProof/>
        </w:rPr>
        <w:tab/>
      </w:r>
      <w:r w:rsidRPr="006C2791">
        <w:rPr>
          <w:noProof/>
        </w:rPr>
        <w:t>The Commission shall regularly inform the Committee of the overall progress of the implementation of the Euratom Programme and shall provide the Committee with timely information on all actions proposed or funded under the Euratom Programme.</w:t>
      </w:r>
    </w:p>
    <w:p w:rsidR="00DE1806" w:rsidRPr="006C2791" w:rsidRDefault="00DE1806" w:rsidP="00DE1806">
      <w:pPr>
        <w:pStyle w:val="Titrearticle"/>
        <w:rPr>
          <w:noProof/>
        </w:rPr>
      </w:pPr>
      <w:r w:rsidRPr="006C2791">
        <w:rPr>
          <w:noProof/>
        </w:rPr>
        <w:t>Article 17</w:t>
      </w:r>
    </w:p>
    <w:p w:rsidR="00DE1806" w:rsidRPr="000350FD" w:rsidRDefault="00DE1806" w:rsidP="000350FD">
      <w:pPr>
        <w:spacing w:before="360" w:after="360"/>
        <w:jc w:val="center"/>
        <w:rPr>
          <w:b/>
          <w:bCs/>
          <w:noProof/>
        </w:rPr>
      </w:pPr>
      <w:r w:rsidRPr="000350FD">
        <w:rPr>
          <w:b/>
          <w:bCs/>
          <w:noProof/>
        </w:rPr>
        <w:t>Protection of financial interests of the Union</w:t>
      </w:r>
    </w:p>
    <w:p w:rsidR="00DE1806" w:rsidRPr="006C2791" w:rsidRDefault="00DE1806" w:rsidP="00DE1806">
      <w:pPr>
        <w:rPr>
          <w:noProof/>
        </w:rPr>
      </w:pPr>
      <w:r w:rsidRPr="006C2791">
        <w:rPr>
          <w:noProof/>
        </w:rPr>
        <w:t>Where a third country participates in the Euratom Programme by means of a decision adopted pursuant to an international agreement or on the basis of any other legal instrument, the third country shall grant the necessary rights and access required for the authorising officer responsible, OLAF and the Court of Auditors to comprehensively exercise their respective competences. In the case of OLAF, such rights shall include the right to carry out investigations, including on-the-spot checks and inspections, as provided for in Regulation (EU, Euratom) No 883/2013.</w:t>
      </w:r>
    </w:p>
    <w:p w:rsidR="00DE1806" w:rsidRPr="006C2791" w:rsidRDefault="00DE1806" w:rsidP="0039691F">
      <w:pPr>
        <w:pStyle w:val="ChapterTitle"/>
        <w:rPr>
          <w:noProof/>
        </w:rPr>
      </w:pPr>
      <w:r w:rsidRPr="006C2791">
        <w:rPr>
          <w:noProof/>
        </w:rPr>
        <w:t>C</w:t>
      </w:r>
      <w:r w:rsidR="0039691F" w:rsidRPr="006C2791">
        <w:rPr>
          <w:noProof/>
        </w:rPr>
        <w:t>hapter</w:t>
      </w:r>
      <w:r w:rsidRPr="006C2791">
        <w:rPr>
          <w:noProof/>
        </w:rPr>
        <w:t xml:space="preserve"> III</w:t>
      </w:r>
    </w:p>
    <w:p w:rsidR="00DE1806" w:rsidRPr="006C2791" w:rsidRDefault="00DE1806" w:rsidP="0039691F">
      <w:pPr>
        <w:pStyle w:val="ChapterTitle"/>
        <w:rPr>
          <w:noProof/>
        </w:rPr>
      </w:pPr>
      <w:r w:rsidRPr="006C2791">
        <w:rPr>
          <w:noProof/>
        </w:rPr>
        <w:t>Transitional and final provisions</w:t>
      </w:r>
    </w:p>
    <w:p w:rsidR="00DE1806" w:rsidRPr="006C2791" w:rsidRDefault="00DE1806" w:rsidP="00DE1806">
      <w:pPr>
        <w:pStyle w:val="Titrearticle"/>
        <w:rPr>
          <w:noProof/>
        </w:rPr>
      </w:pPr>
      <w:r w:rsidRPr="006C2791">
        <w:rPr>
          <w:noProof/>
        </w:rPr>
        <w:t>Article 18</w:t>
      </w:r>
    </w:p>
    <w:p w:rsidR="00DE1806" w:rsidRPr="000350FD" w:rsidRDefault="00DE1806" w:rsidP="000350FD">
      <w:pPr>
        <w:spacing w:before="360" w:after="360"/>
        <w:jc w:val="center"/>
        <w:rPr>
          <w:b/>
          <w:bCs/>
          <w:noProof/>
        </w:rPr>
      </w:pPr>
      <w:r w:rsidRPr="000350FD">
        <w:rPr>
          <w:b/>
          <w:bCs/>
          <w:noProof/>
        </w:rPr>
        <w:t>Repeal</w:t>
      </w:r>
    </w:p>
    <w:p w:rsidR="00DE1806" w:rsidRPr="006C2791" w:rsidRDefault="00293668" w:rsidP="00DE1806">
      <w:pPr>
        <w:rPr>
          <w:noProof/>
        </w:rPr>
      </w:pPr>
      <w:r w:rsidRPr="006C2791">
        <w:rPr>
          <w:noProof/>
        </w:rPr>
        <w:t xml:space="preserve">Council </w:t>
      </w:r>
      <w:r w:rsidR="00DE1806" w:rsidRPr="006C2791">
        <w:rPr>
          <w:noProof/>
        </w:rPr>
        <w:t xml:space="preserve">Regulation (Euratom) </w:t>
      </w:r>
      <w:r w:rsidRPr="006C2791">
        <w:rPr>
          <w:noProof/>
        </w:rPr>
        <w:t>2021/765</w:t>
      </w:r>
      <w:r w:rsidR="00DE1806" w:rsidRPr="006C2791">
        <w:rPr>
          <w:noProof/>
        </w:rPr>
        <w:t xml:space="preserve"> is repealed</w:t>
      </w:r>
      <w:r w:rsidRPr="006C2791">
        <w:rPr>
          <w:noProof/>
        </w:rPr>
        <w:t xml:space="preserve"> with effect from 1 January 2026</w:t>
      </w:r>
      <w:r w:rsidR="00DE1806" w:rsidRPr="006C2791">
        <w:rPr>
          <w:noProof/>
        </w:rPr>
        <w:t>.</w:t>
      </w:r>
    </w:p>
    <w:p w:rsidR="00DE1806" w:rsidRPr="006C2791" w:rsidRDefault="00DE1806" w:rsidP="00DE1806">
      <w:pPr>
        <w:pStyle w:val="Titrearticle"/>
        <w:rPr>
          <w:noProof/>
        </w:rPr>
      </w:pPr>
      <w:r w:rsidRPr="006C2791">
        <w:rPr>
          <w:noProof/>
        </w:rPr>
        <w:t>Article 19</w:t>
      </w:r>
    </w:p>
    <w:p w:rsidR="00DE1806" w:rsidRPr="000350FD" w:rsidRDefault="00DE1806" w:rsidP="000350FD">
      <w:pPr>
        <w:spacing w:before="360" w:after="360"/>
        <w:jc w:val="center"/>
        <w:rPr>
          <w:b/>
          <w:bCs/>
          <w:noProof/>
        </w:rPr>
      </w:pPr>
      <w:r w:rsidRPr="000350FD">
        <w:rPr>
          <w:b/>
          <w:bCs/>
          <w:noProof/>
        </w:rPr>
        <w:t>Transitional provisions</w:t>
      </w:r>
    </w:p>
    <w:p w:rsidR="00DE1806" w:rsidRPr="006C2791" w:rsidRDefault="00DE1806" w:rsidP="00D62CD6">
      <w:pPr>
        <w:pStyle w:val="ManualNumPar1"/>
        <w:rPr>
          <w:noProof/>
        </w:rPr>
      </w:pPr>
      <w:r w:rsidRPr="006C2791">
        <w:rPr>
          <w:noProof/>
        </w:rPr>
        <w:t>1.</w:t>
      </w:r>
      <w:r w:rsidR="0039691F" w:rsidRPr="006C2791">
        <w:rPr>
          <w:noProof/>
        </w:rPr>
        <w:tab/>
      </w:r>
      <w:r w:rsidRPr="006C2791">
        <w:rPr>
          <w:noProof/>
        </w:rPr>
        <w:t xml:space="preserve">This Regulation shall not affect the continuation of or modification of actions initiated pursuant to </w:t>
      </w:r>
      <w:r w:rsidR="00293668" w:rsidRPr="006C2791">
        <w:rPr>
          <w:noProof/>
        </w:rPr>
        <w:t xml:space="preserve">Council </w:t>
      </w:r>
      <w:r w:rsidRPr="006C2791">
        <w:rPr>
          <w:noProof/>
        </w:rPr>
        <w:t xml:space="preserve">Regulation (Euratom) </w:t>
      </w:r>
      <w:r w:rsidR="00293668" w:rsidRPr="006C2791">
        <w:rPr>
          <w:noProof/>
        </w:rPr>
        <w:t>2021/765</w:t>
      </w:r>
      <w:r w:rsidRPr="006C2791">
        <w:rPr>
          <w:noProof/>
        </w:rPr>
        <w:t>, which shall continue to apply to those actions until their closure.</w:t>
      </w:r>
    </w:p>
    <w:p w:rsidR="00DE1806" w:rsidRPr="006C2791" w:rsidRDefault="00DE1806" w:rsidP="00D62CD6">
      <w:pPr>
        <w:pStyle w:val="ManualNumPar1"/>
        <w:rPr>
          <w:noProof/>
        </w:rPr>
      </w:pPr>
      <w:r w:rsidRPr="006C2791">
        <w:rPr>
          <w:noProof/>
        </w:rPr>
        <w:t>2.</w:t>
      </w:r>
      <w:r w:rsidR="0039691F" w:rsidRPr="006C2791">
        <w:rPr>
          <w:noProof/>
        </w:rPr>
        <w:tab/>
      </w:r>
      <w:r w:rsidRPr="006C2791">
        <w:rPr>
          <w:noProof/>
        </w:rPr>
        <w:t xml:space="preserve">Where necessary, any remaining tasks of the Committee established by </w:t>
      </w:r>
      <w:r w:rsidR="00293668" w:rsidRPr="006C2791">
        <w:rPr>
          <w:noProof/>
        </w:rPr>
        <w:t xml:space="preserve">Council </w:t>
      </w:r>
      <w:r w:rsidRPr="006C2791">
        <w:rPr>
          <w:noProof/>
        </w:rPr>
        <w:t xml:space="preserve">Regulation (Euratom) </w:t>
      </w:r>
      <w:r w:rsidR="00293668" w:rsidRPr="006C2791">
        <w:rPr>
          <w:noProof/>
        </w:rPr>
        <w:t>2021/765</w:t>
      </w:r>
      <w:r w:rsidRPr="006C2791">
        <w:rPr>
          <w:noProof/>
        </w:rPr>
        <w:t xml:space="preserve"> shall be undertaken by the Committee referred to in Article 16 of this Regulation.</w:t>
      </w:r>
    </w:p>
    <w:p w:rsidR="008F031D" w:rsidRPr="006C2791" w:rsidRDefault="00DE1806" w:rsidP="00D62CD6">
      <w:pPr>
        <w:pStyle w:val="ManualNumPar1"/>
        <w:rPr>
          <w:noProof/>
        </w:rPr>
      </w:pPr>
      <w:r w:rsidRPr="006C2791">
        <w:rPr>
          <w:noProof/>
        </w:rPr>
        <w:t>3.</w:t>
      </w:r>
      <w:r w:rsidR="0039691F" w:rsidRPr="006C2791">
        <w:rPr>
          <w:noProof/>
        </w:rPr>
        <w:tab/>
      </w:r>
      <w:r w:rsidRPr="006C2791">
        <w:rPr>
          <w:noProof/>
        </w:rPr>
        <w:t xml:space="preserve">The financial envelope for the Euratom Programme may also cover technical and administrative assistance expenses necessary to ensure the transition between the Euratom Programme and the measures adopted pursuant to </w:t>
      </w:r>
      <w:r w:rsidR="00293668" w:rsidRPr="006C2791">
        <w:rPr>
          <w:noProof/>
        </w:rPr>
        <w:t xml:space="preserve">Council </w:t>
      </w:r>
      <w:r w:rsidRPr="006C2791">
        <w:rPr>
          <w:noProof/>
        </w:rPr>
        <w:t xml:space="preserve">Regulation (Euratom) </w:t>
      </w:r>
      <w:r w:rsidR="00293668" w:rsidRPr="006C2791">
        <w:rPr>
          <w:noProof/>
        </w:rPr>
        <w:t>2021/765</w:t>
      </w:r>
      <w:r w:rsidRPr="006C2791">
        <w:rPr>
          <w:noProof/>
        </w:rPr>
        <w:t>.</w:t>
      </w:r>
    </w:p>
    <w:p w:rsidR="008F031D" w:rsidRPr="006C2791" w:rsidRDefault="008F031D" w:rsidP="005A7A15">
      <w:pPr>
        <w:pStyle w:val="Titrearticle"/>
        <w:rPr>
          <w:noProof/>
        </w:rPr>
      </w:pPr>
      <w:r w:rsidRPr="006C2791">
        <w:rPr>
          <w:noProof/>
        </w:rPr>
        <w:t>Article</w:t>
      </w:r>
      <w:r w:rsidR="00DE1806" w:rsidRPr="006C2791">
        <w:rPr>
          <w:noProof/>
        </w:rPr>
        <w:t xml:space="preserve"> 20</w:t>
      </w:r>
    </w:p>
    <w:p w:rsidR="00DE1806" w:rsidRPr="000350FD" w:rsidRDefault="00DE1806" w:rsidP="000350FD">
      <w:pPr>
        <w:spacing w:before="360" w:after="360"/>
        <w:jc w:val="center"/>
        <w:rPr>
          <w:b/>
          <w:bCs/>
          <w:noProof/>
        </w:rPr>
      </w:pPr>
      <w:r w:rsidRPr="000350FD">
        <w:rPr>
          <w:b/>
          <w:bCs/>
          <w:noProof/>
        </w:rPr>
        <w:t>Entry into force</w:t>
      </w:r>
    </w:p>
    <w:p w:rsidR="00293668" w:rsidRPr="006C2791" w:rsidRDefault="008F031D" w:rsidP="005A7A15">
      <w:pPr>
        <w:rPr>
          <w:noProof/>
        </w:rPr>
      </w:pPr>
      <w:r w:rsidRPr="006C2791">
        <w:rPr>
          <w:noProof/>
        </w:rPr>
        <w:t xml:space="preserve">This Regulation shall enter into force on the day of its publication in the </w:t>
      </w:r>
      <w:r w:rsidRPr="006C2791">
        <w:rPr>
          <w:i/>
          <w:noProof/>
        </w:rPr>
        <w:t>Official Journal of the European Union</w:t>
      </w:r>
      <w:r w:rsidRPr="006C2791">
        <w:rPr>
          <w:noProof/>
        </w:rPr>
        <w:t>.</w:t>
      </w:r>
    </w:p>
    <w:p w:rsidR="008F031D" w:rsidRPr="006C2791" w:rsidRDefault="008F031D" w:rsidP="005A7A15">
      <w:pPr>
        <w:pStyle w:val="Applicationdirecte"/>
        <w:rPr>
          <w:noProof/>
        </w:rPr>
      </w:pPr>
      <w:r w:rsidRPr="006C2791">
        <w:rPr>
          <w:noProof/>
        </w:rPr>
        <w:t>This Regulation shall be binding in its entirety and directly applicable in all Member States.</w:t>
      </w:r>
    </w:p>
    <w:p w:rsidR="008F031D" w:rsidRPr="006C2791" w:rsidRDefault="00262187" w:rsidP="00150510">
      <w:pPr>
        <w:pStyle w:val="Fait"/>
        <w:rPr>
          <w:noProof/>
        </w:rPr>
      </w:pPr>
      <w:r>
        <w:rPr>
          <w:noProof/>
        </w:rPr>
        <w:t>Done at Brussels,</w:t>
      </w:r>
    </w:p>
    <w:p w:rsidR="008F031D" w:rsidRPr="006C2791" w:rsidRDefault="008F031D" w:rsidP="00150510">
      <w:pPr>
        <w:pStyle w:val="Institutionquisigne"/>
        <w:rPr>
          <w:noProof/>
        </w:rPr>
      </w:pPr>
      <w:r w:rsidRPr="006C2791">
        <w:rPr>
          <w:noProof/>
        </w:rPr>
        <w:tab/>
        <w:t>For the Council</w:t>
      </w:r>
    </w:p>
    <w:p w:rsidR="008F031D" w:rsidRPr="006C2791" w:rsidRDefault="008F031D" w:rsidP="008F031D">
      <w:pPr>
        <w:pStyle w:val="Personnequisigne"/>
        <w:rPr>
          <w:noProof/>
        </w:rPr>
      </w:pPr>
      <w:r w:rsidRPr="006C2791">
        <w:rPr>
          <w:noProof/>
        </w:rPr>
        <w:tab/>
        <w:t>The President</w:t>
      </w:r>
    </w:p>
    <w:p w:rsidR="008F031D" w:rsidRPr="006C2791" w:rsidRDefault="008F031D" w:rsidP="008F031D">
      <w:pPr>
        <w:rPr>
          <w:noProof/>
        </w:rPr>
        <w:sectPr w:rsidR="008F031D" w:rsidRPr="006C2791" w:rsidSect="008A2E9F">
          <w:footnotePr>
            <w:numRestart w:val="eachSect"/>
          </w:footnotePr>
          <w:pgSz w:w="11907" w:h="16839"/>
          <w:pgMar w:top="1134" w:right="1417" w:bottom="1134" w:left="1417" w:header="709" w:footer="709" w:gutter="0"/>
          <w:cols w:space="708"/>
          <w:docGrid w:linePitch="360"/>
        </w:sectPr>
      </w:pPr>
    </w:p>
    <w:p w:rsidR="008F031D" w:rsidRPr="006C2791" w:rsidRDefault="008F031D" w:rsidP="003D5244">
      <w:pPr>
        <w:pStyle w:val="Fichefinanciretitre"/>
        <w:keepNext/>
        <w:rPr>
          <w:noProof/>
          <w:highlight w:val="lightGray"/>
        </w:rPr>
      </w:pPr>
      <w:bookmarkStart w:id="11" w:name="_TocB7751C055C4744A28A002AAF436526DF"/>
      <w:r w:rsidRPr="006C2791">
        <w:rPr>
          <w:noProof/>
          <w:highlight w:val="lightGray"/>
        </w:rPr>
        <w:t xml:space="preserve">LEGISLATIVE FINANCIAL </w:t>
      </w:r>
      <w:r w:rsidR="00DA7FE3">
        <w:rPr>
          <w:noProof/>
          <w:highlight w:val="lightGray"/>
        </w:rPr>
        <w:t xml:space="preserve">AND DIGITAL </w:t>
      </w:r>
      <w:r w:rsidRPr="006C2791">
        <w:rPr>
          <w:noProof/>
          <w:highlight w:val="lightGray"/>
        </w:rPr>
        <w:t>STATEMENT</w:t>
      </w:r>
      <w:bookmarkEnd w:id="11"/>
    </w:p>
    <w:p w:rsidR="008F031D" w:rsidRPr="006C2791" w:rsidRDefault="008F031D" w:rsidP="003D5244">
      <w:pPr>
        <w:pStyle w:val="ManualHeading1"/>
        <w:rPr>
          <w:noProof/>
          <w:highlight w:val="lightGray"/>
        </w:rPr>
      </w:pPr>
      <w:r w:rsidRPr="006C2791">
        <w:rPr>
          <w:noProof/>
          <w:highlight w:val="lightGray"/>
        </w:rPr>
        <w:t>1.</w:t>
      </w:r>
      <w:r w:rsidRPr="006C2791">
        <w:rPr>
          <w:noProof/>
          <w:highlight w:val="lightGray"/>
        </w:rPr>
        <w:tab/>
        <w:t>FRAMEWORK OF THE PROPOSAL/INITIATIVE</w:t>
      </w:r>
    </w:p>
    <w:p w:rsidR="008F031D" w:rsidRPr="006C2791" w:rsidRDefault="008F031D" w:rsidP="003D5244">
      <w:pPr>
        <w:pStyle w:val="ManualHeading2"/>
        <w:rPr>
          <w:noProof/>
          <w:highlight w:val="lightGray"/>
        </w:rPr>
      </w:pPr>
      <w:r w:rsidRPr="006C2791">
        <w:rPr>
          <w:noProof/>
          <w:highlight w:val="lightGray"/>
        </w:rPr>
        <w:t>1.1.</w:t>
      </w:r>
      <w:r w:rsidRPr="006C2791">
        <w:rPr>
          <w:noProof/>
          <w:highlight w:val="lightGray"/>
        </w:rPr>
        <w:tab/>
        <w:t>Title of the proposal/initiative</w:t>
      </w:r>
    </w:p>
    <w:p w:rsidR="008F031D" w:rsidRPr="006C2791" w:rsidRDefault="008F031D" w:rsidP="003D5244">
      <w:pPr>
        <w:pStyle w:val="ManualHeading2"/>
        <w:rPr>
          <w:noProof/>
          <w:highlight w:val="lightGray"/>
        </w:rPr>
      </w:pPr>
      <w:r w:rsidRPr="006C2791">
        <w:rPr>
          <w:noProof/>
          <w:highlight w:val="lightGray"/>
        </w:rPr>
        <w:t>1.2.</w:t>
      </w:r>
      <w:r w:rsidRPr="006C2791">
        <w:rPr>
          <w:noProof/>
          <w:highlight w:val="lightGray"/>
        </w:rPr>
        <w:tab/>
        <w:t>Policy area(s) concerned</w:t>
      </w:r>
    </w:p>
    <w:p w:rsidR="008F031D" w:rsidRPr="006C2791" w:rsidRDefault="008F031D" w:rsidP="003D5244">
      <w:pPr>
        <w:pStyle w:val="ManualHeading2"/>
        <w:rPr>
          <w:noProof/>
          <w:highlight w:val="lightGray"/>
        </w:rPr>
      </w:pPr>
      <w:r w:rsidRPr="006C2791">
        <w:rPr>
          <w:noProof/>
          <w:highlight w:val="lightGray"/>
        </w:rPr>
        <w:t>1.</w:t>
      </w:r>
      <w:r w:rsidR="0015700C">
        <w:rPr>
          <w:noProof/>
          <w:highlight w:val="lightGray"/>
        </w:rPr>
        <w:t>3</w:t>
      </w:r>
      <w:r w:rsidRPr="006C2791">
        <w:rPr>
          <w:noProof/>
          <w:highlight w:val="lightGray"/>
        </w:rPr>
        <w:t>.</w:t>
      </w:r>
      <w:r w:rsidRPr="006C2791">
        <w:rPr>
          <w:noProof/>
          <w:highlight w:val="lightGray"/>
        </w:rPr>
        <w:tab/>
        <w:t>Objective(s)</w:t>
      </w:r>
    </w:p>
    <w:p w:rsidR="008F031D" w:rsidRPr="006C2791" w:rsidRDefault="008F031D" w:rsidP="003D5244">
      <w:pPr>
        <w:pStyle w:val="ManualHeading3"/>
        <w:rPr>
          <w:noProof/>
          <w:highlight w:val="lightGray"/>
        </w:rPr>
      </w:pPr>
      <w:r w:rsidRPr="006C2791">
        <w:rPr>
          <w:noProof/>
          <w:highlight w:val="lightGray"/>
        </w:rPr>
        <w:t>1.</w:t>
      </w:r>
      <w:r w:rsidR="003A14DC">
        <w:rPr>
          <w:noProof/>
          <w:highlight w:val="lightGray"/>
        </w:rPr>
        <w:t>3</w:t>
      </w:r>
      <w:r w:rsidRPr="006C2791">
        <w:rPr>
          <w:noProof/>
          <w:highlight w:val="lightGray"/>
        </w:rPr>
        <w:t>.1.</w:t>
      </w:r>
      <w:r w:rsidRPr="006C2791">
        <w:rPr>
          <w:noProof/>
          <w:highlight w:val="lightGray"/>
        </w:rPr>
        <w:tab/>
        <w:t>General objective(s)</w:t>
      </w:r>
    </w:p>
    <w:p w:rsidR="008F031D" w:rsidRPr="006C2791" w:rsidRDefault="008F031D" w:rsidP="003D5244">
      <w:pPr>
        <w:pStyle w:val="ManualHeading3"/>
        <w:rPr>
          <w:noProof/>
          <w:highlight w:val="lightGray"/>
        </w:rPr>
      </w:pPr>
      <w:r w:rsidRPr="006C2791">
        <w:rPr>
          <w:noProof/>
          <w:highlight w:val="lightGray"/>
        </w:rPr>
        <w:t>1.</w:t>
      </w:r>
      <w:r w:rsidR="003A14DC">
        <w:rPr>
          <w:noProof/>
          <w:highlight w:val="lightGray"/>
        </w:rPr>
        <w:t>3</w:t>
      </w:r>
      <w:r w:rsidRPr="006C2791">
        <w:rPr>
          <w:noProof/>
          <w:highlight w:val="lightGray"/>
        </w:rPr>
        <w:t>.2.</w:t>
      </w:r>
      <w:r w:rsidRPr="006C2791">
        <w:rPr>
          <w:noProof/>
          <w:highlight w:val="lightGray"/>
        </w:rPr>
        <w:tab/>
        <w:t>Specific objective(s)</w:t>
      </w:r>
    </w:p>
    <w:p w:rsidR="008F031D" w:rsidRPr="006C2791" w:rsidRDefault="008F031D" w:rsidP="003D5244">
      <w:pPr>
        <w:pStyle w:val="ManualHeading3"/>
        <w:rPr>
          <w:noProof/>
          <w:highlight w:val="lightGray"/>
        </w:rPr>
      </w:pPr>
      <w:r w:rsidRPr="006C2791">
        <w:rPr>
          <w:noProof/>
          <w:highlight w:val="lightGray"/>
        </w:rPr>
        <w:t>1.</w:t>
      </w:r>
      <w:r w:rsidR="003A14DC">
        <w:rPr>
          <w:noProof/>
          <w:highlight w:val="lightGray"/>
        </w:rPr>
        <w:t>3</w:t>
      </w:r>
      <w:r w:rsidRPr="006C2791">
        <w:rPr>
          <w:noProof/>
          <w:highlight w:val="lightGray"/>
        </w:rPr>
        <w:t>.3.</w:t>
      </w:r>
      <w:r w:rsidRPr="006C2791">
        <w:rPr>
          <w:noProof/>
          <w:highlight w:val="lightGray"/>
        </w:rPr>
        <w:tab/>
        <w:t>Expected result(s) and impact</w:t>
      </w:r>
    </w:p>
    <w:p w:rsidR="008F031D" w:rsidRPr="006C2791" w:rsidRDefault="008F031D" w:rsidP="003D5244">
      <w:pPr>
        <w:pStyle w:val="ManualHeading3"/>
        <w:rPr>
          <w:noProof/>
          <w:highlight w:val="lightGray"/>
        </w:rPr>
      </w:pPr>
      <w:r w:rsidRPr="006C2791">
        <w:rPr>
          <w:noProof/>
          <w:highlight w:val="lightGray"/>
        </w:rPr>
        <w:t>1.</w:t>
      </w:r>
      <w:r w:rsidR="003A14DC">
        <w:rPr>
          <w:noProof/>
          <w:highlight w:val="lightGray"/>
        </w:rPr>
        <w:t>3</w:t>
      </w:r>
      <w:r w:rsidRPr="006C2791">
        <w:rPr>
          <w:noProof/>
          <w:highlight w:val="lightGray"/>
        </w:rPr>
        <w:t>.4.</w:t>
      </w:r>
      <w:r w:rsidRPr="006C2791">
        <w:rPr>
          <w:noProof/>
          <w:highlight w:val="lightGray"/>
        </w:rPr>
        <w:tab/>
        <w:t>Indicators of performance</w:t>
      </w:r>
    </w:p>
    <w:p w:rsidR="0015700C" w:rsidRPr="006C2791" w:rsidRDefault="0015700C" w:rsidP="0015700C">
      <w:pPr>
        <w:pStyle w:val="ManualHeading2"/>
        <w:rPr>
          <w:noProof/>
          <w:highlight w:val="lightGray"/>
        </w:rPr>
      </w:pPr>
      <w:r w:rsidRPr="006C2791">
        <w:rPr>
          <w:noProof/>
          <w:highlight w:val="lightGray"/>
        </w:rPr>
        <w:t>1.</w:t>
      </w:r>
      <w:r>
        <w:rPr>
          <w:noProof/>
          <w:highlight w:val="lightGray"/>
        </w:rPr>
        <w:t>4</w:t>
      </w:r>
      <w:r w:rsidRPr="006C2791">
        <w:rPr>
          <w:noProof/>
          <w:highlight w:val="lightGray"/>
        </w:rPr>
        <w:t>.</w:t>
      </w:r>
      <w:r w:rsidRPr="006C2791">
        <w:rPr>
          <w:noProof/>
          <w:highlight w:val="lightGray"/>
        </w:rPr>
        <w:tab/>
        <w:t>The proposal/initiative relates to:</w:t>
      </w:r>
    </w:p>
    <w:p w:rsidR="008F031D" w:rsidRPr="006C2791" w:rsidRDefault="008F031D" w:rsidP="003D5244">
      <w:pPr>
        <w:pStyle w:val="ManualHeading2"/>
        <w:rPr>
          <w:noProof/>
          <w:highlight w:val="lightGray"/>
        </w:rPr>
      </w:pPr>
      <w:r w:rsidRPr="006C2791">
        <w:rPr>
          <w:noProof/>
          <w:highlight w:val="lightGray"/>
        </w:rPr>
        <w:t>1.5.</w:t>
      </w:r>
      <w:r w:rsidRPr="006C2791">
        <w:rPr>
          <w:noProof/>
          <w:highlight w:val="lightGray"/>
        </w:rPr>
        <w:tab/>
        <w:t>Grounds for the proposal/initiative</w:t>
      </w:r>
    </w:p>
    <w:p w:rsidR="008F031D" w:rsidRPr="006C2791" w:rsidRDefault="008F031D" w:rsidP="003D5244">
      <w:pPr>
        <w:pStyle w:val="ManualHeading3"/>
        <w:rPr>
          <w:noProof/>
          <w:highlight w:val="lightGray"/>
        </w:rPr>
      </w:pPr>
      <w:r w:rsidRPr="006C2791">
        <w:rPr>
          <w:noProof/>
          <w:highlight w:val="lightGray"/>
        </w:rPr>
        <w:t>1.5.1.</w:t>
      </w:r>
      <w:r w:rsidRPr="006C2791">
        <w:rPr>
          <w:noProof/>
          <w:highlight w:val="lightGray"/>
        </w:rPr>
        <w:tab/>
        <w:t>Requirement(s) to be met in the short or long term including a detailed timeline for roll-out of the implementation of the initiative</w:t>
      </w:r>
    </w:p>
    <w:p w:rsidR="008F031D" w:rsidRPr="006C2791" w:rsidRDefault="008F031D" w:rsidP="003D5244">
      <w:pPr>
        <w:pStyle w:val="ManualHeading3"/>
        <w:rPr>
          <w:noProof/>
          <w:highlight w:val="lightGray"/>
        </w:rPr>
      </w:pPr>
      <w:r w:rsidRPr="006C2791">
        <w:rPr>
          <w:noProof/>
          <w:highlight w:val="lightGray"/>
        </w:rPr>
        <w:t>1.5.2.</w:t>
      </w:r>
      <w:r w:rsidRPr="006C2791">
        <w:rPr>
          <w:noProof/>
          <w:highlight w:val="lightGray"/>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8F031D" w:rsidRPr="006C2791" w:rsidRDefault="008F031D" w:rsidP="003D5244">
      <w:pPr>
        <w:pStyle w:val="ManualHeading3"/>
        <w:rPr>
          <w:noProof/>
          <w:highlight w:val="lightGray"/>
        </w:rPr>
      </w:pPr>
      <w:r w:rsidRPr="006C2791">
        <w:rPr>
          <w:noProof/>
          <w:highlight w:val="lightGray"/>
        </w:rPr>
        <w:t>1.5.3.</w:t>
      </w:r>
      <w:r w:rsidRPr="006C2791">
        <w:rPr>
          <w:noProof/>
          <w:highlight w:val="lightGray"/>
        </w:rPr>
        <w:tab/>
        <w:t>Lessons learned from similar experiences in the past</w:t>
      </w:r>
    </w:p>
    <w:p w:rsidR="008F031D" w:rsidRPr="006C2791" w:rsidRDefault="008F031D" w:rsidP="003D5244">
      <w:pPr>
        <w:pStyle w:val="ManualHeading3"/>
        <w:rPr>
          <w:noProof/>
          <w:highlight w:val="lightGray"/>
        </w:rPr>
      </w:pPr>
      <w:r w:rsidRPr="006C2791">
        <w:rPr>
          <w:noProof/>
          <w:highlight w:val="lightGray"/>
        </w:rPr>
        <w:t>1.5.4.</w:t>
      </w:r>
      <w:r w:rsidRPr="006C2791">
        <w:rPr>
          <w:noProof/>
          <w:highlight w:val="lightGray"/>
        </w:rPr>
        <w:tab/>
        <w:t>Compatibility with the Multiannual Financial Framework and possible synergies with other appropriate instruments</w:t>
      </w:r>
    </w:p>
    <w:p w:rsidR="008F031D" w:rsidRPr="006C2791" w:rsidRDefault="008F031D" w:rsidP="003D5244">
      <w:pPr>
        <w:pStyle w:val="ManualHeading3"/>
        <w:rPr>
          <w:noProof/>
          <w:highlight w:val="lightGray"/>
        </w:rPr>
      </w:pPr>
      <w:r w:rsidRPr="006C2791">
        <w:rPr>
          <w:noProof/>
          <w:highlight w:val="lightGray"/>
        </w:rPr>
        <w:t>1.5.5.</w:t>
      </w:r>
      <w:r w:rsidRPr="006C2791">
        <w:rPr>
          <w:noProof/>
          <w:highlight w:val="lightGray"/>
        </w:rPr>
        <w:tab/>
        <w:t>Assessment of the different available financing options, including scope for redeployment</w:t>
      </w:r>
    </w:p>
    <w:p w:rsidR="008F031D" w:rsidRPr="006C2791" w:rsidRDefault="008F031D" w:rsidP="003D5244">
      <w:pPr>
        <w:pStyle w:val="ManualHeading2"/>
        <w:rPr>
          <w:noProof/>
          <w:highlight w:val="lightGray"/>
        </w:rPr>
      </w:pPr>
      <w:r w:rsidRPr="006C2791">
        <w:rPr>
          <w:noProof/>
          <w:highlight w:val="lightGray"/>
        </w:rPr>
        <w:t>1.6.</w:t>
      </w:r>
      <w:r w:rsidRPr="006C2791">
        <w:rPr>
          <w:noProof/>
          <w:highlight w:val="lightGray"/>
        </w:rPr>
        <w:tab/>
        <w:t>Duration and financial impact of the proposal/initiative</w:t>
      </w:r>
    </w:p>
    <w:p w:rsidR="008F031D" w:rsidRPr="006C2791" w:rsidRDefault="008F031D" w:rsidP="003D5244">
      <w:pPr>
        <w:pStyle w:val="ManualHeading2"/>
        <w:rPr>
          <w:noProof/>
          <w:highlight w:val="lightGray"/>
        </w:rPr>
      </w:pPr>
      <w:r w:rsidRPr="006C2791">
        <w:rPr>
          <w:noProof/>
          <w:highlight w:val="lightGray"/>
        </w:rPr>
        <w:t>1.7.</w:t>
      </w:r>
      <w:r w:rsidRPr="006C2791">
        <w:rPr>
          <w:noProof/>
          <w:highlight w:val="lightGray"/>
        </w:rPr>
        <w:tab/>
        <w:t>Method(s) of budget implementation planned</w:t>
      </w:r>
    </w:p>
    <w:p w:rsidR="008F031D" w:rsidRPr="006C2791" w:rsidRDefault="008F031D" w:rsidP="003D5244">
      <w:pPr>
        <w:pStyle w:val="ManualHeading1"/>
        <w:rPr>
          <w:noProof/>
          <w:highlight w:val="lightGray"/>
        </w:rPr>
      </w:pPr>
      <w:r w:rsidRPr="006C2791">
        <w:rPr>
          <w:noProof/>
          <w:highlight w:val="lightGray"/>
        </w:rPr>
        <w:t>2.</w:t>
      </w:r>
      <w:r w:rsidRPr="006C2791">
        <w:rPr>
          <w:noProof/>
          <w:highlight w:val="lightGray"/>
        </w:rPr>
        <w:tab/>
        <w:t>MANAGEMENT MEASURES</w:t>
      </w:r>
    </w:p>
    <w:p w:rsidR="008F031D" w:rsidRPr="006C2791" w:rsidRDefault="008F031D" w:rsidP="003D5244">
      <w:pPr>
        <w:pStyle w:val="ManualHeading2"/>
        <w:rPr>
          <w:noProof/>
          <w:highlight w:val="lightGray"/>
        </w:rPr>
      </w:pPr>
      <w:r w:rsidRPr="006C2791">
        <w:rPr>
          <w:noProof/>
          <w:highlight w:val="lightGray"/>
        </w:rPr>
        <w:t>2.1.</w:t>
      </w:r>
      <w:r w:rsidRPr="006C2791">
        <w:rPr>
          <w:noProof/>
          <w:highlight w:val="lightGray"/>
        </w:rPr>
        <w:tab/>
        <w:t>Monitoring and reporting rules</w:t>
      </w:r>
    </w:p>
    <w:p w:rsidR="008F031D" w:rsidRPr="006C2791" w:rsidRDefault="008F031D" w:rsidP="003D5244">
      <w:pPr>
        <w:pStyle w:val="ManualHeading2"/>
        <w:rPr>
          <w:noProof/>
          <w:highlight w:val="lightGray"/>
        </w:rPr>
      </w:pPr>
      <w:r w:rsidRPr="006C2791">
        <w:rPr>
          <w:noProof/>
          <w:highlight w:val="lightGray"/>
        </w:rPr>
        <w:t>2.2.</w:t>
      </w:r>
      <w:r w:rsidRPr="006C2791">
        <w:rPr>
          <w:noProof/>
          <w:highlight w:val="lightGray"/>
        </w:rPr>
        <w:tab/>
        <w:t>Management and control system(s)</w:t>
      </w:r>
    </w:p>
    <w:p w:rsidR="008F031D" w:rsidRPr="006C2791" w:rsidRDefault="008F031D" w:rsidP="003D5244">
      <w:pPr>
        <w:pStyle w:val="ManualHeading3"/>
        <w:rPr>
          <w:noProof/>
          <w:highlight w:val="lightGray"/>
        </w:rPr>
      </w:pPr>
      <w:r w:rsidRPr="006C2791">
        <w:rPr>
          <w:noProof/>
          <w:highlight w:val="lightGray"/>
        </w:rPr>
        <w:t>2.2.1.</w:t>
      </w:r>
      <w:r w:rsidRPr="006C2791">
        <w:rPr>
          <w:noProof/>
          <w:highlight w:val="lightGray"/>
        </w:rPr>
        <w:tab/>
        <w:t>Justification of the management mode(s), the funding implementation mechanism(s), the payment modalities and the control strategy proposed</w:t>
      </w:r>
    </w:p>
    <w:p w:rsidR="008F031D" w:rsidRPr="006C2791" w:rsidRDefault="008F031D" w:rsidP="003D5244">
      <w:pPr>
        <w:pStyle w:val="ManualHeading3"/>
        <w:rPr>
          <w:noProof/>
          <w:highlight w:val="lightGray"/>
        </w:rPr>
      </w:pPr>
      <w:r w:rsidRPr="006C2791">
        <w:rPr>
          <w:noProof/>
          <w:highlight w:val="lightGray"/>
        </w:rPr>
        <w:t>2.2.2.</w:t>
      </w:r>
      <w:r w:rsidRPr="006C2791">
        <w:rPr>
          <w:noProof/>
          <w:highlight w:val="lightGray"/>
        </w:rPr>
        <w:tab/>
        <w:t>Information concerning the risks identified and the internal control system(s) set up to mitigate them</w:t>
      </w:r>
    </w:p>
    <w:p w:rsidR="008F031D" w:rsidRPr="006C2791" w:rsidRDefault="008F031D" w:rsidP="003D5244">
      <w:pPr>
        <w:pStyle w:val="ManualHeading3"/>
        <w:rPr>
          <w:noProof/>
          <w:highlight w:val="lightGray"/>
        </w:rPr>
      </w:pPr>
      <w:r w:rsidRPr="006C2791">
        <w:rPr>
          <w:noProof/>
          <w:highlight w:val="lightGray"/>
        </w:rPr>
        <w:t>2.2.3.</w:t>
      </w:r>
      <w:r w:rsidRPr="006C2791">
        <w:rPr>
          <w:noProof/>
          <w:highlight w:val="lightGray"/>
        </w:rPr>
        <w:tab/>
        <w:t>Estimation and justification of the cost-effectiveness of the controls (ratio of "control costs ÷ value of the related funds managed"), and assessment of the expected levels of risk of error (at payment &amp; at closure)</w:t>
      </w:r>
    </w:p>
    <w:p w:rsidR="008F031D" w:rsidRPr="006C2791" w:rsidRDefault="008F031D" w:rsidP="003D5244">
      <w:pPr>
        <w:pStyle w:val="ManualHeading2"/>
        <w:rPr>
          <w:noProof/>
          <w:highlight w:val="lightGray"/>
        </w:rPr>
      </w:pPr>
      <w:r w:rsidRPr="006C2791">
        <w:rPr>
          <w:noProof/>
          <w:highlight w:val="lightGray"/>
        </w:rPr>
        <w:t>2.3.</w:t>
      </w:r>
      <w:r w:rsidRPr="006C2791">
        <w:rPr>
          <w:noProof/>
          <w:highlight w:val="lightGray"/>
        </w:rPr>
        <w:tab/>
        <w:t>Measures to prevent fraud and irregularities</w:t>
      </w:r>
    </w:p>
    <w:p w:rsidR="008F031D" w:rsidRPr="006C2791" w:rsidRDefault="008F031D" w:rsidP="003D5244">
      <w:pPr>
        <w:pStyle w:val="ManualHeading1"/>
        <w:rPr>
          <w:noProof/>
          <w:highlight w:val="lightGray"/>
        </w:rPr>
      </w:pPr>
      <w:r w:rsidRPr="006C2791">
        <w:rPr>
          <w:noProof/>
          <w:highlight w:val="lightGray"/>
        </w:rPr>
        <w:t>3.</w:t>
      </w:r>
      <w:r w:rsidRPr="006C2791">
        <w:rPr>
          <w:noProof/>
          <w:highlight w:val="lightGray"/>
        </w:rPr>
        <w:tab/>
        <w:t>ESTIMATED FINANCIAL IMPACT OF THE PROPOSAL/INITIATIVE</w:t>
      </w:r>
    </w:p>
    <w:p w:rsidR="008F031D" w:rsidRPr="006C2791" w:rsidRDefault="008F031D" w:rsidP="003D5244">
      <w:pPr>
        <w:pStyle w:val="ManualHeading2"/>
        <w:rPr>
          <w:noProof/>
          <w:highlight w:val="lightGray"/>
        </w:rPr>
      </w:pPr>
      <w:r w:rsidRPr="006C2791">
        <w:rPr>
          <w:noProof/>
          <w:highlight w:val="lightGray"/>
        </w:rPr>
        <w:t>3.1.</w:t>
      </w:r>
      <w:r w:rsidRPr="006C2791">
        <w:rPr>
          <w:noProof/>
          <w:highlight w:val="lightGray"/>
        </w:rPr>
        <w:tab/>
        <w:t>Heading(s) of the multiannual financial framework and expenditure budget line(s) affected</w:t>
      </w:r>
    </w:p>
    <w:p w:rsidR="008F031D" w:rsidRPr="006C2791" w:rsidRDefault="008F031D" w:rsidP="003D5244">
      <w:pPr>
        <w:pStyle w:val="ManualHeading2"/>
        <w:rPr>
          <w:noProof/>
          <w:highlight w:val="lightGray"/>
        </w:rPr>
      </w:pPr>
      <w:r w:rsidRPr="006C2791">
        <w:rPr>
          <w:noProof/>
          <w:highlight w:val="lightGray"/>
        </w:rPr>
        <w:t>3.2.</w:t>
      </w:r>
      <w:r w:rsidRPr="006C2791">
        <w:rPr>
          <w:noProof/>
          <w:highlight w:val="lightGray"/>
        </w:rPr>
        <w:tab/>
        <w:t>Estimated financial impact of the proposal on appropriations</w:t>
      </w:r>
    </w:p>
    <w:p w:rsidR="008F031D" w:rsidRDefault="008F031D" w:rsidP="003D5244">
      <w:pPr>
        <w:pStyle w:val="ManualHeading3"/>
        <w:rPr>
          <w:noProof/>
          <w:highlight w:val="lightGray"/>
        </w:rPr>
      </w:pPr>
      <w:r w:rsidRPr="006C2791">
        <w:rPr>
          <w:noProof/>
          <w:highlight w:val="lightGray"/>
        </w:rPr>
        <w:t>3.2.1.</w:t>
      </w:r>
      <w:r w:rsidRPr="006C2791">
        <w:rPr>
          <w:noProof/>
          <w:highlight w:val="lightGray"/>
        </w:rPr>
        <w:tab/>
        <w:t>Summary of estimated impact on operational appropriations</w:t>
      </w:r>
    </w:p>
    <w:p w:rsidR="00F50E64" w:rsidRPr="00F50E64" w:rsidRDefault="00F50E64" w:rsidP="00F50E64">
      <w:pPr>
        <w:pStyle w:val="ManualHeading3"/>
        <w:rPr>
          <w:noProof/>
          <w:highlight w:val="lightGray"/>
        </w:rPr>
      </w:pPr>
      <w:r w:rsidRPr="00F50E64">
        <w:rPr>
          <w:noProof/>
          <w:highlight w:val="lightGray"/>
        </w:rPr>
        <w:t>3.2.1.1.</w:t>
      </w:r>
      <w:r w:rsidRPr="00F50E64">
        <w:rPr>
          <w:noProof/>
          <w:highlight w:val="lightGray"/>
        </w:rPr>
        <w:tab/>
        <w:t>Appropriations from voted budget</w:t>
      </w:r>
    </w:p>
    <w:p w:rsidR="008F031D" w:rsidRPr="006C2791" w:rsidRDefault="008F031D" w:rsidP="003D5244">
      <w:pPr>
        <w:pStyle w:val="ManualHeading3"/>
        <w:rPr>
          <w:noProof/>
          <w:highlight w:val="lightGray"/>
        </w:rPr>
      </w:pPr>
      <w:r w:rsidRPr="006C2791">
        <w:rPr>
          <w:noProof/>
          <w:highlight w:val="lightGray"/>
        </w:rPr>
        <w:t>3.2.2.</w:t>
      </w:r>
      <w:r w:rsidRPr="006C2791">
        <w:rPr>
          <w:noProof/>
          <w:highlight w:val="lightGray"/>
        </w:rPr>
        <w:tab/>
        <w:t>Estimated output funded with operational appropriations</w:t>
      </w:r>
    </w:p>
    <w:p w:rsidR="008F031D" w:rsidRPr="006C2791" w:rsidRDefault="008F031D" w:rsidP="003D5244">
      <w:pPr>
        <w:pStyle w:val="ManualHeading3"/>
        <w:rPr>
          <w:noProof/>
          <w:highlight w:val="lightGray"/>
        </w:rPr>
      </w:pPr>
      <w:r w:rsidRPr="006C2791">
        <w:rPr>
          <w:noProof/>
          <w:highlight w:val="lightGray"/>
        </w:rPr>
        <w:t>3.2.3.</w:t>
      </w:r>
      <w:r w:rsidRPr="006C2791">
        <w:rPr>
          <w:noProof/>
          <w:highlight w:val="lightGray"/>
        </w:rPr>
        <w:tab/>
        <w:t>Summary of estimated impact on administrative appropriations</w:t>
      </w:r>
    </w:p>
    <w:p w:rsidR="008F031D" w:rsidRPr="006C2791" w:rsidRDefault="008F031D" w:rsidP="003D5244">
      <w:pPr>
        <w:pStyle w:val="ManualHeading3"/>
        <w:rPr>
          <w:noProof/>
          <w:highlight w:val="lightGray"/>
        </w:rPr>
      </w:pPr>
      <w:r w:rsidRPr="006C2791">
        <w:rPr>
          <w:noProof/>
          <w:highlight w:val="lightGray"/>
        </w:rPr>
        <w:t>3.2.3.1.</w:t>
      </w:r>
      <w:r w:rsidRPr="006C2791">
        <w:rPr>
          <w:noProof/>
          <w:highlight w:val="lightGray"/>
        </w:rPr>
        <w:tab/>
        <w:t>Estimated requirements of human resources</w:t>
      </w:r>
    </w:p>
    <w:p w:rsidR="008F031D" w:rsidRPr="006C2791" w:rsidRDefault="008F031D" w:rsidP="003D5244">
      <w:pPr>
        <w:pStyle w:val="ManualHeading3"/>
        <w:rPr>
          <w:noProof/>
          <w:highlight w:val="lightGray"/>
        </w:rPr>
      </w:pPr>
      <w:r w:rsidRPr="006C2791">
        <w:rPr>
          <w:noProof/>
          <w:highlight w:val="lightGray"/>
        </w:rPr>
        <w:t>3.2.4.</w:t>
      </w:r>
      <w:r w:rsidRPr="006C2791">
        <w:rPr>
          <w:noProof/>
          <w:highlight w:val="lightGray"/>
        </w:rPr>
        <w:tab/>
        <w:t>Compatibility with the current multiannual financial framework</w:t>
      </w:r>
    </w:p>
    <w:p w:rsidR="008F031D" w:rsidRPr="006C2791" w:rsidRDefault="008F031D" w:rsidP="003D5244">
      <w:pPr>
        <w:pStyle w:val="ManualHeading3"/>
        <w:rPr>
          <w:noProof/>
          <w:highlight w:val="lightGray"/>
        </w:rPr>
      </w:pPr>
      <w:r w:rsidRPr="006C2791">
        <w:rPr>
          <w:noProof/>
          <w:highlight w:val="lightGray"/>
        </w:rPr>
        <w:t>3.2.5.</w:t>
      </w:r>
      <w:r w:rsidRPr="006C2791">
        <w:rPr>
          <w:noProof/>
          <w:highlight w:val="lightGray"/>
        </w:rPr>
        <w:tab/>
        <w:t>Third-party contributions</w:t>
      </w:r>
    </w:p>
    <w:p w:rsidR="008F031D" w:rsidRDefault="008F031D" w:rsidP="003D5244">
      <w:pPr>
        <w:pStyle w:val="ManualHeading2"/>
        <w:rPr>
          <w:noProof/>
        </w:rPr>
      </w:pPr>
      <w:r w:rsidRPr="006C2791">
        <w:rPr>
          <w:noProof/>
          <w:highlight w:val="lightGray"/>
        </w:rPr>
        <w:t>3.3.</w:t>
      </w:r>
      <w:r w:rsidRPr="006C2791">
        <w:rPr>
          <w:noProof/>
          <w:highlight w:val="lightGray"/>
        </w:rPr>
        <w:tab/>
        <w:t>Estimated impact on revenue</w:t>
      </w:r>
    </w:p>
    <w:p w:rsidR="003A14DC" w:rsidRPr="003A14DC" w:rsidRDefault="003A14DC" w:rsidP="003A14DC">
      <w:pPr>
        <w:pStyle w:val="ManualHeading1"/>
        <w:rPr>
          <w:noProof/>
          <w:highlight w:val="lightGray"/>
        </w:rPr>
      </w:pPr>
      <w:r w:rsidRPr="003A14DC">
        <w:rPr>
          <w:noProof/>
          <w:highlight w:val="lightGray"/>
        </w:rPr>
        <w:t>4.</w:t>
      </w:r>
      <w:r w:rsidRPr="003A14DC">
        <w:rPr>
          <w:noProof/>
          <w:highlight w:val="lightGray"/>
        </w:rPr>
        <w:tab/>
        <w:t>DIGITAL DIMENSIONS</w:t>
      </w:r>
    </w:p>
    <w:p w:rsidR="003A14DC" w:rsidRPr="003A14DC" w:rsidRDefault="003A14DC" w:rsidP="003A14DC">
      <w:pPr>
        <w:pStyle w:val="ManualHeading2"/>
        <w:rPr>
          <w:noProof/>
          <w:highlight w:val="lightGray"/>
        </w:rPr>
      </w:pPr>
      <w:r w:rsidRPr="003A14DC">
        <w:rPr>
          <w:noProof/>
          <w:highlight w:val="lightGray"/>
        </w:rPr>
        <w:t>4.1.</w:t>
      </w:r>
      <w:r w:rsidRPr="003A14DC">
        <w:rPr>
          <w:noProof/>
          <w:highlight w:val="lightGray"/>
        </w:rPr>
        <w:tab/>
        <w:t>Requirements of digital relevance</w:t>
      </w:r>
    </w:p>
    <w:p w:rsidR="003A14DC" w:rsidRPr="003A14DC" w:rsidRDefault="003A14DC" w:rsidP="003A14DC">
      <w:pPr>
        <w:pStyle w:val="ManualHeading2"/>
        <w:rPr>
          <w:noProof/>
          <w:highlight w:val="lightGray"/>
        </w:rPr>
      </w:pPr>
      <w:r w:rsidRPr="003A14DC">
        <w:rPr>
          <w:noProof/>
          <w:highlight w:val="lightGray"/>
        </w:rPr>
        <w:t>4.2.</w:t>
      </w:r>
      <w:r w:rsidRPr="003A14DC">
        <w:rPr>
          <w:noProof/>
          <w:highlight w:val="lightGray"/>
        </w:rPr>
        <w:tab/>
        <w:t>Data</w:t>
      </w:r>
    </w:p>
    <w:p w:rsidR="003A14DC" w:rsidRPr="003A14DC" w:rsidRDefault="003A14DC" w:rsidP="003A14DC">
      <w:pPr>
        <w:pStyle w:val="ManualHeading2"/>
        <w:rPr>
          <w:noProof/>
          <w:highlight w:val="lightGray"/>
        </w:rPr>
      </w:pPr>
      <w:r w:rsidRPr="003A14DC">
        <w:rPr>
          <w:noProof/>
          <w:highlight w:val="lightGray"/>
        </w:rPr>
        <w:t>4.3.</w:t>
      </w:r>
      <w:r w:rsidRPr="003A14DC">
        <w:rPr>
          <w:noProof/>
          <w:highlight w:val="lightGray"/>
        </w:rPr>
        <w:tab/>
        <w:t>Digital solutions</w:t>
      </w:r>
    </w:p>
    <w:p w:rsidR="003A14DC" w:rsidRPr="003A14DC" w:rsidRDefault="003A14DC" w:rsidP="003A14DC">
      <w:pPr>
        <w:pStyle w:val="ManualHeading2"/>
        <w:rPr>
          <w:noProof/>
          <w:highlight w:val="lightGray"/>
        </w:rPr>
      </w:pPr>
      <w:r w:rsidRPr="003A14DC">
        <w:rPr>
          <w:noProof/>
          <w:highlight w:val="lightGray"/>
        </w:rPr>
        <w:t>4.4.</w:t>
      </w:r>
      <w:r w:rsidRPr="003A14DC">
        <w:rPr>
          <w:noProof/>
          <w:highlight w:val="lightGray"/>
        </w:rPr>
        <w:tab/>
        <w:t>Interoperability assessment</w:t>
      </w:r>
    </w:p>
    <w:p w:rsidR="008F031D" w:rsidRPr="003A14DC" w:rsidRDefault="003A14DC" w:rsidP="003A14DC">
      <w:pPr>
        <w:pStyle w:val="ManualHeading2"/>
        <w:rPr>
          <w:noProof/>
          <w:highlight w:val="lightGray"/>
        </w:rPr>
        <w:sectPr w:rsidR="008F031D" w:rsidRPr="003A14DC" w:rsidSect="008A2E9F">
          <w:pgSz w:w="11907" w:h="16840" w:code="9"/>
          <w:pgMar w:top="1134" w:right="1418" w:bottom="1134" w:left="1418" w:header="709" w:footer="709" w:gutter="0"/>
          <w:pgNumType w:start="1"/>
          <w:cols w:space="720"/>
          <w:docGrid w:linePitch="360"/>
        </w:sectPr>
      </w:pPr>
      <w:r w:rsidRPr="003A14DC">
        <w:rPr>
          <w:noProof/>
          <w:highlight w:val="lightGray"/>
        </w:rPr>
        <w:t>4.5.</w:t>
      </w:r>
      <w:r w:rsidRPr="003A14DC">
        <w:rPr>
          <w:noProof/>
          <w:highlight w:val="lightGray"/>
        </w:rPr>
        <w:tab/>
        <w:t>Measures to support digital implementation</w:t>
      </w:r>
      <w:r w:rsidRPr="003A14DC">
        <w:rPr>
          <w:noProof/>
          <w:highlight w:val="lightGray"/>
        </w:rPr>
        <w:tab/>
      </w:r>
    </w:p>
    <w:p w:rsidR="008F031D" w:rsidRPr="006C2791" w:rsidRDefault="008F031D" w:rsidP="003D5244">
      <w:pPr>
        <w:pStyle w:val="ManualHeading1"/>
        <w:rPr>
          <w:noProof/>
        </w:rPr>
      </w:pPr>
      <w:bookmarkStart w:id="12" w:name="_Toc514938007"/>
      <w:bookmarkStart w:id="13" w:name="_Toc520485025"/>
      <w:r w:rsidRPr="006C2791">
        <w:rPr>
          <w:noProof/>
        </w:rPr>
        <w:t>1.</w:t>
      </w:r>
      <w:r w:rsidRPr="006C2791">
        <w:rPr>
          <w:noProof/>
        </w:rPr>
        <w:tab/>
        <w:t>FRAMEWORK OF THE PROPOSAL/INITIATIVE</w:t>
      </w:r>
      <w:bookmarkEnd w:id="12"/>
      <w:bookmarkEnd w:id="13"/>
    </w:p>
    <w:p w:rsidR="008F031D" w:rsidRPr="006C2791" w:rsidRDefault="008F031D" w:rsidP="003D5244">
      <w:pPr>
        <w:pStyle w:val="ManualHeading2"/>
        <w:rPr>
          <w:noProof/>
        </w:rPr>
      </w:pPr>
      <w:bookmarkStart w:id="14" w:name="_Toc514938008"/>
      <w:bookmarkStart w:id="15" w:name="_Toc520485026"/>
      <w:r w:rsidRPr="006C2791">
        <w:rPr>
          <w:noProof/>
        </w:rPr>
        <w:t>1.1.</w:t>
      </w:r>
      <w:r w:rsidRPr="006C2791">
        <w:rPr>
          <w:noProof/>
        </w:rPr>
        <w:tab/>
        <w:t>Title of the proposal/initiative</w:t>
      </w:r>
      <w:bookmarkEnd w:id="14"/>
      <w:bookmarkEnd w:id="15"/>
    </w:p>
    <w:p w:rsidR="008F031D" w:rsidRPr="006C2791" w:rsidRDefault="00AC2894" w:rsidP="00AC2894">
      <w:pPr>
        <w:pStyle w:val="Text1"/>
        <w:pBdr>
          <w:top w:val="single" w:sz="4" w:space="1" w:color="auto"/>
          <w:left w:val="single" w:sz="4" w:space="4" w:color="auto"/>
          <w:bottom w:val="single" w:sz="4" w:space="1" w:color="auto"/>
          <w:right w:val="single" w:sz="4" w:space="4" w:color="auto"/>
        </w:pBdr>
        <w:rPr>
          <w:noProof/>
        </w:rPr>
      </w:pPr>
      <w:r w:rsidRPr="006C2791">
        <w:rPr>
          <w:noProof/>
        </w:rPr>
        <w:t>Proposal for a Council Regulation establishing the Research and Training Programme of the European Atomic Energy Community for the period 2026-2027 complementing Horizon Europe – the Framework Programme for Research and Innovation and repealing Council Regulation (Euratom) 2021/765</w:t>
      </w:r>
      <w:r w:rsidR="008A5560" w:rsidRPr="006C2791">
        <w:rPr>
          <w:noProof/>
        </w:rPr>
        <w:t>.</w:t>
      </w:r>
    </w:p>
    <w:p w:rsidR="008F031D" w:rsidRPr="006C2791" w:rsidRDefault="008F031D" w:rsidP="003D5244">
      <w:pPr>
        <w:pStyle w:val="ManualHeading2"/>
        <w:rPr>
          <w:i/>
          <w:noProof/>
        </w:rPr>
      </w:pPr>
      <w:bookmarkStart w:id="16" w:name="_Toc514938011"/>
      <w:bookmarkStart w:id="17" w:name="_Toc520485027"/>
      <w:r w:rsidRPr="006C2791">
        <w:rPr>
          <w:noProof/>
        </w:rPr>
        <w:t>1.2.</w:t>
      </w:r>
      <w:r w:rsidRPr="006C2791">
        <w:rPr>
          <w:noProof/>
        </w:rPr>
        <w:tab/>
        <w:t>Policy area(s) concerned</w:t>
      </w:r>
      <w:bookmarkEnd w:id="16"/>
      <w:bookmarkEnd w:id="17"/>
    </w:p>
    <w:p w:rsidR="008F031D" w:rsidRPr="006C2791" w:rsidRDefault="00AC2894" w:rsidP="00AC2894">
      <w:pPr>
        <w:pStyle w:val="Text1"/>
        <w:pBdr>
          <w:top w:val="single" w:sz="4" w:space="1" w:color="auto"/>
          <w:left w:val="single" w:sz="4" w:space="4" w:color="auto"/>
          <w:bottom w:val="single" w:sz="4" w:space="1" w:color="auto"/>
          <w:right w:val="single" w:sz="4" w:space="4" w:color="auto"/>
        </w:pBdr>
        <w:rPr>
          <w:noProof/>
        </w:rPr>
      </w:pPr>
      <w:r w:rsidRPr="006C2791">
        <w:rPr>
          <w:noProof/>
        </w:rPr>
        <w:t>01.03 Euratom Research and Training Programme</w:t>
      </w:r>
    </w:p>
    <w:p w:rsidR="008F031D" w:rsidRPr="006C2791" w:rsidRDefault="008F031D" w:rsidP="003D5244">
      <w:pPr>
        <w:pStyle w:val="ManualHeading2"/>
        <w:rPr>
          <w:bCs/>
          <w:noProof/>
          <w:szCs w:val="24"/>
        </w:rPr>
      </w:pPr>
      <w:bookmarkStart w:id="18" w:name="_Toc514938015"/>
      <w:bookmarkStart w:id="19" w:name="_Toc520485029"/>
      <w:r w:rsidRPr="006C2791">
        <w:rPr>
          <w:noProof/>
        </w:rPr>
        <w:t>1.</w:t>
      </w:r>
      <w:r w:rsidR="00895F35">
        <w:rPr>
          <w:noProof/>
        </w:rPr>
        <w:t>3</w:t>
      </w:r>
      <w:r w:rsidRPr="006C2791">
        <w:rPr>
          <w:noProof/>
        </w:rPr>
        <w:t>.</w:t>
      </w:r>
      <w:r w:rsidRPr="006C2791">
        <w:rPr>
          <w:noProof/>
        </w:rPr>
        <w:tab/>
        <w:t>Objective(s)</w:t>
      </w:r>
      <w:bookmarkEnd w:id="18"/>
      <w:bookmarkEnd w:id="19"/>
    </w:p>
    <w:p w:rsidR="008F031D" w:rsidRPr="006C2791" w:rsidRDefault="008F031D" w:rsidP="003D5244">
      <w:pPr>
        <w:pStyle w:val="ManualHeading3"/>
        <w:rPr>
          <w:noProof/>
        </w:rPr>
      </w:pPr>
      <w:bookmarkStart w:id="20" w:name="_Toc514938016"/>
      <w:bookmarkStart w:id="21" w:name="_Toc520485030"/>
      <w:r w:rsidRPr="006C2791">
        <w:rPr>
          <w:noProof/>
        </w:rPr>
        <w:t>1.</w:t>
      </w:r>
      <w:r w:rsidR="00895F35">
        <w:rPr>
          <w:noProof/>
        </w:rPr>
        <w:t>3</w:t>
      </w:r>
      <w:r w:rsidRPr="006C2791">
        <w:rPr>
          <w:noProof/>
        </w:rPr>
        <w:t>.1.</w:t>
      </w:r>
      <w:r w:rsidRPr="006C2791">
        <w:rPr>
          <w:noProof/>
        </w:rPr>
        <w:tab/>
        <w:t>General objective(s)</w:t>
      </w:r>
      <w:bookmarkEnd w:id="20"/>
      <w:bookmarkEnd w:id="21"/>
    </w:p>
    <w:p w:rsidR="008F031D" w:rsidRPr="006C2791" w:rsidRDefault="00AC2894" w:rsidP="003D5244">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To pursue nuclear research and training activities, </w:t>
      </w:r>
      <w:r w:rsidR="00220344">
        <w:rPr>
          <w:noProof/>
        </w:rPr>
        <w:t xml:space="preserve">focusing </w:t>
      </w:r>
      <w:r w:rsidRPr="006C2791">
        <w:rPr>
          <w:noProof/>
        </w:rPr>
        <w:t>on the continuous improvement of nuclear safety, security and radiation protection, as well as to complement the</w:t>
      </w:r>
      <w:r w:rsidR="00220344">
        <w:rPr>
          <w:noProof/>
        </w:rPr>
        <w:t xml:space="preserve"> objectives</w:t>
      </w:r>
      <w:r w:rsidRPr="006C2791">
        <w:rPr>
          <w:noProof/>
        </w:rPr>
        <w:t xml:space="preserve"> achieve</w:t>
      </w:r>
      <w:r w:rsidR="00220344">
        <w:rPr>
          <w:noProof/>
        </w:rPr>
        <w:t>d by</w:t>
      </w:r>
      <w:r w:rsidRPr="006C2791">
        <w:rPr>
          <w:noProof/>
        </w:rPr>
        <w:t xml:space="preserve"> Horizon Europe</w:t>
      </w:r>
      <w:r w:rsidR="00220344">
        <w:rPr>
          <w:noProof/>
        </w:rPr>
        <w:t>, for example,</w:t>
      </w:r>
      <w:r w:rsidRPr="006C2791">
        <w:rPr>
          <w:noProof/>
        </w:rPr>
        <w:t xml:space="preserve"> in the context of the energy transition.</w:t>
      </w:r>
      <w:r w:rsidR="004240BC" w:rsidRPr="006C2791">
        <w:rPr>
          <w:noProof/>
        </w:rPr>
        <w:t xml:space="preserve"> See Article</w:t>
      </w:r>
      <w:r w:rsidR="006C2791">
        <w:rPr>
          <w:noProof/>
        </w:rPr>
        <w:t> </w:t>
      </w:r>
      <w:r w:rsidR="004240BC" w:rsidRPr="006C2791">
        <w:rPr>
          <w:noProof/>
        </w:rPr>
        <w:t xml:space="preserve">3(1) of the proposed </w:t>
      </w:r>
      <w:r w:rsidR="00220344">
        <w:rPr>
          <w:noProof/>
        </w:rPr>
        <w:t>r</w:t>
      </w:r>
      <w:r w:rsidR="004240BC" w:rsidRPr="006C2791">
        <w:rPr>
          <w:noProof/>
        </w:rPr>
        <w:t>egulation.</w:t>
      </w:r>
    </w:p>
    <w:p w:rsidR="008F031D" w:rsidRPr="006C2791" w:rsidRDefault="008F031D" w:rsidP="003D5244">
      <w:pPr>
        <w:pStyle w:val="ManualHeading3"/>
        <w:rPr>
          <w:bCs/>
          <w:noProof/>
          <w:szCs w:val="24"/>
        </w:rPr>
      </w:pPr>
      <w:bookmarkStart w:id="22" w:name="_Toc514938018"/>
      <w:bookmarkStart w:id="23" w:name="_Toc520485031"/>
      <w:r w:rsidRPr="006C2791">
        <w:rPr>
          <w:noProof/>
        </w:rPr>
        <w:t>1.</w:t>
      </w:r>
      <w:r w:rsidR="00895F35">
        <w:rPr>
          <w:noProof/>
        </w:rPr>
        <w:t>3</w:t>
      </w:r>
      <w:r w:rsidRPr="006C2791">
        <w:rPr>
          <w:noProof/>
        </w:rPr>
        <w:t>.2.</w:t>
      </w:r>
      <w:r w:rsidRPr="006C2791">
        <w:rPr>
          <w:noProof/>
        </w:rPr>
        <w:tab/>
        <w:t>Specific objective(s)</w:t>
      </w:r>
      <w:bookmarkEnd w:id="22"/>
      <w:bookmarkEnd w:id="23"/>
    </w:p>
    <w:p w:rsidR="004240BC" w:rsidRPr="006C2791" w:rsidRDefault="004240BC" w:rsidP="002F2DC5">
      <w:pPr>
        <w:pStyle w:val="Text1"/>
        <w:pBdr>
          <w:top w:val="single" w:sz="4" w:space="1" w:color="auto"/>
          <w:left w:val="single" w:sz="4" w:space="4" w:color="auto"/>
          <w:bottom w:val="single" w:sz="4" w:space="1" w:color="auto"/>
          <w:right w:val="single" w:sz="4" w:space="4" w:color="auto"/>
        </w:pBdr>
        <w:rPr>
          <w:noProof/>
        </w:rPr>
      </w:pPr>
      <w:r w:rsidRPr="006C2791">
        <w:rPr>
          <w:noProof/>
        </w:rPr>
        <w:t>Article</w:t>
      </w:r>
      <w:r w:rsidR="006C2791">
        <w:rPr>
          <w:noProof/>
        </w:rPr>
        <w:t> </w:t>
      </w:r>
      <w:r w:rsidRPr="006C2791">
        <w:rPr>
          <w:noProof/>
        </w:rPr>
        <w:t xml:space="preserve">3(2) of the proposed </w:t>
      </w:r>
      <w:r w:rsidR="00220344">
        <w:rPr>
          <w:noProof/>
        </w:rPr>
        <w:t>r</w:t>
      </w:r>
      <w:r w:rsidRPr="006C2791">
        <w:rPr>
          <w:noProof/>
        </w:rPr>
        <w:t>egulation</w:t>
      </w:r>
      <w:r w:rsidR="00223134" w:rsidRPr="006C2791">
        <w:rPr>
          <w:noProof/>
        </w:rPr>
        <w:t xml:space="preserve"> </w:t>
      </w:r>
      <w:r w:rsidR="00AC6E96">
        <w:rPr>
          <w:noProof/>
        </w:rPr>
        <w:t>lays down</w:t>
      </w:r>
      <w:r w:rsidR="00223134" w:rsidRPr="006C2791">
        <w:rPr>
          <w:noProof/>
        </w:rPr>
        <w:t xml:space="preserve"> the following specific objectives:</w:t>
      </w:r>
    </w:p>
    <w:p w:rsidR="007770C4" w:rsidRDefault="00220344" w:rsidP="00CA0829">
      <w:pPr>
        <w:pStyle w:val="Tiret1"/>
        <w:numPr>
          <w:ilvl w:val="0"/>
          <w:numId w:val="28"/>
        </w:numPr>
        <w:pBdr>
          <w:top w:val="single" w:sz="4" w:space="1" w:color="auto"/>
          <w:left w:val="single" w:sz="4" w:space="4" w:color="auto"/>
          <w:bottom w:val="single" w:sz="4" w:space="1" w:color="auto"/>
          <w:right w:val="single" w:sz="4" w:space="4" w:color="auto"/>
        </w:pBdr>
        <w:rPr>
          <w:noProof/>
        </w:rPr>
      </w:pPr>
      <w:r>
        <w:rPr>
          <w:noProof/>
        </w:rPr>
        <w:t xml:space="preserve">to </w:t>
      </w:r>
      <w:r w:rsidR="00223134" w:rsidRPr="006C2791">
        <w:rPr>
          <w:noProof/>
        </w:rPr>
        <w:t>improve and support nuclear safety, security, safeguards, radiation protection, safe spent fuel and radioactive waste management and decommissioning, including the safe and secure use of nuclear power and of non-power applications of ioni</w:t>
      </w:r>
      <w:r w:rsidR="006C2791">
        <w:rPr>
          <w:noProof/>
        </w:rPr>
        <w:t>s</w:t>
      </w:r>
      <w:r w:rsidR="00223134" w:rsidRPr="006C2791">
        <w:rPr>
          <w:noProof/>
        </w:rPr>
        <w:t>ing radiation;</w:t>
      </w:r>
    </w:p>
    <w:p w:rsidR="007770C4" w:rsidRDefault="00220344" w:rsidP="007770C4">
      <w:pPr>
        <w:pStyle w:val="Tiret1"/>
        <w:pBdr>
          <w:top w:val="single" w:sz="4" w:space="1" w:color="auto"/>
          <w:left w:val="single" w:sz="4" w:space="4" w:color="auto"/>
          <w:bottom w:val="single" w:sz="4" w:space="1" w:color="auto"/>
          <w:right w:val="single" w:sz="4" w:space="4" w:color="auto"/>
        </w:pBdr>
        <w:rPr>
          <w:noProof/>
        </w:rPr>
      </w:pPr>
      <w:r>
        <w:rPr>
          <w:noProof/>
        </w:rPr>
        <w:t xml:space="preserve">to </w:t>
      </w:r>
      <w:r w:rsidR="00223134" w:rsidRPr="006C2791">
        <w:rPr>
          <w:noProof/>
        </w:rPr>
        <w:t>maintain and further develop expertise and competence in the nuclear field within the Community;</w:t>
      </w:r>
    </w:p>
    <w:p w:rsidR="007770C4" w:rsidRDefault="00220344" w:rsidP="007770C4">
      <w:pPr>
        <w:pStyle w:val="Tiret1"/>
        <w:pBdr>
          <w:top w:val="single" w:sz="4" w:space="1" w:color="auto"/>
          <w:left w:val="single" w:sz="4" w:space="4" w:color="auto"/>
          <w:bottom w:val="single" w:sz="4" w:space="1" w:color="auto"/>
          <w:right w:val="single" w:sz="4" w:space="4" w:color="auto"/>
        </w:pBdr>
        <w:rPr>
          <w:noProof/>
        </w:rPr>
      </w:pPr>
      <w:r>
        <w:rPr>
          <w:noProof/>
        </w:rPr>
        <w:t xml:space="preserve">to </w:t>
      </w:r>
      <w:r w:rsidR="00223134" w:rsidRPr="006C2791">
        <w:rPr>
          <w:noProof/>
        </w:rPr>
        <w:t xml:space="preserve">foster the development of fusion energy as a potential future energy source for electricity production and </w:t>
      </w:r>
      <w:r w:rsidR="00DC7EF0">
        <w:rPr>
          <w:noProof/>
        </w:rPr>
        <w:t xml:space="preserve">to </w:t>
      </w:r>
      <w:r w:rsidR="00223134" w:rsidRPr="006C2791">
        <w:rPr>
          <w:noProof/>
        </w:rPr>
        <w:t xml:space="preserve">contribute to the implementation of the European </w:t>
      </w:r>
      <w:r w:rsidR="00727BA3">
        <w:rPr>
          <w:noProof/>
        </w:rPr>
        <w:t>F</w:t>
      </w:r>
      <w:r w:rsidR="00223134" w:rsidRPr="006C2791">
        <w:rPr>
          <w:noProof/>
        </w:rPr>
        <w:t xml:space="preserve">usion </w:t>
      </w:r>
      <w:r w:rsidR="00727BA3">
        <w:rPr>
          <w:noProof/>
        </w:rPr>
        <w:t>R</w:t>
      </w:r>
      <w:r w:rsidR="00223134" w:rsidRPr="006C2791">
        <w:rPr>
          <w:noProof/>
        </w:rPr>
        <w:t>oadmap;</w:t>
      </w:r>
    </w:p>
    <w:p w:rsidR="008F031D" w:rsidRPr="00564821" w:rsidRDefault="00220344" w:rsidP="007770C4">
      <w:pPr>
        <w:pStyle w:val="Tiret1"/>
        <w:pBdr>
          <w:top w:val="single" w:sz="4" w:space="1" w:color="auto"/>
          <w:left w:val="single" w:sz="4" w:space="4" w:color="auto"/>
          <w:bottom w:val="single" w:sz="4" w:space="1" w:color="auto"/>
          <w:right w:val="single" w:sz="4" w:space="4" w:color="auto"/>
        </w:pBdr>
        <w:rPr>
          <w:noProof/>
        </w:rPr>
      </w:pPr>
      <w:r>
        <w:rPr>
          <w:noProof/>
        </w:rPr>
        <w:t xml:space="preserve">to </w:t>
      </w:r>
      <w:r w:rsidR="00223134" w:rsidRPr="006C2791">
        <w:rPr>
          <w:noProof/>
        </w:rPr>
        <w:t xml:space="preserve">support the policy of the </w:t>
      </w:r>
      <w:r w:rsidR="00DC7EF0">
        <w:rPr>
          <w:noProof/>
        </w:rPr>
        <w:t>EU</w:t>
      </w:r>
      <w:r w:rsidR="00223134" w:rsidRPr="006C2791">
        <w:rPr>
          <w:noProof/>
        </w:rPr>
        <w:t xml:space="preserve"> and its Member States on </w:t>
      </w:r>
      <w:r w:rsidR="00DC7EF0">
        <w:rPr>
          <w:noProof/>
        </w:rPr>
        <w:t xml:space="preserve">the </w:t>
      </w:r>
      <w:r w:rsidR="00223134" w:rsidRPr="006C2791">
        <w:rPr>
          <w:noProof/>
        </w:rPr>
        <w:t>continuous improvement of nuclear safety, safeguards and security.</w:t>
      </w:r>
    </w:p>
    <w:p w:rsidR="008F031D" w:rsidRPr="006C2791" w:rsidRDefault="008F031D" w:rsidP="003D5244">
      <w:pPr>
        <w:pStyle w:val="ManualHeading3"/>
        <w:rPr>
          <w:noProof/>
        </w:rPr>
      </w:pPr>
      <w:bookmarkStart w:id="24" w:name="_Toc514938019"/>
      <w:bookmarkStart w:id="25" w:name="_Toc520485032"/>
      <w:r w:rsidRPr="006C2791">
        <w:rPr>
          <w:noProof/>
        </w:rPr>
        <w:t>1.</w:t>
      </w:r>
      <w:r w:rsidR="00895F35">
        <w:rPr>
          <w:noProof/>
        </w:rPr>
        <w:t>3</w:t>
      </w:r>
      <w:r w:rsidRPr="006C2791">
        <w:rPr>
          <w:noProof/>
        </w:rPr>
        <w:t>.3.</w:t>
      </w:r>
      <w:r w:rsidRPr="006C2791">
        <w:rPr>
          <w:noProof/>
        </w:rPr>
        <w:tab/>
        <w:t>Expected result(s) and impact</w:t>
      </w:r>
      <w:bookmarkEnd w:id="24"/>
      <w:bookmarkEnd w:id="25"/>
    </w:p>
    <w:p w:rsidR="008F031D" w:rsidRPr="006C2791" w:rsidRDefault="008F031D" w:rsidP="003D5244">
      <w:pPr>
        <w:pStyle w:val="Text1"/>
        <w:rPr>
          <w:i/>
          <w:noProof/>
          <w:sz w:val="20"/>
        </w:rPr>
      </w:pPr>
      <w:r w:rsidRPr="006C2791">
        <w:rPr>
          <w:i/>
          <w:noProof/>
          <w:sz w:val="20"/>
        </w:rPr>
        <w:t>Specify the effects which the proposal/initiative should have on the beneficiaries/groups targeted.</w:t>
      </w:r>
    </w:p>
    <w:p w:rsidR="00223134" w:rsidRPr="006C2791" w:rsidRDefault="00223134" w:rsidP="002F2DC5">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results of Euratom-funded actions will help </w:t>
      </w:r>
      <w:r w:rsidR="00DC7EF0">
        <w:rPr>
          <w:noProof/>
        </w:rPr>
        <w:t>to tackle</w:t>
      </w:r>
      <w:r w:rsidRPr="006C2791">
        <w:rPr>
          <w:noProof/>
        </w:rPr>
        <w:t xml:space="preserve"> the following challenges</w:t>
      </w:r>
      <w:r w:rsidR="007656F0">
        <w:rPr>
          <w:noProof/>
        </w:rPr>
        <w:t>:</w:t>
      </w:r>
    </w:p>
    <w:p w:rsidR="00755A4E" w:rsidRDefault="00223134" w:rsidP="007770C4">
      <w:pPr>
        <w:pStyle w:val="Tiret1"/>
        <w:pBdr>
          <w:top w:val="single" w:sz="4" w:space="1" w:color="auto"/>
          <w:left w:val="single" w:sz="4" w:space="4" w:color="auto"/>
          <w:bottom w:val="single" w:sz="4" w:space="1" w:color="auto"/>
          <w:right w:val="single" w:sz="4" w:space="4" w:color="auto"/>
        </w:pBdr>
        <w:rPr>
          <w:noProof/>
        </w:rPr>
      </w:pPr>
      <w:r w:rsidRPr="006C2791">
        <w:rPr>
          <w:noProof/>
        </w:rPr>
        <w:t xml:space="preserve">Improvements in nuclear safety: Euratom-funded research will help </w:t>
      </w:r>
      <w:r w:rsidR="00DC7EF0">
        <w:rPr>
          <w:noProof/>
        </w:rPr>
        <w:t>to</w:t>
      </w:r>
      <w:r w:rsidR="006624FC">
        <w:rPr>
          <w:noProof/>
        </w:rPr>
        <w:t>: (i)</w:t>
      </w:r>
      <w:r w:rsidR="00DC7EF0">
        <w:rPr>
          <w:noProof/>
        </w:rPr>
        <w:t xml:space="preserve"> </w:t>
      </w:r>
      <w:r w:rsidRPr="006C2791">
        <w:rPr>
          <w:noProof/>
        </w:rPr>
        <w:t>improv</w:t>
      </w:r>
      <w:r w:rsidR="00DC7EF0">
        <w:rPr>
          <w:noProof/>
        </w:rPr>
        <w:t>e the</w:t>
      </w:r>
      <w:r w:rsidRPr="006C2791">
        <w:rPr>
          <w:noProof/>
        </w:rPr>
        <w:t xml:space="preserve"> designs for future </w:t>
      </w:r>
      <w:r w:rsidR="00E5226B" w:rsidRPr="006C2791">
        <w:rPr>
          <w:noProof/>
        </w:rPr>
        <w:t>NPPs</w:t>
      </w:r>
      <w:r w:rsidRPr="006C2791">
        <w:rPr>
          <w:noProof/>
        </w:rPr>
        <w:t xml:space="preserve"> (including </w:t>
      </w:r>
      <w:r w:rsidR="00E5226B" w:rsidRPr="006C2791">
        <w:rPr>
          <w:noProof/>
        </w:rPr>
        <w:t>SMRs</w:t>
      </w:r>
      <w:r w:rsidRPr="006C2791">
        <w:rPr>
          <w:noProof/>
        </w:rPr>
        <w:t>)</w:t>
      </w:r>
      <w:r w:rsidR="006624FC">
        <w:rPr>
          <w:noProof/>
        </w:rPr>
        <w:t>; (ii)</w:t>
      </w:r>
      <w:r w:rsidRPr="006C2791">
        <w:rPr>
          <w:noProof/>
        </w:rPr>
        <w:t xml:space="preserve"> develop</w:t>
      </w:r>
      <w:r w:rsidR="00DC7EF0">
        <w:rPr>
          <w:noProof/>
        </w:rPr>
        <w:t xml:space="preserve"> the</w:t>
      </w:r>
      <w:r w:rsidRPr="006C2791">
        <w:rPr>
          <w:noProof/>
        </w:rPr>
        <w:t xml:space="preserve"> retrofitting of safety features into existing NPPs</w:t>
      </w:r>
      <w:r w:rsidR="006624FC">
        <w:rPr>
          <w:noProof/>
        </w:rPr>
        <w:t>; and (iii)</w:t>
      </w:r>
      <w:r w:rsidRPr="006C2791">
        <w:rPr>
          <w:noProof/>
        </w:rPr>
        <w:t xml:space="preserve"> provide tools, methods and guidance for </w:t>
      </w:r>
      <w:r w:rsidR="00E5226B" w:rsidRPr="006C2791">
        <w:rPr>
          <w:noProof/>
        </w:rPr>
        <w:t>NPP</w:t>
      </w:r>
      <w:r w:rsidRPr="006C2791">
        <w:rPr>
          <w:noProof/>
        </w:rPr>
        <w:t xml:space="preserve"> operators and for safety authorities to monitor </w:t>
      </w:r>
      <w:r w:rsidR="00DC7EF0">
        <w:rPr>
          <w:noProof/>
        </w:rPr>
        <w:t xml:space="preserve">the </w:t>
      </w:r>
      <w:r w:rsidRPr="006C2791">
        <w:rPr>
          <w:noProof/>
        </w:rPr>
        <w:t>safety of nuclear insta</w:t>
      </w:r>
      <w:r w:rsidR="009B3156" w:rsidRPr="006C2791">
        <w:rPr>
          <w:noProof/>
        </w:rPr>
        <w:t>l</w:t>
      </w:r>
      <w:r w:rsidRPr="006C2791">
        <w:rPr>
          <w:noProof/>
        </w:rPr>
        <w:t>lations.</w:t>
      </w:r>
    </w:p>
    <w:p w:rsidR="00755A4E" w:rsidRDefault="00223134" w:rsidP="007770C4">
      <w:pPr>
        <w:pStyle w:val="Tiret1"/>
        <w:pBdr>
          <w:top w:val="single" w:sz="4" w:space="1" w:color="auto"/>
          <w:left w:val="single" w:sz="4" w:space="4" w:color="auto"/>
          <w:bottom w:val="single" w:sz="4" w:space="1" w:color="auto"/>
          <w:right w:val="single" w:sz="4" w:space="4" w:color="auto"/>
        </w:pBdr>
        <w:rPr>
          <w:noProof/>
        </w:rPr>
      </w:pPr>
      <w:r w:rsidRPr="006C2791">
        <w:rPr>
          <w:noProof/>
        </w:rPr>
        <w:t xml:space="preserve">Radioactive waste management: </w:t>
      </w:r>
      <w:r w:rsidR="006624FC">
        <w:rPr>
          <w:noProof/>
        </w:rPr>
        <w:t xml:space="preserve">the </w:t>
      </w:r>
      <w:r w:rsidRPr="006C2791">
        <w:rPr>
          <w:noProof/>
        </w:rPr>
        <w:t xml:space="preserve">Euratom co-funded EURAD-2 European Partnership will support: </w:t>
      </w:r>
      <w:r w:rsidR="006624FC">
        <w:rPr>
          <w:noProof/>
        </w:rPr>
        <w:t xml:space="preserve">(i) the </w:t>
      </w:r>
      <w:r w:rsidRPr="006C2791">
        <w:rPr>
          <w:noProof/>
        </w:rPr>
        <w:t>development of</w:t>
      </w:r>
      <w:r w:rsidR="005377E1">
        <w:rPr>
          <w:noProof/>
        </w:rPr>
        <w:t xml:space="preserve"> the</w:t>
      </w:r>
      <w:r w:rsidRPr="006C2791">
        <w:rPr>
          <w:noProof/>
        </w:rPr>
        <w:t xml:space="preserve"> safety case</w:t>
      </w:r>
      <w:r w:rsidR="005377E1">
        <w:rPr>
          <w:noProof/>
        </w:rPr>
        <w:t>s</w:t>
      </w:r>
      <w:r w:rsidRPr="006C2791">
        <w:rPr>
          <w:noProof/>
        </w:rPr>
        <w:t xml:space="preserve"> for </w:t>
      </w:r>
      <w:r w:rsidR="006624FC">
        <w:rPr>
          <w:noProof/>
        </w:rPr>
        <w:t xml:space="preserve">the </w:t>
      </w:r>
      <w:r w:rsidRPr="006C2791">
        <w:rPr>
          <w:noProof/>
        </w:rPr>
        <w:t>deep geological storage of medium</w:t>
      </w:r>
      <w:r w:rsidR="006624FC">
        <w:rPr>
          <w:noProof/>
        </w:rPr>
        <w:t>-</w:t>
      </w:r>
      <w:r w:rsidRPr="006C2791">
        <w:rPr>
          <w:noProof/>
        </w:rPr>
        <w:t xml:space="preserve"> and high</w:t>
      </w:r>
      <w:r w:rsidR="006624FC">
        <w:rPr>
          <w:noProof/>
        </w:rPr>
        <w:t>-</w:t>
      </w:r>
      <w:r w:rsidRPr="006C2791">
        <w:rPr>
          <w:noProof/>
        </w:rPr>
        <w:t>level waste</w:t>
      </w:r>
      <w:r w:rsidR="006624FC">
        <w:rPr>
          <w:noProof/>
        </w:rPr>
        <w:t>; (ii) the</w:t>
      </w:r>
      <w:r w:rsidRPr="006C2791">
        <w:rPr>
          <w:noProof/>
        </w:rPr>
        <w:t xml:space="preserve"> operation and oversight of deep geological facilities</w:t>
      </w:r>
      <w:r w:rsidR="006624FC">
        <w:rPr>
          <w:noProof/>
        </w:rPr>
        <w:t>; (iii) the</w:t>
      </w:r>
      <w:r w:rsidRPr="006C2791">
        <w:rPr>
          <w:noProof/>
        </w:rPr>
        <w:t xml:space="preserve"> development of safe solutions for</w:t>
      </w:r>
      <w:r w:rsidR="006624FC">
        <w:rPr>
          <w:noProof/>
        </w:rPr>
        <w:t xml:space="preserve"> the</w:t>
      </w:r>
      <w:r w:rsidRPr="006C2791">
        <w:rPr>
          <w:noProof/>
        </w:rPr>
        <w:t xml:space="preserve"> predisposal and interim storage of waste</w:t>
      </w:r>
      <w:r w:rsidR="006624FC">
        <w:rPr>
          <w:noProof/>
        </w:rPr>
        <w:t>; and (iv)</w:t>
      </w:r>
      <w:r w:rsidRPr="006C2791">
        <w:rPr>
          <w:noProof/>
        </w:rPr>
        <w:t xml:space="preserve"> knowledge management and </w:t>
      </w:r>
      <w:r w:rsidR="006624FC">
        <w:rPr>
          <w:noProof/>
        </w:rPr>
        <w:t xml:space="preserve">the </w:t>
      </w:r>
      <w:r w:rsidRPr="006C2791">
        <w:rPr>
          <w:noProof/>
        </w:rPr>
        <w:t>sharing</w:t>
      </w:r>
      <w:r w:rsidR="006624FC">
        <w:rPr>
          <w:noProof/>
        </w:rPr>
        <w:t xml:space="preserve"> of</w:t>
      </w:r>
      <w:r w:rsidRPr="006C2791">
        <w:rPr>
          <w:noProof/>
        </w:rPr>
        <w:t xml:space="preserve"> best practices between Member States.</w:t>
      </w:r>
    </w:p>
    <w:p w:rsidR="00755A4E" w:rsidRDefault="00223134" w:rsidP="007770C4">
      <w:pPr>
        <w:pStyle w:val="Tiret1"/>
        <w:pBdr>
          <w:top w:val="single" w:sz="4" w:space="1" w:color="auto"/>
          <w:left w:val="single" w:sz="4" w:space="4" w:color="auto"/>
          <w:bottom w:val="single" w:sz="4" w:space="1" w:color="auto"/>
          <w:right w:val="single" w:sz="4" w:space="4" w:color="auto"/>
        </w:pBdr>
        <w:rPr>
          <w:noProof/>
        </w:rPr>
      </w:pPr>
      <w:r w:rsidRPr="006C2791">
        <w:rPr>
          <w:noProof/>
        </w:rPr>
        <w:t>Radiation applications and protection: research will</w:t>
      </w:r>
      <w:r w:rsidR="0061507F">
        <w:rPr>
          <w:noProof/>
        </w:rPr>
        <w:t>:</w:t>
      </w:r>
      <w:r w:rsidRPr="006C2791">
        <w:rPr>
          <w:noProof/>
        </w:rPr>
        <w:t xml:space="preserve"> </w:t>
      </w:r>
      <w:r w:rsidR="0061507F">
        <w:rPr>
          <w:noProof/>
        </w:rPr>
        <w:t xml:space="preserve">(i) </w:t>
      </w:r>
      <w:r w:rsidRPr="006C2791">
        <w:rPr>
          <w:noProof/>
        </w:rPr>
        <w:t xml:space="preserve">improve </w:t>
      </w:r>
      <w:r w:rsidR="0061507F">
        <w:rPr>
          <w:noProof/>
        </w:rPr>
        <w:t xml:space="preserve">the </w:t>
      </w:r>
      <w:r w:rsidRPr="006C2791">
        <w:rPr>
          <w:noProof/>
        </w:rPr>
        <w:t xml:space="preserve">understanding of </w:t>
      </w:r>
      <w:r w:rsidR="0061507F">
        <w:rPr>
          <w:noProof/>
        </w:rPr>
        <w:t xml:space="preserve">the impact of </w:t>
      </w:r>
      <w:r w:rsidRPr="006C2791">
        <w:rPr>
          <w:noProof/>
        </w:rPr>
        <w:t>low</w:t>
      </w:r>
      <w:r w:rsidR="0061507F">
        <w:rPr>
          <w:noProof/>
        </w:rPr>
        <w:t>-</w:t>
      </w:r>
      <w:r w:rsidRPr="006C2791">
        <w:rPr>
          <w:noProof/>
        </w:rPr>
        <w:t xml:space="preserve">dose </w:t>
      </w:r>
      <w:r w:rsidR="0061507F">
        <w:rPr>
          <w:noProof/>
        </w:rPr>
        <w:t xml:space="preserve">radiation </w:t>
      </w:r>
      <w:r w:rsidRPr="006C2791">
        <w:rPr>
          <w:noProof/>
        </w:rPr>
        <w:t>on public health</w:t>
      </w:r>
      <w:r w:rsidR="0061507F">
        <w:rPr>
          <w:noProof/>
        </w:rPr>
        <w:t>; (ii) improve the</w:t>
      </w:r>
      <w:r w:rsidRPr="006C2791">
        <w:rPr>
          <w:noProof/>
        </w:rPr>
        <w:t xml:space="preserve"> development of medical applications of ionising radiation </w:t>
      </w:r>
      <w:r w:rsidR="002D4105">
        <w:rPr>
          <w:noProof/>
        </w:rPr>
        <w:t xml:space="preserve">to advance, in </w:t>
      </w:r>
      <w:r w:rsidRPr="006C2791">
        <w:rPr>
          <w:noProof/>
        </w:rPr>
        <w:t>particular</w:t>
      </w:r>
      <w:r w:rsidR="002D4105">
        <w:rPr>
          <w:noProof/>
        </w:rPr>
        <w:t>,</w:t>
      </w:r>
      <w:r w:rsidRPr="006C2791">
        <w:rPr>
          <w:noProof/>
        </w:rPr>
        <w:t xml:space="preserve"> the treatment of patients</w:t>
      </w:r>
      <w:r w:rsidR="002D4105">
        <w:rPr>
          <w:noProof/>
        </w:rPr>
        <w:t xml:space="preserve"> by</w:t>
      </w:r>
      <w:r w:rsidRPr="006C2791">
        <w:rPr>
          <w:noProof/>
        </w:rPr>
        <w:t xml:space="preserve"> optimising therapies already used in clinics and supporting the adoption of </w:t>
      </w:r>
      <w:r w:rsidR="002D4105">
        <w:rPr>
          <w:noProof/>
        </w:rPr>
        <w:t>new</w:t>
      </w:r>
      <w:r w:rsidRPr="006C2791">
        <w:rPr>
          <w:noProof/>
        </w:rPr>
        <w:t xml:space="preserve"> techniques still under development</w:t>
      </w:r>
      <w:r w:rsidR="0061507F">
        <w:rPr>
          <w:noProof/>
        </w:rPr>
        <w:t>; and (iii)</w:t>
      </w:r>
      <w:r w:rsidRPr="006C2791">
        <w:rPr>
          <w:noProof/>
        </w:rPr>
        <w:t xml:space="preserve"> support </w:t>
      </w:r>
      <w:r w:rsidR="00584691">
        <w:rPr>
          <w:noProof/>
        </w:rPr>
        <w:t xml:space="preserve">the </w:t>
      </w:r>
      <w:r w:rsidRPr="006C2791">
        <w:rPr>
          <w:noProof/>
        </w:rPr>
        <w:t>development of ionising radiation applications in other fields</w:t>
      </w:r>
      <w:r w:rsidR="00584691">
        <w:rPr>
          <w:noProof/>
        </w:rPr>
        <w:t>, such as</w:t>
      </w:r>
      <w:r w:rsidRPr="006C2791">
        <w:rPr>
          <w:noProof/>
        </w:rPr>
        <w:t xml:space="preserve"> space, industry, environmental monitoring and </w:t>
      </w:r>
      <w:r w:rsidR="00584691">
        <w:rPr>
          <w:noProof/>
        </w:rPr>
        <w:t xml:space="preserve">the </w:t>
      </w:r>
      <w:r w:rsidRPr="006C2791">
        <w:rPr>
          <w:noProof/>
        </w:rPr>
        <w:t>circular economy.</w:t>
      </w:r>
    </w:p>
    <w:p w:rsidR="00755A4E" w:rsidRDefault="00223134" w:rsidP="007770C4">
      <w:pPr>
        <w:pStyle w:val="Tiret1"/>
        <w:pBdr>
          <w:top w:val="single" w:sz="4" w:space="1" w:color="auto"/>
          <w:left w:val="single" w:sz="4" w:space="4" w:color="auto"/>
          <w:bottom w:val="single" w:sz="4" w:space="1" w:color="auto"/>
          <w:right w:val="single" w:sz="4" w:space="4" w:color="auto"/>
        </w:pBdr>
        <w:rPr>
          <w:noProof/>
        </w:rPr>
      </w:pPr>
      <w:r w:rsidRPr="006C2791">
        <w:rPr>
          <w:noProof/>
        </w:rPr>
        <w:t xml:space="preserve">Expertise and competence in the nuclear field within the Community: Euratom-funded actions will aim to support researchers’ mobility and to improve </w:t>
      </w:r>
      <w:r w:rsidR="002D4105">
        <w:rPr>
          <w:noProof/>
        </w:rPr>
        <w:t xml:space="preserve">the </w:t>
      </w:r>
      <w:r w:rsidRPr="006C2791">
        <w:rPr>
          <w:noProof/>
        </w:rPr>
        <w:t xml:space="preserve">availability of research reactors and other nuclear research facilities. Specific training actions and activities within other Euratom projects will help </w:t>
      </w:r>
      <w:r w:rsidR="002D4105">
        <w:rPr>
          <w:noProof/>
        </w:rPr>
        <w:t xml:space="preserve">to </w:t>
      </w:r>
      <w:r w:rsidRPr="006C2791">
        <w:rPr>
          <w:noProof/>
        </w:rPr>
        <w:t xml:space="preserve">maintain skills in </w:t>
      </w:r>
      <w:r w:rsidR="002D4105">
        <w:rPr>
          <w:noProof/>
        </w:rPr>
        <w:t xml:space="preserve">the </w:t>
      </w:r>
      <w:r w:rsidRPr="006C2791">
        <w:rPr>
          <w:noProof/>
        </w:rPr>
        <w:t>nuclear field in Europe</w:t>
      </w:r>
      <w:r w:rsidR="00755A4E">
        <w:rPr>
          <w:noProof/>
        </w:rPr>
        <w:t>.</w:t>
      </w:r>
    </w:p>
    <w:p w:rsidR="00223134" w:rsidRPr="006C2791" w:rsidRDefault="00223134" w:rsidP="007770C4">
      <w:pPr>
        <w:pStyle w:val="Tiret1"/>
        <w:pBdr>
          <w:top w:val="single" w:sz="4" w:space="1" w:color="auto"/>
          <w:left w:val="single" w:sz="4" w:space="4" w:color="auto"/>
          <w:bottom w:val="single" w:sz="4" w:space="1" w:color="auto"/>
          <w:right w:val="single" w:sz="4" w:space="4" w:color="auto"/>
        </w:pBdr>
        <w:rPr>
          <w:noProof/>
        </w:rPr>
      </w:pPr>
      <w:r w:rsidRPr="006C2791">
        <w:rPr>
          <w:noProof/>
        </w:rPr>
        <w:t xml:space="preserve">In fusion energy development, the Euratom </w:t>
      </w:r>
      <w:r w:rsidR="004B09E8">
        <w:rPr>
          <w:noProof/>
        </w:rPr>
        <w:t>P</w:t>
      </w:r>
      <w:r w:rsidRPr="006C2791">
        <w:rPr>
          <w:noProof/>
        </w:rPr>
        <w:t>rogramme will aim to: (</w:t>
      </w:r>
      <w:r w:rsidR="002D4105">
        <w:rPr>
          <w:noProof/>
        </w:rPr>
        <w:t>i</w:t>
      </w:r>
      <w:r w:rsidRPr="006C2791">
        <w:rPr>
          <w:noProof/>
        </w:rPr>
        <w:t xml:space="preserve">) advance </w:t>
      </w:r>
      <w:r w:rsidR="003D48A4">
        <w:rPr>
          <w:noProof/>
        </w:rPr>
        <w:t xml:space="preserve">the </w:t>
      </w:r>
      <w:r w:rsidRPr="006C2791">
        <w:rPr>
          <w:noProof/>
        </w:rPr>
        <w:t xml:space="preserve">understanding of </w:t>
      </w:r>
      <w:r w:rsidR="00727BA3">
        <w:rPr>
          <w:noProof/>
        </w:rPr>
        <w:t xml:space="preserve">the </w:t>
      </w:r>
      <w:r w:rsidRPr="006C2791">
        <w:rPr>
          <w:noProof/>
        </w:rPr>
        <w:t>plasma state and its interactions with its surroundings to build the scientific foundations needed to develop a fusion energy source; (</w:t>
      </w:r>
      <w:r w:rsidR="002D4105">
        <w:rPr>
          <w:noProof/>
        </w:rPr>
        <w:t>ii</w:t>
      </w:r>
      <w:r w:rsidRPr="006C2791">
        <w:rPr>
          <w:noProof/>
        </w:rPr>
        <w:t xml:space="preserve">) prepare a technology roadmap that identifies in detail the major research and innovation needs, with clear deliverables and how they relate to the design, construction, and operation of the fusion power plant and </w:t>
      </w:r>
      <w:r w:rsidR="003D48A4">
        <w:rPr>
          <w:noProof/>
        </w:rPr>
        <w:t xml:space="preserve">its </w:t>
      </w:r>
      <w:r w:rsidRPr="006C2791">
        <w:rPr>
          <w:noProof/>
        </w:rPr>
        <w:t>subsequent commerciali</w:t>
      </w:r>
      <w:r w:rsidR="006C2791">
        <w:rPr>
          <w:noProof/>
        </w:rPr>
        <w:t>s</w:t>
      </w:r>
      <w:r w:rsidRPr="006C2791">
        <w:rPr>
          <w:noProof/>
        </w:rPr>
        <w:t>ation; (</w:t>
      </w:r>
      <w:r w:rsidR="003D48A4">
        <w:rPr>
          <w:noProof/>
        </w:rPr>
        <w:t>iii</w:t>
      </w:r>
      <w:r w:rsidRPr="006C2791">
        <w:rPr>
          <w:noProof/>
        </w:rPr>
        <w:t xml:space="preserve">) </w:t>
      </w:r>
      <w:r w:rsidR="00925FE1">
        <w:rPr>
          <w:noProof/>
        </w:rPr>
        <w:t>support</w:t>
      </w:r>
      <w:r w:rsidRPr="006C2791">
        <w:rPr>
          <w:noProof/>
        </w:rPr>
        <w:t xml:space="preserve"> </w:t>
      </w:r>
      <w:r w:rsidR="003D48A4">
        <w:rPr>
          <w:noProof/>
        </w:rPr>
        <w:t xml:space="preserve">the </w:t>
      </w:r>
      <w:r w:rsidRPr="006C2791">
        <w:rPr>
          <w:noProof/>
        </w:rPr>
        <w:t>development of critical fusion power plant technologies</w:t>
      </w:r>
      <w:r w:rsidR="003D48A4">
        <w:rPr>
          <w:noProof/>
        </w:rPr>
        <w:t xml:space="preserve">, </w:t>
      </w:r>
      <w:r w:rsidRPr="006C2791">
        <w:rPr>
          <w:noProof/>
        </w:rPr>
        <w:t>such as high-temperature superconducting magnets, blanket concepts, functional materials, plasma-facing materials, and tritium processing;</w:t>
      </w:r>
      <w:r w:rsidR="003D48A4">
        <w:rPr>
          <w:noProof/>
        </w:rPr>
        <w:t xml:space="preserve"> and</w:t>
      </w:r>
      <w:r w:rsidRPr="006C2791">
        <w:rPr>
          <w:noProof/>
        </w:rPr>
        <w:t xml:space="preserve"> (</w:t>
      </w:r>
      <w:r w:rsidR="003D48A4">
        <w:rPr>
          <w:noProof/>
        </w:rPr>
        <w:t>iv</w:t>
      </w:r>
      <w:r w:rsidRPr="006C2791">
        <w:rPr>
          <w:noProof/>
        </w:rPr>
        <w:t xml:space="preserve">) finish </w:t>
      </w:r>
      <w:r w:rsidR="003D48A4">
        <w:rPr>
          <w:noProof/>
        </w:rPr>
        <w:t xml:space="preserve">the </w:t>
      </w:r>
      <w:r w:rsidRPr="006C2791">
        <w:rPr>
          <w:noProof/>
        </w:rPr>
        <w:t xml:space="preserve">conceptual design for </w:t>
      </w:r>
      <w:r w:rsidR="003D48A4">
        <w:rPr>
          <w:noProof/>
        </w:rPr>
        <w:t xml:space="preserve">a </w:t>
      </w:r>
      <w:r w:rsidRPr="006C2791">
        <w:rPr>
          <w:noProof/>
        </w:rPr>
        <w:t>fusion power plant</w:t>
      </w:r>
      <w:r w:rsidR="003D48A4">
        <w:rPr>
          <w:noProof/>
        </w:rPr>
        <w:t xml:space="preserve">, </w:t>
      </w:r>
      <w:r w:rsidRPr="006C2791">
        <w:rPr>
          <w:noProof/>
        </w:rPr>
        <w:t>focus</w:t>
      </w:r>
      <w:r w:rsidR="003D48A4">
        <w:rPr>
          <w:noProof/>
        </w:rPr>
        <w:t>ing</w:t>
      </w:r>
      <w:r w:rsidRPr="006C2791">
        <w:rPr>
          <w:noProof/>
        </w:rPr>
        <w:t xml:space="preserve"> on </w:t>
      </w:r>
      <w:r w:rsidR="003D48A4">
        <w:rPr>
          <w:noProof/>
        </w:rPr>
        <w:t xml:space="preserve">the </w:t>
      </w:r>
      <w:r w:rsidRPr="006C2791">
        <w:rPr>
          <w:noProof/>
        </w:rPr>
        <w:t>mitigation of the key risks.</w:t>
      </w:r>
    </w:p>
    <w:p w:rsidR="008F031D" w:rsidRPr="006C2791" w:rsidRDefault="008F031D" w:rsidP="003D5244">
      <w:pPr>
        <w:pStyle w:val="ManualHeading3"/>
        <w:rPr>
          <w:noProof/>
          <w:szCs w:val="24"/>
        </w:rPr>
      </w:pPr>
      <w:bookmarkStart w:id="26" w:name="_Toc514938023"/>
      <w:bookmarkStart w:id="27" w:name="_Toc520485033"/>
      <w:r w:rsidRPr="006C2791">
        <w:rPr>
          <w:noProof/>
        </w:rPr>
        <w:t>1.</w:t>
      </w:r>
      <w:r w:rsidR="00895F35">
        <w:rPr>
          <w:noProof/>
        </w:rPr>
        <w:t>3</w:t>
      </w:r>
      <w:r w:rsidRPr="006C2791">
        <w:rPr>
          <w:noProof/>
        </w:rPr>
        <w:t>.4.</w:t>
      </w:r>
      <w:r w:rsidRPr="006C2791">
        <w:rPr>
          <w:noProof/>
        </w:rPr>
        <w:tab/>
        <w:t>Indicators of performance</w:t>
      </w:r>
      <w:bookmarkEnd w:id="26"/>
      <w:bookmarkEnd w:id="27"/>
    </w:p>
    <w:p w:rsidR="008F031D" w:rsidRPr="006C2791" w:rsidRDefault="008F031D" w:rsidP="003D5244">
      <w:pPr>
        <w:pStyle w:val="Text1"/>
        <w:rPr>
          <w:i/>
          <w:noProof/>
          <w:sz w:val="20"/>
        </w:rPr>
      </w:pPr>
      <w:r w:rsidRPr="006C2791">
        <w:rPr>
          <w:i/>
          <w:noProof/>
          <w:sz w:val="20"/>
        </w:rPr>
        <w:t>Specify the indicators for monitoring progress and achievements.</w:t>
      </w:r>
    </w:p>
    <w:p w:rsidR="008F031D" w:rsidRPr="006C2791" w:rsidRDefault="004240BC" w:rsidP="003D5244">
      <w:pPr>
        <w:pStyle w:val="Text1"/>
        <w:pBdr>
          <w:top w:val="single" w:sz="4" w:space="1" w:color="auto"/>
          <w:left w:val="single" w:sz="4" w:space="4" w:color="auto"/>
          <w:bottom w:val="single" w:sz="4" w:space="1" w:color="auto"/>
          <w:right w:val="single" w:sz="4" w:space="4" w:color="auto"/>
        </w:pBdr>
        <w:rPr>
          <w:noProof/>
          <w:color w:val="0000FF"/>
        </w:rPr>
      </w:pPr>
      <w:r w:rsidRPr="006C2791">
        <w:rPr>
          <w:noProof/>
        </w:rPr>
        <w:t xml:space="preserve">The Programme’s </w:t>
      </w:r>
      <w:r w:rsidR="00BA0D0A">
        <w:rPr>
          <w:noProof/>
        </w:rPr>
        <w:t>k</w:t>
      </w:r>
      <w:r w:rsidRPr="006C2791">
        <w:rPr>
          <w:noProof/>
        </w:rPr>
        <w:t xml:space="preserve">ey </w:t>
      </w:r>
      <w:r w:rsidR="00BA0D0A">
        <w:rPr>
          <w:noProof/>
        </w:rPr>
        <w:t>p</w:t>
      </w:r>
      <w:r w:rsidRPr="006C2791">
        <w:rPr>
          <w:noProof/>
        </w:rPr>
        <w:t xml:space="preserve">erformance </w:t>
      </w:r>
      <w:r w:rsidR="00BA0D0A">
        <w:rPr>
          <w:noProof/>
        </w:rPr>
        <w:t>i</w:t>
      </w:r>
      <w:r w:rsidRPr="006C2791">
        <w:rPr>
          <w:noProof/>
        </w:rPr>
        <w:t xml:space="preserve">ndicators are included in Annex II </w:t>
      </w:r>
      <w:r w:rsidR="00BA0D0A">
        <w:rPr>
          <w:noProof/>
        </w:rPr>
        <w:t>to</w:t>
      </w:r>
      <w:r w:rsidRPr="006C2791">
        <w:rPr>
          <w:noProof/>
        </w:rPr>
        <w:t xml:space="preserve"> the proposal.</w:t>
      </w:r>
      <w:r w:rsidR="00223134" w:rsidRPr="006C2791">
        <w:rPr>
          <w:noProof/>
        </w:rPr>
        <w:t xml:space="preserve"> The Euratom Programme is expected to</w:t>
      </w:r>
      <w:r w:rsidR="006C3A89">
        <w:rPr>
          <w:noProof/>
        </w:rPr>
        <w:t xml:space="preserve"> support</w:t>
      </w:r>
      <w:r w:rsidR="00223134" w:rsidRPr="006C2791">
        <w:rPr>
          <w:noProof/>
        </w:rPr>
        <w:t xml:space="preserve"> progress </w:t>
      </w:r>
      <w:r w:rsidR="006C3A89">
        <w:rPr>
          <w:noProof/>
        </w:rPr>
        <w:t>in: (i)</w:t>
      </w:r>
      <w:r w:rsidR="00223134" w:rsidRPr="006C2791">
        <w:rPr>
          <w:noProof/>
        </w:rPr>
        <w:t xml:space="preserve"> knowledge for reinforcing nuclear safety and security;</w:t>
      </w:r>
      <w:r w:rsidR="006C3A89">
        <w:rPr>
          <w:noProof/>
        </w:rPr>
        <w:t xml:space="preserve"> (ii)</w:t>
      </w:r>
      <w:r w:rsidR="00223134" w:rsidRPr="006C2791">
        <w:rPr>
          <w:noProof/>
        </w:rPr>
        <w:t xml:space="preserve"> safe applications of ionising radiation; </w:t>
      </w:r>
      <w:r w:rsidR="006C3A89">
        <w:rPr>
          <w:noProof/>
        </w:rPr>
        <w:t xml:space="preserve">(iii) </w:t>
      </w:r>
      <w:r w:rsidR="00223134" w:rsidRPr="006C2791">
        <w:rPr>
          <w:noProof/>
        </w:rPr>
        <w:t>spent fuel and radioactive waste management;</w:t>
      </w:r>
      <w:r w:rsidR="0052244C">
        <w:rPr>
          <w:noProof/>
        </w:rPr>
        <w:t xml:space="preserve"> </w:t>
      </w:r>
      <w:r w:rsidR="006C3A89">
        <w:rPr>
          <w:noProof/>
        </w:rPr>
        <w:t>(iv)</w:t>
      </w:r>
      <w:r w:rsidR="00223134" w:rsidRPr="006C2791">
        <w:rPr>
          <w:noProof/>
        </w:rPr>
        <w:t xml:space="preserve"> radiation protection; and </w:t>
      </w:r>
      <w:r w:rsidR="006C3A89">
        <w:rPr>
          <w:noProof/>
        </w:rPr>
        <w:t xml:space="preserve">(v) </w:t>
      </w:r>
      <w:r w:rsidR="00223134" w:rsidRPr="006C2791">
        <w:rPr>
          <w:noProof/>
        </w:rPr>
        <w:t>the development of fusion energy. Progress in th</w:t>
      </w:r>
      <w:r w:rsidR="00925FE1">
        <w:rPr>
          <w:noProof/>
        </w:rPr>
        <w:t>ose</w:t>
      </w:r>
      <w:r w:rsidR="00223134" w:rsidRPr="006C2791">
        <w:rPr>
          <w:noProof/>
        </w:rPr>
        <w:t xml:space="preserve"> area</w:t>
      </w:r>
      <w:r w:rsidR="00925FE1">
        <w:rPr>
          <w:noProof/>
        </w:rPr>
        <w:t>s</w:t>
      </w:r>
      <w:r w:rsidR="00223134" w:rsidRPr="006C2791">
        <w:rPr>
          <w:noProof/>
        </w:rPr>
        <w:t xml:space="preserve"> will be measured by indicators </w:t>
      </w:r>
      <w:r w:rsidR="006C3A89">
        <w:rPr>
          <w:noProof/>
        </w:rPr>
        <w:t>for</w:t>
      </w:r>
      <w:r w:rsidR="00EA094F">
        <w:rPr>
          <w:noProof/>
        </w:rPr>
        <w:t>: (i)</w:t>
      </w:r>
      <w:r w:rsidR="00223134" w:rsidRPr="006C2791">
        <w:rPr>
          <w:noProof/>
        </w:rPr>
        <w:t xml:space="preserve"> scientific publications</w:t>
      </w:r>
      <w:r w:rsidR="00EA094F">
        <w:rPr>
          <w:noProof/>
        </w:rPr>
        <w:t>; (ii)</w:t>
      </w:r>
      <w:r w:rsidR="00223134" w:rsidRPr="006C2791">
        <w:rPr>
          <w:noProof/>
        </w:rPr>
        <w:t xml:space="preserve"> progress in the implementation of the fusion roadmap</w:t>
      </w:r>
      <w:r w:rsidR="00EA094F">
        <w:rPr>
          <w:noProof/>
        </w:rPr>
        <w:t>; (iii)</w:t>
      </w:r>
      <w:r w:rsidR="00223134" w:rsidRPr="006C2791">
        <w:rPr>
          <w:noProof/>
        </w:rPr>
        <w:t xml:space="preserve"> training and support for nuclear security and safeguards</w:t>
      </w:r>
      <w:r w:rsidR="00EA094F">
        <w:rPr>
          <w:noProof/>
        </w:rPr>
        <w:t>; (iv)</w:t>
      </w:r>
      <w:r w:rsidR="00223134" w:rsidRPr="006C2791">
        <w:rPr>
          <w:noProof/>
        </w:rPr>
        <w:t xml:space="preserve"> </w:t>
      </w:r>
      <w:r w:rsidR="00EA094F">
        <w:rPr>
          <w:noProof/>
        </w:rPr>
        <w:t xml:space="preserve">the </w:t>
      </w:r>
      <w:r w:rsidR="00223134" w:rsidRPr="006C2791">
        <w:rPr>
          <w:noProof/>
        </w:rPr>
        <w:t>development of expertise and skills</w:t>
      </w:r>
      <w:r w:rsidR="00EA094F">
        <w:rPr>
          <w:noProof/>
        </w:rPr>
        <w:t>;</w:t>
      </w:r>
      <w:r w:rsidR="00223134" w:rsidRPr="006C2791">
        <w:rPr>
          <w:noProof/>
        </w:rPr>
        <w:t xml:space="preserve"> and </w:t>
      </w:r>
      <w:r w:rsidR="00EA094F">
        <w:rPr>
          <w:noProof/>
        </w:rPr>
        <w:t xml:space="preserve">(v) </w:t>
      </w:r>
      <w:r w:rsidR="00223134" w:rsidRPr="006C2791">
        <w:rPr>
          <w:noProof/>
        </w:rPr>
        <w:t>access to research infrastructures.</w:t>
      </w:r>
    </w:p>
    <w:p w:rsidR="00895F35" w:rsidRPr="006C2791" w:rsidRDefault="00895F35" w:rsidP="00895F35">
      <w:pPr>
        <w:pStyle w:val="ManualHeading2"/>
        <w:rPr>
          <w:bCs/>
          <w:noProof/>
          <w:szCs w:val="24"/>
        </w:rPr>
      </w:pPr>
      <w:bookmarkStart w:id="28" w:name="_Toc514938014"/>
      <w:bookmarkStart w:id="29" w:name="_Toc520485028"/>
      <w:bookmarkStart w:id="30" w:name="_Toc514938025"/>
      <w:bookmarkStart w:id="31" w:name="_Toc520485034"/>
      <w:r w:rsidRPr="006C2791">
        <w:rPr>
          <w:noProof/>
        </w:rPr>
        <w:t>1.</w:t>
      </w:r>
      <w:r>
        <w:rPr>
          <w:noProof/>
        </w:rPr>
        <w:t>4</w:t>
      </w:r>
      <w:r w:rsidRPr="006C2791">
        <w:rPr>
          <w:noProof/>
        </w:rPr>
        <w:t>.</w:t>
      </w:r>
      <w:r w:rsidRPr="006C2791">
        <w:rPr>
          <w:noProof/>
        </w:rPr>
        <w:tab/>
        <w:t>The proposal/initiative relates to:</w:t>
      </w:r>
      <w:bookmarkEnd w:id="28"/>
      <w:bookmarkEnd w:id="29"/>
    </w:p>
    <w:p w:rsidR="00895F35" w:rsidRPr="00895F35" w:rsidRDefault="00895F35" w:rsidP="00895F35">
      <w:pPr>
        <w:pStyle w:val="Text1"/>
        <w:rPr>
          <w:noProof/>
          <w:sz w:val="22"/>
        </w:rPr>
      </w:pPr>
      <w:r w:rsidRPr="00895F35">
        <w:rPr>
          <w:rFonts w:ascii="Wingdings" w:eastAsia="Wingdings" w:hAnsi="Wingdings" w:cs="Wingdings"/>
          <w:noProof/>
          <w:sz w:val="22"/>
        </w:rPr>
        <w:t></w:t>
      </w:r>
      <w:r w:rsidRPr="00895F35">
        <w:rPr>
          <w:i/>
          <w:noProof/>
          <w:sz w:val="22"/>
        </w:rPr>
        <w:t xml:space="preserve"> </w:t>
      </w:r>
      <w:r w:rsidRPr="00895F35">
        <w:rPr>
          <w:noProof/>
        </w:rPr>
        <w:t>a new action</w:t>
      </w:r>
    </w:p>
    <w:p w:rsidR="00895F35" w:rsidRPr="00895F35" w:rsidRDefault="00895F35" w:rsidP="00895F35">
      <w:pPr>
        <w:pStyle w:val="Text1"/>
        <w:rPr>
          <w:noProof/>
          <w:sz w:val="22"/>
        </w:rPr>
      </w:pPr>
      <w:r w:rsidRPr="00895F35">
        <w:rPr>
          <w:rFonts w:ascii="Wingdings" w:eastAsia="Wingdings" w:hAnsi="Wingdings" w:cs="Wingdings"/>
          <w:noProof/>
          <w:sz w:val="22"/>
        </w:rPr>
        <w:t></w:t>
      </w:r>
      <w:r w:rsidRPr="00895F35">
        <w:rPr>
          <w:i/>
          <w:noProof/>
          <w:sz w:val="22"/>
        </w:rPr>
        <w:t xml:space="preserve"> </w:t>
      </w:r>
      <w:r w:rsidRPr="00895F35">
        <w:rPr>
          <w:noProof/>
        </w:rPr>
        <w:t>a new action following a pilot project/preparatory action</w:t>
      </w:r>
      <w:r w:rsidRPr="00895F35">
        <w:rPr>
          <w:rStyle w:val="FootnoteReference"/>
          <w:noProof/>
        </w:rPr>
        <w:footnoteReference w:id="54"/>
      </w:r>
    </w:p>
    <w:p w:rsidR="00895F35" w:rsidRPr="00895F35" w:rsidRDefault="00895F35" w:rsidP="00895F35">
      <w:pPr>
        <w:pStyle w:val="Text1"/>
        <w:rPr>
          <w:noProof/>
          <w:sz w:val="22"/>
        </w:rPr>
      </w:pPr>
      <w:r w:rsidRPr="00895F35">
        <w:rPr>
          <w:rFonts w:ascii="Wingdings" w:eastAsia="Wingdings" w:hAnsi="Wingdings" w:cs="Wingdings"/>
          <w:noProof/>
        </w:rPr>
        <w:t></w:t>
      </w:r>
      <w:r w:rsidRPr="00895F35" w:rsidDel="004760CD">
        <w:rPr>
          <w:noProof/>
        </w:rPr>
        <w:t xml:space="preserve"> </w:t>
      </w:r>
      <w:r w:rsidRPr="00895F35">
        <w:rPr>
          <w:noProof/>
        </w:rPr>
        <w:t>the</w:t>
      </w:r>
      <w:r w:rsidRPr="00895F35">
        <w:rPr>
          <w:i/>
          <w:noProof/>
          <w:sz w:val="22"/>
        </w:rPr>
        <w:t xml:space="preserve"> </w:t>
      </w:r>
      <w:r w:rsidRPr="00895F35">
        <w:rPr>
          <w:noProof/>
        </w:rPr>
        <w:t>extension of an existing action</w:t>
      </w:r>
    </w:p>
    <w:p w:rsidR="00895F35" w:rsidRPr="00895F35" w:rsidRDefault="00895F35" w:rsidP="00895F35">
      <w:pPr>
        <w:pStyle w:val="Text1"/>
        <w:rPr>
          <w:noProof/>
        </w:rPr>
      </w:pPr>
      <w:r w:rsidRPr="00895F35">
        <w:rPr>
          <w:rFonts w:ascii="Wingdings" w:eastAsia="Wingdings" w:hAnsi="Wingdings" w:cs="Wingdings"/>
          <w:noProof/>
          <w:sz w:val="22"/>
        </w:rPr>
        <w:t></w:t>
      </w:r>
      <w:r w:rsidRPr="00895F35">
        <w:rPr>
          <w:i/>
          <w:noProof/>
          <w:sz w:val="22"/>
        </w:rPr>
        <w:t xml:space="preserve"> </w:t>
      </w:r>
      <w:r w:rsidRPr="00895F35">
        <w:rPr>
          <w:noProof/>
        </w:rPr>
        <w:t>a merger or redirection of one or more actions towards another/a new action</w:t>
      </w:r>
    </w:p>
    <w:p w:rsidR="008F031D" w:rsidRPr="006C2791" w:rsidRDefault="008F031D" w:rsidP="003D5244">
      <w:pPr>
        <w:pStyle w:val="ManualHeading2"/>
        <w:rPr>
          <w:bCs/>
          <w:noProof/>
          <w:szCs w:val="24"/>
        </w:rPr>
      </w:pPr>
      <w:r w:rsidRPr="006C2791">
        <w:rPr>
          <w:noProof/>
        </w:rPr>
        <w:t>1.5.</w:t>
      </w:r>
      <w:r w:rsidRPr="006C2791">
        <w:rPr>
          <w:noProof/>
        </w:rPr>
        <w:tab/>
        <w:t>Grounds for the proposal/initiative</w:t>
      </w:r>
      <w:bookmarkEnd w:id="30"/>
      <w:bookmarkEnd w:id="31"/>
    </w:p>
    <w:p w:rsidR="008F031D" w:rsidRPr="006C2791" w:rsidRDefault="008F031D" w:rsidP="003D5244">
      <w:pPr>
        <w:pStyle w:val="ManualHeading3"/>
        <w:rPr>
          <w:noProof/>
        </w:rPr>
      </w:pPr>
      <w:bookmarkStart w:id="32" w:name="_Toc514938026"/>
      <w:bookmarkStart w:id="33" w:name="_Toc520485035"/>
      <w:r w:rsidRPr="006C2791">
        <w:rPr>
          <w:noProof/>
        </w:rPr>
        <w:t>1.5.1.</w:t>
      </w:r>
      <w:r w:rsidRPr="006C2791">
        <w:rPr>
          <w:noProof/>
        </w:rPr>
        <w:tab/>
        <w:t>Requirement(s) to be met in the short or long term including a detailed timeline for roll-out of the implementation of the initiative</w:t>
      </w:r>
      <w:bookmarkEnd w:id="32"/>
      <w:bookmarkEnd w:id="33"/>
    </w:p>
    <w:p w:rsidR="00854981" w:rsidRPr="006C2791" w:rsidRDefault="00EA094F" w:rsidP="00854981">
      <w:pPr>
        <w:pStyle w:val="Text1"/>
        <w:pBdr>
          <w:top w:val="single" w:sz="4" w:space="1" w:color="auto"/>
          <w:left w:val="single" w:sz="4" w:space="4" w:color="auto"/>
          <w:bottom w:val="single" w:sz="4" w:space="1" w:color="auto"/>
          <w:right w:val="single" w:sz="4" w:space="4" w:color="auto"/>
        </w:pBdr>
        <w:rPr>
          <w:noProof/>
        </w:rPr>
      </w:pPr>
      <w:r>
        <w:rPr>
          <w:noProof/>
        </w:rPr>
        <w:t>The u</w:t>
      </w:r>
      <w:r w:rsidR="00854981" w:rsidRPr="006C2791">
        <w:rPr>
          <w:noProof/>
        </w:rPr>
        <w:t xml:space="preserve">se of power and non-power applications of nuclear energy requires a continuous effort </w:t>
      </w:r>
      <w:r>
        <w:rPr>
          <w:noProof/>
        </w:rPr>
        <w:t>to</w:t>
      </w:r>
      <w:r w:rsidR="00854981" w:rsidRPr="006C2791">
        <w:rPr>
          <w:noProof/>
        </w:rPr>
        <w:t xml:space="preserve"> reduc</w:t>
      </w:r>
      <w:r>
        <w:rPr>
          <w:noProof/>
        </w:rPr>
        <w:t>e</w:t>
      </w:r>
      <w:r w:rsidR="00854981" w:rsidRPr="006C2791">
        <w:rPr>
          <w:noProof/>
        </w:rPr>
        <w:t xml:space="preserve"> safety and security risks and </w:t>
      </w:r>
      <w:r>
        <w:rPr>
          <w:noProof/>
        </w:rPr>
        <w:t>to</w:t>
      </w:r>
      <w:r w:rsidR="00854981" w:rsidRPr="006C2791">
        <w:rPr>
          <w:noProof/>
        </w:rPr>
        <w:t xml:space="preserve"> support the development of safe and secure nuclear technologies and optimal radiation protection. </w:t>
      </w:r>
      <w:r>
        <w:rPr>
          <w:noProof/>
        </w:rPr>
        <w:t>The</w:t>
      </w:r>
      <w:r w:rsidR="00854981" w:rsidRPr="006C2791">
        <w:rPr>
          <w:noProof/>
        </w:rPr>
        <w:t xml:space="preserve"> growing number of different application</w:t>
      </w:r>
      <w:r>
        <w:rPr>
          <w:noProof/>
        </w:rPr>
        <w:t>s</w:t>
      </w:r>
      <w:r w:rsidR="00854981" w:rsidRPr="006C2791">
        <w:rPr>
          <w:noProof/>
        </w:rPr>
        <w:t xml:space="preserve"> of ionising radiation </w:t>
      </w:r>
      <w:r>
        <w:rPr>
          <w:noProof/>
        </w:rPr>
        <w:t xml:space="preserve">means that </w:t>
      </w:r>
      <w:r w:rsidR="00854981" w:rsidRPr="006C2791">
        <w:rPr>
          <w:noProof/>
        </w:rPr>
        <w:t xml:space="preserve">people and the environment </w:t>
      </w:r>
      <w:r>
        <w:rPr>
          <w:noProof/>
        </w:rPr>
        <w:t>need to be protected against</w:t>
      </w:r>
      <w:r w:rsidR="00854981" w:rsidRPr="006C2791">
        <w:rPr>
          <w:noProof/>
        </w:rPr>
        <w:t xml:space="preserve"> unnecessary exposure to radiation. Ionising radiation technologies are used every day in Europe in a number of fields</w:t>
      </w:r>
      <w:r>
        <w:rPr>
          <w:noProof/>
        </w:rPr>
        <w:t>,</w:t>
      </w:r>
      <w:r w:rsidR="00854981" w:rsidRPr="006C2791">
        <w:rPr>
          <w:noProof/>
        </w:rPr>
        <w:t xml:space="preserve"> such as health, industry and research, </w:t>
      </w:r>
      <w:r w:rsidR="0052244C">
        <w:rPr>
          <w:noProof/>
        </w:rPr>
        <w:t xml:space="preserve">and they </w:t>
      </w:r>
      <w:r w:rsidR="00854981" w:rsidRPr="006C2791">
        <w:rPr>
          <w:noProof/>
        </w:rPr>
        <w:t>provid</w:t>
      </w:r>
      <w:r w:rsidR="0052244C">
        <w:rPr>
          <w:noProof/>
        </w:rPr>
        <w:t>e</w:t>
      </w:r>
      <w:r w:rsidR="00854981" w:rsidRPr="006C2791">
        <w:rPr>
          <w:noProof/>
        </w:rPr>
        <w:t xml:space="preserve"> </w:t>
      </w:r>
      <w:r>
        <w:rPr>
          <w:noProof/>
        </w:rPr>
        <w:t>significant</w:t>
      </w:r>
      <w:r w:rsidR="00854981" w:rsidRPr="006C2791">
        <w:rPr>
          <w:noProof/>
        </w:rPr>
        <w:t xml:space="preserve"> benefits to </w:t>
      </w:r>
      <w:r>
        <w:rPr>
          <w:noProof/>
        </w:rPr>
        <w:t xml:space="preserve">the </w:t>
      </w:r>
      <w:r w:rsidR="00854981" w:rsidRPr="006C2791">
        <w:rPr>
          <w:noProof/>
        </w:rPr>
        <w:t>E</w:t>
      </w:r>
      <w:r w:rsidR="005377E1">
        <w:rPr>
          <w:noProof/>
        </w:rPr>
        <w:t>U’s</w:t>
      </w:r>
      <w:r w:rsidR="00854981" w:rsidRPr="006C2791">
        <w:rPr>
          <w:noProof/>
        </w:rPr>
        <w:t xml:space="preserve"> </w:t>
      </w:r>
      <w:r>
        <w:rPr>
          <w:noProof/>
        </w:rPr>
        <w:t xml:space="preserve">population </w:t>
      </w:r>
      <w:r w:rsidR="00854981" w:rsidRPr="006C2791">
        <w:rPr>
          <w:noProof/>
        </w:rPr>
        <w:t>and economy.</w:t>
      </w:r>
    </w:p>
    <w:p w:rsidR="00854981" w:rsidRPr="006C2791" w:rsidRDefault="00854981" w:rsidP="00854981">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Public and private research in Member States can contribute </w:t>
      </w:r>
      <w:r w:rsidR="00FD42FC" w:rsidRPr="006C2791">
        <w:rPr>
          <w:noProof/>
        </w:rPr>
        <w:t xml:space="preserve">significantly </w:t>
      </w:r>
      <w:r w:rsidRPr="006C2791">
        <w:rPr>
          <w:noProof/>
        </w:rPr>
        <w:t>to providing th</w:t>
      </w:r>
      <w:r w:rsidR="0052244C">
        <w:rPr>
          <w:noProof/>
        </w:rPr>
        <w:t>o</w:t>
      </w:r>
      <w:r w:rsidRPr="006C2791">
        <w:rPr>
          <w:noProof/>
        </w:rPr>
        <w:t>se benefits</w:t>
      </w:r>
      <w:r w:rsidR="00FD42FC">
        <w:rPr>
          <w:noProof/>
        </w:rPr>
        <w:t>,</w:t>
      </w:r>
      <w:r w:rsidRPr="006C2791">
        <w:rPr>
          <w:noProof/>
        </w:rPr>
        <w:t xml:space="preserve"> and the task of Euratom is to complement national efforts by carrying out a Community-based research and training programme.</w:t>
      </w:r>
    </w:p>
    <w:p w:rsidR="00854981" w:rsidRPr="006C2791" w:rsidRDefault="00854981" w:rsidP="00223134">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Euratom-supported research should help Member States and industry </w:t>
      </w:r>
      <w:r w:rsidR="00FD42FC">
        <w:rPr>
          <w:noProof/>
        </w:rPr>
        <w:t>to</w:t>
      </w:r>
      <w:r w:rsidRPr="006C2791">
        <w:rPr>
          <w:noProof/>
        </w:rPr>
        <w:t xml:space="preserve"> meet the requirements of the Euratom Treaty and of </w:t>
      </w:r>
      <w:r w:rsidR="00223134" w:rsidRPr="006C2791">
        <w:rPr>
          <w:noProof/>
        </w:rPr>
        <w:t xml:space="preserve">Euratom </w:t>
      </w:r>
      <w:r w:rsidRPr="006C2791">
        <w:rPr>
          <w:noProof/>
        </w:rPr>
        <w:t>directives</w:t>
      </w:r>
      <w:r w:rsidR="00223134" w:rsidRPr="006C2791">
        <w:rPr>
          <w:noProof/>
        </w:rPr>
        <w:t xml:space="preserve"> </w:t>
      </w:r>
      <w:r w:rsidR="00FD42FC">
        <w:rPr>
          <w:noProof/>
        </w:rPr>
        <w:t>on</w:t>
      </w:r>
      <w:r w:rsidR="00223134" w:rsidRPr="006C2791">
        <w:rPr>
          <w:noProof/>
        </w:rPr>
        <w:t xml:space="preserve"> nuclear safety, basic safety standards and </w:t>
      </w:r>
      <w:r w:rsidR="00FD42FC">
        <w:rPr>
          <w:noProof/>
        </w:rPr>
        <w:t xml:space="preserve">the </w:t>
      </w:r>
      <w:r w:rsidR="00223134" w:rsidRPr="006C2791">
        <w:rPr>
          <w:noProof/>
        </w:rPr>
        <w:t>management of radioactive waste.</w:t>
      </w:r>
      <w:r w:rsidR="002317E9">
        <w:rPr>
          <w:noProof/>
        </w:rPr>
        <w:t xml:space="preserve"> </w:t>
      </w:r>
      <w:r w:rsidR="008E467D">
        <w:rPr>
          <w:noProof/>
        </w:rPr>
        <w:t>It should also support</w:t>
      </w:r>
      <w:r w:rsidR="002317E9">
        <w:rPr>
          <w:noProof/>
        </w:rPr>
        <w:t xml:space="preserve"> the Euratom safeguards requirements from Chapter 7 of the Euratom Treaty and related regulation</w:t>
      </w:r>
      <w:r w:rsidR="008E467D">
        <w:rPr>
          <w:noProof/>
        </w:rPr>
        <w:t>.</w:t>
      </w:r>
    </w:p>
    <w:p w:rsidR="00854981" w:rsidRPr="006C2791" w:rsidRDefault="00B16AC0" w:rsidP="00854981">
      <w:pPr>
        <w:pStyle w:val="Text1"/>
        <w:pBdr>
          <w:top w:val="single" w:sz="4" w:space="1" w:color="auto"/>
          <w:left w:val="single" w:sz="4" w:space="4" w:color="auto"/>
          <w:bottom w:val="single" w:sz="4" w:space="1" w:color="auto"/>
          <w:right w:val="single" w:sz="4" w:space="4" w:color="auto"/>
        </w:pBdr>
        <w:rPr>
          <w:noProof/>
        </w:rPr>
      </w:pPr>
      <w:r>
        <w:rPr>
          <w:noProof/>
        </w:rPr>
        <w:t xml:space="preserve">To be </w:t>
      </w:r>
      <w:r w:rsidRPr="006C2791">
        <w:rPr>
          <w:noProof/>
        </w:rPr>
        <w:t xml:space="preserve">in line with the duration of Horizon Europe and </w:t>
      </w:r>
      <w:r>
        <w:rPr>
          <w:noProof/>
        </w:rPr>
        <w:t>the</w:t>
      </w:r>
      <w:r w:rsidR="009A678E">
        <w:rPr>
          <w:noProof/>
        </w:rPr>
        <w:t xml:space="preserve"> MFF</w:t>
      </w:r>
      <w:r>
        <w:rPr>
          <w:noProof/>
        </w:rPr>
        <w:t>, t</w:t>
      </w:r>
      <w:r w:rsidR="00854981" w:rsidRPr="006C2791">
        <w:rPr>
          <w:noProof/>
        </w:rPr>
        <w:t xml:space="preserve">he proposed </w:t>
      </w:r>
      <w:r w:rsidR="0015516B" w:rsidRPr="006C2791">
        <w:rPr>
          <w:noProof/>
        </w:rPr>
        <w:t>P</w:t>
      </w:r>
      <w:r w:rsidR="00854981" w:rsidRPr="006C2791">
        <w:rPr>
          <w:noProof/>
        </w:rPr>
        <w:t xml:space="preserve">rogramme will be implemented </w:t>
      </w:r>
      <w:r w:rsidR="00FD42FC" w:rsidRPr="006C2791">
        <w:rPr>
          <w:noProof/>
        </w:rPr>
        <w:t>in line with Article</w:t>
      </w:r>
      <w:r w:rsidR="00FD42FC">
        <w:rPr>
          <w:noProof/>
        </w:rPr>
        <w:t> </w:t>
      </w:r>
      <w:r w:rsidR="00FD42FC" w:rsidRPr="006C2791">
        <w:rPr>
          <w:noProof/>
        </w:rPr>
        <w:t>7 of the Euratom Treaty</w:t>
      </w:r>
      <w:r w:rsidR="00FD42FC" w:rsidRPr="006C2791" w:rsidDel="00FD42FC">
        <w:rPr>
          <w:noProof/>
        </w:rPr>
        <w:t xml:space="preserve"> </w:t>
      </w:r>
      <w:r w:rsidRPr="006C2791">
        <w:rPr>
          <w:noProof/>
        </w:rPr>
        <w:t xml:space="preserve">for </w:t>
      </w:r>
      <w:r>
        <w:rPr>
          <w:noProof/>
        </w:rPr>
        <w:t>2 </w:t>
      </w:r>
      <w:r w:rsidRPr="006C2791">
        <w:rPr>
          <w:noProof/>
        </w:rPr>
        <w:t>years</w:t>
      </w:r>
      <w:r>
        <w:rPr>
          <w:noProof/>
        </w:rPr>
        <w:t xml:space="preserve"> (</w:t>
      </w:r>
      <w:r w:rsidR="00854981" w:rsidRPr="006C2791">
        <w:rPr>
          <w:noProof/>
        </w:rPr>
        <w:t>from</w:t>
      </w:r>
      <w:r w:rsidR="0015516B" w:rsidRPr="006C2791">
        <w:rPr>
          <w:noProof/>
        </w:rPr>
        <w:t xml:space="preserve"> the beginning</w:t>
      </w:r>
      <w:r w:rsidR="00854981" w:rsidRPr="006C2791">
        <w:rPr>
          <w:noProof/>
        </w:rPr>
        <w:t xml:space="preserve"> </w:t>
      </w:r>
      <w:r w:rsidR="0015516B" w:rsidRPr="006C2791">
        <w:rPr>
          <w:noProof/>
        </w:rPr>
        <w:t xml:space="preserve">of </w:t>
      </w:r>
      <w:r w:rsidR="00854981" w:rsidRPr="006C2791">
        <w:rPr>
          <w:noProof/>
        </w:rPr>
        <w:t>202</w:t>
      </w:r>
      <w:r w:rsidR="00D72ABF" w:rsidRPr="006C2791">
        <w:rPr>
          <w:noProof/>
        </w:rPr>
        <w:t>6</w:t>
      </w:r>
      <w:r w:rsidR="00854981" w:rsidRPr="006C2791">
        <w:rPr>
          <w:noProof/>
        </w:rPr>
        <w:t xml:space="preserve"> until </w:t>
      </w:r>
      <w:r w:rsidR="0015516B" w:rsidRPr="006C2791">
        <w:rPr>
          <w:noProof/>
        </w:rPr>
        <w:t xml:space="preserve">the end of </w:t>
      </w:r>
      <w:r w:rsidR="00854981" w:rsidRPr="006C2791">
        <w:rPr>
          <w:noProof/>
        </w:rPr>
        <w:t>2027</w:t>
      </w:r>
      <w:r>
        <w:rPr>
          <w:noProof/>
        </w:rPr>
        <w:t>)</w:t>
      </w:r>
      <w:r w:rsidR="00854981" w:rsidRPr="006C2791">
        <w:rPr>
          <w:noProof/>
        </w:rPr>
        <w:t>.</w:t>
      </w:r>
    </w:p>
    <w:p w:rsidR="008F031D" w:rsidRPr="006C2791" w:rsidRDefault="00854981" w:rsidP="00854981">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proposed </w:t>
      </w:r>
      <w:r w:rsidR="0015516B" w:rsidRPr="006C2791">
        <w:rPr>
          <w:noProof/>
        </w:rPr>
        <w:t>P</w:t>
      </w:r>
      <w:r w:rsidRPr="006C2791">
        <w:rPr>
          <w:noProof/>
        </w:rPr>
        <w:t>rogramme will continue the</w:t>
      </w:r>
      <w:r w:rsidR="00C670F0">
        <w:rPr>
          <w:noProof/>
        </w:rPr>
        <w:t xml:space="preserve"> 2021-2025</w:t>
      </w:r>
      <w:r w:rsidRPr="006C2791">
        <w:rPr>
          <w:noProof/>
        </w:rPr>
        <w:t xml:space="preserve"> </w:t>
      </w:r>
      <w:r w:rsidR="00C670F0" w:rsidRPr="006C2791">
        <w:rPr>
          <w:noProof/>
        </w:rPr>
        <w:t>Programme</w:t>
      </w:r>
      <w:r w:rsidR="00C670F0">
        <w:rPr>
          <w:noProof/>
        </w:rPr>
        <w:t>’s</w:t>
      </w:r>
      <w:r w:rsidR="00C670F0" w:rsidRPr="006C2791">
        <w:rPr>
          <w:noProof/>
        </w:rPr>
        <w:t xml:space="preserve"> </w:t>
      </w:r>
      <w:r w:rsidRPr="006C2791">
        <w:rPr>
          <w:noProof/>
        </w:rPr>
        <w:t>key research activities of nuclear safety, security</w:t>
      </w:r>
      <w:r w:rsidR="0015516B" w:rsidRPr="006C2791">
        <w:rPr>
          <w:noProof/>
        </w:rPr>
        <w:t xml:space="preserve"> and safeguards</w:t>
      </w:r>
      <w:r w:rsidRPr="006C2791">
        <w:rPr>
          <w:noProof/>
        </w:rPr>
        <w:t>, waste management</w:t>
      </w:r>
      <w:r w:rsidR="0015516B" w:rsidRPr="006C2791">
        <w:rPr>
          <w:noProof/>
        </w:rPr>
        <w:t xml:space="preserve"> and</w:t>
      </w:r>
      <w:r w:rsidRPr="006C2791">
        <w:rPr>
          <w:noProof/>
        </w:rPr>
        <w:t xml:space="preserve"> radiation protection</w:t>
      </w:r>
      <w:r w:rsidR="0015516B" w:rsidRPr="006C2791">
        <w:rPr>
          <w:noProof/>
        </w:rPr>
        <w:t>,</w:t>
      </w:r>
      <w:r w:rsidRPr="006C2791">
        <w:rPr>
          <w:noProof/>
        </w:rPr>
        <w:t xml:space="preserve"> and fusion energy.</w:t>
      </w:r>
    </w:p>
    <w:p w:rsidR="008F031D" w:rsidRPr="006C2791" w:rsidRDefault="008F031D" w:rsidP="003D5244">
      <w:pPr>
        <w:pStyle w:val="ManualHeading3"/>
        <w:rPr>
          <w:bCs/>
          <w:noProof/>
          <w:szCs w:val="24"/>
        </w:rPr>
      </w:pPr>
      <w:bookmarkStart w:id="34" w:name="_Toc514938029"/>
      <w:bookmarkStart w:id="35" w:name="_Toc520485036"/>
      <w:r w:rsidRPr="006C2791">
        <w:rPr>
          <w:noProof/>
        </w:rPr>
        <w:t>1.5.2.</w:t>
      </w:r>
      <w:r w:rsidRPr="006C2791">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34"/>
      <w:bookmarkEnd w:id="35"/>
    </w:p>
    <w:p w:rsidR="005C7A59" w:rsidRPr="006C2791" w:rsidRDefault="005C7A59" w:rsidP="009B3156">
      <w:pPr>
        <w:pStyle w:val="Text1"/>
        <w:pBdr>
          <w:top w:val="single" w:sz="4" w:space="1" w:color="auto"/>
          <w:left w:val="single" w:sz="4" w:space="4" w:color="auto"/>
          <w:bottom w:val="single" w:sz="4" w:space="1" w:color="auto"/>
          <w:right w:val="single" w:sz="4" w:space="4" w:color="auto"/>
        </w:pBdr>
        <w:rPr>
          <w:noProof/>
        </w:rPr>
      </w:pPr>
      <w:r w:rsidRPr="006C2791">
        <w:rPr>
          <w:noProof/>
        </w:rPr>
        <w:t>Through cooperative research, the Programme enables a</w:t>
      </w:r>
      <w:r w:rsidR="00925FE1">
        <w:rPr>
          <w:noProof/>
        </w:rPr>
        <w:t>n</w:t>
      </w:r>
      <w:r w:rsidRPr="006C2791">
        <w:rPr>
          <w:noProof/>
        </w:rPr>
        <w:t xml:space="preserve"> E</w:t>
      </w:r>
      <w:r w:rsidR="00B56572">
        <w:rPr>
          <w:noProof/>
        </w:rPr>
        <w:t>U</w:t>
      </w:r>
      <w:r w:rsidRPr="006C2791">
        <w:rPr>
          <w:noProof/>
        </w:rPr>
        <w:t xml:space="preserve">-wide approach to both: (i) the improvement of nuclear safety and radiation protection in all areas of application; and (ii) the challenge of developing fusion as an energy source. The Programme significantly increases the EU’s ability to mobilise a wider pool of excellence, expertise and multidisciplinarity in nuclear research, achieving impacts that extend far beyond what </w:t>
      </w:r>
      <w:r w:rsidR="00C01DE8">
        <w:rPr>
          <w:noProof/>
        </w:rPr>
        <w:t>c</w:t>
      </w:r>
      <w:r w:rsidRPr="006C2791">
        <w:rPr>
          <w:noProof/>
        </w:rPr>
        <w:t xml:space="preserve">ould have been achieved at national or regional level. This is of particular benefit to smaller Member States, which are able to take advantage of </w:t>
      </w:r>
      <w:r w:rsidR="00C670F0">
        <w:rPr>
          <w:noProof/>
        </w:rPr>
        <w:t xml:space="preserve">the </w:t>
      </w:r>
      <w:r w:rsidRPr="006C2791">
        <w:rPr>
          <w:noProof/>
        </w:rPr>
        <w:t>economies of scale afforded by the Europe-wide pooling effect and open access to JRC facilities.</w:t>
      </w:r>
    </w:p>
    <w:p w:rsidR="005B6E30" w:rsidRPr="006C2791" w:rsidRDefault="00C670F0" w:rsidP="005B6E30">
      <w:pPr>
        <w:pStyle w:val="Text1"/>
        <w:pBdr>
          <w:top w:val="single" w:sz="4" w:space="1" w:color="auto"/>
          <w:left w:val="single" w:sz="4" w:space="4" w:color="auto"/>
          <w:bottom w:val="single" w:sz="4" w:space="1" w:color="auto"/>
          <w:right w:val="single" w:sz="4" w:space="4" w:color="auto"/>
        </w:pBdr>
        <w:rPr>
          <w:noProof/>
        </w:rPr>
      </w:pPr>
      <w:r>
        <w:rPr>
          <w:noProof/>
        </w:rPr>
        <w:t>T</w:t>
      </w:r>
      <w:r w:rsidR="005B6E30" w:rsidRPr="006C2791">
        <w:rPr>
          <w:noProof/>
        </w:rPr>
        <w:t xml:space="preserve">hrough the JRC, </w:t>
      </w:r>
      <w:r>
        <w:rPr>
          <w:noProof/>
        </w:rPr>
        <w:t>t</w:t>
      </w:r>
      <w:r w:rsidRPr="006C2791">
        <w:rPr>
          <w:noProof/>
        </w:rPr>
        <w:t xml:space="preserve">he </w:t>
      </w:r>
      <w:r w:rsidR="00B56572">
        <w:rPr>
          <w:noProof/>
        </w:rPr>
        <w:t>P</w:t>
      </w:r>
      <w:r w:rsidRPr="006C2791">
        <w:rPr>
          <w:noProof/>
        </w:rPr>
        <w:t xml:space="preserve">rogramme provides </w:t>
      </w:r>
      <w:r w:rsidR="00792CE2">
        <w:rPr>
          <w:noProof/>
        </w:rPr>
        <w:t>valuable</w:t>
      </w:r>
      <w:r w:rsidR="005B6E30" w:rsidRPr="006C2791">
        <w:rPr>
          <w:noProof/>
        </w:rPr>
        <w:t xml:space="preserve"> independent scientific advice </w:t>
      </w:r>
      <w:r w:rsidR="00792CE2">
        <w:rPr>
          <w:noProof/>
        </w:rPr>
        <w:t xml:space="preserve">to </w:t>
      </w:r>
      <w:r w:rsidR="005B6E30" w:rsidRPr="006C2791">
        <w:rPr>
          <w:noProof/>
        </w:rPr>
        <w:t>support the implementation of E</w:t>
      </w:r>
      <w:r w:rsidR="00925FE1">
        <w:rPr>
          <w:noProof/>
        </w:rPr>
        <w:t>U</w:t>
      </w:r>
      <w:r w:rsidR="005B6E30" w:rsidRPr="006C2791">
        <w:rPr>
          <w:noProof/>
        </w:rPr>
        <w:t xml:space="preserve"> policies in the field of nuclear safety, radioactive waste management, radiation protection, nuclear security, safeguards and non-proliferation. </w:t>
      </w:r>
      <w:r w:rsidR="00F05CE5">
        <w:rPr>
          <w:noProof/>
        </w:rPr>
        <w:t xml:space="preserve">The </w:t>
      </w:r>
      <w:r w:rsidR="00F05CE5" w:rsidRPr="006C2791">
        <w:rPr>
          <w:noProof/>
        </w:rPr>
        <w:t>JRC</w:t>
      </w:r>
      <w:r w:rsidR="00F05CE5">
        <w:rPr>
          <w:noProof/>
        </w:rPr>
        <w:t>’s</w:t>
      </w:r>
      <w:r w:rsidR="005B6E30" w:rsidRPr="006C2791">
        <w:rPr>
          <w:noProof/>
        </w:rPr>
        <w:t xml:space="preserve"> unique infrastructure and laboratories</w:t>
      </w:r>
      <w:r w:rsidR="00F05CE5">
        <w:rPr>
          <w:noProof/>
        </w:rPr>
        <w:t xml:space="preserve"> allow it to</w:t>
      </w:r>
      <w:r w:rsidR="005B6E30" w:rsidRPr="006C2791">
        <w:rPr>
          <w:noProof/>
        </w:rPr>
        <w:t xml:space="preserve"> play a crucial role in </w:t>
      </w:r>
      <w:r w:rsidR="002D1E60" w:rsidRPr="006C2791">
        <w:rPr>
          <w:noProof/>
        </w:rPr>
        <w:t xml:space="preserve">advancing </w:t>
      </w:r>
      <w:r w:rsidR="005B6E30" w:rsidRPr="006C2791">
        <w:rPr>
          <w:noProof/>
        </w:rPr>
        <w:t xml:space="preserve">nuclear research and </w:t>
      </w:r>
      <w:r w:rsidR="003579DD" w:rsidRPr="006C2791">
        <w:rPr>
          <w:noProof/>
        </w:rPr>
        <w:t>offer</w:t>
      </w:r>
      <w:r w:rsidR="005005F5">
        <w:rPr>
          <w:noProof/>
        </w:rPr>
        <w:t>ing</w:t>
      </w:r>
      <w:r w:rsidR="003579DD" w:rsidRPr="006C2791">
        <w:rPr>
          <w:noProof/>
        </w:rPr>
        <w:t xml:space="preserve"> unique </w:t>
      </w:r>
      <w:r w:rsidR="005B6E30" w:rsidRPr="006C2791">
        <w:rPr>
          <w:noProof/>
        </w:rPr>
        <w:t xml:space="preserve">training </w:t>
      </w:r>
      <w:r w:rsidR="00B56572">
        <w:rPr>
          <w:noProof/>
        </w:rPr>
        <w:t xml:space="preserve">opportunities </w:t>
      </w:r>
      <w:r w:rsidR="005B6E30" w:rsidRPr="006C2791">
        <w:rPr>
          <w:noProof/>
        </w:rPr>
        <w:t xml:space="preserve">in </w:t>
      </w:r>
      <w:r w:rsidR="00B56572">
        <w:rPr>
          <w:noProof/>
        </w:rPr>
        <w:t xml:space="preserve">the </w:t>
      </w:r>
      <w:r w:rsidR="005B6E30" w:rsidRPr="006C2791">
        <w:rPr>
          <w:noProof/>
        </w:rPr>
        <w:t>E</w:t>
      </w:r>
      <w:r w:rsidR="00B56572">
        <w:rPr>
          <w:noProof/>
        </w:rPr>
        <w:t>U</w:t>
      </w:r>
      <w:r w:rsidR="005B6E30" w:rsidRPr="006C2791">
        <w:rPr>
          <w:noProof/>
        </w:rPr>
        <w:t>.</w:t>
      </w:r>
    </w:p>
    <w:p w:rsidR="008F031D" w:rsidRPr="006C2791" w:rsidRDefault="008F031D" w:rsidP="003D5244">
      <w:pPr>
        <w:pStyle w:val="ManualHeading3"/>
        <w:rPr>
          <w:noProof/>
        </w:rPr>
      </w:pPr>
      <w:bookmarkStart w:id="36" w:name="_Toc514938030"/>
      <w:bookmarkStart w:id="37" w:name="_Toc520485037"/>
      <w:r w:rsidRPr="006C2791">
        <w:rPr>
          <w:noProof/>
        </w:rPr>
        <w:t>1.5.3.</w:t>
      </w:r>
      <w:r w:rsidRPr="006C2791">
        <w:rPr>
          <w:noProof/>
        </w:rPr>
        <w:tab/>
        <w:t>Lessons learned from similar experiences in the past</w:t>
      </w:r>
      <w:bookmarkEnd w:id="36"/>
      <w:bookmarkEnd w:id="37"/>
    </w:p>
    <w:p w:rsidR="008F031D" w:rsidRPr="006C2791" w:rsidRDefault="00396A36" w:rsidP="00396A36">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findings of the </w:t>
      </w:r>
      <w:r w:rsidRPr="006C2791">
        <w:rPr>
          <w:i/>
          <w:iCs/>
          <w:noProof/>
        </w:rPr>
        <w:t>ex</w:t>
      </w:r>
      <w:r w:rsidR="00D04E30">
        <w:rPr>
          <w:i/>
          <w:iCs/>
          <w:noProof/>
        </w:rPr>
        <w:t xml:space="preserve"> </w:t>
      </w:r>
      <w:r w:rsidRPr="006C2791">
        <w:rPr>
          <w:i/>
          <w:iCs/>
          <w:noProof/>
        </w:rPr>
        <w:t>post</w:t>
      </w:r>
      <w:r w:rsidRPr="006C2791">
        <w:rPr>
          <w:noProof/>
        </w:rPr>
        <w:t xml:space="preserve"> evaluation of the 2014-2020 Euratom Programme and the interim evaluation of the 2021-2025 Programme were taken into account when preparing this proposal.</w:t>
      </w:r>
    </w:p>
    <w:p w:rsidR="008F031D" w:rsidRPr="006C2791" w:rsidRDefault="008F031D" w:rsidP="003D5244">
      <w:pPr>
        <w:pStyle w:val="ManualHeading3"/>
        <w:rPr>
          <w:noProof/>
        </w:rPr>
      </w:pPr>
      <w:bookmarkStart w:id="38" w:name="_Toc514938033"/>
      <w:bookmarkStart w:id="39" w:name="_Toc520485038"/>
      <w:r w:rsidRPr="006C2791">
        <w:rPr>
          <w:noProof/>
        </w:rPr>
        <w:t>1.5.4.</w:t>
      </w:r>
      <w:r w:rsidRPr="006C2791">
        <w:rPr>
          <w:noProof/>
        </w:rPr>
        <w:tab/>
        <w:t>Compatibility with the Multiannual Financial Framework and possible synergies with other appropriate instruments</w:t>
      </w:r>
      <w:bookmarkEnd w:id="38"/>
      <w:bookmarkEnd w:id="39"/>
    </w:p>
    <w:p w:rsidR="00396A36" w:rsidRPr="006C2791" w:rsidRDefault="00396A36" w:rsidP="003D5244">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Programme’s budget </w:t>
      </w:r>
      <w:r w:rsidR="00F05CE5">
        <w:rPr>
          <w:noProof/>
        </w:rPr>
        <w:t xml:space="preserve">was </w:t>
      </w:r>
      <w:r w:rsidRPr="006C2791">
        <w:rPr>
          <w:noProof/>
        </w:rPr>
        <w:t xml:space="preserve">already </w:t>
      </w:r>
      <w:r w:rsidR="00F05CE5">
        <w:rPr>
          <w:noProof/>
        </w:rPr>
        <w:t>set</w:t>
      </w:r>
      <w:r w:rsidRPr="006C2791">
        <w:rPr>
          <w:noProof/>
        </w:rPr>
        <w:t xml:space="preserve"> </w:t>
      </w:r>
      <w:r w:rsidR="00551802" w:rsidRPr="006C2791">
        <w:rPr>
          <w:noProof/>
        </w:rPr>
        <w:t xml:space="preserve">in the 2021-2027 </w:t>
      </w:r>
      <w:r w:rsidRPr="006C2791">
        <w:rPr>
          <w:noProof/>
        </w:rPr>
        <w:t>MFF.</w:t>
      </w:r>
    </w:p>
    <w:p w:rsidR="00551802" w:rsidRPr="006C2791" w:rsidRDefault="00396A36" w:rsidP="00551802">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Synergies with other </w:t>
      </w:r>
      <w:r w:rsidR="00F05CE5">
        <w:rPr>
          <w:noProof/>
        </w:rPr>
        <w:t xml:space="preserve">EU </w:t>
      </w:r>
      <w:r w:rsidRPr="006C2791">
        <w:rPr>
          <w:noProof/>
        </w:rPr>
        <w:t>programmes (in particular, Horizon Europe) are provided for in Article</w:t>
      </w:r>
      <w:r w:rsidR="006C2791">
        <w:rPr>
          <w:noProof/>
        </w:rPr>
        <w:t> </w:t>
      </w:r>
      <w:r w:rsidRPr="006C2791">
        <w:rPr>
          <w:noProof/>
        </w:rPr>
        <w:t>10</w:t>
      </w:r>
      <w:r w:rsidR="00B56572">
        <w:rPr>
          <w:noProof/>
        </w:rPr>
        <w:t xml:space="preserve"> of the proposed regulation</w:t>
      </w:r>
      <w:r w:rsidR="00551802" w:rsidRPr="006C2791">
        <w:rPr>
          <w:noProof/>
        </w:rPr>
        <w:t xml:space="preserve">. </w:t>
      </w:r>
      <w:r w:rsidR="003E3F25" w:rsidRPr="006C2791">
        <w:rPr>
          <w:noProof/>
        </w:rPr>
        <w:t xml:space="preserve">Annex IV </w:t>
      </w:r>
      <w:r w:rsidR="003E3F25">
        <w:rPr>
          <w:noProof/>
        </w:rPr>
        <w:t xml:space="preserve">to the </w:t>
      </w:r>
      <w:r w:rsidR="003E3F25" w:rsidRPr="006C2791">
        <w:rPr>
          <w:noProof/>
        </w:rPr>
        <w:t xml:space="preserve">Horizon Europe </w:t>
      </w:r>
      <w:r w:rsidR="003E3F25">
        <w:rPr>
          <w:noProof/>
        </w:rPr>
        <w:t>Regulation contains p</w:t>
      </w:r>
      <w:r w:rsidR="00551802" w:rsidRPr="006C2791">
        <w:rPr>
          <w:noProof/>
        </w:rPr>
        <w:t xml:space="preserve">rovisions </w:t>
      </w:r>
      <w:r w:rsidR="003E3F25">
        <w:rPr>
          <w:noProof/>
        </w:rPr>
        <w:t xml:space="preserve">that </w:t>
      </w:r>
      <w:r w:rsidR="00551802" w:rsidRPr="006C2791">
        <w:rPr>
          <w:noProof/>
        </w:rPr>
        <w:t>promot</w:t>
      </w:r>
      <w:r w:rsidR="003E3F25">
        <w:rPr>
          <w:noProof/>
        </w:rPr>
        <w:t>e</w:t>
      </w:r>
      <w:r w:rsidR="00551802" w:rsidRPr="006C2791">
        <w:rPr>
          <w:noProof/>
        </w:rPr>
        <w:t xml:space="preserve"> synergies with </w:t>
      </w:r>
      <w:r w:rsidR="003E3F25">
        <w:rPr>
          <w:noProof/>
        </w:rPr>
        <w:t xml:space="preserve">the </w:t>
      </w:r>
      <w:r w:rsidR="00551802" w:rsidRPr="006C2791">
        <w:rPr>
          <w:noProof/>
        </w:rPr>
        <w:t xml:space="preserve">Euratom Programme </w:t>
      </w:r>
      <w:r w:rsidR="003E3F25">
        <w:rPr>
          <w:noProof/>
        </w:rPr>
        <w:t xml:space="preserve">and </w:t>
      </w:r>
      <w:r w:rsidR="00551802" w:rsidRPr="006C2791">
        <w:rPr>
          <w:noProof/>
        </w:rPr>
        <w:t>focus on education and training actions and on joint research for cross-cutting aspects of the safe and secure use of non-power applications of ionising radiation in sectors such as medicine, industry, agriculture, space, climate change, security and emergency preparedness</w:t>
      </w:r>
      <w:r w:rsidR="003E3F25">
        <w:rPr>
          <w:noProof/>
        </w:rPr>
        <w:t>,</w:t>
      </w:r>
      <w:r w:rsidR="00551802" w:rsidRPr="006C2791">
        <w:rPr>
          <w:noProof/>
        </w:rPr>
        <w:t xml:space="preserve"> and </w:t>
      </w:r>
      <w:r w:rsidR="003E3F25">
        <w:rPr>
          <w:noProof/>
        </w:rPr>
        <w:t xml:space="preserve">the </w:t>
      </w:r>
      <w:r w:rsidR="00551802" w:rsidRPr="006C2791">
        <w:rPr>
          <w:noProof/>
        </w:rPr>
        <w:t>contribution of nuclear science.</w:t>
      </w:r>
    </w:p>
    <w:p w:rsidR="008F031D" w:rsidRPr="006C2791" w:rsidRDefault="008F031D" w:rsidP="003D5244">
      <w:pPr>
        <w:pStyle w:val="ManualHeading3"/>
        <w:rPr>
          <w:noProof/>
        </w:rPr>
      </w:pPr>
      <w:bookmarkStart w:id="40" w:name="_Toc514938036"/>
      <w:bookmarkStart w:id="41" w:name="_Toc520485039"/>
      <w:r w:rsidRPr="006C2791">
        <w:rPr>
          <w:noProof/>
        </w:rPr>
        <w:t>1.5.5.</w:t>
      </w:r>
      <w:r w:rsidRPr="006C2791">
        <w:rPr>
          <w:noProof/>
        </w:rPr>
        <w:tab/>
        <w:t>Assessment of the different available financing options, including scope for redeployment</w:t>
      </w:r>
      <w:bookmarkEnd w:id="40"/>
      <w:bookmarkEnd w:id="41"/>
    </w:p>
    <w:p w:rsidR="00FB58AA" w:rsidRPr="006C2791" w:rsidRDefault="005F11A4" w:rsidP="00FB58AA">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Additional funding could come from </w:t>
      </w:r>
      <w:r w:rsidR="003E3F25">
        <w:rPr>
          <w:noProof/>
        </w:rPr>
        <w:t xml:space="preserve">the </w:t>
      </w:r>
      <w:r w:rsidRPr="006C2791">
        <w:rPr>
          <w:noProof/>
        </w:rPr>
        <w:t xml:space="preserve">association of third countries </w:t>
      </w:r>
      <w:r w:rsidR="00B92772">
        <w:rPr>
          <w:noProof/>
        </w:rPr>
        <w:t>with</w:t>
      </w:r>
      <w:r w:rsidRPr="006C2791">
        <w:rPr>
          <w:noProof/>
        </w:rPr>
        <w:t xml:space="preserve"> the Euratom Programme. </w:t>
      </w:r>
      <w:r w:rsidR="00FB58AA" w:rsidRPr="008E467D">
        <w:rPr>
          <w:noProof/>
        </w:rPr>
        <w:t xml:space="preserve">The Commission </w:t>
      </w:r>
      <w:r w:rsidR="00B8509A" w:rsidRPr="008E467D">
        <w:rPr>
          <w:noProof/>
        </w:rPr>
        <w:t xml:space="preserve">is </w:t>
      </w:r>
      <w:r w:rsidR="00FB58AA" w:rsidRPr="008E467D">
        <w:rPr>
          <w:noProof/>
        </w:rPr>
        <w:t>also consider</w:t>
      </w:r>
      <w:r w:rsidR="00B8509A" w:rsidRPr="008E467D">
        <w:rPr>
          <w:noProof/>
        </w:rPr>
        <w:t>ing</w:t>
      </w:r>
      <w:r w:rsidR="00FB58AA" w:rsidRPr="008E467D">
        <w:rPr>
          <w:noProof/>
        </w:rPr>
        <w:t xml:space="preserve"> </w:t>
      </w:r>
      <w:r w:rsidR="00B8509A" w:rsidRPr="008E467D">
        <w:rPr>
          <w:noProof/>
        </w:rPr>
        <w:t xml:space="preserve">applying </w:t>
      </w:r>
      <w:r w:rsidR="00FB58AA" w:rsidRPr="008E467D">
        <w:rPr>
          <w:noProof/>
        </w:rPr>
        <w:t>Article</w:t>
      </w:r>
      <w:r w:rsidR="006C2791" w:rsidRPr="008E467D">
        <w:rPr>
          <w:noProof/>
        </w:rPr>
        <w:t> </w:t>
      </w:r>
      <w:r w:rsidR="00FB58AA" w:rsidRPr="008E467D">
        <w:rPr>
          <w:noProof/>
        </w:rPr>
        <w:t>15(3) of the Financial Regulation (</w:t>
      </w:r>
      <w:r w:rsidR="00B8509A" w:rsidRPr="008E467D">
        <w:rPr>
          <w:noProof/>
        </w:rPr>
        <w:t xml:space="preserve">the </w:t>
      </w:r>
      <w:r w:rsidR="00FB58AA" w:rsidRPr="008E467D">
        <w:rPr>
          <w:noProof/>
        </w:rPr>
        <w:t xml:space="preserve">re-use of decommitments) </w:t>
      </w:r>
      <w:r w:rsidR="00B8509A" w:rsidRPr="008E467D">
        <w:rPr>
          <w:noProof/>
        </w:rPr>
        <w:t xml:space="preserve">to </w:t>
      </w:r>
      <w:r w:rsidR="00FB58AA" w:rsidRPr="008E467D">
        <w:rPr>
          <w:noProof/>
        </w:rPr>
        <w:t>the 2014-2020 Euratom Programme’s funds</w:t>
      </w:r>
      <w:r w:rsidR="00B8509A" w:rsidRPr="008E467D">
        <w:rPr>
          <w:noProof/>
        </w:rPr>
        <w:t xml:space="preserve"> that were </w:t>
      </w:r>
      <w:r w:rsidR="00FB58AA" w:rsidRPr="008E467D">
        <w:rPr>
          <w:noProof/>
        </w:rPr>
        <w:t>committed to InnovFin (InvestEU</w:t>
      </w:r>
      <w:r w:rsidR="00B8509A" w:rsidRPr="008E467D">
        <w:rPr>
          <w:noProof/>
        </w:rPr>
        <w:t>’s predecessor</w:t>
      </w:r>
      <w:r w:rsidR="00FB58AA" w:rsidRPr="008E467D">
        <w:rPr>
          <w:noProof/>
        </w:rPr>
        <w:t xml:space="preserve">) </w:t>
      </w:r>
      <w:r w:rsidR="00B8509A" w:rsidRPr="008E467D">
        <w:rPr>
          <w:noProof/>
        </w:rPr>
        <w:t xml:space="preserve">and that could not be used by the </w:t>
      </w:r>
      <w:r w:rsidR="00FB58AA" w:rsidRPr="008E467D">
        <w:rPr>
          <w:noProof/>
        </w:rPr>
        <w:t>EIB due to a lack of bankable proposals. Recuperation of the EUR</w:t>
      </w:r>
      <w:r w:rsidR="00D04E30" w:rsidRPr="008E467D">
        <w:rPr>
          <w:noProof/>
        </w:rPr>
        <w:t> </w:t>
      </w:r>
      <w:r w:rsidR="00FB58AA" w:rsidRPr="008E467D">
        <w:rPr>
          <w:noProof/>
        </w:rPr>
        <w:t xml:space="preserve">20 million </w:t>
      </w:r>
      <w:r w:rsidR="00B8509A" w:rsidRPr="008E467D">
        <w:rPr>
          <w:noProof/>
        </w:rPr>
        <w:t>(</w:t>
      </w:r>
      <w:r w:rsidR="00FB58AA" w:rsidRPr="008E467D">
        <w:rPr>
          <w:noProof/>
        </w:rPr>
        <w:t xml:space="preserve">equivalent to 8% of the current 2021-2025 </w:t>
      </w:r>
      <w:r w:rsidR="00D608B2" w:rsidRPr="008E467D">
        <w:rPr>
          <w:noProof/>
        </w:rPr>
        <w:t xml:space="preserve">Programme’s fission </w:t>
      </w:r>
      <w:r w:rsidR="00FB58AA" w:rsidRPr="008E467D">
        <w:rPr>
          <w:noProof/>
        </w:rPr>
        <w:t>budget</w:t>
      </w:r>
      <w:r w:rsidR="00B8509A" w:rsidRPr="008E467D">
        <w:rPr>
          <w:noProof/>
        </w:rPr>
        <w:t>)</w:t>
      </w:r>
      <w:r w:rsidR="00FB58AA" w:rsidRPr="008E467D">
        <w:rPr>
          <w:noProof/>
        </w:rPr>
        <w:t xml:space="preserve">, would allow Euratom to </w:t>
      </w:r>
      <w:r w:rsidR="00B8509A" w:rsidRPr="008E467D">
        <w:rPr>
          <w:noProof/>
        </w:rPr>
        <w:t>make an</w:t>
      </w:r>
      <w:r w:rsidR="00FB58AA" w:rsidRPr="008E467D">
        <w:rPr>
          <w:noProof/>
        </w:rPr>
        <w:t xml:space="preserve"> impact on new challenges in the nuclear field.</w:t>
      </w:r>
    </w:p>
    <w:p w:rsidR="008F031D" w:rsidRPr="006C2791" w:rsidRDefault="008F031D" w:rsidP="003D5244">
      <w:pPr>
        <w:pStyle w:val="Text1"/>
        <w:rPr>
          <w:noProof/>
        </w:rPr>
      </w:pPr>
    </w:p>
    <w:p w:rsidR="008F031D" w:rsidRPr="006C2791" w:rsidRDefault="008F031D" w:rsidP="003D5244">
      <w:pPr>
        <w:pStyle w:val="ManualHeading2"/>
        <w:rPr>
          <w:bCs/>
          <w:noProof/>
          <w:szCs w:val="24"/>
        </w:rPr>
      </w:pPr>
      <w:r w:rsidRPr="006C2791">
        <w:rPr>
          <w:noProof/>
        </w:rPr>
        <w:br w:type="page"/>
      </w:r>
      <w:bookmarkStart w:id="42" w:name="_Toc514938039"/>
      <w:bookmarkStart w:id="43" w:name="_Toc520485040"/>
      <w:r w:rsidRPr="006C2791">
        <w:rPr>
          <w:noProof/>
        </w:rPr>
        <w:t>1.6.</w:t>
      </w:r>
      <w:r w:rsidRPr="006C2791">
        <w:rPr>
          <w:noProof/>
        </w:rPr>
        <w:tab/>
        <w:t>Duration and financial impact of the proposal/initiative</w:t>
      </w:r>
      <w:bookmarkEnd w:id="42"/>
      <w:bookmarkEnd w:id="43"/>
    </w:p>
    <w:p w:rsidR="008F031D" w:rsidRPr="006C2791" w:rsidRDefault="00071003" w:rsidP="003D5244">
      <w:pPr>
        <w:pStyle w:val="Text1"/>
        <w:rPr>
          <w:noProof/>
        </w:rPr>
      </w:pPr>
      <w:r w:rsidRPr="006C2791">
        <w:rPr>
          <w:rFonts w:ascii="Wingdings" w:eastAsia="Wingdings" w:hAnsi="Wingdings" w:cs="Wingdings"/>
          <w:noProof/>
        </w:rPr>
        <w:t></w:t>
      </w:r>
      <w:r w:rsidR="008F031D" w:rsidRPr="006C2791">
        <w:rPr>
          <w:b/>
          <w:i/>
          <w:noProof/>
        </w:rPr>
        <w:t xml:space="preserve"> </w:t>
      </w:r>
      <w:r w:rsidR="008F031D" w:rsidRPr="006C2791">
        <w:rPr>
          <w:b/>
          <w:noProof/>
        </w:rPr>
        <w:t xml:space="preserve">limited duration </w:t>
      </w:r>
    </w:p>
    <w:p w:rsidR="008F031D" w:rsidRPr="006C2791" w:rsidRDefault="00071003" w:rsidP="003D5244">
      <w:pPr>
        <w:pStyle w:val="ListDash2"/>
        <w:rPr>
          <w:noProof/>
        </w:rPr>
      </w:pPr>
      <w:r w:rsidRPr="006C2791">
        <w:rPr>
          <w:rFonts w:ascii="Wingdings" w:eastAsia="Wingdings" w:hAnsi="Wingdings" w:cs="Wingdings"/>
          <w:noProof/>
        </w:rPr>
        <w:t></w:t>
      </w:r>
      <w:r w:rsidR="008F031D" w:rsidRPr="006C2791">
        <w:rPr>
          <w:noProof/>
        </w:rPr>
        <w:tab/>
        <w:t xml:space="preserve">in effect from </w:t>
      </w:r>
      <w:r w:rsidR="00766E21">
        <w:rPr>
          <w:noProof/>
        </w:rPr>
        <w:t xml:space="preserve">1 January </w:t>
      </w:r>
      <w:r w:rsidR="004240BC" w:rsidRPr="006C2791">
        <w:rPr>
          <w:noProof/>
        </w:rPr>
        <w:t>2026</w:t>
      </w:r>
      <w:r w:rsidR="008F031D" w:rsidRPr="006C2791">
        <w:rPr>
          <w:noProof/>
        </w:rPr>
        <w:t xml:space="preserve"> to </w:t>
      </w:r>
      <w:r w:rsidR="004240BC" w:rsidRPr="006C2791">
        <w:rPr>
          <w:noProof/>
        </w:rPr>
        <w:t>31</w:t>
      </w:r>
      <w:r w:rsidR="00766E21">
        <w:rPr>
          <w:noProof/>
        </w:rPr>
        <w:t xml:space="preserve"> December </w:t>
      </w:r>
      <w:r w:rsidR="004240BC" w:rsidRPr="006C2791">
        <w:rPr>
          <w:noProof/>
        </w:rPr>
        <w:t>2027</w:t>
      </w:r>
    </w:p>
    <w:p w:rsidR="008F031D" w:rsidRPr="006C2791" w:rsidRDefault="0015516B" w:rsidP="003D5244">
      <w:pPr>
        <w:pStyle w:val="ListDash2"/>
        <w:rPr>
          <w:noProof/>
        </w:rPr>
      </w:pPr>
      <w:r w:rsidRPr="006C2791">
        <w:rPr>
          <w:rFonts w:ascii="Wingdings" w:eastAsia="Wingdings" w:hAnsi="Wingdings" w:cs="Wingdings"/>
          <w:noProof/>
        </w:rPr>
        <w:t></w:t>
      </w:r>
      <w:r w:rsidR="008F031D" w:rsidRPr="006C2791">
        <w:rPr>
          <w:noProof/>
        </w:rPr>
        <w:tab/>
        <w:t xml:space="preserve">Financial impact from </w:t>
      </w:r>
      <w:r w:rsidRPr="006C2791">
        <w:rPr>
          <w:noProof/>
        </w:rPr>
        <w:t>2026</w:t>
      </w:r>
      <w:r w:rsidR="008F031D" w:rsidRPr="006C2791">
        <w:rPr>
          <w:noProof/>
        </w:rPr>
        <w:t xml:space="preserve"> to </w:t>
      </w:r>
      <w:r w:rsidRPr="006C2791">
        <w:rPr>
          <w:noProof/>
        </w:rPr>
        <w:t>2027</w:t>
      </w:r>
      <w:r w:rsidR="008F031D" w:rsidRPr="006C2791">
        <w:rPr>
          <w:noProof/>
        </w:rPr>
        <w:t xml:space="preserve"> for commitment appropriations and from </w:t>
      </w:r>
      <w:r w:rsidRPr="006C2791">
        <w:rPr>
          <w:noProof/>
        </w:rPr>
        <w:t>2026</w:t>
      </w:r>
      <w:r w:rsidR="008F031D" w:rsidRPr="006C2791">
        <w:rPr>
          <w:noProof/>
        </w:rPr>
        <w:t xml:space="preserve"> to </w:t>
      </w:r>
      <w:r w:rsidRPr="006C2791">
        <w:rPr>
          <w:noProof/>
        </w:rPr>
        <w:t>2030</w:t>
      </w:r>
      <w:r w:rsidR="008F031D" w:rsidRPr="006C2791">
        <w:rPr>
          <w:noProof/>
        </w:rPr>
        <w:t xml:space="preserve"> for payment appropriations.</w:t>
      </w:r>
    </w:p>
    <w:p w:rsidR="008F031D" w:rsidRPr="006C2791" w:rsidRDefault="008F031D" w:rsidP="003D5244">
      <w:pPr>
        <w:pStyle w:val="Text1"/>
        <w:rPr>
          <w:noProof/>
        </w:rPr>
      </w:pPr>
      <w:r w:rsidRPr="006C2791">
        <w:rPr>
          <w:rFonts w:ascii="Wingdings" w:eastAsia="Wingdings" w:hAnsi="Wingdings" w:cs="Wingdings"/>
          <w:noProof/>
        </w:rPr>
        <w:t></w:t>
      </w:r>
      <w:r w:rsidRPr="006C2791">
        <w:rPr>
          <w:b/>
          <w:i/>
          <w:noProof/>
        </w:rPr>
        <w:t xml:space="preserve"> </w:t>
      </w:r>
      <w:r w:rsidRPr="006C2791">
        <w:rPr>
          <w:b/>
          <w:noProof/>
        </w:rPr>
        <w:t>unlimited duration</w:t>
      </w:r>
    </w:p>
    <w:p w:rsidR="008F031D" w:rsidRPr="006C2791" w:rsidRDefault="00766E21" w:rsidP="003D5244">
      <w:pPr>
        <w:pStyle w:val="ListDash1"/>
        <w:rPr>
          <w:noProof/>
        </w:rPr>
      </w:pPr>
      <w:r>
        <w:rPr>
          <w:noProof/>
        </w:rPr>
        <w:t>i</w:t>
      </w:r>
      <w:r w:rsidR="008F031D" w:rsidRPr="006C2791">
        <w:rPr>
          <w:noProof/>
        </w:rPr>
        <w:t>mplementation with a start-up period from YYYY to YYYY,</w:t>
      </w:r>
    </w:p>
    <w:p w:rsidR="008F031D" w:rsidRPr="006C2791" w:rsidRDefault="008F031D" w:rsidP="003D5244">
      <w:pPr>
        <w:pStyle w:val="ListDash1"/>
        <w:rPr>
          <w:noProof/>
        </w:rPr>
      </w:pPr>
      <w:r w:rsidRPr="006C2791">
        <w:rPr>
          <w:noProof/>
        </w:rPr>
        <w:t>followed by full-scale operation.</w:t>
      </w:r>
    </w:p>
    <w:p w:rsidR="008F031D" w:rsidRPr="006C2791" w:rsidRDefault="008F031D" w:rsidP="003D5244">
      <w:pPr>
        <w:pStyle w:val="ManualHeading2"/>
        <w:rPr>
          <w:bCs/>
          <w:noProof/>
          <w:szCs w:val="24"/>
        </w:rPr>
      </w:pPr>
      <w:bookmarkStart w:id="44" w:name="_Toc514938040"/>
      <w:bookmarkStart w:id="45" w:name="_Toc520485041"/>
      <w:r w:rsidRPr="006C2791">
        <w:rPr>
          <w:noProof/>
        </w:rPr>
        <w:t>1.7.</w:t>
      </w:r>
      <w:r w:rsidRPr="006C2791">
        <w:rPr>
          <w:noProof/>
        </w:rPr>
        <w:tab/>
        <w:t>Method(s) of budget implementation planned</w:t>
      </w:r>
      <w:r w:rsidRPr="00471A6E">
        <w:rPr>
          <w:rStyle w:val="FootnoteReference"/>
          <w:b w:val="0"/>
          <w:noProof/>
        </w:rPr>
        <w:footnoteReference w:id="55"/>
      </w:r>
      <w:bookmarkEnd w:id="44"/>
      <w:bookmarkEnd w:id="45"/>
    </w:p>
    <w:p w:rsidR="008F031D" w:rsidRPr="006C2791" w:rsidRDefault="00071003" w:rsidP="003D5244">
      <w:pPr>
        <w:pStyle w:val="Text1"/>
        <w:rPr>
          <w:noProof/>
        </w:rPr>
      </w:pPr>
      <w:r w:rsidRPr="006C2791">
        <w:rPr>
          <w:rFonts w:ascii="Wingdings" w:eastAsia="Wingdings" w:hAnsi="Wingdings" w:cs="Wingdings"/>
          <w:noProof/>
        </w:rPr>
        <w:t></w:t>
      </w:r>
      <w:r w:rsidR="008F031D" w:rsidRPr="006C2791">
        <w:rPr>
          <w:i/>
          <w:noProof/>
        </w:rPr>
        <w:t xml:space="preserve"> </w:t>
      </w:r>
      <w:r w:rsidR="008F031D" w:rsidRPr="006C2791">
        <w:rPr>
          <w:b/>
          <w:noProof/>
        </w:rPr>
        <w:t>Direct management</w:t>
      </w:r>
      <w:r w:rsidR="008F031D" w:rsidRPr="006C2791">
        <w:rPr>
          <w:noProof/>
        </w:rPr>
        <w:t xml:space="preserve"> by the Commission</w:t>
      </w:r>
    </w:p>
    <w:p w:rsidR="008F031D" w:rsidRPr="006C2791" w:rsidRDefault="00071003" w:rsidP="003D5244">
      <w:pPr>
        <w:pStyle w:val="ListDash2"/>
        <w:rPr>
          <w:rFonts w:cs="EUAlbertina"/>
          <w:noProof/>
        </w:rPr>
      </w:pPr>
      <w:r w:rsidRPr="006C2791">
        <w:rPr>
          <w:rFonts w:ascii="Wingdings" w:eastAsia="Wingdings" w:hAnsi="Wingdings" w:cs="Wingdings"/>
          <w:noProof/>
        </w:rPr>
        <w:t></w:t>
      </w:r>
      <w:r w:rsidR="008F031D" w:rsidRPr="006C2791">
        <w:rPr>
          <w:noProof/>
        </w:rPr>
        <w:t xml:space="preserve"> by its departments, including by its staff in the Union delegations;</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ab/>
        <w:t>by the executive agencies</w:t>
      </w:r>
      <w:r w:rsidR="00766E21">
        <w:rPr>
          <w:noProof/>
        </w:rPr>
        <w:t>.</w:t>
      </w:r>
    </w:p>
    <w:p w:rsidR="008F031D" w:rsidRPr="006C2791" w:rsidRDefault="008F031D" w:rsidP="003D5244">
      <w:pPr>
        <w:pStyle w:val="Text1"/>
        <w:rPr>
          <w:noProof/>
        </w:rPr>
      </w:pPr>
      <w:r w:rsidRPr="006C2791">
        <w:rPr>
          <w:rFonts w:ascii="Wingdings" w:eastAsia="Wingdings" w:hAnsi="Wingdings" w:cs="Wingdings"/>
          <w:noProof/>
        </w:rPr>
        <w:t></w:t>
      </w:r>
      <w:r w:rsidRPr="006C2791">
        <w:rPr>
          <w:b/>
          <w:i/>
          <w:noProof/>
        </w:rPr>
        <w:t xml:space="preserve"> </w:t>
      </w:r>
      <w:r w:rsidRPr="006C2791">
        <w:rPr>
          <w:b/>
          <w:noProof/>
        </w:rPr>
        <w:t>Shared management</w:t>
      </w:r>
      <w:r w:rsidRPr="006C2791">
        <w:rPr>
          <w:noProof/>
        </w:rPr>
        <w:t xml:space="preserve"> with the Member States</w:t>
      </w:r>
    </w:p>
    <w:p w:rsidR="008F031D" w:rsidRPr="006C2791" w:rsidRDefault="008F031D" w:rsidP="003D5244">
      <w:pPr>
        <w:pStyle w:val="Text1"/>
        <w:rPr>
          <w:noProof/>
        </w:rPr>
      </w:pPr>
      <w:r w:rsidRPr="006C2791">
        <w:rPr>
          <w:rFonts w:ascii="Wingdings" w:eastAsia="Wingdings" w:hAnsi="Wingdings" w:cs="Wingdings"/>
          <w:noProof/>
        </w:rPr>
        <w:t></w:t>
      </w:r>
      <w:r w:rsidRPr="006C2791">
        <w:rPr>
          <w:i/>
          <w:noProof/>
        </w:rPr>
        <w:t xml:space="preserve"> </w:t>
      </w:r>
      <w:r w:rsidRPr="006C2791">
        <w:rPr>
          <w:b/>
          <w:noProof/>
        </w:rPr>
        <w:t>Indirect management</w:t>
      </w:r>
      <w:r w:rsidRPr="006C2791">
        <w:rPr>
          <w:noProof/>
        </w:rPr>
        <w:t xml:space="preserve"> by entrusting budget implementation tasks to:</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third countries or the bodies they have designated;</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international organisations and their agencies (to be specified);</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the EIB and the European Investment Fund;</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bodies referred to in Articles 70 and 71 of the Financial Regulation;</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public law bodies;</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bodies governed by private law with a public service mission to the extent that they are provided with adequate financial guarantees;</w:t>
      </w:r>
    </w:p>
    <w:p w:rsidR="008F031D" w:rsidRPr="006C2791" w:rsidRDefault="001334F9" w:rsidP="003D5244">
      <w:pPr>
        <w:pStyle w:val="ListDash2"/>
        <w:rPr>
          <w:noProof/>
        </w:rPr>
      </w:pPr>
      <w:r w:rsidRPr="006C2791">
        <w:rPr>
          <w:rFonts w:ascii="Wingdings" w:eastAsia="Wingdings" w:hAnsi="Wingdings" w:cs="Wingdings"/>
          <w:noProof/>
        </w:rPr>
        <w:t></w:t>
      </w:r>
      <w:r w:rsidRPr="00471A6E" w:rsidDel="001334F9">
        <w:rPr>
          <w:noProof/>
        </w:rPr>
        <w:t xml:space="preserve"> </w:t>
      </w:r>
      <w:r w:rsidR="008F031D" w:rsidRPr="006C2791">
        <w:rPr>
          <w:noProof/>
        </w:rPr>
        <w:t>bodies governed by the private law of a Member State that are entrusted with the implementation of a public-private partnership and that are provided with adequate financial guarantees;</w:t>
      </w:r>
    </w:p>
    <w:p w:rsidR="008F031D" w:rsidRPr="006C2791" w:rsidRDefault="008F031D" w:rsidP="003D5244">
      <w:pPr>
        <w:pStyle w:val="ListDash2"/>
        <w:rPr>
          <w:noProof/>
        </w:rPr>
      </w:pPr>
      <w:r w:rsidRPr="006C2791">
        <w:rPr>
          <w:rFonts w:ascii="Wingdings" w:eastAsia="Wingdings" w:hAnsi="Wingdings" w:cs="Wingdings"/>
          <w:noProof/>
        </w:rPr>
        <w:t></w:t>
      </w:r>
      <w:r w:rsidRPr="006C2791">
        <w:rPr>
          <w:noProof/>
        </w:rPr>
        <w:t xml:space="preserve"> bodies or persons entrusted with the implementation of specific actions in the CFSP pursuant to Title V of the TEU, and identified in the relevant basic act.</w:t>
      </w:r>
    </w:p>
    <w:p w:rsidR="008F031D" w:rsidRPr="006C2791" w:rsidRDefault="008F031D" w:rsidP="003D5244">
      <w:pPr>
        <w:pStyle w:val="ListDash2"/>
        <w:rPr>
          <w:i/>
          <w:noProof/>
          <w:sz w:val="18"/>
          <w:u w:val="single"/>
        </w:rPr>
      </w:pPr>
      <w:r w:rsidRPr="006C2791">
        <w:rPr>
          <w:i/>
          <w:noProof/>
          <w:sz w:val="18"/>
        </w:rPr>
        <w:t>If more than one management mode is indicated, please provide details in the ‘Comments’ section.</w:t>
      </w:r>
    </w:p>
    <w:p w:rsidR="008F031D" w:rsidRPr="006C2791" w:rsidRDefault="008F031D" w:rsidP="003D5244">
      <w:pPr>
        <w:rPr>
          <w:noProof/>
        </w:rPr>
      </w:pPr>
      <w:r w:rsidRPr="006C2791">
        <w:rPr>
          <w:noProof/>
        </w:rPr>
        <w:t>Comments</w:t>
      </w:r>
    </w:p>
    <w:p w:rsidR="008F031D" w:rsidRPr="006C2791" w:rsidRDefault="001334F9" w:rsidP="003D5244">
      <w:pPr>
        <w:pBdr>
          <w:top w:val="single" w:sz="4" w:space="1" w:color="auto"/>
          <w:left w:val="single" w:sz="4" w:space="4" w:color="auto"/>
          <w:bottom w:val="single" w:sz="4" w:space="1" w:color="auto"/>
          <w:right w:val="single" w:sz="4" w:space="4" w:color="auto"/>
        </w:pBdr>
        <w:rPr>
          <w:noProof/>
        </w:rPr>
      </w:pPr>
      <w:r w:rsidRPr="00564821">
        <w:rPr>
          <w:noProof/>
        </w:rPr>
        <w:t>The Commission will implement the Programme through direct management and indirect management by European Partnerships (see Article</w:t>
      </w:r>
      <w:r w:rsidR="006C2791" w:rsidRPr="00564821">
        <w:rPr>
          <w:noProof/>
        </w:rPr>
        <w:t> </w:t>
      </w:r>
      <w:r w:rsidRPr="00564821">
        <w:rPr>
          <w:noProof/>
        </w:rPr>
        <w:t xml:space="preserve">6(1) of the proposal). Some of the Euratom co-funded </w:t>
      </w:r>
      <w:r w:rsidR="00E376C0" w:rsidRPr="00564821">
        <w:rPr>
          <w:noProof/>
        </w:rPr>
        <w:t>p</w:t>
      </w:r>
      <w:r w:rsidRPr="00564821">
        <w:rPr>
          <w:noProof/>
        </w:rPr>
        <w:t>artnerships will implement funding through cascading calls for proposals</w:t>
      </w:r>
      <w:r w:rsidR="00297CAA" w:rsidRPr="00564821">
        <w:rPr>
          <w:noProof/>
        </w:rPr>
        <w:t>.</w:t>
      </w:r>
    </w:p>
    <w:p w:rsidR="008F031D" w:rsidRPr="006C2791" w:rsidRDefault="008F031D" w:rsidP="003D5244">
      <w:pPr>
        <w:rPr>
          <w:noProof/>
        </w:rPr>
        <w:sectPr w:rsidR="008F031D" w:rsidRPr="006C2791" w:rsidSect="008A2E9F">
          <w:footnotePr>
            <w:numRestart w:val="eachSect"/>
          </w:footnotePr>
          <w:pgSz w:w="11907" w:h="16840" w:code="9"/>
          <w:pgMar w:top="1134" w:right="1418" w:bottom="1134" w:left="1418" w:header="709" w:footer="709" w:gutter="0"/>
          <w:cols w:space="708"/>
          <w:docGrid w:linePitch="360"/>
        </w:sectPr>
      </w:pPr>
    </w:p>
    <w:p w:rsidR="008F031D" w:rsidRPr="006C2791" w:rsidRDefault="008F031D" w:rsidP="003D5244">
      <w:pPr>
        <w:pStyle w:val="ManualHeading1"/>
        <w:rPr>
          <w:bCs/>
          <w:noProof/>
          <w:szCs w:val="24"/>
        </w:rPr>
      </w:pPr>
      <w:bookmarkStart w:id="46" w:name="_Toc514938041"/>
      <w:bookmarkStart w:id="47" w:name="_Toc520485042"/>
      <w:r w:rsidRPr="006C2791">
        <w:rPr>
          <w:noProof/>
        </w:rPr>
        <w:t>2.</w:t>
      </w:r>
      <w:r w:rsidRPr="006C2791">
        <w:rPr>
          <w:noProof/>
        </w:rPr>
        <w:tab/>
        <w:t>MANAGEMENT MEASURES</w:t>
      </w:r>
      <w:bookmarkEnd w:id="46"/>
      <w:bookmarkEnd w:id="47"/>
    </w:p>
    <w:p w:rsidR="008F031D" w:rsidRPr="006C2791" w:rsidRDefault="008F031D" w:rsidP="003D5244">
      <w:pPr>
        <w:pStyle w:val="ManualHeading2"/>
        <w:rPr>
          <w:noProof/>
        </w:rPr>
      </w:pPr>
      <w:bookmarkStart w:id="48" w:name="_Toc514938042"/>
      <w:bookmarkStart w:id="49" w:name="_Toc520485043"/>
      <w:r w:rsidRPr="006C2791">
        <w:rPr>
          <w:noProof/>
        </w:rPr>
        <w:t>2.1.</w:t>
      </w:r>
      <w:r w:rsidRPr="006C2791">
        <w:rPr>
          <w:noProof/>
        </w:rPr>
        <w:tab/>
        <w:t>Monitoring and reporting rules</w:t>
      </w:r>
      <w:bookmarkEnd w:id="48"/>
      <w:bookmarkEnd w:id="49"/>
    </w:p>
    <w:p w:rsidR="008F031D" w:rsidRPr="006C2791" w:rsidRDefault="008F031D" w:rsidP="003D5244">
      <w:pPr>
        <w:pStyle w:val="Text1"/>
        <w:rPr>
          <w:i/>
          <w:noProof/>
          <w:sz w:val="20"/>
        </w:rPr>
      </w:pPr>
      <w:r w:rsidRPr="006C2791">
        <w:rPr>
          <w:i/>
          <w:noProof/>
          <w:sz w:val="20"/>
        </w:rPr>
        <w:t>Specify frequency and conditions.</w:t>
      </w:r>
    </w:p>
    <w:p w:rsidR="001334F9" w:rsidRPr="006C2791" w:rsidRDefault="001334F9" w:rsidP="001334F9">
      <w:pPr>
        <w:pStyle w:val="Text1"/>
        <w:pBdr>
          <w:top w:val="single" w:sz="4" w:space="1" w:color="auto"/>
          <w:left w:val="single" w:sz="4" w:space="4" w:color="auto"/>
          <w:bottom w:val="single" w:sz="4" w:space="1" w:color="auto"/>
          <w:right w:val="single" w:sz="4" w:space="4" w:color="auto"/>
        </w:pBdr>
        <w:rPr>
          <w:noProof/>
        </w:rPr>
      </w:pPr>
      <w:r w:rsidRPr="006C2791">
        <w:rPr>
          <w:noProof/>
        </w:rPr>
        <w:t>All data on the management processes (applications, success rates, time to grant, type of beneficiaries, etc.) will be collected and stored, and made available in real time via a dedicated data</w:t>
      </w:r>
      <w:r w:rsidR="009B6F89">
        <w:rPr>
          <w:noProof/>
        </w:rPr>
        <w:t>base</w:t>
      </w:r>
      <w:r w:rsidRPr="006C2791">
        <w:rPr>
          <w:noProof/>
        </w:rPr>
        <w:t>.</w:t>
      </w:r>
    </w:p>
    <w:p w:rsidR="001334F9" w:rsidRPr="006C2791" w:rsidRDefault="001334F9" w:rsidP="001334F9">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Reports will </w:t>
      </w:r>
      <w:r w:rsidR="00297CAA">
        <w:rPr>
          <w:noProof/>
        </w:rPr>
        <w:t>provide</w:t>
      </w:r>
      <w:r w:rsidRPr="006C2791">
        <w:rPr>
          <w:noProof/>
        </w:rPr>
        <w:t xml:space="preserve"> information on management processes and, progressively, information on outputs and results. A joint final evaluation of this</w:t>
      </w:r>
      <w:r w:rsidR="009B6F89">
        <w:rPr>
          <w:noProof/>
        </w:rPr>
        <w:t xml:space="preserve"> Programme</w:t>
      </w:r>
      <w:r w:rsidRPr="006C2791">
        <w:rPr>
          <w:noProof/>
        </w:rPr>
        <w:t xml:space="preserve"> and the 2021-2025 </w:t>
      </w:r>
      <w:r w:rsidR="00D608B2" w:rsidRPr="006C2791">
        <w:rPr>
          <w:noProof/>
        </w:rPr>
        <w:t xml:space="preserve">Programme </w:t>
      </w:r>
      <w:r w:rsidRPr="006C2791">
        <w:rPr>
          <w:noProof/>
        </w:rPr>
        <w:t xml:space="preserve">will be </w:t>
      </w:r>
      <w:r w:rsidR="00691FC1">
        <w:rPr>
          <w:noProof/>
        </w:rPr>
        <w:t>conducted</w:t>
      </w:r>
    </w:p>
    <w:p w:rsidR="005B6E30" w:rsidRPr="006C2791" w:rsidRDefault="005B6E30" w:rsidP="005B6E30">
      <w:pPr>
        <w:pStyle w:val="Text1"/>
        <w:pBdr>
          <w:top w:val="single" w:sz="4" w:space="1" w:color="auto"/>
          <w:left w:val="single" w:sz="4" w:space="4" w:color="auto"/>
          <w:bottom w:val="single" w:sz="4" w:space="1" w:color="auto"/>
          <w:right w:val="single" w:sz="4" w:space="4" w:color="auto"/>
        </w:pBdr>
        <w:rPr>
          <w:noProof/>
        </w:rPr>
      </w:pPr>
      <w:r w:rsidRPr="006C2791">
        <w:rPr>
          <w:noProof/>
        </w:rPr>
        <w:t>Short-, medium- and long-term indicators have been set on the basis of a number of impact pathways. Reporting rules for participants have been designed with th</w:t>
      </w:r>
      <w:r w:rsidR="00E376C0">
        <w:rPr>
          <w:noProof/>
        </w:rPr>
        <w:t>o</w:t>
      </w:r>
      <w:r w:rsidRPr="006C2791">
        <w:rPr>
          <w:noProof/>
        </w:rPr>
        <w:t xml:space="preserve">se indicators in mind while, at the same time, limiting the administrative burden </w:t>
      </w:r>
      <w:r w:rsidR="00362F28">
        <w:rPr>
          <w:noProof/>
        </w:rPr>
        <w:t>on</w:t>
      </w:r>
      <w:r w:rsidRPr="006C2791">
        <w:rPr>
          <w:noProof/>
        </w:rPr>
        <w:t xml:space="preserve"> participants. Wherever possible</w:t>
      </w:r>
      <w:r w:rsidR="00362F28">
        <w:rPr>
          <w:noProof/>
        </w:rPr>
        <w:t>,</w:t>
      </w:r>
      <w:r w:rsidRPr="006C2791">
        <w:rPr>
          <w:noProof/>
        </w:rPr>
        <w:t xml:space="preserve"> data will be collected from open sources.</w:t>
      </w:r>
    </w:p>
    <w:p w:rsidR="008F031D" w:rsidRPr="006C2791" w:rsidRDefault="005B6E30" w:rsidP="005B6E30">
      <w:pPr>
        <w:pStyle w:val="Text1"/>
        <w:pBdr>
          <w:top w:val="single" w:sz="4" w:space="1" w:color="auto"/>
          <w:left w:val="single" w:sz="4" w:space="4" w:color="auto"/>
          <w:bottom w:val="single" w:sz="4" w:space="1" w:color="auto"/>
          <w:right w:val="single" w:sz="4" w:space="4" w:color="auto"/>
        </w:pBdr>
        <w:rPr>
          <w:noProof/>
        </w:rPr>
      </w:pPr>
      <w:r w:rsidRPr="006C2791">
        <w:rPr>
          <w:noProof/>
        </w:rPr>
        <w:t>In addition, the JRC</w:t>
      </w:r>
      <w:r w:rsidR="006C2791">
        <w:rPr>
          <w:noProof/>
        </w:rPr>
        <w:t>’</w:t>
      </w:r>
      <w:r w:rsidRPr="006C2791">
        <w:rPr>
          <w:noProof/>
        </w:rPr>
        <w:t xml:space="preserve">s direct actions are assessed </w:t>
      </w:r>
      <w:r w:rsidR="00362F28">
        <w:rPr>
          <w:noProof/>
        </w:rPr>
        <w:t xml:space="preserve">both </w:t>
      </w:r>
      <w:r w:rsidRPr="006C2791">
        <w:rPr>
          <w:noProof/>
        </w:rPr>
        <w:t>internally</w:t>
      </w:r>
      <w:r w:rsidR="00362F28">
        <w:rPr>
          <w:noProof/>
        </w:rPr>
        <w:t>,</w:t>
      </w:r>
      <w:r w:rsidRPr="006C2791">
        <w:rPr>
          <w:noProof/>
        </w:rPr>
        <w:t xml:space="preserve"> by means of internal</w:t>
      </w:r>
      <w:r w:rsidR="0022308F" w:rsidRPr="006C2791">
        <w:rPr>
          <w:noProof/>
        </w:rPr>
        <w:t xml:space="preserve"> </w:t>
      </w:r>
      <w:r w:rsidR="00696567" w:rsidRPr="006C2791">
        <w:rPr>
          <w:noProof/>
        </w:rPr>
        <w:t xml:space="preserve">monitoring and assessment </w:t>
      </w:r>
      <w:r w:rsidR="00A26D3A" w:rsidRPr="006C2791">
        <w:rPr>
          <w:noProof/>
        </w:rPr>
        <w:t xml:space="preserve">of the </w:t>
      </w:r>
      <w:r w:rsidR="00FE311E" w:rsidRPr="006C2791">
        <w:rPr>
          <w:noProof/>
        </w:rPr>
        <w:t xml:space="preserve">research </w:t>
      </w:r>
      <w:r w:rsidR="00A26D3A" w:rsidRPr="006C2791">
        <w:rPr>
          <w:noProof/>
        </w:rPr>
        <w:t>impact</w:t>
      </w:r>
      <w:r w:rsidR="00362F28">
        <w:rPr>
          <w:noProof/>
        </w:rPr>
        <w:t>,</w:t>
      </w:r>
      <w:r w:rsidR="00A26D3A" w:rsidRPr="006C2791">
        <w:rPr>
          <w:noProof/>
        </w:rPr>
        <w:t xml:space="preserve"> </w:t>
      </w:r>
      <w:r w:rsidRPr="006C2791">
        <w:rPr>
          <w:noProof/>
        </w:rPr>
        <w:t>and externally</w:t>
      </w:r>
      <w:r w:rsidR="00362F28">
        <w:rPr>
          <w:noProof/>
        </w:rPr>
        <w:t>,</w:t>
      </w:r>
      <w:r w:rsidR="006C2791" w:rsidRPr="006C2791">
        <w:rPr>
          <w:noProof/>
        </w:rPr>
        <w:t xml:space="preserve"> </w:t>
      </w:r>
      <w:r w:rsidRPr="006C2791">
        <w:rPr>
          <w:noProof/>
        </w:rPr>
        <w:t xml:space="preserve">by a </w:t>
      </w:r>
      <w:r w:rsidR="008A0D24" w:rsidRPr="006C2791">
        <w:rPr>
          <w:noProof/>
        </w:rPr>
        <w:t xml:space="preserve">panel </w:t>
      </w:r>
      <w:r w:rsidRPr="006C2791">
        <w:rPr>
          <w:noProof/>
        </w:rPr>
        <w:t>of top-level experts selected in consultation with the JRC</w:t>
      </w:r>
      <w:r w:rsidR="006C2791">
        <w:rPr>
          <w:noProof/>
        </w:rPr>
        <w:t>’</w:t>
      </w:r>
      <w:r w:rsidRPr="006C2791">
        <w:rPr>
          <w:noProof/>
        </w:rPr>
        <w:t>s Board of Governors.</w:t>
      </w:r>
    </w:p>
    <w:p w:rsidR="008F031D" w:rsidRPr="006C2791" w:rsidRDefault="008F031D" w:rsidP="003D5244">
      <w:pPr>
        <w:pStyle w:val="ManualHeading2"/>
        <w:rPr>
          <w:bCs/>
          <w:noProof/>
          <w:szCs w:val="24"/>
        </w:rPr>
      </w:pPr>
      <w:bookmarkStart w:id="50" w:name="_Toc514938045"/>
      <w:bookmarkStart w:id="51" w:name="_Toc520485044"/>
      <w:r w:rsidRPr="006C2791">
        <w:rPr>
          <w:noProof/>
        </w:rPr>
        <w:t>2.2.</w:t>
      </w:r>
      <w:r w:rsidRPr="006C2791">
        <w:rPr>
          <w:noProof/>
        </w:rPr>
        <w:tab/>
        <w:t>Management and control system(s)</w:t>
      </w:r>
      <w:bookmarkEnd w:id="50"/>
      <w:bookmarkEnd w:id="51"/>
    </w:p>
    <w:p w:rsidR="008F031D" w:rsidRPr="006C2791" w:rsidRDefault="008F031D" w:rsidP="003D5244">
      <w:pPr>
        <w:pStyle w:val="ManualHeading3"/>
        <w:rPr>
          <w:noProof/>
        </w:rPr>
      </w:pPr>
      <w:bookmarkStart w:id="52" w:name="_Toc514938046"/>
      <w:bookmarkStart w:id="53" w:name="_Toc520485045"/>
      <w:r w:rsidRPr="006C2791">
        <w:rPr>
          <w:noProof/>
        </w:rPr>
        <w:t>2.2.1.</w:t>
      </w:r>
      <w:r w:rsidRPr="006C2791">
        <w:rPr>
          <w:noProof/>
        </w:rPr>
        <w:tab/>
        <w:t>Justification of the management mode(s), the funding implementation mechanism(s), the payment modalities and the control strategy proposed</w:t>
      </w:r>
      <w:bookmarkEnd w:id="52"/>
      <w:bookmarkEnd w:id="53"/>
    </w:p>
    <w:p w:rsidR="004240BC" w:rsidRPr="00564821" w:rsidRDefault="004240BC" w:rsidP="004240BC">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Euratom Programme will be implemented in direct management mode. However, the Commission may decide, </w:t>
      </w:r>
      <w:r w:rsidR="00362F28" w:rsidRPr="00564821">
        <w:rPr>
          <w:noProof/>
        </w:rPr>
        <w:t xml:space="preserve">where </w:t>
      </w:r>
      <w:r w:rsidRPr="00564821">
        <w:rPr>
          <w:noProof/>
        </w:rPr>
        <w:t xml:space="preserve">appropriate and effective, </w:t>
      </w:r>
      <w:r w:rsidR="00362F28" w:rsidRPr="00564821">
        <w:rPr>
          <w:noProof/>
        </w:rPr>
        <w:t xml:space="preserve">to implement </w:t>
      </w:r>
      <w:r w:rsidRPr="00564821">
        <w:rPr>
          <w:noProof/>
        </w:rPr>
        <w:t>the Euratom activities through shared and/or indirect management</w:t>
      </w:r>
      <w:r w:rsidR="001334F9" w:rsidRPr="00564821">
        <w:rPr>
          <w:noProof/>
        </w:rPr>
        <w:t xml:space="preserve"> (through European Partner</w:t>
      </w:r>
      <w:r w:rsidR="00362F28" w:rsidRPr="00564821">
        <w:rPr>
          <w:noProof/>
        </w:rPr>
        <w:t>s</w:t>
      </w:r>
      <w:r w:rsidR="001334F9" w:rsidRPr="00564821">
        <w:rPr>
          <w:noProof/>
        </w:rPr>
        <w:t>hips).</w:t>
      </w:r>
    </w:p>
    <w:p w:rsidR="004240BC" w:rsidRPr="00564821" w:rsidRDefault="004240BC" w:rsidP="004240BC">
      <w:pPr>
        <w:pStyle w:val="Text1"/>
        <w:pBdr>
          <w:top w:val="single" w:sz="4" w:space="1" w:color="auto"/>
          <w:left w:val="single" w:sz="4" w:space="4" w:color="auto"/>
          <w:bottom w:val="single" w:sz="4" w:space="1" w:color="auto"/>
          <w:right w:val="single" w:sz="4" w:space="4" w:color="auto"/>
        </w:pBdr>
        <w:rPr>
          <w:noProof/>
        </w:rPr>
      </w:pPr>
      <w:r w:rsidRPr="00564821">
        <w:rPr>
          <w:noProof/>
        </w:rPr>
        <w:t>The control strategy will be based on:</w:t>
      </w:r>
    </w:p>
    <w:p w:rsidR="004240BC" w:rsidRPr="00564821" w:rsidRDefault="004240BC" w:rsidP="006435C5">
      <w:pPr>
        <w:pStyle w:val="Bullet1"/>
        <w:numPr>
          <w:ilvl w:val="0"/>
          <w:numId w:val="17"/>
        </w:numPr>
        <w:pBdr>
          <w:top w:val="single" w:sz="4" w:space="1" w:color="auto"/>
          <w:left w:val="single" w:sz="4" w:space="4" w:color="auto"/>
          <w:bottom w:val="single" w:sz="4" w:space="1" w:color="auto"/>
          <w:right w:val="single" w:sz="4" w:space="4" w:color="auto"/>
        </w:pBdr>
        <w:rPr>
          <w:noProof/>
        </w:rPr>
      </w:pPr>
      <w:r w:rsidRPr="00564821">
        <w:rPr>
          <w:noProof/>
        </w:rPr>
        <w:t>procedures for selecting the best projects and translating them into legal instruments</w:t>
      </w:r>
      <w:r w:rsidR="00362F28" w:rsidRPr="00564821">
        <w:rPr>
          <w:noProof/>
        </w:rPr>
        <w:t>;</w:t>
      </w:r>
    </w:p>
    <w:p w:rsidR="004240BC" w:rsidRPr="00564821" w:rsidRDefault="004240BC" w:rsidP="005B6E30">
      <w:pPr>
        <w:pStyle w:val="Bullet1"/>
        <w:pBdr>
          <w:top w:val="single" w:sz="4" w:space="1" w:color="auto"/>
          <w:left w:val="single" w:sz="4" w:space="4" w:color="auto"/>
          <w:bottom w:val="single" w:sz="4" w:space="1" w:color="auto"/>
          <w:right w:val="single" w:sz="4" w:space="4" w:color="auto"/>
        </w:pBdr>
        <w:rPr>
          <w:noProof/>
        </w:rPr>
      </w:pPr>
      <w:r w:rsidRPr="00564821">
        <w:rPr>
          <w:noProof/>
        </w:rPr>
        <w:t>project and contract management throughout the lifetime of every project</w:t>
      </w:r>
      <w:r w:rsidR="00362F28" w:rsidRPr="00564821">
        <w:rPr>
          <w:noProof/>
        </w:rPr>
        <w:t>;</w:t>
      </w:r>
    </w:p>
    <w:p w:rsidR="004240BC" w:rsidRPr="00564821" w:rsidRDefault="006C2791" w:rsidP="005B6E30">
      <w:pPr>
        <w:pStyle w:val="Bullet1"/>
        <w:pBdr>
          <w:top w:val="single" w:sz="4" w:space="1" w:color="auto"/>
          <w:left w:val="single" w:sz="4" w:space="4" w:color="auto"/>
          <w:bottom w:val="single" w:sz="4" w:space="1" w:color="auto"/>
          <w:right w:val="single" w:sz="4" w:space="4" w:color="auto"/>
        </w:pBdr>
        <w:rPr>
          <w:noProof/>
        </w:rPr>
      </w:pPr>
      <w:r w:rsidRPr="0081758F">
        <w:rPr>
          <w:i/>
          <w:iCs/>
          <w:noProof/>
        </w:rPr>
        <w:t>ex ante</w:t>
      </w:r>
      <w:r w:rsidR="004240BC" w:rsidRPr="00564821">
        <w:rPr>
          <w:noProof/>
        </w:rPr>
        <w:t xml:space="preserve"> checks on </w:t>
      </w:r>
      <w:r w:rsidR="00E74297" w:rsidRPr="00564821">
        <w:rPr>
          <w:noProof/>
        </w:rPr>
        <w:t>all</w:t>
      </w:r>
      <w:r w:rsidR="004240BC" w:rsidRPr="00564821">
        <w:rPr>
          <w:noProof/>
        </w:rPr>
        <w:t xml:space="preserve"> claims</w:t>
      </w:r>
      <w:r w:rsidR="00362F28" w:rsidRPr="00564821">
        <w:rPr>
          <w:noProof/>
        </w:rPr>
        <w:t>;</w:t>
      </w:r>
    </w:p>
    <w:p w:rsidR="004240BC" w:rsidRPr="00564821" w:rsidRDefault="004240BC" w:rsidP="005B6E30">
      <w:pPr>
        <w:pStyle w:val="Bullet1"/>
        <w:pBdr>
          <w:top w:val="single" w:sz="4" w:space="1" w:color="auto"/>
          <w:left w:val="single" w:sz="4" w:space="4" w:color="auto"/>
          <w:bottom w:val="single" w:sz="4" w:space="1" w:color="auto"/>
          <w:right w:val="single" w:sz="4" w:space="4" w:color="auto"/>
        </w:pBdr>
        <w:rPr>
          <w:noProof/>
        </w:rPr>
      </w:pPr>
      <w:r w:rsidRPr="00564821">
        <w:rPr>
          <w:noProof/>
        </w:rPr>
        <w:t>certificates on the financial statements above a certain threshold</w:t>
      </w:r>
      <w:r w:rsidR="00362F28" w:rsidRPr="00564821">
        <w:rPr>
          <w:noProof/>
        </w:rPr>
        <w:t>;</w:t>
      </w:r>
    </w:p>
    <w:p w:rsidR="004240BC" w:rsidRPr="00564821" w:rsidRDefault="006C2791" w:rsidP="005B6E30">
      <w:pPr>
        <w:pStyle w:val="Bullet1"/>
        <w:pBdr>
          <w:top w:val="single" w:sz="4" w:space="1" w:color="auto"/>
          <w:left w:val="single" w:sz="4" w:space="4" w:color="auto"/>
          <w:bottom w:val="single" w:sz="4" w:space="1" w:color="auto"/>
          <w:right w:val="single" w:sz="4" w:space="4" w:color="auto"/>
        </w:pBdr>
        <w:rPr>
          <w:noProof/>
        </w:rPr>
      </w:pPr>
      <w:r w:rsidRPr="0081758F">
        <w:rPr>
          <w:i/>
          <w:iCs/>
          <w:noProof/>
        </w:rPr>
        <w:t>ex post</w:t>
      </w:r>
      <w:r w:rsidR="004240BC" w:rsidRPr="00564821">
        <w:rPr>
          <w:noProof/>
        </w:rPr>
        <w:t xml:space="preserve"> audits on a sample of paid claims</w:t>
      </w:r>
      <w:r w:rsidR="00362F28" w:rsidRPr="00564821">
        <w:rPr>
          <w:noProof/>
        </w:rPr>
        <w:t>;</w:t>
      </w:r>
    </w:p>
    <w:p w:rsidR="004240BC" w:rsidRPr="00564821" w:rsidRDefault="004240BC" w:rsidP="005B6E30">
      <w:pPr>
        <w:pStyle w:val="Bullet1"/>
        <w:pBdr>
          <w:top w:val="single" w:sz="4" w:space="1" w:color="auto"/>
          <w:left w:val="single" w:sz="4" w:space="4" w:color="auto"/>
          <w:bottom w:val="single" w:sz="4" w:space="1" w:color="auto"/>
          <w:right w:val="single" w:sz="4" w:space="4" w:color="auto"/>
        </w:pBdr>
        <w:rPr>
          <w:noProof/>
        </w:rPr>
      </w:pPr>
      <w:r w:rsidRPr="00564821">
        <w:rPr>
          <w:noProof/>
        </w:rPr>
        <w:t>scientific evaluation of project results</w:t>
      </w:r>
      <w:r w:rsidR="00362F28" w:rsidRPr="00564821">
        <w:rPr>
          <w:noProof/>
        </w:rPr>
        <w:t>.</w:t>
      </w:r>
    </w:p>
    <w:p w:rsidR="008F031D" w:rsidRPr="006C2791" w:rsidRDefault="004240BC" w:rsidP="001334F9">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w:t>
      </w:r>
      <w:r w:rsidR="00C86299" w:rsidRPr="00564821">
        <w:rPr>
          <w:noProof/>
        </w:rPr>
        <w:t xml:space="preserve">audits of </w:t>
      </w:r>
      <w:r w:rsidRPr="00564821">
        <w:rPr>
          <w:noProof/>
        </w:rPr>
        <w:t xml:space="preserve">Horizon 2020 (including </w:t>
      </w:r>
      <w:r w:rsidR="00C86299" w:rsidRPr="00564821">
        <w:rPr>
          <w:noProof/>
        </w:rPr>
        <w:t xml:space="preserve">the </w:t>
      </w:r>
      <w:r w:rsidRPr="00564821">
        <w:rPr>
          <w:noProof/>
        </w:rPr>
        <w:t xml:space="preserve">Euratom Programme) </w:t>
      </w:r>
      <w:r w:rsidR="00C86299" w:rsidRPr="00564821">
        <w:rPr>
          <w:noProof/>
        </w:rPr>
        <w:t xml:space="preserve">indicate </w:t>
      </w:r>
      <w:r w:rsidRPr="00564821">
        <w:rPr>
          <w:noProof/>
        </w:rPr>
        <w:t xml:space="preserve">that error rates have </w:t>
      </w:r>
      <w:r w:rsidR="00C86299" w:rsidRPr="00564821">
        <w:rPr>
          <w:noProof/>
        </w:rPr>
        <w:t xml:space="preserve">remained </w:t>
      </w:r>
      <w:r w:rsidRPr="00564821">
        <w:rPr>
          <w:noProof/>
        </w:rPr>
        <w:t xml:space="preserve">well within the expected range (see </w:t>
      </w:r>
      <w:r w:rsidR="006C2791" w:rsidRPr="00564821">
        <w:rPr>
          <w:noProof/>
        </w:rPr>
        <w:t>S</w:t>
      </w:r>
      <w:r w:rsidRPr="00564821">
        <w:rPr>
          <w:noProof/>
        </w:rPr>
        <w:t xml:space="preserve">ection 2.2.2). This demonstrates that, even if </w:t>
      </w:r>
      <w:r w:rsidR="00C86299" w:rsidRPr="00564821">
        <w:rPr>
          <w:noProof/>
        </w:rPr>
        <w:t xml:space="preserve">there is </w:t>
      </w:r>
      <w:r w:rsidRPr="00564821">
        <w:rPr>
          <w:noProof/>
        </w:rPr>
        <w:t xml:space="preserve">still </w:t>
      </w:r>
      <w:r w:rsidR="00C86299" w:rsidRPr="00564821">
        <w:rPr>
          <w:noProof/>
        </w:rPr>
        <w:t xml:space="preserve">scope for </w:t>
      </w:r>
      <w:r w:rsidRPr="00564821">
        <w:rPr>
          <w:noProof/>
        </w:rPr>
        <w:t xml:space="preserve">further </w:t>
      </w:r>
      <w:r w:rsidR="009B6F89" w:rsidRPr="00564821">
        <w:rPr>
          <w:noProof/>
        </w:rPr>
        <w:t>improvement</w:t>
      </w:r>
      <w:r w:rsidRPr="00564821">
        <w:rPr>
          <w:noProof/>
        </w:rPr>
        <w:t xml:space="preserve">, </w:t>
      </w:r>
      <w:r w:rsidR="00C86299" w:rsidRPr="00564821">
        <w:rPr>
          <w:noProof/>
        </w:rPr>
        <w:t xml:space="preserve">the </w:t>
      </w:r>
      <w:r w:rsidRPr="00564821">
        <w:rPr>
          <w:noProof/>
        </w:rPr>
        <w:t>simplification measures already introduced have been effective.</w:t>
      </w:r>
    </w:p>
    <w:p w:rsidR="008F031D" w:rsidRPr="006C2791" w:rsidRDefault="008F031D" w:rsidP="003D5244">
      <w:pPr>
        <w:pStyle w:val="ManualHeading3"/>
        <w:rPr>
          <w:bCs/>
          <w:noProof/>
          <w:szCs w:val="24"/>
        </w:rPr>
      </w:pPr>
      <w:bookmarkStart w:id="54" w:name="_Toc514938047"/>
      <w:bookmarkStart w:id="55" w:name="_Toc520485046"/>
      <w:r w:rsidRPr="006C2791">
        <w:rPr>
          <w:noProof/>
        </w:rPr>
        <w:t>2.2.2.</w:t>
      </w:r>
      <w:r w:rsidRPr="006C2791">
        <w:rPr>
          <w:noProof/>
        </w:rPr>
        <w:tab/>
        <w:t>Information concerning the risks identified and the internal control system(s) set up to mitigate them</w:t>
      </w:r>
      <w:bookmarkEnd w:id="54"/>
      <w:bookmarkEnd w:id="55"/>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basic funding model to date </w:t>
      </w:r>
      <w:r w:rsidR="001819F4" w:rsidRPr="00564821">
        <w:rPr>
          <w:noProof/>
        </w:rPr>
        <w:t xml:space="preserve">consisted in </w:t>
      </w:r>
      <w:r w:rsidRPr="00564821">
        <w:rPr>
          <w:noProof/>
        </w:rPr>
        <w:t xml:space="preserve">the reimbursement of eligible costs. As the European Court of Auditors has consistently pointed out, most recently in its 2016 </w:t>
      </w:r>
      <w:r w:rsidR="007814C9" w:rsidRPr="00564821">
        <w:rPr>
          <w:noProof/>
        </w:rPr>
        <w:t>a</w:t>
      </w:r>
      <w:r w:rsidRPr="00564821">
        <w:rPr>
          <w:noProof/>
        </w:rPr>
        <w:t xml:space="preserve">nnual </w:t>
      </w:r>
      <w:r w:rsidR="007814C9" w:rsidRPr="00564821">
        <w:rPr>
          <w:noProof/>
        </w:rPr>
        <w:t>r</w:t>
      </w:r>
      <w:r w:rsidRPr="00564821">
        <w:rPr>
          <w:noProof/>
        </w:rPr>
        <w:t xml:space="preserve">eport, </w:t>
      </w:r>
      <w:r w:rsidR="006C2791" w:rsidRPr="00564821">
        <w:rPr>
          <w:noProof/>
        </w:rPr>
        <w:t>‘</w:t>
      </w:r>
      <w:r w:rsidRPr="00564821">
        <w:rPr>
          <w:noProof/>
        </w:rPr>
        <w:t>the principal risk to the regularity of transactions is that beneficiaries declare ineligible costs which are neither detected nor corrected before reimbursement. This risk is particularly high for the Seventh Framework Programme and</w:t>
      </w:r>
      <w:r w:rsidR="00F50E64" w:rsidRPr="00564821">
        <w:rPr>
          <w:noProof/>
        </w:rPr>
        <w:t>,</w:t>
      </w:r>
      <w:r w:rsidRPr="00564821">
        <w:rPr>
          <w:noProof/>
        </w:rPr>
        <w:t xml:space="preserve"> by analogy</w:t>
      </w:r>
      <w:r w:rsidR="00F50E64" w:rsidRPr="00564821">
        <w:rPr>
          <w:noProof/>
        </w:rPr>
        <w:t>,</w:t>
      </w:r>
      <w:r w:rsidRPr="00564821">
        <w:rPr>
          <w:noProof/>
        </w:rPr>
        <w:t xml:space="preserve"> </w:t>
      </w:r>
      <w:r w:rsidR="001819F4" w:rsidRPr="00564821">
        <w:rPr>
          <w:noProof/>
        </w:rPr>
        <w:t xml:space="preserve">the </w:t>
      </w:r>
      <w:r w:rsidRPr="00564821">
        <w:rPr>
          <w:noProof/>
        </w:rPr>
        <w:t xml:space="preserve">Euratom </w:t>
      </w:r>
      <w:r w:rsidR="009B6F89" w:rsidRPr="00564821">
        <w:rPr>
          <w:noProof/>
        </w:rPr>
        <w:t>P</w:t>
      </w:r>
      <w:r w:rsidRPr="00564821">
        <w:rPr>
          <w:noProof/>
        </w:rPr>
        <w:t>rogramme, which has complex eligibility rules that are often misinterpreted by beneficiaries (especially those less familiar with the rules, such as SMEs, first-time participants and non-EU entities)</w:t>
      </w:r>
      <w:r w:rsidR="006C2791" w:rsidRPr="00564821">
        <w:rPr>
          <w:noProof/>
        </w:rPr>
        <w:t>’</w:t>
      </w:r>
      <w:r w:rsidRPr="00564821">
        <w:rPr>
          <w:noProof/>
        </w:rPr>
        <w:t>.</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Court recognised the value of the simplifications introduced in Horizon 2020 </w:t>
      </w:r>
      <w:r w:rsidR="007739BE" w:rsidRPr="00564821">
        <w:rPr>
          <w:noProof/>
        </w:rPr>
        <w:t>(</w:t>
      </w:r>
      <w:r w:rsidRPr="00564821">
        <w:rPr>
          <w:noProof/>
        </w:rPr>
        <w:t xml:space="preserve">and thus also for the </w:t>
      </w:r>
      <w:r w:rsidR="001819F4" w:rsidRPr="00564821">
        <w:rPr>
          <w:noProof/>
        </w:rPr>
        <w:t xml:space="preserve">2014-2020 </w:t>
      </w:r>
      <w:r w:rsidRPr="00564821">
        <w:rPr>
          <w:noProof/>
        </w:rPr>
        <w:t xml:space="preserve">Euratom </w:t>
      </w:r>
      <w:r w:rsidR="00B41858" w:rsidRPr="00564821">
        <w:rPr>
          <w:noProof/>
        </w:rPr>
        <w:t>Programme</w:t>
      </w:r>
      <w:r w:rsidR="007739BE" w:rsidRPr="00564821">
        <w:rPr>
          <w:noProof/>
        </w:rPr>
        <w:t>)</w:t>
      </w:r>
      <w:r w:rsidRPr="00564821">
        <w:rPr>
          <w:noProof/>
        </w:rPr>
        <w:t xml:space="preserve">. </w:t>
      </w:r>
      <w:r w:rsidR="007739BE" w:rsidRPr="00564821">
        <w:rPr>
          <w:noProof/>
        </w:rPr>
        <w:t xml:space="preserve">In its 2016 </w:t>
      </w:r>
      <w:r w:rsidR="007814C9" w:rsidRPr="00564821">
        <w:rPr>
          <w:noProof/>
        </w:rPr>
        <w:t>a</w:t>
      </w:r>
      <w:r w:rsidR="007739BE" w:rsidRPr="00564821">
        <w:rPr>
          <w:noProof/>
        </w:rPr>
        <w:t xml:space="preserve">nnual </w:t>
      </w:r>
      <w:r w:rsidR="007814C9" w:rsidRPr="00564821">
        <w:rPr>
          <w:noProof/>
        </w:rPr>
        <w:t>r</w:t>
      </w:r>
      <w:r w:rsidR="007739BE" w:rsidRPr="00564821">
        <w:rPr>
          <w:noProof/>
        </w:rPr>
        <w:t>eport, i</w:t>
      </w:r>
      <w:r w:rsidRPr="00564821">
        <w:rPr>
          <w:noProof/>
        </w:rPr>
        <w:t>t did</w:t>
      </w:r>
      <w:r w:rsidR="007739BE" w:rsidRPr="00564821">
        <w:rPr>
          <w:noProof/>
        </w:rPr>
        <w:t>,</w:t>
      </w:r>
      <w:r w:rsidRPr="00564821">
        <w:rPr>
          <w:noProof/>
        </w:rPr>
        <w:t xml:space="preserve"> however</w:t>
      </w:r>
      <w:r w:rsidR="007739BE" w:rsidRPr="00564821">
        <w:rPr>
          <w:noProof/>
        </w:rPr>
        <w:t>,</w:t>
      </w:r>
      <w:r w:rsidRPr="00564821">
        <w:rPr>
          <w:noProof/>
        </w:rPr>
        <w:t xml:space="preserve"> recommend the wider use of </w:t>
      </w:r>
      <w:r w:rsidR="007739BE" w:rsidRPr="00564821">
        <w:rPr>
          <w:noProof/>
        </w:rPr>
        <w:t>s</w:t>
      </w:r>
      <w:r w:rsidRPr="00564821">
        <w:rPr>
          <w:noProof/>
        </w:rPr>
        <w:t xml:space="preserve">implified </w:t>
      </w:r>
      <w:r w:rsidR="007739BE" w:rsidRPr="00564821">
        <w:rPr>
          <w:noProof/>
        </w:rPr>
        <w:t>c</w:t>
      </w:r>
      <w:r w:rsidRPr="00564821">
        <w:rPr>
          <w:noProof/>
        </w:rPr>
        <w:t xml:space="preserve">ost </w:t>
      </w:r>
      <w:r w:rsidR="007739BE" w:rsidRPr="00564821">
        <w:rPr>
          <w:noProof/>
        </w:rPr>
        <w:t>o</w:t>
      </w:r>
      <w:r w:rsidRPr="00564821">
        <w:rPr>
          <w:noProof/>
        </w:rPr>
        <w:t>ptions (SCOs). Such SCOs are already use</w:t>
      </w:r>
      <w:r w:rsidR="007814C9" w:rsidRPr="00564821">
        <w:rPr>
          <w:noProof/>
        </w:rPr>
        <w:t>d</w:t>
      </w:r>
      <w:r w:rsidRPr="00564821">
        <w:rPr>
          <w:noProof/>
        </w:rPr>
        <w:t xml:space="preserve"> in parts of the </w:t>
      </w:r>
      <w:r w:rsidR="009B6F89" w:rsidRPr="00564821">
        <w:rPr>
          <w:noProof/>
        </w:rPr>
        <w:t>P</w:t>
      </w:r>
      <w:r w:rsidRPr="00564821">
        <w:rPr>
          <w:noProof/>
        </w:rPr>
        <w:t>rogramme, or for specific types of expenditure.</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For grants, the estimated representative rate of error for </w:t>
      </w:r>
      <w:r w:rsidR="007739BE" w:rsidRPr="00564821">
        <w:rPr>
          <w:noProof/>
        </w:rPr>
        <w:t xml:space="preserve">the </w:t>
      </w:r>
      <w:r w:rsidRPr="00564821">
        <w:rPr>
          <w:noProof/>
        </w:rPr>
        <w:t xml:space="preserve">Seventh Framework Programme </w:t>
      </w:r>
      <w:r w:rsidR="007814C9" w:rsidRPr="00564821">
        <w:rPr>
          <w:noProof/>
        </w:rPr>
        <w:t>(</w:t>
      </w:r>
      <w:r w:rsidRPr="00564821">
        <w:rPr>
          <w:noProof/>
        </w:rPr>
        <w:t>including Euratom</w:t>
      </w:r>
      <w:r w:rsidR="007814C9" w:rsidRPr="00564821">
        <w:rPr>
          <w:noProof/>
        </w:rPr>
        <w:t>)</w:t>
      </w:r>
      <w:r w:rsidRPr="00564821">
        <w:rPr>
          <w:noProof/>
        </w:rPr>
        <w:t xml:space="preserve"> was 5%, with a </w:t>
      </w:r>
      <w:r w:rsidR="006C2791" w:rsidRPr="00564821">
        <w:rPr>
          <w:noProof/>
        </w:rPr>
        <w:t>‘</w:t>
      </w:r>
      <w:r w:rsidRPr="00564821">
        <w:rPr>
          <w:noProof/>
        </w:rPr>
        <w:t>residual</w:t>
      </w:r>
      <w:r w:rsidR="006C2791" w:rsidRPr="00564821">
        <w:rPr>
          <w:noProof/>
        </w:rPr>
        <w:t>’</w:t>
      </w:r>
      <w:r w:rsidRPr="00564821">
        <w:rPr>
          <w:noProof/>
        </w:rPr>
        <w:t xml:space="preserve"> error rate of around 3%, after taking account of all recoveries and corrections that have been or will be implemented. However, the error rates were lower in those parts of the programme where it was possible to use SCOs more widely and/or where a small and stable group of beneficiaries </w:t>
      </w:r>
      <w:r w:rsidR="007739BE" w:rsidRPr="00564821">
        <w:rPr>
          <w:noProof/>
        </w:rPr>
        <w:t>was</w:t>
      </w:r>
      <w:r w:rsidRPr="00564821">
        <w:rPr>
          <w:noProof/>
        </w:rPr>
        <w:t xml:space="preserve"> involved.</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results of Horizon 2020 (including </w:t>
      </w:r>
      <w:r w:rsidR="007739BE" w:rsidRPr="00564821">
        <w:rPr>
          <w:noProof/>
        </w:rPr>
        <w:t xml:space="preserve">the </w:t>
      </w:r>
      <w:r w:rsidRPr="00564821">
        <w:rPr>
          <w:noProof/>
        </w:rPr>
        <w:t xml:space="preserve">Euratom </w:t>
      </w:r>
      <w:r w:rsidR="009B6F89" w:rsidRPr="00564821">
        <w:rPr>
          <w:noProof/>
        </w:rPr>
        <w:t>P</w:t>
      </w:r>
      <w:r w:rsidRPr="00564821">
        <w:rPr>
          <w:noProof/>
        </w:rPr>
        <w:t>rogramme) suggest a representative error rate of around 3%, with a residual error rate</w:t>
      </w:r>
      <w:r w:rsidR="007739BE" w:rsidRPr="00564821">
        <w:rPr>
          <w:noProof/>
        </w:rPr>
        <w:t xml:space="preserve"> of</w:t>
      </w:r>
      <w:r w:rsidRPr="00564821">
        <w:rPr>
          <w:noProof/>
        </w:rPr>
        <w:t xml:space="preserve"> less than 2.5%. Note, however, that this is an early estimate which should be used with care, </w:t>
      </w:r>
      <w:r w:rsidR="007739BE" w:rsidRPr="00564821">
        <w:rPr>
          <w:noProof/>
        </w:rPr>
        <w:t>and</w:t>
      </w:r>
      <w:r w:rsidR="007814C9" w:rsidRPr="00564821">
        <w:rPr>
          <w:noProof/>
        </w:rPr>
        <w:t xml:space="preserve"> that it</w:t>
      </w:r>
      <w:r w:rsidRPr="00564821">
        <w:rPr>
          <w:noProof/>
        </w:rPr>
        <w:t xml:space="preserve"> is likely to rise, perhaps to </w:t>
      </w:r>
      <w:r w:rsidR="007739BE" w:rsidRPr="00564821">
        <w:rPr>
          <w:noProof/>
        </w:rPr>
        <w:t xml:space="preserve">around </w:t>
      </w:r>
      <w:r w:rsidRPr="00564821">
        <w:rPr>
          <w:noProof/>
        </w:rPr>
        <w:t>3-4%</w:t>
      </w:r>
      <w:r w:rsidR="007739BE" w:rsidRPr="00564821">
        <w:rPr>
          <w:noProof/>
        </w:rPr>
        <w:t>.</w:t>
      </w:r>
      <w:r w:rsidRPr="00564821">
        <w:rPr>
          <w:noProof/>
        </w:rPr>
        <w:t xml:space="preserve"> (</w:t>
      </w:r>
      <w:r w:rsidR="007739BE" w:rsidRPr="00564821">
        <w:rPr>
          <w:noProof/>
        </w:rPr>
        <w:t>T</w:t>
      </w:r>
      <w:r w:rsidRPr="00564821">
        <w:rPr>
          <w:noProof/>
        </w:rPr>
        <w:t>he level o</w:t>
      </w:r>
      <w:r w:rsidR="007739BE" w:rsidRPr="00564821">
        <w:rPr>
          <w:noProof/>
        </w:rPr>
        <w:t>f</w:t>
      </w:r>
      <w:r w:rsidRPr="00564821">
        <w:rPr>
          <w:noProof/>
        </w:rPr>
        <w:t xml:space="preserve"> error anticipated by the Commission for its Horizon 2020 and </w:t>
      </w:r>
      <w:r w:rsidR="007739BE" w:rsidRPr="00564821">
        <w:rPr>
          <w:noProof/>
        </w:rPr>
        <w:t xml:space="preserve">2014-2018 </w:t>
      </w:r>
      <w:r w:rsidRPr="00564821">
        <w:rPr>
          <w:noProof/>
        </w:rPr>
        <w:t xml:space="preserve">Euratom proposal was 3.5%, although this did not take account of </w:t>
      </w:r>
      <w:r w:rsidR="00D43D8F" w:rsidRPr="00564821">
        <w:rPr>
          <w:noProof/>
        </w:rPr>
        <w:t xml:space="preserve">the </w:t>
      </w:r>
      <w:r w:rsidRPr="00564821">
        <w:rPr>
          <w:noProof/>
        </w:rPr>
        <w:t xml:space="preserve">various </w:t>
      </w:r>
      <w:r w:rsidR="00D43D8F" w:rsidRPr="00564821">
        <w:rPr>
          <w:noProof/>
        </w:rPr>
        <w:t xml:space="preserve">further </w:t>
      </w:r>
      <w:r w:rsidRPr="00564821">
        <w:rPr>
          <w:noProof/>
        </w:rPr>
        <w:t>complexities added during the legislative process). The residual error rate should remain some way below 3%</w:t>
      </w:r>
      <w:r w:rsidR="00D43D8F" w:rsidRPr="00564821">
        <w:rPr>
          <w:noProof/>
        </w:rPr>
        <w:t>, although</w:t>
      </w:r>
      <w:r w:rsidRPr="00564821">
        <w:rPr>
          <w:noProof/>
        </w:rPr>
        <w:t xml:space="preserve"> it is too early to say whether a rate of 2% will be attained.</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Some errors arise because beneficiaries </w:t>
      </w:r>
      <w:r w:rsidR="007814C9" w:rsidRPr="00564821">
        <w:rPr>
          <w:noProof/>
        </w:rPr>
        <w:t xml:space="preserve">did </w:t>
      </w:r>
      <w:r w:rsidRPr="00564821">
        <w:rPr>
          <w:noProof/>
        </w:rPr>
        <w:t>not underst</w:t>
      </w:r>
      <w:r w:rsidR="007814C9" w:rsidRPr="00564821">
        <w:rPr>
          <w:noProof/>
        </w:rPr>
        <w:t>and</w:t>
      </w:r>
      <w:r w:rsidRPr="00564821">
        <w:rPr>
          <w:noProof/>
        </w:rPr>
        <w:t xml:space="preserve"> the rules. </w:t>
      </w:r>
      <w:r w:rsidR="00BB3C84" w:rsidRPr="00564821">
        <w:rPr>
          <w:noProof/>
        </w:rPr>
        <w:t>Such</w:t>
      </w:r>
      <w:r w:rsidRPr="00564821">
        <w:rPr>
          <w:noProof/>
        </w:rPr>
        <w:t xml:space="preserve"> errors can be addressed by simplification, although some complexity will always remain. Other errors arise because beneficiaries </w:t>
      </w:r>
      <w:r w:rsidR="007814C9" w:rsidRPr="00564821">
        <w:rPr>
          <w:noProof/>
        </w:rPr>
        <w:t xml:space="preserve">did </w:t>
      </w:r>
      <w:r w:rsidRPr="00564821">
        <w:rPr>
          <w:noProof/>
        </w:rPr>
        <w:t xml:space="preserve">not follow the rules. Although this </w:t>
      </w:r>
      <w:r w:rsidR="00D43D8F" w:rsidRPr="00564821">
        <w:rPr>
          <w:noProof/>
        </w:rPr>
        <w:t>happens</w:t>
      </w:r>
      <w:r w:rsidR="007814C9" w:rsidRPr="00564821">
        <w:rPr>
          <w:noProof/>
        </w:rPr>
        <w:t xml:space="preserve"> only</w:t>
      </w:r>
      <w:r w:rsidRPr="00564821">
        <w:rPr>
          <w:noProof/>
        </w:rPr>
        <w:t xml:space="preserve"> in a minority of cases, </w:t>
      </w:r>
      <w:r w:rsidR="00D43D8F" w:rsidRPr="00564821">
        <w:rPr>
          <w:noProof/>
        </w:rPr>
        <w:t xml:space="preserve">it will not be resolved by </w:t>
      </w:r>
      <w:r w:rsidRPr="00564821">
        <w:rPr>
          <w:noProof/>
        </w:rPr>
        <w:t>simplif</w:t>
      </w:r>
      <w:r w:rsidR="00D43D8F" w:rsidRPr="00564821">
        <w:rPr>
          <w:noProof/>
        </w:rPr>
        <w:t>ying</w:t>
      </w:r>
      <w:r w:rsidRPr="00564821">
        <w:rPr>
          <w:noProof/>
        </w:rPr>
        <w:t xml:space="preserve"> the current rules.</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An analysis of error rates carried out for Horizon 2020 (including </w:t>
      </w:r>
      <w:r w:rsidR="006F4D2A" w:rsidRPr="00564821">
        <w:rPr>
          <w:noProof/>
        </w:rPr>
        <w:t xml:space="preserve">the </w:t>
      </w:r>
      <w:r w:rsidRPr="00564821">
        <w:rPr>
          <w:noProof/>
        </w:rPr>
        <w:t xml:space="preserve">Euratom </w:t>
      </w:r>
      <w:r w:rsidR="00585DF4" w:rsidRPr="00564821">
        <w:rPr>
          <w:noProof/>
        </w:rPr>
        <w:t>P</w:t>
      </w:r>
      <w:r w:rsidRPr="00564821">
        <w:rPr>
          <w:noProof/>
        </w:rPr>
        <w:t xml:space="preserve">rogramme) and </w:t>
      </w:r>
      <w:r w:rsidR="006F4D2A" w:rsidRPr="00564821">
        <w:rPr>
          <w:noProof/>
        </w:rPr>
        <w:t xml:space="preserve">the </w:t>
      </w:r>
      <w:r w:rsidRPr="00564821">
        <w:rPr>
          <w:noProof/>
        </w:rPr>
        <w:t xml:space="preserve">audits performed </w:t>
      </w:r>
      <w:r w:rsidR="006F4D2A" w:rsidRPr="00564821">
        <w:rPr>
          <w:noProof/>
        </w:rPr>
        <w:t>so far provide the following information.</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Around 6</w:t>
      </w:r>
      <w:r w:rsidR="00D523F1" w:rsidRPr="00564821">
        <w:rPr>
          <w:noProof/>
        </w:rPr>
        <w:t>9</w:t>
      </w:r>
      <w:r w:rsidRPr="00564821">
        <w:rPr>
          <w:noProof/>
        </w:rPr>
        <w:t>% of the error</w:t>
      </w:r>
      <w:r w:rsidR="006F4D2A" w:rsidRPr="00564821">
        <w:rPr>
          <w:noProof/>
        </w:rPr>
        <w:t>s</w:t>
      </w:r>
      <w:r w:rsidRPr="00564821">
        <w:rPr>
          <w:noProof/>
        </w:rPr>
        <w:t xml:space="preserve"> relate to the charging of personnel costs. Re</w:t>
      </w:r>
      <w:r w:rsidR="00585DF4" w:rsidRPr="00564821">
        <w:rPr>
          <w:noProof/>
        </w:rPr>
        <w:t>curring</w:t>
      </w:r>
      <w:r w:rsidRPr="00564821">
        <w:rPr>
          <w:noProof/>
        </w:rPr>
        <w:t xml:space="preserve"> problems identified are </w:t>
      </w:r>
      <w:r w:rsidR="006F4D2A" w:rsidRPr="00564821">
        <w:rPr>
          <w:noProof/>
        </w:rPr>
        <w:t xml:space="preserve">the </w:t>
      </w:r>
      <w:r w:rsidRPr="00564821">
        <w:rPr>
          <w:noProof/>
        </w:rPr>
        <w:t>incorrect calculation of productive hours; incorrect rates or incorrect number of hours charged.</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Around 2</w:t>
      </w:r>
      <w:r w:rsidR="00D523F1" w:rsidRPr="00564821">
        <w:rPr>
          <w:noProof/>
        </w:rPr>
        <w:t>1</w:t>
      </w:r>
      <w:r w:rsidRPr="00564821">
        <w:rPr>
          <w:noProof/>
        </w:rPr>
        <w:t>% of the error</w:t>
      </w:r>
      <w:r w:rsidR="006F4D2A" w:rsidRPr="00564821">
        <w:rPr>
          <w:noProof/>
        </w:rPr>
        <w:t>s</w:t>
      </w:r>
      <w:r w:rsidRPr="00564821">
        <w:rPr>
          <w:noProof/>
        </w:rPr>
        <w:t xml:space="preserve"> relate to other direct costs (not personnel). The most </w:t>
      </w:r>
      <w:r w:rsidR="00585DF4" w:rsidRPr="00564821">
        <w:rPr>
          <w:noProof/>
        </w:rPr>
        <w:t>frequent</w:t>
      </w:r>
      <w:r w:rsidRPr="00564821">
        <w:rPr>
          <w:noProof/>
        </w:rPr>
        <w:t xml:space="preserve"> error identified is the lack of direct measurement of costs.</w:t>
      </w:r>
    </w:p>
    <w:p w:rsidR="00E4460E"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 Around </w:t>
      </w:r>
      <w:r w:rsidR="00D523F1" w:rsidRPr="00564821">
        <w:rPr>
          <w:noProof/>
        </w:rPr>
        <w:t>8</w:t>
      </w:r>
      <w:r w:rsidRPr="00564821">
        <w:rPr>
          <w:noProof/>
        </w:rPr>
        <w:t>% of the error</w:t>
      </w:r>
      <w:r w:rsidR="00E4460E" w:rsidRPr="00564821">
        <w:rPr>
          <w:noProof/>
        </w:rPr>
        <w:t>s</w:t>
      </w:r>
      <w:r w:rsidRPr="00564821">
        <w:rPr>
          <w:noProof/>
        </w:rPr>
        <w:t xml:space="preserve"> relate to subcontracting costs</w:t>
      </w:r>
      <w:r w:rsidR="00D523F1" w:rsidRPr="00564821">
        <w:rPr>
          <w:noProof/>
        </w:rPr>
        <w:t xml:space="preserve"> and</w:t>
      </w:r>
      <w:r w:rsidRPr="00564821">
        <w:rPr>
          <w:noProof/>
        </w:rPr>
        <w:t xml:space="preserve"> </w:t>
      </w:r>
      <w:r w:rsidR="00D523F1" w:rsidRPr="00564821">
        <w:rPr>
          <w:noProof/>
        </w:rPr>
        <w:t>2</w:t>
      </w:r>
      <w:r w:rsidRPr="00564821">
        <w:rPr>
          <w:noProof/>
        </w:rPr>
        <w:t xml:space="preserve">4% to travel costs. </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errors identified during audits of Horizon 2020 and </w:t>
      </w:r>
      <w:r w:rsidR="0078675F" w:rsidRPr="00564821">
        <w:rPr>
          <w:noProof/>
        </w:rPr>
        <w:t xml:space="preserve">the </w:t>
      </w:r>
      <w:r w:rsidRPr="00564821">
        <w:rPr>
          <w:noProof/>
        </w:rPr>
        <w:t xml:space="preserve">Euratom </w:t>
      </w:r>
      <w:r w:rsidR="00585DF4" w:rsidRPr="00564821">
        <w:rPr>
          <w:noProof/>
        </w:rPr>
        <w:t>P</w:t>
      </w:r>
      <w:r w:rsidRPr="00564821">
        <w:rPr>
          <w:noProof/>
        </w:rPr>
        <w:t>rogramme show that some</w:t>
      </w:r>
      <w:r w:rsidR="007814C9" w:rsidRPr="00564821">
        <w:rPr>
          <w:noProof/>
        </w:rPr>
        <w:t xml:space="preserve"> of them</w:t>
      </w:r>
      <w:r w:rsidRPr="00564821">
        <w:rPr>
          <w:noProof/>
        </w:rPr>
        <w:t xml:space="preserve"> could </w:t>
      </w:r>
      <w:r w:rsidR="0078675F" w:rsidRPr="00564821">
        <w:rPr>
          <w:noProof/>
        </w:rPr>
        <w:t xml:space="preserve">have </w:t>
      </w:r>
      <w:r w:rsidRPr="00564821">
        <w:rPr>
          <w:noProof/>
        </w:rPr>
        <w:t>be</w:t>
      </w:r>
      <w:r w:rsidR="0078675F" w:rsidRPr="00564821">
        <w:rPr>
          <w:noProof/>
        </w:rPr>
        <w:t>en</w:t>
      </w:r>
      <w:r w:rsidRPr="00564821">
        <w:rPr>
          <w:noProof/>
        </w:rPr>
        <w:t xml:space="preserve"> avoided </w:t>
      </w:r>
      <w:r w:rsidR="006A06BA" w:rsidRPr="00564821">
        <w:rPr>
          <w:noProof/>
        </w:rPr>
        <w:t>through</w:t>
      </w:r>
      <w:r w:rsidRPr="00564821">
        <w:rPr>
          <w:noProof/>
        </w:rPr>
        <w:t xml:space="preserve"> simplifications and avoid</w:t>
      </w:r>
      <w:r w:rsidR="0078675F" w:rsidRPr="00564821">
        <w:rPr>
          <w:noProof/>
        </w:rPr>
        <w:t>ing</w:t>
      </w:r>
      <w:r w:rsidRPr="00564821">
        <w:rPr>
          <w:noProof/>
        </w:rPr>
        <w:t xml:space="preserve"> unnecessary formalism in</w:t>
      </w:r>
      <w:r w:rsidR="0078675F" w:rsidRPr="00564821">
        <w:rPr>
          <w:noProof/>
        </w:rPr>
        <w:t xml:space="preserve"> the</w:t>
      </w:r>
      <w:r w:rsidRPr="00564821">
        <w:rPr>
          <w:noProof/>
        </w:rPr>
        <w:t xml:space="preserve"> rules. </w:t>
      </w:r>
      <w:r w:rsidR="00D523F1" w:rsidRPr="00564821">
        <w:rPr>
          <w:noProof/>
        </w:rPr>
        <w:t>Improvements ha</w:t>
      </w:r>
      <w:r w:rsidR="00032541" w:rsidRPr="00564821">
        <w:rPr>
          <w:noProof/>
        </w:rPr>
        <w:t>d</w:t>
      </w:r>
      <w:r w:rsidR="00D523F1" w:rsidRPr="00564821">
        <w:rPr>
          <w:noProof/>
        </w:rPr>
        <w:t xml:space="preserve"> been introduced under</w:t>
      </w:r>
      <w:r w:rsidRPr="00564821">
        <w:rPr>
          <w:noProof/>
        </w:rPr>
        <w:t xml:space="preserve"> Horizon 2020 and in </w:t>
      </w:r>
      <w:r w:rsidR="00032541" w:rsidRPr="00564821">
        <w:rPr>
          <w:noProof/>
        </w:rPr>
        <w:t xml:space="preserve">Horizon Europe and the 2021-2025 </w:t>
      </w:r>
      <w:r w:rsidRPr="00564821">
        <w:rPr>
          <w:noProof/>
        </w:rPr>
        <w:t xml:space="preserve">Euratom </w:t>
      </w:r>
      <w:r w:rsidR="00032541" w:rsidRPr="00564821">
        <w:rPr>
          <w:noProof/>
        </w:rPr>
        <w:t xml:space="preserve">Programme </w:t>
      </w:r>
      <w:r w:rsidRPr="00564821">
        <w:rPr>
          <w:noProof/>
        </w:rPr>
        <w:t>(new rules for internal invoicing and additional remuneration</w:t>
      </w:r>
      <w:r w:rsidR="0078675F" w:rsidRPr="00564821">
        <w:rPr>
          <w:noProof/>
        </w:rPr>
        <w:t>,</w:t>
      </w:r>
      <w:r w:rsidRPr="00564821">
        <w:rPr>
          <w:noProof/>
        </w:rPr>
        <w:t xml:space="preserve"> for example). However, </w:t>
      </w:r>
      <w:r w:rsidR="00D523F1" w:rsidRPr="00564821">
        <w:rPr>
          <w:noProof/>
        </w:rPr>
        <w:t>the impact of these</w:t>
      </w:r>
      <w:r w:rsidRPr="00564821">
        <w:rPr>
          <w:noProof/>
        </w:rPr>
        <w:t xml:space="preserve"> changes on the error rate</w:t>
      </w:r>
      <w:r w:rsidR="00D523F1" w:rsidRPr="00564821">
        <w:rPr>
          <w:noProof/>
        </w:rPr>
        <w:t xml:space="preserve"> is yet unknown</w:t>
      </w:r>
      <w:r w:rsidRPr="00564821">
        <w:rPr>
          <w:noProof/>
        </w:rPr>
        <w:t>.</w:t>
      </w:r>
    </w:p>
    <w:p w:rsidR="007A328D" w:rsidRPr="00564821" w:rsidRDefault="007A328D" w:rsidP="007A328D">
      <w:pPr>
        <w:pStyle w:val="Text1"/>
        <w:pBdr>
          <w:top w:val="single" w:sz="4" w:space="1" w:color="auto"/>
          <w:left w:val="single" w:sz="4" w:space="4" w:color="auto"/>
          <w:bottom w:val="single" w:sz="4" w:space="1" w:color="auto"/>
          <w:right w:val="single" w:sz="4" w:space="4" w:color="auto"/>
        </w:pBdr>
        <w:rPr>
          <w:noProof/>
        </w:rPr>
      </w:pPr>
      <w:r w:rsidRPr="00564821">
        <w:rPr>
          <w:noProof/>
        </w:rPr>
        <w:t>The wider use of SCOs</w:t>
      </w:r>
      <w:r w:rsidR="00852062" w:rsidRPr="00564821">
        <w:rPr>
          <w:noProof/>
        </w:rPr>
        <w:t>,</w:t>
      </w:r>
      <w:r w:rsidRPr="00564821">
        <w:rPr>
          <w:noProof/>
        </w:rPr>
        <w:t xml:space="preserve"> such as flat rates and unit costs, as well as </w:t>
      </w:r>
      <w:r w:rsidR="00852062" w:rsidRPr="00564821">
        <w:rPr>
          <w:noProof/>
        </w:rPr>
        <w:t xml:space="preserve">the </w:t>
      </w:r>
      <w:r w:rsidRPr="00564821">
        <w:rPr>
          <w:noProof/>
        </w:rPr>
        <w:t xml:space="preserve">continuing simplification of the rules, will </w:t>
      </w:r>
      <w:r w:rsidR="00852062" w:rsidRPr="00564821">
        <w:rPr>
          <w:noProof/>
        </w:rPr>
        <w:t>help to</w:t>
      </w:r>
      <w:r w:rsidRPr="00564821">
        <w:rPr>
          <w:noProof/>
        </w:rPr>
        <w:t xml:space="preserve"> lower the future error rate, estimated at 3-4% on a representative basis. However, the underlying problem of errors in a funding method based on the reimbursement of eligible costs remains. In such a system</w:t>
      </w:r>
      <w:r w:rsidR="00852062" w:rsidRPr="00564821">
        <w:rPr>
          <w:noProof/>
        </w:rPr>
        <w:t>,</w:t>
      </w:r>
      <w:r w:rsidRPr="00564821">
        <w:rPr>
          <w:noProof/>
        </w:rPr>
        <w:t xml:space="preserve"> the representative error rate might be reduced to 2.5-3.5%, with the residual error rate, after corrections, expected to be around (but not necessarily below) 2%.</w:t>
      </w:r>
    </w:p>
    <w:p w:rsidR="001C2186" w:rsidRPr="00564821" w:rsidRDefault="007A328D" w:rsidP="001C2186">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Horizon </w:t>
      </w:r>
      <w:r w:rsidR="001C2186" w:rsidRPr="00564821">
        <w:rPr>
          <w:noProof/>
        </w:rPr>
        <w:t xml:space="preserve">Europe </w:t>
      </w:r>
      <w:r w:rsidRPr="00564821">
        <w:rPr>
          <w:noProof/>
        </w:rPr>
        <w:t xml:space="preserve">saw </w:t>
      </w:r>
      <w:r w:rsidR="001C2186" w:rsidRPr="00564821">
        <w:rPr>
          <w:noProof/>
        </w:rPr>
        <w:t>a broader</w:t>
      </w:r>
      <w:r w:rsidRPr="00564821">
        <w:rPr>
          <w:noProof/>
        </w:rPr>
        <w:t xml:space="preserve"> introduction of lump sum funding</w:t>
      </w:r>
      <w:r w:rsidR="001C2186" w:rsidRPr="00564821">
        <w:rPr>
          <w:noProof/>
        </w:rPr>
        <w:t xml:space="preserve">. </w:t>
      </w:r>
      <w:r w:rsidRPr="00564821">
        <w:rPr>
          <w:noProof/>
        </w:rPr>
        <w:t>This allows for a payment on delivery of a satisfactory scientific deliverable. No additional justification for this payment, such as invoices, timesheets, proofs of payment, etc., are required. T</w:t>
      </w:r>
      <w:r w:rsidR="00585DF4" w:rsidRPr="00564821">
        <w:rPr>
          <w:noProof/>
        </w:rPr>
        <w:t>herefore, t</w:t>
      </w:r>
      <w:r w:rsidRPr="00564821">
        <w:rPr>
          <w:noProof/>
        </w:rPr>
        <w:t>here are no financial errors.</w:t>
      </w:r>
    </w:p>
    <w:p w:rsidR="007A328D" w:rsidRPr="00564821" w:rsidRDefault="001C2186" w:rsidP="001C2186">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Euratom </w:t>
      </w:r>
      <w:r w:rsidR="00585DF4" w:rsidRPr="00564821">
        <w:rPr>
          <w:noProof/>
        </w:rPr>
        <w:t>P</w:t>
      </w:r>
      <w:r w:rsidRPr="00564821">
        <w:rPr>
          <w:noProof/>
        </w:rPr>
        <w:t xml:space="preserve">rogramme proposal allows the Commission to use the lump sum funding model in 2026-2027. </w:t>
      </w:r>
      <w:r w:rsidR="00A67BEA" w:rsidRPr="00564821">
        <w:rPr>
          <w:noProof/>
        </w:rPr>
        <w:t>This</w:t>
      </w:r>
      <w:r w:rsidR="00852062" w:rsidRPr="00564821">
        <w:rPr>
          <w:noProof/>
        </w:rPr>
        <w:t xml:space="preserve"> </w:t>
      </w:r>
      <w:r w:rsidRPr="00564821">
        <w:rPr>
          <w:noProof/>
        </w:rPr>
        <w:t>will be evaluated</w:t>
      </w:r>
      <w:r w:rsidR="007A328D" w:rsidRPr="00564821">
        <w:rPr>
          <w:noProof/>
        </w:rPr>
        <w:t xml:space="preserve">, </w:t>
      </w:r>
      <w:r w:rsidR="00BB3C84" w:rsidRPr="00564821">
        <w:rPr>
          <w:noProof/>
        </w:rPr>
        <w:t xml:space="preserve">in particular </w:t>
      </w:r>
      <w:r w:rsidR="007A328D" w:rsidRPr="00564821">
        <w:rPr>
          <w:noProof/>
        </w:rPr>
        <w:t xml:space="preserve">to see if it </w:t>
      </w:r>
      <w:r w:rsidR="00852062" w:rsidRPr="00564821">
        <w:rPr>
          <w:noProof/>
        </w:rPr>
        <w:t>allows</w:t>
      </w:r>
      <w:r w:rsidR="007A328D" w:rsidRPr="00564821">
        <w:rPr>
          <w:noProof/>
        </w:rPr>
        <w:t xml:space="preserve"> all the objectives of the Programme (not just </w:t>
      </w:r>
      <w:r w:rsidR="00A219C2" w:rsidRPr="00564821">
        <w:rPr>
          <w:noProof/>
        </w:rPr>
        <w:t xml:space="preserve">the </w:t>
      </w:r>
      <w:r w:rsidR="007A328D" w:rsidRPr="00564821">
        <w:rPr>
          <w:noProof/>
        </w:rPr>
        <w:t>lowering</w:t>
      </w:r>
      <w:r w:rsidR="00A219C2" w:rsidRPr="00564821">
        <w:rPr>
          <w:noProof/>
        </w:rPr>
        <w:t xml:space="preserve"> of</w:t>
      </w:r>
      <w:r w:rsidR="007A328D" w:rsidRPr="00564821">
        <w:rPr>
          <w:noProof/>
        </w:rPr>
        <w:t xml:space="preserve"> the error rate)</w:t>
      </w:r>
      <w:r w:rsidR="00852062" w:rsidRPr="00564821">
        <w:rPr>
          <w:noProof/>
        </w:rPr>
        <w:t xml:space="preserve"> to be achieved</w:t>
      </w:r>
      <w:r w:rsidR="007A328D" w:rsidRPr="00564821">
        <w:rPr>
          <w:noProof/>
        </w:rPr>
        <w:t xml:space="preserve">. </w:t>
      </w:r>
      <w:r w:rsidR="00A67BEA" w:rsidRPr="00564821">
        <w:rPr>
          <w:noProof/>
        </w:rPr>
        <w:t>The payment of l</w:t>
      </w:r>
      <w:r w:rsidRPr="00564821">
        <w:rPr>
          <w:noProof/>
        </w:rPr>
        <w:t>ump sums</w:t>
      </w:r>
      <w:r w:rsidR="006C2791" w:rsidRPr="00564821">
        <w:rPr>
          <w:noProof/>
        </w:rPr>
        <w:t xml:space="preserve"> </w:t>
      </w:r>
      <w:r w:rsidR="007A328D" w:rsidRPr="00564821">
        <w:rPr>
          <w:noProof/>
        </w:rPr>
        <w:t xml:space="preserve">would </w:t>
      </w:r>
      <w:r w:rsidR="00A219C2" w:rsidRPr="00564821">
        <w:rPr>
          <w:noProof/>
        </w:rPr>
        <w:t>shift</w:t>
      </w:r>
      <w:r w:rsidR="007A328D" w:rsidRPr="00564821">
        <w:rPr>
          <w:noProof/>
        </w:rPr>
        <w:t xml:space="preserve"> the risks to other stages of the internal control system</w:t>
      </w:r>
      <w:r w:rsidR="00A67BEA" w:rsidRPr="00564821">
        <w:rPr>
          <w:noProof/>
        </w:rPr>
        <w:t xml:space="preserve">, making </w:t>
      </w:r>
      <w:r w:rsidR="007A328D" w:rsidRPr="00564821">
        <w:rPr>
          <w:noProof/>
        </w:rPr>
        <w:t xml:space="preserve">evaluation </w:t>
      </w:r>
      <w:r w:rsidR="00A67BEA" w:rsidRPr="00564821">
        <w:rPr>
          <w:noProof/>
        </w:rPr>
        <w:t xml:space="preserve">and </w:t>
      </w:r>
      <w:r w:rsidR="007A328D" w:rsidRPr="00564821">
        <w:rPr>
          <w:noProof/>
        </w:rPr>
        <w:t>the assessment of the deliverable</w:t>
      </w:r>
      <w:r w:rsidR="00A67BEA" w:rsidRPr="00564821">
        <w:rPr>
          <w:noProof/>
        </w:rPr>
        <w:t xml:space="preserve"> more important</w:t>
      </w:r>
      <w:r w:rsidR="007A328D" w:rsidRPr="00564821">
        <w:rPr>
          <w:noProof/>
        </w:rPr>
        <w:t>.</w:t>
      </w:r>
    </w:p>
    <w:p w:rsidR="008F031D" w:rsidRPr="006C2791" w:rsidRDefault="007A328D" w:rsidP="001C2186">
      <w:pPr>
        <w:pStyle w:val="Text1"/>
        <w:pBdr>
          <w:top w:val="single" w:sz="4" w:space="1" w:color="auto"/>
          <w:left w:val="single" w:sz="4" w:space="4" w:color="auto"/>
          <w:bottom w:val="single" w:sz="4" w:space="1" w:color="auto"/>
          <w:right w:val="single" w:sz="4" w:space="4" w:color="auto"/>
        </w:pBdr>
        <w:rPr>
          <w:noProof/>
        </w:rPr>
      </w:pPr>
      <w:r w:rsidRPr="00564821">
        <w:rPr>
          <w:noProof/>
        </w:rPr>
        <w:t xml:space="preserve">The number of transactions involved means that a high level of systematic </w:t>
      </w:r>
      <w:r w:rsidR="006C2791" w:rsidRPr="00564821">
        <w:rPr>
          <w:noProof/>
        </w:rPr>
        <w:t>ex ante</w:t>
      </w:r>
      <w:r w:rsidRPr="00564821">
        <w:rPr>
          <w:noProof/>
        </w:rPr>
        <w:t xml:space="preserve"> control would be very expensive. The current control strategy therefore relies on risk-based </w:t>
      </w:r>
      <w:r w:rsidR="006C2791" w:rsidRPr="00564821">
        <w:rPr>
          <w:noProof/>
        </w:rPr>
        <w:t>ex ante</w:t>
      </w:r>
      <w:r w:rsidRPr="00564821">
        <w:rPr>
          <w:noProof/>
        </w:rPr>
        <w:t xml:space="preserve"> and </w:t>
      </w:r>
      <w:r w:rsidR="006C2791" w:rsidRPr="00564821">
        <w:rPr>
          <w:noProof/>
        </w:rPr>
        <w:t>ex post</w:t>
      </w:r>
      <w:r w:rsidRPr="00564821">
        <w:rPr>
          <w:noProof/>
        </w:rPr>
        <w:t xml:space="preserve"> controls to assess the level of error and to detect and recover ineligible amounts. As the error rates have remained within the range established</w:t>
      </w:r>
      <w:r w:rsidR="00A67BEA" w:rsidRPr="00564821">
        <w:rPr>
          <w:noProof/>
        </w:rPr>
        <w:t>,</w:t>
      </w:r>
      <w:r w:rsidRPr="00564821">
        <w:rPr>
          <w:noProof/>
        </w:rPr>
        <w:t xml:space="preserve"> this control strategy is considered to be effective. </w:t>
      </w:r>
      <w:r w:rsidR="00A219C2" w:rsidRPr="00564821">
        <w:rPr>
          <w:noProof/>
        </w:rPr>
        <w:t>Radical change is not proposed, but</w:t>
      </w:r>
      <w:r w:rsidR="00A219C2" w:rsidRPr="00564821" w:rsidDel="00D00ED9">
        <w:rPr>
          <w:noProof/>
        </w:rPr>
        <w:t xml:space="preserve"> </w:t>
      </w:r>
      <w:r w:rsidRPr="00564821">
        <w:rPr>
          <w:noProof/>
        </w:rPr>
        <w:t>some aspects</w:t>
      </w:r>
      <w:r w:rsidR="00D00ED9" w:rsidRPr="00564821">
        <w:rPr>
          <w:noProof/>
        </w:rPr>
        <w:t xml:space="preserve"> will be developed further</w:t>
      </w:r>
      <w:r w:rsidRPr="00564821">
        <w:rPr>
          <w:noProof/>
        </w:rPr>
        <w:t>, for example</w:t>
      </w:r>
      <w:r w:rsidR="00D00ED9" w:rsidRPr="00564821">
        <w:rPr>
          <w:noProof/>
        </w:rPr>
        <w:t>,</w:t>
      </w:r>
      <w:r w:rsidRPr="00564821">
        <w:rPr>
          <w:noProof/>
        </w:rPr>
        <w:t xml:space="preserve"> systems and processes audit</w:t>
      </w:r>
      <w:r w:rsidR="00D00ED9" w:rsidRPr="00564821">
        <w:rPr>
          <w:noProof/>
        </w:rPr>
        <w:t xml:space="preserve"> will be included</w:t>
      </w:r>
      <w:r w:rsidRPr="00564821">
        <w:rPr>
          <w:noProof/>
        </w:rPr>
        <w:t>.</w:t>
      </w:r>
    </w:p>
    <w:p w:rsidR="008F031D" w:rsidRPr="006C2791" w:rsidRDefault="008F031D" w:rsidP="003D5244">
      <w:pPr>
        <w:pStyle w:val="ManualHeading3"/>
        <w:rPr>
          <w:noProof/>
        </w:rPr>
      </w:pPr>
      <w:bookmarkStart w:id="56" w:name="_Toc514938048"/>
      <w:bookmarkStart w:id="57" w:name="_Toc520485047"/>
      <w:r w:rsidRPr="006C2791">
        <w:rPr>
          <w:noProof/>
        </w:rPr>
        <w:t>2.2.3.</w:t>
      </w:r>
      <w:r w:rsidRPr="006C2791">
        <w:rPr>
          <w:noProof/>
        </w:rPr>
        <w:tab/>
        <w:t>Estimation and justification of the cost-effectiveness of the controls (ratio of "control costs ÷ value of the related funds managed"), and assessment of the expected levels of risk of error (at payment &amp; at closure)</w:t>
      </w:r>
      <w:bookmarkEnd w:id="56"/>
      <w:bookmarkEnd w:id="57"/>
      <w:r w:rsidRPr="006C2791">
        <w:rPr>
          <w:noProof/>
        </w:rPr>
        <w:t xml:space="preserve"> </w:t>
      </w:r>
    </w:p>
    <w:p w:rsidR="005B6E30" w:rsidRPr="006C2791" w:rsidRDefault="005B6E30" w:rsidP="005B6E30">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costs of the control system (evaluation, selection, project management, </w:t>
      </w:r>
      <w:r w:rsidRPr="006C2791">
        <w:rPr>
          <w:i/>
          <w:iCs/>
          <w:noProof/>
        </w:rPr>
        <w:t>ex</w:t>
      </w:r>
      <w:r w:rsidR="00D04E30">
        <w:rPr>
          <w:i/>
          <w:iCs/>
          <w:noProof/>
        </w:rPr>
        <w:t xml:space="preserve"> </w:t>
      </w:r>
      <w:r w:rsidRPr="006C2791">
        <w:rPr>
          <w:i/>
          <w:iCs/>
          <w:noProof/>
        </w:rPr>
        <w:t>ante</w:t>
      </w:r>
      <w:r w:rsidRPr="006C2791">
        <w:rPr>
          <w:noProof/>
        </w:rPr>
        <w:t xml:space="preserve"> and </w:t>
      </w:r>
      <w:r w:rsidRPr="006C2791">
        <w:rPr>
          <w:i/>
          <w:iCs/>
          <w:noProof/>
        </w:rPr>
        <w:t>ex</w:t>
      </w:r>
      <w:r w:rsidR="00D04E30">
        <w:rPr>
          <w:i/>
          <w:iCs/>
          <w:noProof/>
        </w:rPr>
        <w:t xml:space="preserve"> </w:t>
      </w:r>
      <w:r w:rsidRPr="006C2791">
        <w:rPr>
          <w:i/>
          <w:iCs/>
          <w:noProof/>
        </w:rPr>
        <w:t>post</w:t>
      </w:r>
      <w:r w:rsidRPr="006C2791">
        <w:rPr>
          <w:noProof/>
        </w:rPr>
        <w:t xml:space="preserve"> control) are</w:t>
      </w:r>
      <w:r w:rsidR="00D00ED9">
        <w:rPr>
          <w:noProof/>
        </w:rPr>
        <w:t xml:space="preserve"> estimated at</w:t>
      </w:r>
      <w:r w:rsidRPr="006C2791">
        <w:rPr>
          <w:noProof/>
        </w:rPr>
        <w:t xml:space="preserve"> 3-4% across the Commission </w:t>
      </w:r>
      <w:r w:rsidR="00D00ED9">
        <w:rPr>
          <w:noProof/>
        </w:rPr>
        <w:t xml:space="preserve">departments </w:t>
      </w:r>
      <w:r w:rsidRPr="006C2791">
        <w:rPr>
          <w:noProof/>
        </w:rPr>
        <w:t>responsible for implement</w:t>
      </w:r>
      <w:r w:rsidR="00D00ED9">
        <w:rPr>
          <w:noProof/>
        </w:rPr>
        <w:t>ing</w:t>
      </w:r>
      <w:r w:rsidRPr="006C2791">
        <w:rPr>
          <w:noProof/>
        </w:rPr>
        <w:t xml:space="preserve"> the previous Framework Programmes for 2017 (including </w:t>
      </w:r>
      <w:r w:rsidR="00D00ED9">
        <w:rPr>
          <w:noProof/>
        </w:rPr>
        <w:t xml:space="preserve">the </w:t>
      </w:r>
      <w:r w:rsidRPr="006C2791">
        <w:rPr>
          <w:noProof/>
        </w:rPr>
        <w:t>costs for manag</w:t>
      </w:r>
      <w:r w:rsidR="00D00ED9">
        <w:rPr>
          <w:noProof/>
        </w:rPr>
        <w:t>ing</w:t>
      </w:r>
      <w:r w:rsidRPr="006C2791">
        <w:rPr>
          <w:noProof/>
        </w:rPr>
        <w:t xml:space="preserve"> the Seventh Framework Programme and Horizon 2020). This is considered reasonable in the light of the efforts needed to ensure that objectives are achieved and the number of transactions.</w:t>
      </w:r>
    </w:p>
    <w:p w:rsidR="005B6E30" w:rsidRPr="006C2791" w:rsidRDefault="005B6E30" w:rsidP="005B6E30">
      <w:pPr>
        <w:pStyle w:val="Text1"/>
        <w:pBdr>
          <w:top w:val="single" w:sz="4" w:space="1" w:color="auto"/>
          <w:left w:val="single" w:sz="4" w:space="4" w:color="auto"/>
          <w:bottom w:val="single" w:sz="4" w:space="1" w:color="auto"/>
          <w:right w:val="single" w:sz="4" w:space="4" w:color="auto"/>
        </w:pBdr>
        <w:rPr>
          <w:noProof/>
        </w:rPr>
      </w:pPr>
      <w:r w:rsidRPr="006C2791">
        <w:rPr>
          <w:noProof/>
        </w:rPr>
        <w:t>The expected risk of error at payment for grants with a funding model based on the reimbursement of eligible costs is 2.5-3.5%. The risk of error at closure (after controls and corrections) is around – but not necessarily below – 2%. The expected risk of error for grants with a funding model based on lump sum funding is close to 0% (at payment and at closure).</w:t>
      </w:r>
      <w:r w:rsidR="00A219C2">
        <w:rPr>
          <w:noProof/>
        </w:rPr>
        <w:t xml:space="preserve"> </w:t>
      </w:r>
      <w:r w:rsidRPr="006C2791">
        <w:rPr>
          <w:noProof/>
        </w:rPr>
        <w:t xml:space="preserve">The overall expectation for error rates will depend on the balance between the two </w:t>
      </w:r>
      <w:r w:rsidR="00785AF6" w:rsidRPr="006C2791">
        <w:rPr>
          <w:noProof/>
        </w:rPr>
        <w:t xml:space="preserve">funding </w:t>
      </w:r>
      <w:r w:rsidRPr="006C2791">
        <w:rPr>
          <w:noProof/>
        </w:rPr>
        <w:t xml:space="preserve">methods (reimbursement of eligible costs and lump sums). The Commission aims to apply the lump sum funding model where appropriate. However, the main </w:t>
      </w:r>
      <w:r w:rsidR="00785AF6">
        <w:rPr>
          <w:noProof/>
        </w:rPr>
        <w:t>reason for</w:t>
      </w:r>
      <w:r w:rsidRPr="006C2791">
        <w:rPr>
          <w:noProof/>
        </w:rPr>
        <w:t xml:space="preserve"> adopt</w:t>
      </w:r>
      <w:r w:rsidR="00785AF6">
        <w:rPr>
          <w:noProof/>
        </w:rPr>
        <w:t>ing</w:t>
      </w:r>
      <w:r w:rsidRPr="006C2791">
        <w:rPr>
          <w:noProof/>
        </w:rPr>
        <w:t xml:space="preserve"> lump sum funding will not be </w:t>
      </w:r>
      <w:r w:rsidR="00785AF6">
        <w:rPr>
          <w:noProof/>
        </w:rPr>
        <w:t xml:space="preserve">to </w:t>
      </w:r>
      <w:r w:rsidRPr="006C2791">
        <w:rPr>
          <w:noProof/>
        </w:rPr>
        <w:t>reduc</w:t>
      </w:r>
      <w:r w:rsidR="00785AF6">
        <w:rPr>
          <w:noProof/>
        </w:rPr>
        <w:t>e</w:t>
      </w:r>
      <w:r w:rsidRPr="006C2791">
        <w:rPr>
          <w:noProof/>
        </w:rPr>
        <w:t xml:space="preserve"> the error rate, but</w:t>
      </w:r>
      <w:r w:rsidR="00785AF6">
        <w:rPr>
          <w:noProof/>
        </w:rPr>
        <w:t xml:space="preserve"> rather</w:t>
      </w:r>
      <w:r w:rsidRPr="006C2791">
        <w:rPr>
          <w:noProof/>
        </w:rPr>
        <w:t xml:space="preserve"> </w:t>
      </w:r>
      <w:r w:rsidR="00785AF6">
        <w:rPr>
          <w:noProof/>
        </w:rPr>
        <w:t xml:space="preserve">to </w:t>
      </w:r>
      <w:r w:rsidRPr="006C2791">
        <w:rPr>
          <w:noProof/>
        </w:rPr>
        <w:t xml:space="preserve">achieve all the </w:t>
      </w:r>
      <w:r w:rsidR="00585DF4">
        <w:rPr>
          <w:noProof/>
        </w:rPr>
        <w:t>P</w:t>
      </w:r>
      <w:r w:rsidR="00785AF6" w:rsidRPr="006C2791">
        <w:rPr>
          <w:noProof/>
        </w:rPr>
        <w:t>rogramme</w:t>
      </w:r>
      <w:r w:rsidR="00785AF6">
        <w:rPr>
          <w:noProof/>
        </w:rPr>
        <w:t>’s</w:t>
      </w:r>
      <w:r w:rsidR="00785AF6" w:rsidRPr="006C2791">
        <w:rPr>
          <w:noProof/>
        </w:rPr>
        <w:t xml:space="preserve"> </w:t>
      </w:r>
      <w:r w:rsidRPr="006C2791">
        <w:rPr>
          <w:noProof/>
        </w:rPr>
        <w:t xml:space="preserve">objectives. This scenario </w:t>
      </w:r>
      <w:r w:rsidR="00D2392F">
        <w:rPr>
          <w:noProof/>
        </w:rPr>
        <w:t xml:space="preserve">assumes </w:t>
      </w:r>
      <w:r w:rsidRPr="006C2791">
        <w:rPr>
          <w:noProof/>
        </w:rPr>
        <w:t>that the simplification</w:t>
      </w:r>
      <w:r w:rsidR="00E574C4">
        <w:rPr>
          <w:noProof/>
        </w:rPr>
        <w:t xml:space="preserve"> </w:t>
      </w:r>
      <w:r w:rsidR="00E574C4" w:rsidRPr="006C2791">
        <w:rPr>
          <w:noProof/>
        </w:rPr>
        <w:t>measures</w:t>
      </w:r>
      <w:r w:rsidRPr="006C2791">
        <w:rPr>
          <w:noProof/>
        </w:rPr>
        <w:t xml:space="preserve"> are not subject to substantial modifications in the decision</w:t>
      </w:r>
      <w:r w:rsidR="00785AF6">
        <w:rPr>
          <w:noProof/>
        </w:rPr>
        <w:t>-</w:t>
      </w:r>
      <w:r w:rsidRPr="006C2791">
        <w:rPr>
          <w:noProof/>
        </w:rPr>
        <w:t>making process.</w:t>
      </w:r>
    </w:p>
    <w:p w:rsidR="008F031D" w:rsidRPr="006C2791" w:rsidRDefault="005B6E30" w:rsidP="00BD7590">
      <w:pPr>
        <w:pStyle w:val="Text1"/>
        <w:pBdr>
          <w:top w:val="single" w:sz="4" w:space="1" w:color="auto"/>
          <w:left w:val="single" w:sz="4" w:space="4" w:color="auto"/>
          <w:bottom w:val="single" w:sz="4" w:space="1" w:color="auto"/>
          <w:right w:val="single" w:sz="4" w:space="4" w:color="auto"/>
        </w:pBdr>
        <w:rPr>
          <w:noProof/>
          <w:color w:val="0000FF"/>
        </w:rPr>
      </w:pPr>
      <w:r w:rsidRPr="006C2791">
        <w:rPr>
          <w:noProof/>
        </w:rPr>
        <w:t xml:space="preserve">Note: this section concerns </w:t>
      </w:r>
      <w:r w:rsidR="00D2392F" w:rsidRPr="006C2791">
        <w:rPr>
          <w:noProof/>
        </w:rPr>
        <w:t xml:space="preserve">only </w:t>
      </w:r>
      <w:r w:rsidRPr="006C2791">
        <w:rPr>
          <w:noProof/>
        </w:rPr>
        <w:t>the grant management</w:t>
      </w:r>
      <w:r w:rsidR="00E574C4">
        <w:rPr>
          <w:noProof/>
        </w:rPr>
        <w:t xml:space="preserve"> </w:t>
      </w:r>
      <w:r w:rsidR="00E574C4" w:rsidRPr="006C2791">
        <w:rPr>
          <w:noProof/>
        </w:rPr>
        <w:t>process</w:t>
      </w:r>
      <w:r w:rsidR="00E574C4">
        <w:rPr>
          <w:noProof/>
        </w:rPr>
        <w:t>.</w:t>
      </w:r>
      <w:r w:rsidRPr="006C2791">
        <w:rPr>
          <w:noProof/>
        </w:rPr>
        <w:t xml:space="preserve"> </w:t>
      </w:r>
      <w:r w:rsidR="00E574C4">
        <w:rPr>
          <w:noProof/>
        </w:rPr>
        <w:t>F</w:t>
      </w:r>
      <w:r w:rsidRPr="006C2791">
        <w:rPr>
          <w:noProof/>
        </w:rPr>
        <w:t>or administrative and operational expenditure implemented through public procurement processes the risk of error at payment and closure should be below 2%.</w:t>
      </w:r>
    </w:p>
    <w:p w:rsidR="008F031D" w:rsidRPr="006C2791" w:rsidRDefault="008F031D" w:rsidP="003D5244">
      <w:pPr>
        <w:pStyle w:val="ManualHeading2"/>
        <w:rPr>
          <w:bCs/>
          <w:noProof/>
          <w:szCs w:val="24"/>
        </w:rPr>
      </w:pPr>
      <w:bookmarkStart w:id="58" w:name="_Toc514938049"/>
      <w:bookmarkStart w:id="59" w:name="_Toc520485048"/>
      <w:r w:rsidRPr="006C2791">
        <w:rPr>
          <w:noProof/>
        </w:rPr>
        <w:t>2.3.</w:t>
      </w:r>
      <w:r w:rsidRPr="006C2791">
        <w:rPr>
          <w:noProof/>
        </w:rPr>
        <w:tab/>
        <w:t>Measures to prevent fraud and irregularities</w:t>
      </w:r>
      <w:bookmarkEnd w:id="58"/>
      <w:bookmarkEnd w:id="59"/>
    </w:p>
    <w:p w:rsidR="008F031D" w:rsidRPr="006C2791" w:rsidRDefault="008F031D" w:rsidP="003D5244">
      <w:pPr>
        <w:pStyle w:val="Text1"/>
        <w:rPr>
          <w:i/>
          <w:noProof/>
          <w:sz w:val="20"/>
        </w:rPr>
      </w:pPr>
      <w:r w:rsidRPr="006C2791">
        <w:rPr>
          <w:i/>
          <w:noProof/>
          <w:sz w:val="20"/>
        </w:rPr>
        <w:t>Specify existing or envisaged prevention and protection measures, e.g. from the Anti-Fraud Strategy.</w:t>
      </w:r>
    </w:p>
    <w:p w:rsidR="008F031D" w:rsidRPr="006C2791" w:rsidRDefault="0015516B" w:rsidP="00396A36">
      <w:pPr>
        <w:pStyle w:val="Text1"/>
        <w:pBdr>
          <w:top w:val="single" w:sz="4" w:space="1" w:color="auto"/>
          <w:left w:val="single" w:sz="4" w:space="4" w:color="auto"/>
          <w:bottom w:val="single" w:sz="4" w:space="1" w:color="auto"/>
          <w:right w:val="single" w:sz="4" w:space="4" w:color="auto"/>
        </w:pBdr>
        <w:rPr>
          <w:noProof/>
        </w:rPr>
      </w:pPr>
      <w:r w:rsidRPr="006C2791">
        <w:rPr>
          <w:noProof/>
        </w:rPr>
        <w:t xml:space="preserve">The contribution agreements resulting from this </w:t>
      </w:r>
      <w:r w:rsidR="00E574C4">
        <w:rPr>
          <w:noProof/>
        </w:rPr>
        <w:t>r</w:t>
      </w:r>
      <w:r w:rsidRPr="006C2791">
        <w:rPr>
          <w:noProof/>
        </w:rPr>
        <w:t xml:space="preserve">egulation that will be concluded with third parties </w:t>
      </w:r>
      <w:r w:rsidR="00E574C4">
        <w:rPr>
          <w:noProof/>
        </w:rPr>
        <w:t xml:space="preserve">will </w:t>
      </w:r>
      <w:r w:rsidRPr="006C2791">
        <w:rPr>
          <w:noProof/>
        </w:rPr>
        <w:t>provide for supervision and financial control by the Commission or any representative authorised by it</w:t>
      </w:r>
      <w:r w:rsidR="005B6E30" w:rsidRPr="006C2791">
        <w:rPr>
          <w:noProof/>
        </w:rPr>
        <w:t>,</w:t>
      </w:r>
      <w:r w:rsidRPr="006C2791">
        <w:rPr>
          <w:noProof/>
        </w:rPr>
        <w:t xml:space="preserve"> together with audits by the Court of Auditors or OLAF,</w:t>
      </w:r>
      <w:r w:rsidR="00C35AEB">
        <w:rPr>
          <w:noProof/>
        </w:rPr>
        <w:t xml:space="preserve"> carried out</w:t>
      </w:r>
      <w:r w:rsidRPr="006C2791">
        <w:rPr>
          <w:noProof/>
        </w:rPr>
        <w:t xml:space="preserve"> </w:t>
      </w:r>
      <w:r w:rsidR="00C35AEB">
        <w:rPr>
          <w:noProof/>
        </w:rPr>
        <w:t xml:space="preserve">– </w:t>
      </w:r>
      <w:r w:rsidR="00C35AEB" w:rsidRPr="006C2791">
        <w:rPr>
          <w:noProof/>
        </w:rPr>
        <w:t>on</w:t>
      </w:r>
      <w:r w:rsidR="00C35AEB">
        <w:rPr>
          <w:noProof/>
        </w:rPr>
        <w:t xml:space="preserve"> </w:t>
      </w:r>
      <w:r w:rsidR="00C35AEB" w:rsidRPr="006C2791">
        <w:rPr>
          <w:noProof/>
        </w:rPr>
        <w:t>the</w:t>
      </w:r>
      <w:r w:rsidR="00C35AEB">
        <w:rPr>
          <w:noProof/>
        </w:rPr>
        <w:t xml:space="preserve"> </w:t>
      </w:r>
      <w:r w:rsidR="00C35AEB" w:rsidRPr="006C2791">
        <w:rPr>
          <w:noProof/>
        </w:rPr>
        <w:t>spot</w:t>
      </w:r>
      <w:r w:rsidR="00C35AEB">
        <w:rPr>
          <w:noProof/>
        </w:rPr>
        <w:t>, if necessary</w:t>
      </w:r>
      <w:r w:rsidR="00C35AEB" w:rsidRPr="006C2791">
        <w:rPr>
          <w:noProof/>
        </w:rPr>
        <w:t xml:space="preserve"> </w:t>
      </w:r>
      <w:r w:rsidR="00C35AEB">
        <w:rPr>
          <w:noProof/>
        </w:rPr>
        <w:t xml:space="preserve">– </w:t>
      </w:r>
      <w:r w:rsidRPr="006C2791">
        <w:rPr>
          <w:noProof/>
        </w:rPr>
        <w:t xml:space="preserve">at the </w:t>
      </w:r>
      <w:r w:rsidR="00D2392F">
        <w:rPr>
          <w:noProof/>
        </w:rPr>
        <w:t xml:space="preserve">EU’s </w:t>
      </w:r>
      <w:r w:rsidRPr="006C2791">
        <w:rPr>
          <w:noProof/>
        </w:rPr>
        <w:t>discretion.</w:t>
      </w:r>
    </w:p>
    <w:p w:rsidR="008F031D" w:rsidRPr="006C2791" w:rsidRDefault="008F031D" w:rsidP="003D5244">
      <w:pPr>
        <w:rPr>
          <w:noProof/>
        </w:rPr>
        <w:sectPr w:rsidR="008F031D" w:rsidRPr="006C2791" w:rsidSect="008A2E9F">
          <w:footnotePr>
            <w:numRestart w:val="eachSect"/>
          </w:footnotePr>
          <w:pgSz w:w="11907" w:h="16840" w:code="9"/>
          <w:pgMar w:top="1134" w:right="1418" w:bottom="1134" w:left="1418" w:header="709" w:footer="709" w:gutter="0"/>
          <w:cols w:space="708"/>
          <w:docGrid w:linePitch="360"/>
        </w:sectPr>
      </w:pPr>
    </w:p>
    <w:p w:rsidR="00F50E64" w:rsidRPr="00F50E64" w:rsidRDefault="00F50E64" w:rsidP="00F50E64">
      <w:pPr>
        <w:pStyle w:val="ManualHeading1"/>
        <w:rPr>
          <w:noProof/>
        </w:rPr>
      </w:pPr>
      <w:bookmarkStart w:id="60" w:name="_Toc514938050"/>
      <w:bookmarkStart w:id="61" w:name="_Toc520485049"/>
      <w:r w:rsidRPr="00F50E64">
        <w:rPr>
          <w:noProof/>
        </w:rPr>
        <w:t>3.</w:t>
      </w:r>
      <w:r w:rsidRPr="00F50E64">
        <w:rPr>
          <w:noProof/>
        </w:rPr>
        <w:tab/>
        <w:t>ESTIMATED FINANCIAL IMPACT OF THE PROPOSAL/INITIATIVE</w:t>
      </w:r>
      <w:bookmarkEnd w:id="60"/>
      <w:bookmarkEnd w:id="61"/>
      <w:r w:rsidRPr="00F50E64">
        <w:rPr>
          <w:noProof/>
        </w:rPr>
        <w:t xml:space="preserve"> </w:t>
      </w:r>
    </w:p>
    <w:p w:rsidR="00F50E64" w:rsidRPr="00F50E64" w:rsidRDefault="00F50E64" w:rsidP="00F50E64">
      <w:pPr>
        <w:pStyle w:val="ManualHeading2"/>
        <w:rPr>
          <w:noProof/>
        </w:rPr>
      </w:pPr>
      <w:bookmarkStart w:id="62" w:name="_Toc514938051"/>
      <w:bookmarkStart w:id="63" w:name="_Toc520485050"/>
      <w:r w:rsidRPr="00F50E64">
        <w:rPr>
          <w:noProof/>
        </w:rPr>
        <w:t>3.1.</w:t>
      </w:r>
      <w:r w:rsidRPr="00F50E64">
        <w:rPr>
          <w:noProof/>
        </w:rPr>
        <w:tab/>
        <w:t>Heading(s) of the multiannual financial framework and expenditure budget line(s) affected</w:t>
      </w:r>
      <w:bookmarkEnd w:id="62"/>
      <w:bookmarkEnd w:id="63"/>
      <w:r w:rsidRPr="00F50E64">
        <w:rPr>
          <w:noProof/>
        </w:rPr>
        <w:t xml:space="preserve"> </w:t>
      </w:r>
    </w:p>
    <w:p w:rsidR="00F50E64" w:rsidRPr="00F50E64" w:rsidRDefault="00F50E64" w:rsidP="003222FA">
      <w:pPr>
        <w:pStyle w:val="ListBullet1"/>
        <w:rPr>
          <w:noProof/>
        </w:rPr>
      </w:pPr>
      <w:r w:rsidRPr="00F50E64">
        <w:rPr>
          <w:noProof/>
        </w:rPr>
        <w:t>Existing budget lines</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826"/>
        <w:gridCol w:w="1134"/>
        <w:gridCol w:w="995"/>
        <w:gridCol w:w="1134"/>
        <w:gridCol w:w="993"/>
        <w:gridCol w:w="1267"/>
        <w:gridCol w:w="8"/>
      </w:tblGrid>
      <w:tr w:rsidR="00CC6938" w:rsidRPr="00F50E64" w:rsidTr="00AF455E">
        <w:trPr>
          <w:gridAfter w:val="1"/>
          <w:wAfter w:w="8" w:type="dxa"/>
        </w:trPr>
        <w:tc>
          <w:tcPr>
            <w:tcW w:w="1133" w:type="dxa"/>
            <w:vMerge w:val="restart"/>
            <w:vAlign w:val="center"/>
          </w:tcPr>
          <w:p w:rsidR="008F031D" w:rsidRPr="00F50E64" w:rsidRDefault="008F031D" w:rsidP="006412AA">
            <w:pPr>
              <w:spacing w:before="60" w:after="60"/>
              <w:jc w:val="center"/>
              <w:rPr>
                <w:noProof/>
              </w:rPr>
            </w:pPr>
            <w:r w:rsidRPr="00F50E64">
              <w:rPr>
                <w:noProof/>
                <w:sz w:val="18"/>
              </w:rPr>
              <w:t>Heading of multiannual financial framework</w:t>
            </w:r>
          </w:p>
        </w:tc>
        <w:tc>
          <w:tcPr>
            <w:tcW w:w="3826" w:type="dxa"/>
            <w:vAlign w:val="center"/>
          </w:tcPr>
          <w:p w:rsidR="008F031D" w:rsidRPr="00F50E64" w:rsidRDefault="008F031D" w:rsidP="006412AA">
            <w:pPr>
              <w:spacing w:before="60" w:after="60"/>
              <w:jc w:val="center"/>
              <w:rPr>
                <w:noProof/>
              </w:rPr>
            </w:pPr>
            <w:r w:rsidRPr="00F50E64">
              <w:rPr>
                <w:noProof/>
                <w:sz w:val="20"/>
              </w:rPr>
              <w:t>Budget line</w:t>
            </w:r>
          </w:p>
        </w:tc>
        <w:tc>
          <w:tcPr>
            <w:tcW w:w="1134" w:type="dxa"/>
            <w:vAlign w:val="center"/>
          </w:tcPr>
          <w:p w:rsidR="008F031D" w:rsidRPr="00F50E64" w:rsidRDefault="008F031D" w:rsidP="006412AA">
            <w:pPr>
              <w:spacing w:before="60" w:after="60"/>
              <w:jc w:val="center"/>
              <w:rPr>
                <w:noProof/>
              </w:rPr>
            </w:pPr>
            <w:r w:rsidRPr="00F50E64">
              <w:rPr>
                <w:noProof/>
                <w:sz w:val="18"/>
              </w:rPr>
              <w:t xml:space="preserve">Type of </w:t>
            </w:r>
            <w:r w:rsidRPr="00F50E64">
              <w:rPr>
                <w:noProof/>
                <w:sz w:val="22"/>
              </w:rPr>
              <w:br/>
            </w:r>
            <w:r w:rsidRPr="00F50E64">
              <w:rPr>
                <w:noProof/>
                <w:sz w:val="18"/>
              </w:rPr>
              <w:t>expenditure</w:t>
            </w:r>
          </w:p>
        </w:tc>
        <w:tc>
          <w:tcPr>
            <w:tcW w:w="4389" w:type="dxa"/>
            <w:gridSpan w:val="4"/>
            <w:vAlign w:val="center"/>
          </w:tcPr>
          <w:p w:rsidR="008F031D" w:rsidRPr="00F50E64" w:rsidRDefault="008F031D" w:rsidP="006412AA">
            <w:pPr>
              <w:spacing w:before="60" w:after="60"/>
              <w:jc w:val="center"/>
              <w:rPr>
                <w:noProof/>
              </w:rPr>
            </w:pPr>
            <w:r w:rsidRPr="00F50E64">
              <w:rPr>
                <w:noProof/>
                <w:sz w:val="20"/>
              </w:rPr>
              <w:t xml:space="preserve">Contribution </w:t>
            </w:r>
          </w:p>
        </w:tc>
      </w:tr>
      <w:tr w:rsidR="00CC6938" w:rsidRPr="00F50E64" w:rsidTr="00AF455E">
        <w:trPr>
          <w:gridAfter w:val="1"/>
          <w:wAfter w:w="8" w:type="dxa"/>
        </w:trPr>
        <w:tc>
          <w:tcPr>
            <w:tcW w:w="1133" w:type="dxa"/>
            <w:vMerge/>
            <w:vAlign w:val="center"/>
          </w:tcPr>
          <w:p w:rsidR="008F031D" w:rsidRPr="00F50E64" w:rsidRDefault="008F031D" w:rsidP="006412AA">
            <w:pPr>
              <w:jc w:val="center"/>
              <w:rPr>
                <w:noProof/>
              </w:rPr>
            </w:pPr>
          </w:p>
        </w:tc>
        <w:tc>
          <w:tcPr>
            <w:tcW w:w="3826" w:type="dxa"/>
            <w:vAlign w:val="center"/>
          </w:tcPr>
          <w:p w:rsidR="008F031D" w:rsidRPr="00F50E64" w:rsidRDefault="008F031D" w:rsidP="006412AA">
            <w:pPr>
              <w:rPr>
                <w:noProof/>
              </w:rPr>
            </w:pPr>
            <w:r w:rsidRPr="00F50E64">
              <w:rPr>
                <w:noProof/>
                <w:sz w:val="20"/>
              </w:rPr>
              <w:t xml:space="preserve">Number </w:t>
            </w:r>
            <w:r w:rsidRPr="00F50E64">
              <w:rPr>
                <w:noProof/>
                <w:sz w:val="22"/>
              </w:rPr>
              <w:br/>
            </w:r>
          </w:p>
        </w:tc>
        <w:tc>
          <w:tcPr>
            <w:tcW w:w="1134" w:type="dxa"/>
            <w:vAlign w:val="center"/>
          </w:tcPr>
          <w:p w:rsidR="008F031D" w:rsidRPr="00F50E64" w:rsidRDefault="008F031D" w:rsidP="006412AA">
            <w:pPr>
              <w:jc w:val="center"/>
              <w:rPr>
                <w:noProof/>
              </w:rPr>
            </w:pPr>
            <w:r w:rsidRPr="00F50E64">
              <w:rPr>
                <w:noProof/>
                <w:sz w:val="18"/>
              </w:rPr>
              <w:t>Diff./Non-diff</w:t>
            </w:r>
            <w:r w:rsidR="00AF455E" w:rsidRPr="00F50E64">
              <w:rPr>
                <w:noProof/>
                <w:sz w:val="18"/>
              </w:rPr>
              <w:t>.</w:t>
            </w:r>
            <w:r w:rsidRPr="00F50E64">
              <w:rPr>
                <w:rStyle w:val="FootnoteReference"/>
                <w:noProof/>
                <w:sz w:val="18"/>
              </w:rPr>
              <w:footnoteReference w:id="56"/>
            </w:r>
          </w:p>
        </w:tc>
        <w:tc>
          <w:tcPr>
            <w:tcW w:w="995" w:type="dxa"/>
            <w:vAlign w:val="center"/>
          </w:tcPr>
          <w:p w:rsidR="008F031D" w:rsidRPr="00F50E64" w:rsidRDefault="008F031D" w:rsidP="006412AA">
            <w:pPr>
              <w:jc w:val="center"/>
              <w:rPr>
                <w:b/>
                <w:noProof/>
                <w:sz w:val="18"/>
              </w:rPr>
            </w:pPr>
            <w:r w:rsidRPr="00F50E64">
              <w:rPr>
                <w:noProof/>
                <w:sz w:val="18"/>
              </w:rPr>
              <w:t>from EFTA countries</w:t>
            </w:r>
            <w:r w:rsidRPr="00F50E64">
              <w:rPr>
                <w:rStyle w:val="FootnoteReference"/>
                <w:noProof/>
                <w:sz w:val="18"/>
              </w:rPr>
              <w:footnoteReference w:id="57"/>
            </w:r>
          </w:p>
        </w:tc>
        <w:tc>
          <w:tcPr>
            <w:tcW w:w="1134" w:type="dxa"/>
            <w:vAlign w:val="center"/>
          </w:tcPr>
          <w:p w:rsidR="008F031D" w:rsidRPr="00F50E64" w:rsidRDefault="008F031D" w:rsidP="006412AA">
            <w:pPr>
              <w:jc w:val="center"/>
              <w:rPr>
                <w:noProof/>
                <w:sz w:val="18"/>
              </w:rPr>
            </w:pPr>
            <w:r w:rsidRPr="00F50E64">
              <w:rPr>
                <w:noProof/>
                <w:sz w:val="18"/>
              </w:rPr>
              <w:t>from candidate countries and potential candidates</w:t>
            </w:r>
            <w:r w:rsidRPr="00F50E64">
              <w:rPr>
                <w:rStyle w:val="FootnoteReference"/>
                <w:noProof/>
                <w:sz w:val="18"/>
              </w:rPr>
              <w:footnoteReference w:id="58"/>
            </w:r>
          </w:p>
        </w:tc>
        <w:tc>
          <w:tcPr>
            <w:tcW w:w="993" w:type="dxa"/>
            <w:vAlign w:val="center"/>
          </w:tcPr>
          <w:p w:rsidR="008F031D" w:rsidRPr="00F50E64" w:rsidRDefault="008F031D" w:rsidP="006412AA">
            <w:pPr>
              <w:jc w:val="center"/>
              <w:rPr>
                <w:noProof/>
                <w:sz w:val="18"/>
              </w:rPr>
            </w:pPr>
            <w:r w:rsidRPr="00F50E64">
              <w:rPr>
                <w:noProof/>
                <w:sz w:val="18"/>
              </w:rPr>
              <w:t>from</w:t>
            </w:r>
            <w:r w:rsidR="00AF455E" w:rsidRPr="00F50E64">
              <w:rPr>
                <w:noProof/>
                <w:sz w:val="18"/>
              </w:rPr>
              <w:t xml:space="preserve"> </w:t>
            </w:r>
            <w:r w:rsidRPr="00F50E64">
              <w:rPr>
                <w:noProof/>
                <w:sz w:val="18"/>
              </w:rPr>
              <w:t>other third countries</w:t>
            </w:r>
          </w:p>
        </w:tc>
        <w:tc>
          <w:tcPr>
            <w:tcW w:w="1267" w:type="dxa"/>
            <w:vAlign w:val="center"/>
          </w:tcPr>
          <w:p w:rsidR="008F031D" w:rsidRPr="00F50E64" w:rsidRDefault="008F031D" w:rsidP="006412AA">
            <w:pPr>
              <w:jc w:val="center"/>
              <w:rPr>
                <w:noProof/>
              </w:rPr>
            </w:pPr>
            <w:r w:rsidRPr="00F50E64">
              <w:rPr>
                <w:noProof/>
                <w:sz w:val="18"/>
                <w:szCs w:val="18"/>
              </w:rPr>
              <w:t>other assigned revenue</w:t>
            </w:r>
          </w:p>
        </w:tc>
      </w:tr>
      <w:tr w:rsidR="00AF455E" w:rsidRPr="00F50E64" w:rsidTr="00AF455E">
        <w:trPr>
          <w:trHeight w:val="8044"/>
        </w:trPr>
        <w:tc>
          <w:tcPr>
            <w:tcW w:w="1133" w:type="dxa"/>
            <w:vAlign w:val="center"/>
          </w:tcPr>
          <w:p w:rsidR="00D6505E" w:rsidRPr="00F50E64" w:rsidRDefault="00D6505E" w:rsidP="00C874B9">
            <w:pPr>
              <w:jc w:val="center"/>
              <w:rPr>
                <w:noProof/>
                <w:color w:val="0000FF"/>
              </w:rPr>
            </w:pPr>
            <w:r w:rsidRPr="00F50E64">
              <w:rPr>
                <w:noProof/>
              </w:rPr>
              <w:t>H1</w:t>
            </w:r>
          </w:p>
        </w:tc>
        <w:tc>
          <w:tcPr>
            <w:tcW w:w="3826" w:type="dxa"/>
            <w:vAlign w:val="center"/>
          </w:tcPr>
          <w:p w:rsidR="00D6505E" w:rsidRPr="00F50E64" w:rsidRDefault="00D6505E" w:rsidP="00AF455E">
            <w:pPr>
              <w:spacing w:before="60"/>
              <w:jc w:val="left"/>
              <w:rPr>
                <w:rFonts w:eastAsia="Times New Roman"/>
                <w:b/>
                <w:bCs/>
                <w:noProof/>
                <w:color w:val="000000"/>
                <w:sz w:val="20"/>
                <w:szCs w:val="20"/>
                <w:lang w:eastAsia="en-IE"/>
              </w:rPr>
            </w:pPr>
            <w:r w:rsidRPr="00F50E64">
              <w:rPr>
                <w:rFonts w:eastAsia="Times New Roman"/>
                <w:b/>
                <w:bCs/>
                <w:noProof/>
                <w:color w:val="000000"/>
                <w:sz w:val="20"/>
                <w:szCs w:val="20"/>
                <w:lang w:eastAsia="en-IE"/>
              </w:rPr>
              <w:t xml:space="preserve">01 01 02 Support expenditure for </w:t>
            </w:r>
            <w:r w:rsidR="00AF455E" w:rsidRPr="00F50E64">
              <w:rPr>
                <w:rFonts w:eastAsia="Times New Roman"/>
                <w:b/>
                <w:bCs/>
                <w:noProof/>
                <w:color w:val="000000"/>
                <w:sz w:val="20"/>
                <w:szCs w:val="20"/>
                <w:lang w:eastAsia="en-IE"/>
              </w:rPr>
              <w:t>“</w:t>
            </w:r>
            <w:r w:rsidRPr="00F50E64">
              <w:rPr>
                <w:rFonts w:eastAsia="Times New Roman"/>
                <w:b/>
                <w:bCs/>
                <w:noProof/>
                <w:color w:val="000000"/>
                <w:sz w:val="20"/>
                <w:szCs w:val="20"/>
                <w:lang w:eastAsia="en-IE"/>
              </w:rPr>
              <w:t>Euratom Research and Training Programme</w:t>
            </w:r>
            <w:r w:rsidR="00AF455E" w:rsidRPr="00F50E64">
              <w:rPr>
                <w:rFonts w:eastAsia="Times New Roman"/>
                <w:b/>
                <w:bCs/>
                <w:noProof/>
                <w:color w:val="000000"/>
                <w:sz w:val="20"/>
                <w:szCs w:val="20"/>
                <w:lang w:eastAsia="en-IE"/>
              </w:rPr>
              <w:t>”</w:t>
            </w:r>
          </w:p>
          <w:p w:rsidR="00D6505E" w:rsidRPr="00F50E64" w:rsidRDefault="00D6505E" w:rsidP="00AF455E">
            <w:pPr>
              <w:spacing w:before="60"/>
              <w:jc w:val="left"/>
              <w:rPr>
                <w:rFonts w:eastAsia="Times New Roman"/>
                <w:noProof/>
                <w:color w:val="000000"/>
                <w:sz w:val="20"/>
                <w:szCs w:val="20"/>
                <w:lang w:eastAsia="en-IE"/>
              </w:rPr>
            </w:pPr>
            <w:r w:rsidRPr="00F50E64">
              <w:rPr>
                <w:rFonts w:eastAsia="Times New Roman"/>
                <w:noProof/>
                <w:color w:val="000000"/>
                <w:sz w:val="20"/>
                <w:szCs w:val="20"/>
                <w:lang w:eastAsia="en-IE"/>
              </w:rPr>
              <w:t xml:space="preserve">01 01 02 01 Expenditure related to officials and temporary staff implementing </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Euratom Research and Training Programme</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 xml:space="preserve"> — Indirect research.</w:t>
            </w:r>
          </w:p>
          <w:p w:rsidR="00D6505E" w:rsidRPr="00F50E64" w:rsidRDefault="00D6505E" w:rsidP="00AF455E">
            <w:pPr>
              <w:spacing w:before="60"/>
              <w:jc w:val="left"/>
              <w:rPr>
                <w:rFonts w:eastAsia="Times New Roman"/>
                <w:noProof/>
                <w:color w:val="000000"/>
                <w:sz w:val="20"/>
                <w:szCs w:val="20"/>
                <w:lang w:eastAsia="en-IE"/>
              </w:rPr>
            </w:pPr>
            <w:r w:rsidRPr="00F50E64">
              <w:rPr>
                <w:rFonts w:eastAsia="Times New Roman"/>
                <w:noProof/>
                <w:color w:val="000000"/>
                <w:sz w:val="20"/>
                <w:szCs w:val="20"/>
                <w:lang w:eastAsia="en-IE"/>
              </w:rPr>
              <w:t xml:space="preserve">01 01 02 02 External personnel implementing </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Euratom Research and Training Programme</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 xml:space="preserve"> — Indirect research.</w:t>
            </w:r>
          </w:p>
          <w:p w:rsidR="00D6505E" w:rsidRPr="00F50E64" w:rsidRDefault="00D6505E" w:rsidP="00AF455E">
            <w:pPr>
              <w:spacing w:before="60"/>
              <w:jc w:val="left"/>
              <w:rPr>
                <w:rFonts w:eastAsia="Times New Roman"/>
                <w:noProof/>
                <w:color w:val="000000"/>
                <w:sz w:val="20"/>
                <w:szCs w:val="20"/>
                <w:lang w:eastAsia="en-IE"/>
              </w:rPr>
            </w:pPr>
            <w:r w:rsidRPr="00F50E64">
              <w:rPr>
                <w:rFonts w:eastAsia="Times New Roman"/>
                <w:noProof/>
                <w:color w:val="000000"/>
                <w:sz w:val="20"/>
                <w:szCs w:val="20"/>
                <w:lang w:eastAsia="en-IE"/>
              </w:rPr>
              <w:t xml:space="preserve">01 01 02 03 Other management expenditure for </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Euratom Research and Training Programme</w:t>
            </w:r>
            <w:r w:rsidR="00AF455E" w:rsidRPr="00F50E64">
              <w:rPr>
                <w:rFonts w:eastAsia="Times New Roman"/>
                <w:noProof/>
                <w:color w:val="000000"/>
                <w:sz w:val="20"/>
                <w:szCs w:val="20"/>
                <w:lang w:eastAsia="en-IE"/>
              </w:rPr>
              <w:t>”</w:t>
            </w:r>
            <w:r w:rsidRPr="00F50E64">
              <w:rPr>
                <w:rFonts w:eastAsia="Times New Roman"/>
                <w:noProof/>
                <w:color w:val="000000"/>
                <w:sz w:val="20"/>
                <w:szCs w:val="20"/>
                <w:lang w:eastAsia="en-IE"/>
              </w:rPr>
              <w:t xml:space="preserve"> — Indirect research.</w:t>
            </w:r>
          </w:p>
          <w:p w:rsidR="00D6505E" w:rsidRPr="00F50E64" w:rsidRDefault="00D6505E" w:rsidP="00AF455E">
            <w:pPr>
              <w:spacing w:before="60"/>
              <w:jc w:val="left"/>
              <w:rPr>
                <w:noProof/>
                <w:sz w:val="20"/>
                <w:szCs w:val="20"/>
              </w:rPr>
            </w:pPr>
            <w:r w:rsidRPr="00F50E64">
              <w:rPr>
                <w:noProof/>
                <w:sz w:val="20"/>
                <w:szCs w:val="20"/>
              </w:rPr>
              <w:t>01.010211 Expenditure related to officials and temporary staff implementing the Euratom Research and Training Programme — Direct research</w:t>
            </w:r>
          </w:p>
          <w:p w:rsidR="00D6505E" w:rsidRPr="00F50E64" w:rsidRDefault="00D6505E" w:rsidP="00AF455E">
            <w:pPr>
              <w:spacing w:before="60"/>
              <w:jc w:val="left"/>
              <w:rPr>
                <w:noProof/>
                <w:sz w:val="20"/>
                <w:szCs w:val="20"/>
              </w:rPr>
            </w:pPr>
            <w:r w:rsidRPr="00F50E64">
              <w:rPr>
                <w:noProof/>
                <w:sz w:val="20"/>
                <w:szCs w:val="20"/>
              </w:rPr>
              <w:t>01.010212 External personnel implementing the Euratom Research and Training Programme — Direct research</w:t>
            </w:r>
          </w:p>
          <w:p w:rsidR="00D6505E" w:rsidRPr="00F50E64" w:rsidRDefault="00D6505E" w:rsidP="00AF455E">
            <w:pPr>
              <w:spacing w:before="60"/>
              <w:jc w:val="left"/>
              <w:rPr>
                <w:noProof/>
                <w:sz w:val="20"/>
                <w:szCs w:val="20"/>
              </w:rPr>
            </w:pPr>
            <w:r w:rsidRPr="00F50E64">
              <w:rPr>
                <w:noProof/>
                <w:sz w:val="20"/>
                <w:szCs w:val="20"/>
              </w:rPr>
              <w:t>01.010213 Other management expenditure the Euratom Euratom Research and Training Programme — Direct research</w:t>
            </w:r>
          </w:p>
          <w:p w:rsidR="00D6505E" w:rsidRPr="00F50E64" w:rsidRDefault="00D6505E" w:rsidP="00AF455E">
            <w:pPr>
              <w:spacing w:before="60"/>
              <w:jc w:val="left"/>
              <w:rPr>
                <w:b/>
                <w:bCs/>
                <w:noProof/>
                <w:sz w:val="20"/>
                <w:szCs w:val="20"/>
              </w:rPr>
            </w:pPr>
            <w:r w:rsidRPr="00F50E64">
              <w:rPr>
                <w:b/>
                <w:bCs/>
                <w:noProof/>
                <w:sz w:val="20"/>
                <w:szCs w:val="20"/>
              </w:rPr>
              <w:t>01 03 Horizon Euratom operational budget</w:t>
            </w:r>
          </w:p>
          <w:p w:rsidR="00D6505E" w:rsidRPr="00F50E64" w:rsidRDefault="00D6505E" w:rsidP="00AF455E">
            <w:pPr>
              <w:spacing w:before="60"/>
              <w:jc w:val="left"/>
              <w:rPr>
                <w:noProof/>
                <w:sz w:val="20"/>
                <w:szCs w:val="20"/>
              </w:rPr>
            </w:pPr>
            <w:r w:rsidRPr="00F50E64">
              <w:rPr>
                <w:noProof/>
                <w:sz w:val="20"/>
                <w:szCs w:val="20"/>
              </w:rPr>
              <w:t>01 03 01 Fusion Research and development (indirect actions)</w:t>
            </w:r>
          </w:p>
          <w:p w:rsidR="00D6505E" w:rsidRPr="00F50E64" w:rsidRDefault="00D6505E" w:rsidP="00AF455E">
            <w:pPr>
              <w:spacing w:before="60"/>
              <w:jc w:val="left"/>
              <w:rPr>
                <w:noProof/>
                <w:sz w:val="20"/>
                <w:szCs w:val="20"/>
              </w:rPr>
            </w:pPr>
            <w:r w:rsidRPr="00F50E64">
              <w:rPr>
                <w:noProof/>
                <w:sz w:val="20"/>
                <w:szCs w:val="20"/>
              </w:rPr>
              <w:t>01 03 02 Nuclear Fission, safety and radiation protection (indirect actions)</w:t>
            </w:r>
          </w:p>
          <w:p w:rsidR="00D6505E" w:rsidRPr="00F50E64" w:rsidRDefault="00D6505E" w:rsidP="00AF455E">
            <w:pPr>
              <w:spacing w:before="60"/>
              <w:jc w:val="left"/>
              <w:rPr>
                <w:noProof/>
                <w:sz w:val="20"/>
                <w:szCs w:val="20"/>
              </w:rPr>
            </w:pPr>
            <w:r w:rsidRPr="00F50E64">
              <w:rPr>
                <w:noProof/>
                <w:sz w:val="20"/>
                <w:szCs w:val="20"/>
              </w:rPr>
              <w:t>01.0303 Nuclear direct actions of the Joint Research Centre</w:t>
            </w:r>
          </w:p>
        </w:tc>
        <w:tc>
          <w:tcPr>
            <w:tcW w:w="1134" w:type="dxa"/>
            <w:vAlign w:val="center"/>
          </w:tcPr>
          <w:p w:rsidR="00D6505E" w:rsidRPr="00F50E64" w:rsidRDefault="00D6505E" w:rsidP="00C874B9">
            <w:pPr>
              <w:jc w:val="center"/>
              <w:rPr>
                <w:noProof/>
                <w:sz w:val="22"/>
                <w:lang w:val="en-IE"/>
              </w:rPr>
            </w:pPr>
          </w:p>
          <w:p w:rsidR="00D6505E" w:rsidRPr="00F50E64" w:rsidRDefault="00D6505E" w:rsidP="00C874B9">
            <w:pPr>
              <w:jc w:val="center"/>
              <w:rPr>
                <w:noProof/>
                <w:sz w:val="22"/>
                <w:lang w:val="en-IE"/>
              </w:rPr>
            </w:pPr>
          </w:p>
          <w:p w:rsidR="00D6505E" w:rsidRPr="00F50E64" w:rsidRDefault="00D6505E" w:rsidP="00C874B9">
            <w:pPr>
              <w:jc w:val="center"/>
              <w:rPr>
                <w:noProof/>
                <w:sz w:val="22"/>
                <w:lang w:val="it-IT"/>
              </w:rPr>
            </w:pPr>
            <w:r w:rsidRPr="00F50E64">
              <w:rPr>
                <w:noProof/>
                <w:sz w:val="22"/>
                <w:lang w:val="it-IT"/>
              </w:rPr>
              <w:t>Non</w:t>
            </w:r>
            <w:r w:rsidR="00AF455E" w:rsidRPr="00F50E64">
              <w:rPr>
                <w:noProof/>
                <w:sz w:val="22"/>
                <w:lang w:val="it-IT"/>
              </w:rPr>
              <w:t>-d</w:t>
            </w:r>
            <w:r w:rsidRPr="00F50E64">
              <w:rPr>
                <w:noProof/>
                <w:sz w:val="22"/>
                <w:lang w:val="it-IT"/>
              </w:rPr>
              <w:t>iff</w:t>
            </w:r>
            <w:r w:rsidR="00AF455E" w:rsidRPr="00F50E64">
              <w:rPr>
                <w:noProof/>
                <w:sz w:val="22"/>
                <w:lang w:val="it-IT"/>
              </w:rPr>
              <w:t>.</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Non</w:t>
            </w:r>
            <w:r w:rsidR="00AF455E" w:rsidRPr="00F50E64">
              <w:rPr>
                <w:noProof/>
                <w:sz w:val="22"/>
                <w:lang w:val="it-IT"/>
              </w:rPr>
              <w:t>-d</w:t>
            </w:r>
            <w:r w:rsidRPr="00F50E64">
              <w:rPr>
                <w:noProof/>
                <w:sz w:val="22"/>
                <w:lang w:val="it-IT"/>
              </w:rPr>
              <w:t>iff</w:t>
            </w:r>
            <w:r w:rsidR="00AF455E" w:rsidRPr="00F50E64">
              <w:rPr>
                <w:noProof/>
                <w:sz w:val="22"/>
                <w:lang w:val="it-IT"/>
              </w:rPr>
              <w:t>.</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Non</w:t>
            </w:r>
            <w:r w:rsidR="00AF455E" w:rsidRPr="00F50E64">
              <w:rPr>
                <w:noProof/>
                <w:sz w:val="22"/>
                <w:lang w:val="it-IT"/>
              </w:rPr>
              <w:t>-d</w:t>
            </w:r>
            <w:r w:rsidRPr="00F50E64">
              <w:rPr>
                <w:noProof/>
                <w:sz w:val="22"/>
                <w:lang w:val="it-IT"/>
              </w:rPr>
              <w:t>iff</w:t>
            </w:r>
            <w:r w:rsidR="00AF455E" w:rsidRPr="00F50E64">
              <w:rPr>
                <w:noProof/>
                <w:sz w:val="22"/>
                <w:lang w:val="it-IT"/>
              </w:rPr>
              <w:t>.</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 xml:space="preserve">Non-diff. </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 xml:space="preserve">Non-diff. </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 xml:space="preserve">Non-diff. </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r w:rsidRPr="00F50E64">
              <w:rPr>
                <w:noProof/>
                <w:sz w:val="22"/>
                <w:lang w:val="it-IT"/>
              </w:rPr>
              <w:t>Diff.</w:t>
            </w: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p>
          <w:p w:rsidR="00D6505E" w:rsidRPr="00F50E64" w:rsidRDefault="00D6505E" w:rsidP="00C874B9">
            <w:pPr>
              <w:jc w:val="center"/>
              <w:rPr>
                <w:noProof/>
                <w:sz w:val="22"/>
                <w:lang w:val="it-IT"/>
              </w:rPr>
            </w:pPr>
          </w:p>
          <w:p w:rsidR="00D6505E" w:rsidRPr="00F50E64" w:rsidRDefault="00D6505E" w:rsidP="00C874B9">
            <w:pPr>
              <w:jc w:val="center"/>
              <w:rPr>
                <w:noProof/>
                <w:color w:val="0000FF"/>
                <w:lang w:val="it-IT"/>
              </w:rPr>
            </w:pPr>
          </w:p>
        </w:tc>
        <w:tc>
          <w:tcPr>
            <w:tcW w:w="995" w:type="dxa"/>
            <w:vAlign w:val="center"/>
          </w:tcPr>
          <w:p w:rsidR="00D6505E" w:rsidRPr="00F50E64" w:rsidRDefault="00D6505E" w:rsidP="00C874B9">
            <w:pPr>
              <w:jc w:val="center"/>
              <w:rPr>
                <w:noProof/>
                <w:sz w:val="20"/>
                <w:szCs w:val="20"/>
              </w:rPr>
            </w:pPr>
            <w:r w:rsidRPr="00F50E64">
              <w:rPr>
                <w:noProof/>
                <w:sz w:val="20"/>
                <w:szCs w:val="20"/>
              </w:rPr>
              <w:t>NO</w:t>
            </w:r>
          </w:p>
        </w:tc>
        <w:tc>
          <w:tcPr>
            <w:tcW w:w="1134" w:type="dxa"/>
            <w:vAlign w:val="center"/>
          </w:tcPr>
          <w:p w:rsidR="00D6505E" w:rsidRPr="00F50E64" w:rsidRDefault="006A1E30" w:rsidP="00C874B9">
            <w:pPr>
              <w:jc w:val="center"/>
              <w:rPr>
                <w:noProof/>
                <w:sz w:val="20"/>
                <w:szCs w:val="20"/>
              </w:rPr>
            </w:pPr>
            <w:r>
              <w:rPr>
                <w:noProof/>
                <w:sz w:val="20"/>
                <w:szCs w:val="20"/>
              </w:rPr>
              <w:t>YES</w:t>
            </w:r>
          </w:p>
        </w:tc>
        <w:tc>
          <w:tcPr>
            <w:tcW w:w="993" w:type="dxa"/>
            <w:vAlign w:val="center"/>
          </w:tcPr>
          <w:p w:rsidR="00D6505E" w:rsidRPr="00F50E64" w:rsidRDefault="006A1E30" w:rsidP="00C874B9">
            <w:pPr>
              <w:jc w:val="center"/>
              <w:rPr>
                <w:noProof/>
                <w:sz w:val="20"/>
                <w:szCs w:val="20"/>
              </w:rPr>
            </w:pPr>
            <w:r>
              <w:rPr>
                <w:noProof/>
                <w:sz w:val="20"/>
                <w:szCs w:val="20"/>
              </w:rPr>
              <w:t>YES</w:t>
            </w:r>
          </w:p>
        </w:tc>
        <w:tc>
          <w:tcPr>
            <w:tcW w:w="1275" w:type="dxa"/>
            <w:gridSpan w:val="2"/>
            <w:vAlign w:val="center"/>
          </w:tcPr>
          <w:p w:rsidR="00D6505E" w:rsidRPr="00F50E64" w:rsidRDefault="00D6505E" w:rsidP="00C874B9">
            <w:pPr>
              <w:jc w:val="center"/>
              <w:rPr>
                <w:noProof/>
                <w:sz w:val="20"/>
                <w:szCs w:val="20"/>
              </w:rPr>
            </w:pPr>
            <w:r w:rsidRPr="00F50E64">
              <w:rPr>
                <w:noProof/>
                <w:sz w:val="20"/>
                <w:szCs w:val="20"/>
              </w:rPr>
              <w:t>NO</w:t>
            </w:r>
          </w:p>
        </w:tc>
      </w:tr>
    </w:tbl>
    <w:p w:rsidR="008F031D" w:rsidRPr="00F50E64" w:rsidRDefault="008F031D" w:rsidP="003D5244">
      <w:pPr>
        <w:pStyle w:val="ListBullet1"/>
        <w:rPr>
          <w:noProof/>
        </w:rPr>
      </w:pPr>
      <w:r w:rsidRPr="00F50E64">
        <w:rPr>
          <w:noProof/>
        </w:rPr>
        <w:t>New budget lines requested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C6938" w:rsidRPr="00F50E64">
        <w:tc>
          <w:tcPr>
            <w:tcW w:w="1080" w:type="dxa"/>
            <w:vMerge w:val="restart"/>
            <w:vAlign w:val="center"/>
          </w:tcPr>
          <w:p w:rsidR="008F031D" w:rsidRPr="00F50E64" w:rsidRDefault="008F031D" w:rsidP="006412AA">
            <w:pPr>
              <w:spacing w:before="60" w:after="60"/>
              <w:jc w:val="center"/>
              <w:rPr>
                <w:noProof/>
                <w:sz w:val="18"/>
                <w:szCs w:val="18"/>
              </w:rPr>
            </w:pPr>
            <w:r w:rsidRPr="00F50E64">
              <w:rPr>
                <w:noProof/>
                <w:sz w:val="18"/>
              </w:rPr>
              <w:t>Heading of multiannual financial framework</w:t>
            </w:r>
          </w:p>
        </w:tc>
        <w:tc>
          <w:tcPr>
            <w:tcW w:w="3960" w:type="dxa"/>
            <w:vAlign w:val="center"/>
          </w:tcPr>
          <w:p w:rsidR="008F031D" w:rsidRPr="00F50E64" w:rsidRDefault="008F031D" w:rsidP="006412AA">
            <w:pPr>
              <w:spacing w:before="60" w:after="60"/>
              <w:jc w:val="center"/>
              <w:rPr>
                <w:noProof/>
              </w:rPr>
            </w:pPr>
            <w:r w:rsidRPr="00F50E64">
              <w:rPr>
                <w:noProof/>
                <w:sz w:val="20"/>
              </w:rPr>
              <w:t>Budget line</w:t>
            </w:r>
          </w:p>
        </w:tc>
        <w:tc>
          <w:tcPr>
            <w:tcW w:w="1080" w:type="dxa"/>
            <w:vAlign w:val="center"/>
          </w:tcPr>
          <w:p w:rsidR="008F031D" w:rsidRPr="00F50E64" w:rsidRDefault="008F031D" w:rsidP="006412AA">
            <w:pPr>
              <w:spacing w:before="60" w:after="60"/>
              <w:jc w:val="center"/>
              <w:rPr>
                <w:noProof/>
              </w:rPr>
            </w:pPr>
            <w:r w:rsidRPr="00F50E64">
              <w:rPr>
                <w:noProof/>
                <w:sz w:val="18"/>
              </w:rPr>
              <w:t>Type of</w:t>
            </w:r>
            <w:r w:rsidRPr="00F50E64">
              <w:rPr>
                <w:noProof/>
                <w:sz w:val="22"/>
              </w:rPr>
              <w:br/>
            </w:r>
            <w:r w:rsidRPr="00F50E64">
              <w:rPr>
                <w:noProof/>
                <w:sz w:val="18"/>
              </w:rPr>
              <w:t>expenditure</w:t>
            </w:r>
          </w:p>
        </w:tc>
        <w:tc>
          <w:tcPr>
            <w:tcW w:w="4440" w:type="dxa"/>
            <w:gridSpan w:val="4"/>
            <w:vAlign w:val="center"/>
          </w:tcPr>
          <w:p w:rsidR="008F031D" w:rsidRPr="00F50E64" w:rsidRDefault="008F031D" w:rsidP="006412AA">
            <w:pPr>
              <w:spacing w:before="60" w:after="60"/>
              <w:jc w:val="center"/>
              <w:rPr>
                <w:noProof/>
              </w:rPr>
            </w:pPr>
            <w:r w:rsidRPr="00F50E64">
              <w:rPr>
                <w:noProof/>
                <w:sz w:val="20"/>
              </w:rPr>
              <w:t xml:space="preserve">Contribution </w:t>
            </w:r>
          </w:p>
        </w:tc>
      </w:tr>
      <w:tr w:rsidR="00CC6938" w:rsidRPr="00F50E64">
        <w:tc>
          <w:tcPr>
            <w:tcW w:w="1080" w:type="dxa"/>
            <w:vMerge/>
            <w:vAlign w:val="center"/>
          </w:tcPr>
          <w:p w:rsidR="008F031D" w:rsidRPr="00F50E64" w:rsidRDefault="008F031D" w:rsidP="006412AA">
            <w:pPr>
              <w:jc w:val="center"/>
              <w:rPr>
                <w:noProof/>
              </w:rPr>
            </w:pPr>
          </w:p>
        </w:tc>
        <w:tc>
          <w:tcPr>
            <w:tcW w:w="3960" w:type="dxa"/>
            <w:vAlign w:val="center"/>
          </w:tcPr>
          <w:p w:rsidR="008F031D" w:rsidRPr="00F50E64" w:rsidRDefault="008F031D" w:rsidP="006412AA">
            <w:pPr>
              <w:rPr>
                <w:noProof/>
              </w:rPr>
            </w:pPr>
            <w:r w:rsidRPr="00F50E64">
              <w:rPr>
                <w:noProof/>
                <w:sz w:val="20"/>
              </w:rPr>
              <w:t xml:space="preserve">Number </w:t>
            </w:r>
            <w:r w:rsidRPr="00F50E64">
              <w:rPr>
                <w:noProof/>
                <w:sz w:val="22"/>
              </w:rPr>
              <w:br/>
            </w:r>
          </w:p>
        </w:tc>
        <w:tc>
          <w:tcPr>
            <w:tcW w:w="1080" w:type="dxa"/>
            <w:vAlign w:val="center"/>
          </w:tcPr>
          <w:p w:rsidR="008F031D" w:rsidRPr="00F50E64" w:rsidRDefault="008F031D" w:rsidP="006412AA">
            <w:pPr>
              <w:jc w:val="center"/>
              <w:rPr>
                <w:noProof/>
              </w:rPr>
            </w:pPr>
            <w:r w:rsidRPr="00F50E64">
              <w:rPr>
                <w:noProof/>
                <w:sz w:val="18"/>
              </w:rPr>
              <w:t>Diff./Non-diff.</w:t>
            </w:r>
          </w:p>
        </w:tc>
        <w:tc>
          <w:tcPr>
            <w:tcW w:w="956" w:type="dxa"/>
            <w:vAlign w:val="center"/>
          </w:tcPr>
          <w:p w:rsidR="008F031D" w:rsidRPr="00F50E64" w:rsidRDefault="008F031D" w:rsidP="006412AA">
            <w:pPr>
              <w:jc w:val="center"/>
              <w:rPr>
                <w:noProof/>
                <w:sz w:val="18"/>
              </w:rPr>
            </w:pPr>
            <w:r w:rsidRPr="00F50E64">
              <w:rPr>
                <w:noProof/>
                <w:sz w:val="18"/>
              </w:rPr>
              <w:t>from EFTA countries</w:t>
            </w:r>
          </w:p>
        </w:tc>
        <w:tc>
          <w:tcPr>
            <w:tcW w:w="1080" w:type="dxa"/>
            <w:vAlign w:val="center"/>
          </w:tcPr>
          <w:p w:rsidR="008F031D" w:rsidRPr="00F50E64" w:rsidRDefault="008F031D" w:rsidP="006412AA">
            <w:pPr>
              <w:jc w:val="center"/>
              <w:rPr>
                <w:noProof/>
                <w:sz w:val="18"/>
              </w:rPr>
            </w:pPr>
            <w:r w:rsidRPr="00F50E64">
              <w:rPr>
                <w:noProof/>
                <w:sz w:val="18"/>
              </w:rPr>
              <w:t>from candidate countries and potential candidates</w:t>
            </w:r>
          </w:p>
        </w:tc>
        <w:tc>
          <w:tcPr>
            <w:tcW w:w="956" w:type="dxa"/>
            <w:vAlign w:val="center"/>
          </w:tcPr>
          <w:p w:rsidR="008F031D" w:rsidRPr="00F50E64" w:rsidRDefault="008F031D" w:rsidP="006412AA">
            <w:pPr>
              <w:jc w:val="center"/>
              <w:rPr>
                <w:noProof/>
                <w:sz w:val="18"/>
              </w:rPr>
            </w:pPr>
            <w:r w:rsidRPr="00F50E64">
              <w:rPr>
                <w:noProof/>
                <w:sz w:val="18"/>
              </w:rPr>
              <w:t>fromother third countries</w:t>
            </w:r>
          </w:p>
        </w:tc>
        <w:tc>
          <w:tcPr>
            <w:tcW w:w="1448" w:type="dxa"/>
            <w:vAlign w:val="center"/>
          </w:tcPr>
          <w:p w:rsidR="008F031D" w:rsidRPr="00F50E64" w:rsidRDefault="008F031D" w:rsidP="006412AA">
            <w:pPr>
              <w:jc w:val="center"/>
              <w:rPr>
                <w:noProof/>
              </w:rPr>
            </w:pPr>
            <w:r w:rsidRPr="00F50E64">
              <w:rPr>
                <w:noProof/>
                <w:sz w:val="18"/>
                <w:szCs w:val="18"/>
              </w:rPr>
              <w:t xml:space="preserve">other assigned revenue </w:t>
            </w:r>
          </w:p>
        </w:tc>
      </w:tr>
      <w:tr w:rsidR="001261F6" w:rsidRPr="00F50E64">
        <w:tc>
          <w:tcPr>
            <w:tcW w:w="1080" w:type="dxa"/>
            <w:vAlign w:val="center"/>
          </w:tcPr>
          <w:p w:rsidR="008F031D" w:rsidRPr="00F50E64" w:rsidRDefault="008F031D" w:rsidP="006412AA">
            <w:pPr>
              <w:jc w:val="center"/>
              <w:rPr>
                <w:noProof/>
                <w:color w:val="0000FF"/>
              </w:rPr>
            </w:pPr>
          </w:p>
        </w:tc>
        <w:tc>
          <w:tcPr>
            <w:tcW w:w="3960" w:type="dxa"/>
            <w:vAlign w:val="center"/>
          </w:tcPr>
          <w:p w:rsidR="008F031D" w:rsidRPr="00F50E64" w:rsidRDefault="008F031D" w:rsidP="006412AA">
            <w:pPr>
              <w:spacing w:after="60"/>
              <w:rPr>
                <w:noProof/>
                <w:color w:val="0000FF"/>
              </w:rPr>
            </w:pPr>
          </w:p>
        </w:tc>
        <w:tc>
          <w:tcPr>
            <w:tcW w:w="1080" w:type="dxa"/>
            <w:vAlign w:val="center"/>
          </w:tcPr>
          <w:p w:rsidR="008F031D" w:rsidRPr="00F50E64" w:rsidRDefault="008F031D" w:rsidP="006412AA">
            <w:pPr>
              <w:jc w:val="center"/>
              <w:rPr>
                <w:noProof/>
                <w:color w:val="0000FF"/>
              </w:rPr>
            </w:pPr>
          </w:p>
        </w:tc>
        <w:tc>
          <w:tcPr>
            <w:tcW w:w="956" w:type="dxa"/>
            <w:vAlign w:val="center"/>
          </w:tcPr>
          <w:p w:rsidR="008F031D" w:rsidRPr="00F50E64" w:rsidRDefault="008F031D" w:rsidP="006412AA">
            <w:pPr>
              <w:jc w:val="center"/>
              <w:rPr>
                <w:noProof/>
                <w:sz w:val="20"/>
                <w:szCs w:val="20"/>
              </w:rPr>
            </w:pPr>
          </w:p>
        </w:tc>
        <w:tc>
          <w:tcPr>
            <w:tcW w:w="1080" w:type="dxa"/>
            <w:vAlign w:val="center"/>
          </w:tcPr>
          <w:p w:rsidR="008F031D" w:rsidRPr="00F50E64" w:rsidRDefault="008F031D" w:rsidP="006412AA">
            <w:pPr>
              <w:jc w:val="center"/>
              <w:rPr>
                <w:noProof/>
                <w:color w:val="0000FF"/>
                <w:sz w:val="20"/>
                <w:szCs w:val="20"/>
              </w:rPr>
            </w:pPr>
          </w:p>
        </w:tc>
        <w:tc>
          <w:tcPr>
            <w:tcW w:w="956" w:type="dxa"/>
            <w:vAlign w:val="center"/>
          </w:tcPr>
          <w:p w:rsidR="008F031D" w:rsidRPr="00F50E64" w:rsidRDefault="008F031D" w:rsidP="006412AA">
            <w:pPr>
              <w:jc w:val="center"/>
              <w:rPr>
                <w:noProof/>
                <w:color w:val="0000FF"/>
                <w:sz w:val="20"/>
                <w:szCs w:val="20"/>
              </w:rPr>
            </w:pPr>
          </w:p>
        </w:tc>
        <w:tc>
          <w:tcPr>
            <w:tcW w:w="1448" w:type="dxa"/>
            <w:vAlign w:val="center"/>
          </w:tcPr>
          <w:p w:rsidR="008F031D" w:rsidRPr="00F50E64" w:rsidRDefault="008F031D" w:rsidP="006412AA">
            <w:pPr>
              <w:jc w:val="center"/>
              <w:rPr>
                <w:noProof/>
                <w:sz w:val="20"/>
                <w:szCs w:val="20"/>
              </w:rPr>
            </w:pPr>
          </w:p>
        </w:tc>
      </w:tr>
    </w:tbl>
    <w:p w:rsidR="008F031D" w:rsidRPr="00F50E64" w:rsidRDefault="008F031D" w:rsidP="003D5244">
      <w:pPr>
        <w:rPr>
          <w:noProof/>
        </w:rPr>
        <w:sectPr w:rsidR="008F031D" w:rsidRPr="00F50E64" w:rsidSect="008A2E9F">
          <w:footnotePr>
            <w:numRestart w:val="eachSect"/>
          </w:footnotePr>
          <w:pgSz w:w="11907" w:h="16840" w:code="1"/>
          <w:pgMar w:top="1134" w:right="1418" w:bottom="1134" w:left="1418" w:header="709" w:footer="709" w:gutter="0"/>
          <w:cols w:space="708"/>
          <w:docGrid w:linePitch="360"/>
        </w:sectPr>
      </w:pPr>
    </w:p>
    <w:p w:rsidR="00B96D6D" w:rsidRPr="00F50E64" w:rsidRDefault="00B96D6D" w:rsidP="00B96D6D">
      <w:pPr>
        <w:pStyle w:val="ManualHeading2"/>
        <w:rPr>
          <w:bCs/>
          <w:noProof/>
          <w:szCs w:val="24"/>
        </w:rPr>
      </w:pPr>
      <w:bookmarkStart w:id="64" w:name="_Toc514938052"/>
      <w:bookmarkStart w:id="65" w:name="_Toc520485051"/>
      <w:bookmarkStart w:id="66" w:name="_Toc167220301"/>
      <w:bookmarkStart w:id="67" w:name="_Toc177549035"/>
      <w:r w:rsidRPr="00F50E64">
        <w:rPr>
          <w:noProof/>
        </w:rPr>
        <w:t>3.2.</w:t>
      </w:r>
      <w:r w:rsidRPr="00F50E64">
        <w:rPr>
          <w:noProof/>
        </w:rPr>
        <w:tab/>
        <w:t>Estimated financial impact of the proposal on appropriations</w:t>
      </w:r>
      <w:bookmarkEnd w:id="64"/>
      <w:bookmarkEnd w:id="65"/>
      <w:r w:rsidRPr="00F50E64">
        <w:rPr>
          <w:noProof/>
        </w:rPr>
        <w:t xml:space="preserve"> </w:t>
      </w:r>
    </w:p>
    <w:p w:rsidR="00B96D6D" w:rsidRPr="00F50E64" w:rsidRDefault="00B96D6D" w:rsidP="00B96D6D">
      <w:pPr>
        <w:pStyle w:val="ManualHeading3"/>
        <w:rPr>
          <w:noProof/>
        </w:rPr>
      </w:pPr>
      <w:bookmarkStart w:id="68" w:name="_Toc514938053"/>
      <w:bookmarkStart w:id="69" w:name="_Toc520485052"/>
      <w:r w:rsidRPr="00F50E64">
        <w:rPr>
          <w:noProof/>
        </w:rPr>
        <w:t>3.2.1.</w:t>
      </w:r>
      <w:r w:rsidRPr="00F50E64">
        <w:rPr>
          <w:noProof/>
        </w:rPr>
        <w:tab/>
        <w:t>Summary of estimated impact on operational appropriations</w:t>
      </w:r>
      <w:bookmarkEnd w:id="68"/>
      <w:bookmarkEnd w:id="69"/>
      <w:r w:rsidRPr="00F50E64">
        <w:rPr>
          <w:noProof/>
        </w:rPr>
        <w:t xml:space="preserve"> </w:t>
      </w:r>
    </w:p>
    <w:p w:rsidR="00B96D6D" w:rsidRPr="00F50E64" w:rsidRDefault="00B96D6D" w:rsidP="00B96D6D">
      <w:pPr>
        <w:pStyle w:val="ListDash1"/>
        <w:rPr>
          <w:noProof/>
        </w:rPr>
      </w:pPr>
      <w:r w:rsidRPr="00F50E64">
        <w:rPr>
          <w:noProof/>
        </w:rPr>
        <w:sym w:font="Wingdings" w:char="F0A8"/>
      </w:r>
      <w:r w:rsidRPr="00F50E64">
        <w:rPr>
          <w:noProof/>
        </w:rPr>
        <w:tab/>
        <w:t xml:space="preserve">The proposal/initiative does not require the use of operational appropriations </w:t>
      </w:r>
    </w:p>
    <w:p w:rsidR="00B96D6D" w:rsidRPr="00F50E64" w:rsidRDefault="00B96D6D" w:rsidP="00B96D6D">
      <w:pPr>
        <w:pStyle w:val="ListDash1"/>
        <w:rPr>
          <w:noProof/>
        </w:rPr>
      </w:pPr>
      <w:r w:rsidRPr="00F50E64">
        <w:rPr>
          <w:noProof/>
        </w:rPr>
        <w:sym w:font="Wingdings" w:char="F0FD"/>
      </w:r>
      <w:r w:rsidRPr="00F50E64">
        <w:rPr>
          <w:noProof/>
        </w:rPr>
        <w:tab/>
        <w:t>The proposal/initiative requires the use of operational appropriations, as explained below:</w:t>
      </w:r>
    </w:p>
    <w:p w:rsidR="00B96D6D" w:rsidRPr="00F50E64" w:rsidRDefault="00B96D6D" w:rsidP="00B96D6D">
      <w:pPr>
        <w:pStyle w:val="ManualHeading3"/>
        <w:rPr>
          <w:noProof/>
        </w:rPr>
      </w:pPr>
      <w:bookmarkStart w:id="70" w:name="_Toc160804595"/>
      <w:bookmarkStart w:id="71" w:name="_Toc167220287"/>
      <w:bookmarkStart w:id="72" w:name="_Toc177549020"/>
      <w:r w:rsidRPr="00F50E64">
        <w:rPr>
          <w:noProof/>
        </w:rPr>
        <w:t>3.2.1.1.</w:t>
      </w:r>
      <w:r w:rsidRPr="00F50E64">
        <w:rPr>
          <w:noProof/>
        </w:rPr>
        <w:tab/>
        <w:t>Appropriations from voted budget</w:t>
      </w:r>
      <w:bookmarkEnd w:id="70"/>
      <w:bookmarkEnd w:id="71"/>
      <w:bookmarkEnd w:id="72"/>
    </w:p>
    <w:p w:rsidR="00B96D6D" w:rsidRPr="00F50E64" w:rsidRDefault="00B96D6D" w:rsidP="00B96D6D">
      <w:pPr>
        <w:jc w:val="right"/>
        <w:rPr>
          <w:noProof/>
          <w:sz w:val="18"/>
          <w:szCs w:val="18"/>
          <w:lang w:val="en-IE"/>
        </w:rPr>
      </w:pPr>
      <w:r w:rsidRPr="00F50E64">
        <w:rPr>
          <w:noProof/>
          <w:sz w:val="18"/>
          <w:szCs w:val="18"/>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6D6D" w:rsidRPr="00F50E64" w:rsidTr="00C874B9">
        <w:trPr>
          <w:jc w:val="center"/>
        </w:trPr>
        <w:tc>
          <w:tcPr>
            <w:tcW w:w="4744" w:type="dxa"/>
            <w:shd w:val="thinDiagStripe" w:color="C0C0C0" w:fill="auto"/>
            <w:vAlign w:val="center"/>
          </w:tcPr>
          <w:p w:rsidR="00B96D6D" w:rsidRPr="00F50E64" w:rsidRDefault="00B96D6D" w:rsidP="00C874B9">
            <w:pPr>
              <w:spacing w:before="60" w:after="60"/>
              <w:jc w:val="center"/>
              <w:rPr>
                <w:b/>
                <w:noProof/>
                <w:lang w:val="en-IE"/>
              </w:rPr>
            </w:pPr>
            <w:r w:rsidRPr="00F50E64">
              <w:rPr>
                <w:b/>
                <w:noProof/>
                <w:sz w:val="22"/>
                <w:lang w:val="en-IE"/>
              </w:rPr>
              <w:t xml:space="preserve">Heading of multiannual financial </w:t>
            </w:r>
            <w:r w:rsidRPr="00F50E64">
              <w:rPr>
                <w:noProof/>
                <w:sz w:val="22"/>
                <w:lang w:val="en-IE"/>
              </w:rPr>
              <w:br/>
            </w:r>
            <w:r w:rsidRPr="00F50E64">
              <w:rPr>
                <w:b/>
                <w:noProof/>
                <w:sz w:val="22"/>
                <w:lang w:val="en-IE"/>
              </w:rPr>
              <w:t xml:space="preserve">framework </w:t>
            </w:r>
          </w:p>
        </w:tc>
        <w:tc>
          <w:tcPr>
            <w:tcW w:w="1080" w:type="dxa"/>
            <w:vAlign w:val="center"/>
          </w:tcPr>
          <w:p w:rsidR="00B96D6D" w:rsidRPr="00F50E64" w:rsidRDefault="00B96D6D" w:rsidP="00C874B9">
            <w:pPr>
              <w:spacing w:before="60" w:after="60"/>
              <w:jc w:val="center"/>
              <w:rPr>
                <w:noProof/>
              </w:rPr>
            </w:pPr>
            <w:r w:rsidRPr="00F50E64">
              <w:rPr>
                <w:noProof/>
                <w:sz w:val="22"/>
              </w:rPr>
              <w:t>1</w:t>
            </w:r>
          </w:p>
        </w:tc>
        <w:tc>
          <w:tcPr>
            <w:tcW w:w="7817" w:type="dxa"/>
            <w:vAlign w:val="center"/>
          </w:tcPr>
          <w:p w:rsidR="00B96D6D" w:rsidRPr="00F50E64" w:rsidRDefault="00B96D6D" w:rsidP="00C874B9">
            <w:pPr>
              <w:spacing w:before="60" w:after="60"/>
              <w:rPr>
                <w:noProof/>
              </w:rPr>
            </w:pPr>
            <w:r w:rsidRPr="00F50E64">
              <w:rPr>
                <w:noProof/>
              </w:rPr>
              <w:t>Single market, Innovation and Digital</w:t>
            </w:r>
          </w:p>
        </w:tc>
      </w:tr>
    </w:tbl>
    <w:p w:rsidR="00B96D6D" w:rsidRPr="00F50E64" w:rsidRDefault="00B96D6D" w:rsidP="00B96D6D">
      <w:pPr>
        <w:jc w:val="right"/>
        <w:rPr>
          <w:noProof/>
          <w:sz w:val="18"/>
          <w:szCs w:val="1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5"/>
        <w:gridCol w:w="1417"/>
        <w:gridCol w:w="992"/>
        <w:gridCol w:w="1134"/>
        <w:gridCol w:w="993"/>
        <w:gridCol w:w="1254"/>
        <w:gridCol w:w="1391"/>
      </w:tblGrid>
      <w:tr w:rsidR="00B96D6D" w:rsidRPr="00F50E64" w:rsidTr="009F05F9">
        <w:trPr>
          <w:jc w:val="center"/>
        </w:trPr>
        <w:tc>
          <w:tcPr>
            <w:tcW w:w="6545"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bCs/>
                <w:noProof/>
                <w:sz w:val="22"/>
              </w:rPr>
            </w:pPr>
            <w:bookmarkStart w:id="73" w:name="_Hlk182991013"/>
            <w:r w:rsidRPr="00F50E64">
              <w:rPr>
                <w:b/>
                <w:bCs/>
                <w:noProof/>
                <w:sz w:val="22"/>
              </w:rPr>
              <w:t>DG: RTD</w:t>
            </w:r>
          </w:p>
        </w:tc>
        <w:tc>
          <w:tcPr>
            <w:tcW w:w="1417" w:type="dxa"/>
            <w:tcBorders>
              <w:top w:val="single" w:sz="4" w:space="0" w:color="auto"/>
              <w:left w:val="single" w:sz="4" w:space="0" w:color="auto"/>
              <w:bottom w:val="single" w:sz="4" w:space="0" w:color="auto"/>
              <w:right w:val="single" w:sz="4" w:space="0" w:color="auto"/>
            </w:tcBorders>
          </w:tcPr>
          <w:p w:rsidR="00B96D6D" w:rsidRPr="00F50E64" w:rsidRDefault="00B96D6D" w:rsidP="00C874B9">
            <w:pPr>
              <w:rPr>
                <w:noProof/>
                <w:sz w:val="20"/>
              </w:rPr>
            </w:pPr>
          </w:p>
        </w:tc>
        <w:tc>
          <w:tcPr>
            <w:tcW w:w="992" w:type="dxa"/>
            <w:tcBorders>
              <w:top w:val="single" w:sz="4" w:space="0" w:color="auto"/>
              <w:left w:val="single" w:sz="4" w:space="0" w:color="auto"/>
              <w:bottom w:val="single" w:sz="4" w:space="0" w:color="auto"/>
              <w:right w:val="single" w:sz="4" w:space="0" w:color="auto"/>
            </w:tcBorders>
          </w:tcPr>
          <w:p w:rsidR="00B96D6D" w:rsidRPr="00F50E64" w:rsidRDefault="00B96D6D" w:rsidP="00C874B9">
            <w:pPr>
              <w:jc w:val="cente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bCs/>
                <w:noProof/>
                <w:sz w:val="20"/>
              </w:rPr>
            </w:pPr>
            <w:r w:rsidRPr="00F50E64">
              <w:rPr>
                <w:b/>
                <w:bCs/>
                <w:noProof/>
                <w:sz w:val="20"/>
              </w:rPr>
              <w:t>Year</w:t>
            </w:r>
            <w:r w:rsidRPr="00F50E64">
              <w:rPr>
                <w:b/>
                <w:bCs/>
                <w:noProof/>
                <w:sz w:val="20"/>
              </w:rPr>
              <w:br/>
              <w:t>2026</w:t>
            </w:r>
          </w:p>
        </w:tc>
        <w:tc>
          <w:tcPr>
            <w:tcW w:w="993"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bCs/>
                <w:noProof/>
                <w:sz w:val="20"/>
              </w:rPr>
            </w:pPr>
            <w:r w:rsidRPr="00F50E64">
              <w:rPr>
                <w:b/>
                <w:bCs/>
                <w:noProof/>
                <w:sz w:val="20"/>
              </w:rPr>
              <w:t>Year</w:t>
            </w:r>
            <w:r w:rsidRPr="00F50E64">
              <w:rPr>
                <w:b/>
                <w:bCs/>
                <w:noProof/>
                <w:sz w:val="20"/>
              </w:rPr>
              <w:br/>
              <w:t>2027</w:t>
            </w:r>
          </w:p>
        </w:tc>
        <w:tc>
          <w:tcPr>
            <w:tcW w:w="1254"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bCs/>
                <w:noProof/>
                <w:sz w:val="18"/>
                <w:lang w:val="en-IE"/>
              </w:rPr>
            </w:pPr>
            <w:r w:rsidRPr="00F50E64">
              <w:rPr>
                <w:b/>
                <w:bCs/>
                <w:noProof/>
                <w:sz w:val="18"/>
                <w:lang w:val="en-IE"/>
              </w:rPr>
              <w:t>Post-2027</w:t>
            </w:r>
          </w:p>
        </w:tc>
        <w:tc>
          <w:tcPr>
            <w:tcW w:w="139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noProof/>
                <w:sz w:val="20"/>
              </w:rPr>
            </w:pPr>
            <w:r w:rsidRPr="00F50E64">
              <w:rPr>
                <w:b/>
                <w:noProof/>
                <w:sz w:val="20"/>
              </w:rPr>
              <w:t>TOTAL</w:t>
            </w:r>
          </w:p>
        </w:tc>
      </w:tr>
      <w:tr w:rsidR="00B96D6D" w:rsidRPr="00F50E64" w:rsidTr="009F05F9">
        <w:trPr>
          <w:jc w:val="center"/>
        </w:trPr>
        <w:tc>
          <w:tcPr>
            <w:tcW w:w="6545"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noProof/>
                <w:sz w:val="22"/>
              </w:rPr>
            </w:pPr>
            <w:r w:rsidRPr="00F50E64">
              <w:rPr>
                <w:noProof/>
                <w:sz w:val="22"/>
              </w:rPr>
              <w:sym w:font="Wingdings" w:char="F09F"/>
            </w:r>
            <w:r w:rsidRPr="00F50E64">
              <w:rPr>
                <w:noProof/>
                <w:sz w:val="22"/>
              </w:rPr>
              <w:t xml:space="preserve"> Operational appropriations </w:t>
            </w:r>
          </w:p>
        </w:tc>
        <w:tc>
          <w:tcPr>
            <w:tcW w:w="1417" w:type="dxa"/>
            <w:tcBorders>
              <w:top w:val="single" w:sz="4" w:space="0" w:color="auto"/>
              <w:left w:val="single" w:sz="4" w:space="0" w:color="auto"/>
              <w:bottom w:val="single" w:sz="4" w:space="0" w:color="auto"/>
              <w:right w:val="single" w:sz="4" w:space="0" w:color="auto"/>
            </w:tcBorders>
          </w:tcPr>
          <w:p w:rsidR="00B96D6D" w:rsidRPr="00F50E64" w:rsidRDefault="00B96D6D" w:rsidP="00C874B9">
            <w:pPr>
              <w:rPr>
                <w:noProof/>
                <w:sz w:val="20"/>
              </w:rPr>
            </w:pPr>
          </w:p>
        </w:tc>
        <w:tc>
          <w:tcPr>
            <w:tcW w:w="992" w:type="dxa"/>
            <w:tcBorders>
              <w:top w:val="single" w:sz="4" w:space="0" w:color="auto"/>
              <w:left w:val="single" w:sz="4" w:space="0" w:color="auto"/>
              <w:bottom w:val="single" w:sz="4" w:space="0" w:color="auto"/>
              <w:right w:val="single" w:sz="4" w:space="0" w:color="auto"/>
            </w:tcBorders>
          </w:tcPr>
          <w:p w:rsidR="00B96D6D" w:rsidRPr="00F50E64" w:rsidRDefault="00B96D6D" w:rsidP="00C874B9">
            <w:pPr>
              <w:jc w:val="cente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noProof/>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noProof/>
                <w:sz w:val="20"/>
              </w:rPr>
            </w:pPr>
          </w:p>
        </w:tc>
        <w:tc>
          <w:tcPr>
            <w:tcW w:w="1254"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noProof/>
                <w:sz w:val="18"/>
                <w:lang w:val="en-IE"/>
              </w:rPr>
            </w:pPr>
          </w:p>
        </w:tc>
        <w:tc>
          <w:tcPr>
            <w:tcW w:w="139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jc w:val="center"/>
              <w:rPr>
                <w:b/>
                <w:noProof/>
                <w:sz w:val="20"/>
              </w:rPr>
            </w:pPr>
          </w:p>
        </w:tc>
      </w:tr>
      <w:bookmarkEnd w:id="73"/>
      <w:tr w:rsidR="006A1E30" w:rsidRPr="00F50E64" w:rsidTr="009F05F9">
        <w:trPr>
          <w:trHeight w:val="277"/>
          <w:jc w:val="center"/>
        </w:trPr>
        <w:tc>
          <w:tcPr>
            <w:tcW w:w="6545" w:type="dxa"/>
            <w:vMerge w:val="restart"/>
            <w:vAlign w:val="center"/>
          </w:tcPr>
          <w:p w:rsidR="006A1E30" w:rsidRPr="00F50E64" w:rsidRDefault="006A1E30" w:rsidP="006A1E30">
            <w:pPr>
              <w:spacing w:before="60"/>
              <w:rPr>
                <w:noProof/>
                <w:sz w:val="20"/>
                <w:szCs w:val="20"/>
              </w:rPr>
            </w:pPr>
            <w:r w:rsidRPr="00F50E64">
              <w:rPr>
                <w:noProof/>
                <w:sz w:val="20"/>
                <w:szCs w:val="20"/>
              </w:rPr>
              <w:t>01 03 01 Fusion Research and development</w:t>
            </w:r>
          </w:p>
        </w:tc>
        <w:tc>
          <w:tcPr>
            <w:tcW w:w="1417" w:type="dxa"/>
            <w:vAlign w:val="center"/>
          </w:tcPr>
          <w:p w:rsidR="006A1E30" w:rsidRPr="00F50E64" w:rsidRDefault="006A1E30" w:rsidP="006A1E30">
            <w:pPr>
              <w:spacing w:before="20" w:after="20"/>
              <w:rPr>
                <w:noProof/>
                <w:sz w:val="18"/>
              </w:rPr>
            </w:pPr>
            <w:r w:rsidRPr="00F50E64">
              <w:rPr>
                <w:noProof/>
                <w:sz w:val="18"/>
              </w:rPr>
              <w:t>Commitments</w:t>
            </w:r>
          </w:p>
        </w:tc>
        <w:tc>
          <w:tcPr>
            <w:tcW w:w="992" w:type="dxa"/>
            <w:vAlign w:val="center"/>
          </w:tcPr>
          <w:p w:rsidR="006A1E30" w:rsidRPr="00F50E64" w:rsidRDefault="006A1E30" w:rsidP="006A1E30">
            <w:pPr>
              <w:spacing w:before="20" w:after="20"/>
              <w:jc w:val="center"/>
              <w:rPr>
                <w:noProof/>
                <w:sz w:val="14"/>
              </w:rPr>
            </w:pPr>
            <w:r w:rsidRPr="00F50E64">
              <w:rPr>
                <w:noProof/>
                <w:sz w:val="14"/>
              </w:rPr>
              <w:t>(1a)</w:t>
            </w:r>
          </w:p>
        </w:tc>
        <w:tc>
          <w:tcPr>
            <w:tcW w:w="1134" w:type="dxa"/>
            <w:vAlign w:val="center"/>
          </w:tcPr>
          <w:p w:rsidR="006A1E30" w:rsidRPr="00F50E64" w:rsidRDefault="006A1E30" w:rsidP="006A1E30">
            <w:pPr>
              <w:spacing w:before="20" w:after="20"/>
              <w:jc w:val="right"/>
              <w:rPr>
                <w:noProof/>
                <w:sz w:val="20"/>
              </w:rPr>
            </w:pPr>
            <w:r w:rsidRPr="00F50E64">
              <w:rPr>
                <w:noProof/>
                <w:sz w:val="20"/>
              </w:rPr>
              <w:t>116</w:t>
            </w:r>
            <w:r>
              <w:rPr>
                <w:noProof/>
                <w:sz w:val="20"/>
              </w:rPr>
              <w:t>.</w:t>
            </w:r>
            <w:r w:rsidRPr="00F50E64">
              <w:rPr>
                <w:noProof/>
                <w:sz w:val="20"/>
              </w:rPr>
              <w:t>037</w:t>
            </w:r>
          </w:p>
        </w:tc>
        <w:tc>
          <w:tcPr>
            <w:tcW w:w="993" w:type="dxa"/>
            <w:vAlign w:val="center"/>
          </w:tcPr>
          <w:p w:rsidR="006A1E30" w:rsidRPr="00F50E64" w:rsidRDefault="006A1E30" w:rsidP="006A1E30">
            <w:pPr>
              <w:spacing w:before="20" w:after="20"/>
              <w:jc w:val="right"/>
              <w:rPr>
                <w:noProof/>
                <w:sz w:val="20"/>
              </w:rPr>
            </w:pPr>
            <w:r w:rsidRPr="00F50E64">
              <w:rPr>
                <w:noProof/>
                <w:sz w:val="20"/>
                <w:szCs w:val="18"/>
              </w:rPr>
              <w:t>122</w:t>
            </w:r>
            <w:r>
              <w:rPr>
                <w:noProof/>
                <w:sz w:val="20"/>
                <w:szCs w:val="18"/>
              </w:rPr>
              <w:t>.</w:t>
            </w:r>
            <w:r w:rsidRPr="00F50E64">
              <w:rPr>
                <w:noProof/>
                <w:sz w:val="20"/>
                <w:szCs w:val="18"/>
              </w:rPr>
              <w:t>196</w:t>
            </w:r>
          </w:p>
        </w:tc>
        <w:tc>
          <w:tcPr>
            <w:tcW w:w="1254" w:type="dxa"/>
            <w:vAlign w:val="center"/>
          </w:tcPr>
          <w:p w:rsidR="006A1E30" w:rsidRPr="00F50E64" w:rsidRDefault="006A1E30" w:rsidP="006A1E30">
            <w:pPr>
              <w:spacing w:before="20" w:after="20"/>
              <w:jc w:val="right"/>
              <w:rPr>
                <w:noProof/>
                <w:sz w:val="20"/>
              </w:rPr>
            </w:pPr>
          </w:p>
        </w:tc>
        <w:tc>
          <w:tcPr>
            <w:tcW w:w="1391" w:type="dxa"/>
            <w:vAlign w:val="center"/>
          </w:tcPr>
          <w:p w:rsidR="006A1E30" w:rsidRPr="00F50E64" w:rsidRDefault="006A1E30" w:rsidP="006A1E30">
            <w:pPr>
              <w:spacing w:before="20" w:after="20"/>
              <w:jc w:val="right"/>
              <w:rPr>
                <w:b/>
                <w:bCs/>
                <w:noProof/>
                <w:sz w:val="20"/>
                <w:szCs w:val="18"/>
              </w:rPr>
            </w:pPr>
            <w:r w:rsidRPr="00F50E64">
              <w:rPr>
                <w:b/>
                <w:bCs/>
                <w:noProof/>
                <w:sz w:val="20"/>
                <w:szCs w:val="18"/>
              </w:rPr>
              <w:t>238</w:t>
            </w:r>
            <w:r>
              <w:rPr>
                <w:b/>
                <w:bCs/>
                <w:noProof/>
                <w:sz w:val="20"/>
                <w:szCs w:val="18"/>
              </w:rPr>
              <w:t>.</w:t>
            </w:r>
            <w:r w:rsidRPr="00F50E64">
              <w:rPr>
                <w:b/>
                <w:bCs/>
                <w:noProof/>
                <w:sz w:val="20"/>
                <w:szCs w:val="18"/>
              </w:rPr>
              <w:t>233</w:t>
            </w:r>
          </w:p>
        </w:tc>
      </w:tr>
      <w:tr w:rsidR="006A1E30" w:rsidRPr="00F50E64" w:rsidTr="009F05F9">
        <w:trPr>
          <w:jc w:val="center"/>
        </w:trPr>
        <w:tc>
          <w:tcPr>
            <w:tcW w:w="6545" w:type="dxa"/>
            <w:vMerge/>
          </w:tcPr>
          <w:p w:rsidR="006A1E30" w:rsidRPr="00F50E64" w:rsidRDefault="006A1E30" w:rsidP="006A1E30">
            <w:pPr>
              <w:jc w:val="center"/>
              <w:rPr>
                <w:noProof/>
                <w:sz w:val="20"/>
                <w:szCs w:val="20"/>
              </w:rPr>
            </w:pPr>
          </w:p>
        </w:tc>
        <w:tc>
          <w:tcPr>
            <w:tcW w:w="1417" w:type="dxa"/>
            <w:vAlign w:val="center"/>
          </w:tcPr>
          <w:p w:rsidR="006A1E30" w:rsidRPr="00F50E64" w:rsidRDefault="006A1E30" w:rsidP="006A1E30">
            <w:pPr>
              <w:spacing w:before="20" w:after="20"/>
              <w:rPr>
                <w:noProof/>
                <w:sz w:val="18"/>
              </w:rPr>
            </w:pPr>
            <w:r w:rsidRPr="00F50E64">
              <w:rPr>
                <w:noProof/>
                <w:sz w:val="18"/>
              </w:rPr>
              <w:t>Payments</w:t>
            </w:r>
          </w:p>
        </w:tc>
        <w:tc>
          <w:tcPr>
            <w:tcW w:w="992" w:type="dxa"/>
            <w:vAlign w:val="center"/>
          </w:tcPr>
          <w:p w:rsidR="006A1E30" w:rsidRPr="00F50E64" w:rsidRDefault="006A1E30" w:rsidP="006A1E30">
            <w:pPr>
              <w:spacing w:before="20" w:after="20"/>
              <w:jc w:val="center"/>
              <w:rPr>
                <w:noProof/>
                <w:sz w:val="14"/>
              </w:rPr>
            </w:pPr>
            <w:r w:rsidRPr="00F50E64">
              <w:rPr>
                <w:noProof/>
                <w:sz w:val="14"/>
              </w:rPr>
              <w:t>(2a)</w:t>
            </w:r>
          </w:p>
        </w:tc>
        <w:tc>
          <w:tcPr>
            <w:tcW w:w="1134" w:type="dxa"/>
            <w:vAlign w:val="center"/>
          </w:tcPr>
          <w:p w:rsidR="006A1E30" w:rsidRPr="00F50E64" w:rsidRDefault="006A1E30" w:rsidP="006A1E30">
            <w:pPr>
              <w:spacing w:before="20" w:after="20"/>
              <w:jc w:val="right"/>
              <w:rPr>
                <w:noProof/>
                <w:sz w:val="20"/>
              </w:rPr>
            </w:pPr>
            <w:r w:rsidRPr="00F50E64">
              <w:rPr>
                <w:noProof/>
                <w:sz w:val="20"/>
              </w:rPr>
              <w:t>46.414</w:t>
            </w:r>
          </w:p>
        </w:tc>
        <w:tc>
          <w:tcPr>
            <w:tcW w:w="993" w:type="dxa"/>
            <w:vAlign w:val="center"/>
          </w:tcPr>
          <w:p w:rsidR="006A1E30" w:rsidRPr="00F50E64" w:rsidRDefault="006A1E30" w:rsidP="006A1E30">
            <w:pPr>
              <w:spacing w:before="20" w:after="20"/>
              <w:jc w:val="right"/>
              <w:rPr>
                <w:noProof/>
                <w:sz w:val="20"/>
              </w:rPr>
            </w:pPr>
            <w:r w:rsidRPr="00F50E64">
              <w:rPr>
                <w:noProof/>
                <w:sz w:val="20"/>
              </w:rPr>
              <w:t>49.478</w:t>
            </w:r>
          </w:p>
        </w:tc>
        <w:tc>
          <w:tcPr>
            <w:tcW w:w="1254" w:type="dxa"/>
            <w:vAlign w:val="center"/>
          </w:tcPr>
          <w:p w:rsidR="006A1E30" w:rsidRPr="00F50E64" w:rsidRDefault="006A1E30" w:rsidP="006A1E30">
            <w:pPr>
              <w:spacing w:before="20" w:after="20"/>
              <w:jc w:val="right"/>
              <w:rPr>
                <w:noProof/>
                <w:sz w:val="20"/>
              </w:rPr>
            </w:pPr>
            <w:r w:rsidRPr="00F50E64">
              <w:rPr>
                <w:noProof/>
                <w:sz w:val="20"/>
              </w:rPr>
              <w:t>142.3</w:t>
            </w:r>
            <w:r>
              <w:rPr>
                <w:noProof/>
                <w:sz w:val="20"/>
              </w:rPr>
              <w:t>41</w:t>
            </w:r>
          </w:p>
        </w:tc>
        <w:tc>
          <w:tcPr>
            <w:tcW w:w="1391" w:type="dxa"/>
            <w:vAlign w:val="center"/>
          </w:tcPr>
          <w:p w:rsidR="006A1E30" w:rsidRPr="00F50E64" w:rsidRDefault="006A1E30" w:rsidP="006A1E30">
            <w:pPr>
              <w:spacing w:before="20" w:after="20"/>
              <w:jc w:val="right"/>
              <w:rPr>
                <w:b/>
                <w:bCs/>
                <w:noProof/>
                <w:sz w:val="20"/>
                <w:szCs w:val="18"/>
              </w:rPr>
            </w:pPr>
            <w:r w:rsidRPr="00F50E64">
              <w:rPr>
                <w:b/>
                <w:bCs/>
                <w:noProof/>
                <w:sz w:val="20"/>
                <w:szCs w:val="18"/>
              </w:rPr>
              <w:t>238.233</w:t>
            </w:r>
          </w:p>
        </w:tc>
      </w:tr>
      <w:tr w:rsidR="006A1E30" w:rsidRPr="00F50E64" w:rsidTr="009F05F9">
        <w:trPr>
          <w:jc w:val="center"/>
        </w:trPr>
        <w:tc>
          <w:tcPr>
            <w:tcW w:w="6545" w:type="dxa"/>
            <w:vMerge w:val="restart"/>
          </w:tcPr>
          <w:p w:rsidR="006A1E30" w:rsidRPr="00F50E64" w:rsidRDefault="006A1E30" w:rsidP="006A1E30">
            <w:pPr>
              <w:spacing w:before="60"/>
              <w:rPr>
                <w:noProof/>
                <w:sz w:val="20"/>
                <w:szCs w:val="20"/>
              </w:rPr>
            </w:pPr>
            <w:r w:rsidRPr="00F50E64">
              <w:rPr>
                <w:noProof/>
                <w:sz w:val="20"/>
                <w:szCs w:val="20"/>
              </w:rPr>
              <w:t>01 03 02 Nuclear Fission, safety and radiation protection (indirect actions)</w:t>
            </w:r>
          </w:p>
        </w:tc>
        <w:tc>
          <w:tcPr>
            <w:tcW w:w="1417" w:type="dxa"/>
            <w:vAlign w:val="center"/>
          </w:tcPr>
          <w:p w:rsidR="006A1E30" w:rsidRPr="00F50E64" w:rsidRDefault="006A1E30" w:rsidP="006A1E30">
            <w:pPr>
              <w:spacing w:before="20" w:after="20"/>
              <w:rPr>
                <w:noProof/>
                <w:sz w:val="18"/>
              </w:rPr>
            </w:pPr>
            <w:r w:rsidRPr="00F50E64">
              <w:rPr>
                <w:noProof/>
                <w:sz w:val="18"/>
              </w:rPr>
              <w:t>Commitments</w:t>
            </w:r>
          </w:p>
        </w:tc>
        <w:tc>
          <w:tcPr>
            <w:tcW w:w="992" w:type="dxa"/>
            <w:vAlign w:val="center"/>
          </w:tcPr>
          <w:p w:rsidR="006A1E30" w:rsidRPr="00F50E64" w:rsidRDefault="006A1E30" w:rsidP="006A1E30">
            <w:pPr>
              <w:spacing w:before="20" w:after="20"/>
              <w:jc w:val="center"/>
              <w:rPr>
                <w:noProof/>
                <w:sz w:val="14"/>
              </w:rPr>
            </w:pPr>
            <w:r w:rsidRPr="00F50E64">
              <w:rPr>
                <w:noProof/>
                <w:sz w:val="14"/>
              </w:rPr>
              <w:t>(1b)</w:t>
            </w:r>
          </w:p>
        </w:tc>
        <w:tc>
          <w:tcPr>
            <w:tcW w:w="1134" w:type="dxa"/>
            <w:vAlign w:val="center"/>
          </w:tcPr>
          <w:p w:rsidR="006A1E30" w:rsidRPr="00F50E64" w:rsidRDefault="006A1E30" w:rsidP="006A1E30">
            <w:pPr>
              <w:spacing w:before="20" w:after="20"/>
              <w:jc w:val="right"/>
              <w:rPr>
                <w:noProof/>
                <w:sz w:val="20"/>
              </w:rPr>
            </w:pPr>
            <w:r w:rsidRPr="00F50E64">
              <w:rPr>
                <w:noProof/>
                <w:sz w:val="20"/>
              </w:rPr>
              <w:t>52</w:t>
            </w:r>
            <w:r>
              <w:rPr>
                <w:noProof/>
                <w:sz w:val="20"/>
              </w:rPr>
              <w:t>.</w:t>
            </w:r>
            <w:r w:rsidRPr="00F50E64">
              <w:rPr>
                <w:noProof/>
                <w:sz w:val="20"/>
              </w:rPr>
              <w:t>998</w:t>
            </w:r>
          </w:p>
        </w:tc>
        <w:tc>
          <w:tcPr>
            <w:tcW w:w="993" w:type="dxa"/>
            <w:vAlign w:val="center"/>
          </w:tcPr>
          <w:p w:rsidR="006A1E30" w:rsidRPr="00F50E64" w:rsidRDefault="006A1E30" w:rsidP="006A1E30">
            <w:pPr>
              <w:spacing w:before="20" w:after="20"/>
              <w:jc w:val="right"/>
              <w:rPr>
                <w:noProof/>
                <w:sz w:val="20"/>
              </w:rPr>
            </w:pPr>
            <w:r w:rsidRPr="00F50E64">
              <w:rPr>
                <w:noProof/>
                <w:sz w:val="20"/>
              </w:rPr>
              <w:t>55</w:t>
            </w:r>
            <w:r>
              <w:rPr>
                <w:noProof/>
                <w:sz w:val="20"/>
              </w:rPr>
              <w:t>.</w:t>
            </w:r>
            <w:r w:rsidRPr="00F50E64">
              <w:rPr>
                <w:noProof/>
                <w:sz w:val="20"/>
              </w:rPr>
              <w:t>811</w:t>
            </w:r>
          </w:p>
        </w:tc>
        <w:tc>
          <w:tcPr>
            <w:tcW w:w="1254" w:type="dxa"/>
            <w:vAlign w:val="center"/>
          </w:tcPr>
          <w:p w:rsidR="006A1E30" w:rsidRPr="00F50E64" w:rsidRDefault="006A1E30" w:rsidP="006A1E30">
            <w:pPr>
              <w:spacing w:before="20" w:after="20"/>
              <w:jc w:val="right"/>
              <w:rPr>
                <w:noProof/>
                <w:sz w:val="20"/>
              </w:rPr>
            </w:pPr>
          </w:p>
        </w:tc>
        <w:tc>
          <w:tcPr>
            <w:tcW w:w="1391" w:type="dxa"/>
            <w:vAlign w:val="center"/>
          </w:tcPr>
          <w:p w:rsidR="006A1E30" w:rsidRPr="00F50E64" w:rsidRDefault="006A1E30" w:rsidP="006A1E30">
            <w:pPr>
              <w:spacing w:before="20" w:after="20"/>
              <w:jc w:val="right"/>
              <w:rPr>
                <w:b/>
                <w:bCs/>
                <w:noProof/>
                <w:sz w:val="20"/>
                <w:szCs w:val="18"/>
              </w:rPr>
            </w:pPr>
            <w:r w:rsidRPr="00F50E64">
              <w:rPr>
                <w:b/>
                <w:bCs/>
                <w:noProof/>
                <w:sz w:val="20"/>
                <w:szCs w:val="18"/>
              </w:rPr>
              <w:t>108</w:t>
            </w:r>
            <w:r>
              <w:rPr>
                <w:b/>
                <w:bCs/>
                <w:noProof/>
                <w:sz w:val="20"/>
                <w:szCs w:val="18"/>
              </w:rPr>
              <w:t>.</w:t>
            </w:r>
            <w:r w:rsidRPr="00F50E64">
              <w:rPr>
                <w:b/>
                <w:bCs/>
                <w:noProof/>
                <w:sz w:val="20"/>
                <w:szCs w:val="18"/>
              </w:rPr>
              <w:t>809</w:t>
            </w:r>
          </w:p>
        </w:tc>
      </w:tr>
      <w:tr w:rsidR="006A1E30" w:rsidRPr="00F50E64" w:rsidTr="009F05F9">
        <w:trPr>
          <w:jc w:val="center"/>
        </w:trPr>
        <w:tc>
          <w:tcPr>
            <w:tcW w:w="6545" w:type="dxa"/>
            <w:vMerge/>
          </w:tcPr>
          <w:p w:rsidR="006A1E30" w:rsidRPr="00F50E64" w:rsidRDefault="006A1E30" w:rsidP="006A1E30">
            <w:pPr>
              <w:jc w:val="center"/>
              <w:rPr>
                <w:noProof/>
                <w:sz w:val="20"/>
              </w:rPr>
            </w:pPr>
          </w:p>
        </w:tc>
        <w:tc>
          <w:tcPr>
            <w:tcW w:w="1417" w:type="dxa"/>
            <w:vAlign w:val="center"/>
          </w:tcPr>
          <w:p w:rsidR="006A1E30" w:rsidRPr="00F50E64" w:rsidRDefault="006A1E30" w:rsidP="006A1E30">
            <w:pPr>
              <w:spacing w:before="20" w:after="20"/>
              <w:rPr>
                <w:noProof/>
                <w:sz w:val="18"/>
              </w:rPr>
            </w:pPr>
            <w:r w:rsidRPr="00F50E64">
              <w:rPr>
                <w:noProof/>
                <w:sz w:val="18"/>
              </w:rPr>
              <w:t>Payments</w:t>
            </w:r>
          </w:p>
        </w:tc>
        <w:tc>
          <w:tcPr>
            <w:tcW w:w="992" w:type="dxa"/>
            <w:vAlign w:val="center"/>
          </w:tcPr>
          <w:p w:rsidR="006A1E30" w:rsidRPr="00F50E64" w:rsidRDefault="006A1E30" w:rsidP="006A1E30">
            <w:pPr>
              <w:spacing w:before="20" w:after="20"/>
              <w:jc w:val="center"/>
              <w:rPr>
                <w:noProof/>
                <w:sz w:val="14"/>
              </w:rPr>
            </w:pPr>
            <w:r w:rsidRPr="00F50E64">
              <w:rPr>
                <w:noProof/>
                <w:sz w:val="14"/>
              </w:rPr>
              <w:t>(2b)</w:t>
            </w:r>
          </w:p>
        </w:tc>
        <w:tc>
          <w:tcPr>
            <w:tcW w:w="1134" w:type="dxa"/>
            <w:vAlign w:val="center"/>
          </w:tcPr>
          <w:p w:rsidR="006A1E30" w:rsidRPr="00F50E64" w:rsidRDefault="006A1E30" w:rsidP="006A1E30">
            <w:pPr>
              <w:spacing w:before="20" w:after="20"/>
              <w:jc w:val="right"/>
              <w:rPr>
                <w:noProof/>
                <w:sz w:val="20"/>
              </w:rPr>
            </w:pPr>
            <w:r w:rsidRPr="00F50E64">
              <w:rPr>
                <w:noProof/>
                <w:sz w:val="20"/>
              </w:rPr>
              <w:t>21.199</w:t>
            </w:r>
          </w:p>
        </w:tc>
        <w:tc>
          <w:tcPr>
            <w:tcW w:w="993" w:type="dxa"/>
            <w:vAlign w:val="center"/>
          </w:tcPr>
          <w:p w:rsidR="006A1E30" w:rsidRPr="00F50E64" w:rsidRDefault="006A1E30" w:rsidP="006A1E30">
            <w:pPr>
              <w:spacing w:before="20" w:after="20"/>
              <w:jc w:val="right"/>
              <w:rPr>
                <w:noProof/>
                <w:sz w:val="20"/>
              </w:rPr>
            </w:pPr>
            <w:r w:rsidRPr="00F50E64">
              <w:rPr>
                <w:noProof/>
                <w:sz w:val="20"/>
              </w:rPr>
              <w:t>22.924</w:t>
            </w:r>
          </w:p>
        </w:tc>
        <w:tc>
          <w:tcPr>
            <w:tcW w:w="1254" w:type="dxa"/>
            <w:vAlign w:val="center"/>
          </w:tcPr>
          <w:p w:rsidR="006A1E30" w:rsidRPr="00F50E64" w:rsidRDefault="006A1E30" w:rsidP="006A1E30">
            <w:pPr>
              <w:spacing w:before="20" w:after="20"/>
              <w:jc w:val="right"/>
              <w:rPr>
                <w:noProof/>
                <w:sz w:val="20"/>
              </w:rPr>
            </w:pPr>
            <w:r w:rsidRPr="00F50E64">
              <w:rPr>
                <w:noProof/>
                <w:sz w:val="20"/>
              </w:rPr>
              <w:t>64.686</w:t>
            </w:r>
          </w:p>
        </w:tc>
        <w:tc>
          <w:tcPr>
            <w:tcW w:w="1391" w:type="dxa"/>
            <w:vAlign w:val="center"/>
          </w:tcPr>
          <w:p w:rsidR="006A1E30" w:rsidRPr="00F50E64" w:rsidRDefault="006A1E30" w:rsidP="006A1E30">
            <w:pPr>
              <w:spacing w:before="20" w:after="20"/>
              <w:jc w:val="right"/>
              <w:rPr>
                <w:b/>
                <w:bCs/>
                <w:noProof/>
                <w:color w:val="0000FF"/>
                <w:sz w:val="20"/>
                <w:szCs w:val="18"/>
              </w:rPr>
            </w:pPr>
            <w:r w:rsidRPr="00F50E64">
              <w:rPr>
                <w:b/>
                <w:bCs/>
                <w:noProof/>
                <w:color w:val="000000"/>
                <w:sz w:val="20"/>
                <w:szCs w:val="18"/>
              </w:rPr>
              <w:t>108.809</w:t>
            </w:r>
          </w:p>
        </w:tc>
      </w:tr>
      <w:tr w:rsidR="006A1E30" w:rsidRPr="00F50E64" w:rsidTr="009F05F9">
        <w:trPr>
          <w:trHeight w:val="416"/>
          <w:jc w:val="center"/>
        </w:trPr>
        <w:tc>
          <w:tcPr>
            <w:tcW w:w="8954" w:type="dxa"/>
            <w:gridSpan w:val="3"/>
            <w:vAlign w:val="center"/>
          </w:tcPr>
          <w:p w:rsidR="006A1E30" w:rsidRPr="00F50E64" w:rsidRDefault="006A1E30" w:rsidP="006A1E30">
            <w:pPr>
              <w:spacing w:before="20" w:after="20"/>
              <w:rPr>
                <w:noProof/>
                <w:lang w:val="en-IE"/>
              </w:rPr>
            </w:pPr>
            <w:r w:rsidRPr="00F50E64">
              <w:rPr>
                <w:noProof/>
                <w:sz w:val="21"/>
                <w:lang w:val="en-IE"/>
              </w:rPr>
              <w:t>Appropriations of an administrative nature financed from the envelope of specific programmes</w:t>
            </w:r>
            <w:r w:rsidRPr="00F50E64">
              <w:rPr>
                <w:rStyle w:val="FootnoteReference"/>
                <w:noProof/>
                <w:sz w:val="21"/>
              </w:rPr>
              <w:footnoteReference w:id="59"/>
            </w:r>
            <w:r w:rsidRPr="00F50E64">
              <w:rPr>
                <w:noProof/>
                <w:sz w:val="21"/>
                <w:lang w:val="en-IE"/>
              </w:rPr>
              <w:t xml:space="preserve"> </w:t>
            </w:r>
          </w:p>
          <w:p w:rsidR="006A1E30" w:rsidRPr="00F50E64" w:rsidRDefault="006A1E30" w:rsidP="006A1E30">
            <w:pPr>
              <w:spacing w:before="0" w:after="0"/>
              <w:rPr>
                <w:noProof/>
                <w:lang w:val="en-IE"/>
              </w:rPr>
            </w:pPr>
          </w:p>
        </w:tc>
        <w:tc>
          <w:tcPr>
            <w:tcW w:w="1134" w:type="dxa"/>
            <w:vAlign w:val="center"/>
          </w:tcPr>
          <w:p w:rsidR="006A1E30" w:rsidRPr="00F50E64" w:rsidRDefault="006A1E30" w:rsidP="006A1E30">
            <w:pPr>
              <w:rPr>
                <w:b/>
                <w:noProof/>
                <w:sz w:val="20"/>
                <w:lang w:val="en-IE"/>
              </w:rPr>
            </w:pPr>
          </w:p>
        </w:tc>
        <w:tc>
          <w:tcPr>
            <w:tcW w:w="993" w:type="dxa"/>
            <w:vAlign w:val="center"/>
          </w:tcPr>
          <w:p w:rsidR="006A1E30" w:rsidRPr="00F50E64" w:rsidRDefault="006A1E30" w:rsidP="006A1E30">
            <w:pPr>
              <w:rPr>
                <w:b/>
                <w:noProof/>
                <w:sz w:val="20"/>
                <w:lang w:val="en-IE"/>
              </w:rPr>
            </w:pPr>
          </w:p>
        </w:tc>
        <w:tc>
          <w:tcPr>
            <w:tcW w:w="1254" w:type="dxa"/>
            <w:vAlign w:val="center"/>
          </w:tcPr>
          <w:p w:rsidR="006A1E30" w:rsidRPr="00F50E64" w:rsidRDefault="006A1E30" w:rsidP="006A1E30">
            <w:pPr>
              <w:rPr>
                <w:b/>
                <w:noProof/>
                <w:sz w:val="20"/>
                <w:lang w:val="en-IE"/>
              </w:rPr>
            </w:pPr>
          </w:p>
        </w:tc>
        <w:tc>
          <w:tcPr>
            <w:tcW w:w="1391" w:type="dxa"/>
            <w:vAlign w:val="center"/>
          </w:tcPr>
          <w:p w:rsidR="006A1E30" w:rsidRPr="00F50E64" w:rsidRDefault="006A1E30" w:rsidP="006A1E30">
            <w:pPr>
              <w:spacing w:before="20" w:after="20"/>
              <w:jc w:val="center"/>
              <w:rPr>
                <w:b/>
                <w:bCs/>
                <w:noProof/>
                <w:sz w:val="20"/>
                <w:szCs w:val="18"/>
              </w:rPr>
            </w:pPr>
          </w:p>
        </w:tc>
      </w:tr>
      <w:tr w:rsidR="006A1E30" w:rsidRPr="00F50E64" w:rsidTr="009F05F9">
        <w:trPr>
          <w:trHeight w:val="319"/>
          <w:jc w:val="center"/>
        </w:trPr>
        <w:tc>
          <w:tcPr>
            <w:tcW w:w="6545" w:type="dxa"/>
            <w:vAlign w:val="center"/>
          </w:tcPr>
          <w:p w:rsidR="006A1E30" w:rsidRPr="00F50E64" w:rsidRDefault="006A1E30" w:rsidP="006A1E30">
            <w:pPr>
              <w:spacing w:before="60" w:after="60"/>
              <w:rPr>
                <w:noProof/>
                <w:sz w:val="20"/>
                <w:szCs w:val="20"/>
              </w:rPr>
            </w:pPr>
            <w:r w:rsidRPr="00F50E64">
              <w:rPr>
                <w:rFonts w:eastAsia="Times New Roman"/>
                <w:noProof/>
                <w:color w:val="000000"/>
                <w:sz w:val="20"/>
                <w:szCs w:val="20"/>
                <w:lang w:eastAsia="en-IE"/>
              </w:rPr>
              <w:t>01 01 02 01 Expenditure related to officials and temporary staff implementing "Euratom Research and Training Programme" — Indirect research</w:t>
            </w:r>
          </w:p>
        </w:tc>
        <w:tc>
          <w:tcPr>
            <w:tcW w:w="1417" w:type="dxa"/>
            <w:vAlign w:val="center"/>
          </w:tcPr>
          <w:p w:rsidR="006A1E30" w:rsidRPr="00F50E64" w:rsidRDefault="006A1E30" w:rsidP="006A1E30">
            <w:pPr>
              <w:spacing w:before="40" w:after="40"/>
              <w:jc w:val="right"/>
              <w:rPr>
                <w:noProof/>
                <w:sz w:val="20"/>
                <w:szCs w:val="20"/>
              </w:rPr>
            </w:pPr>
            <w:r w:rsidRPr="00F50E64">
              <w:rPr>
                <w:noProof/>
                <w:sz w:val="20"/>
                <w:szCs w:val="20"/>
              </w:rPr>
              <w:t>Commitments = Payments</w:t>
            </w:r>
          </w:p>
        </w:tc>
        <w:tc>
          <w:tcPr>
            <w:tcW w:w="992" w:type="dxa"/>
            <w:vAlign w:val="center"/>
          </w:tcPr>
          <w:p w:rsidR="006A1E30" w:rsidRPr="00F50E64" w:rsidRDefault="006A1E30" w:rsidP="006A1E30">
            <w:pPr>
              <w:spacing w:before="40" w:after="40"/>
              <w:jc w:val="center"/>
              <w:rPr>
                <w:noProof/>
                <w:sz w:val="16"/>
                <w:szCs w:val="16"/>
              </w:rPr>
            </w:pPr>
            <w:r w:rsidRPr="00F50E64">
              <w:rPr>
                <w:noProof/>
                <w:sz w:val="16"/>
                <w:szCs w:val="16"/>
              </w:rPr>
              <w:t>(3a)</w:t>
            </w:r>
          </w:p>
        </w:tc>
        <w:tc>
          <w:tcPr>
            <w:tcW w:w="1134" w:type="dxa"/>
            <w:vAlign w:val="center"/>
          </w:tcPr>
          <w:p w:rsidR="006A1E30" w:rsidRPr="00F50E64" w:rsidRDefault="006A1E30" w:rsidP="006A1E30">
            <w:pPr>
              <w:spacing w:before="40" w:after="40"/>
              <w:jc w:val="right"/>
              <w:rPr>
                <w:b/>
                <w:noProof/>
                <w:sz w:val="20"/>
                <w:szCs w:val="20"/>
              </w:rPr>
            </w:pPr>
            <w:r w:rsidRPr="00F50E64">
              <w:rPr>
                <w:noProof/>
                <w:sz w:val="20"/>
                <w:szCs w:val="20"/>
              </w:rPr>
              <w:t>8.223</w:t>
            </w:r>
          </w:p>
        </w:tc>
        <w:tc>
          <w:tcPr>
            <w:tcW w:w="993" w:type="dxa"/>
            <w:vAlign w:val="center"/>
          </w:tcPr>
          <w:p w:rsidR="006A1E30" w:rsidRPr="00F50E64" w:rsidRDefault="006A1E30" w:rsidP="006A1E30">
            <w:pPr>
              <w:spacing w:before="40" w:after="40"/>
              <w:jc w:val="right"/>
              <w:rPr>
                <w:b/>
                <w:noProof/>
                <w:sz w:val="20"/>
                <w:szCs w:val="20"/>
              </w:rPr>
            </w:pPr>
            <w:r w:rsidRPr="00F50E64">
              <w:rPr>
                <w:noProof/>
                <w:sz w:val="20"/>
                <w:szCs w:val="20"/>
              </w:rPr>
              <w:t>8.523</w:t>
            </w:r>
          </w:p>
        </w:tc>
        <w:tc>
          <w:tcPr>
            <w:tcW w:w="1254" w:type="dxa"/>
            <w:vAlign w:val="center"/>
          </w:tcPr>
          <w:p w:rsidR="006A1E30" w:rsidRPr="00F50E64" w:rsidRDefault="006A1E30" w:rsidP="006A1E30">
            <w:pPr>
              <w:spacing w:before="40" w:after="40"/>
              <w:jc w:val="right"/>
              <w:rPr>
                <w:b/>
                <w:noProof/>
                <w:sz w:val="20"/>
                <w:szCs w:val="20"/>
              </w:rPr>
            </w:pPr>
          </w:p>
        </w:tc>
        <w:tc>
          <w:tcPr>
            <w:tcW w:w="1391" w:type="dxa"/>
            <w:vAlign w:val="center"/>
          </w:tcPr>
          <w:p w:rsidR="006A1E30" w:rsidRPr="00F50E64" w:rsidRDefault="006A1E30" w:rsidP="006A1E30">
            <w:pPr>
              <w:spacing w:before="20" w:after="20"/>
              <w:jc w:val="right"/>
              <w:rPr>
                <w:b/>
                <w:bCs/>
                <w:noProof/>
                <w:sz w:val="20"/>
                <w:szCs w:val="20"/>
              </w:rPr>
            </w:pPr>
            <w:r w:rsidRPr="00F50E64">
              <w:rPr>
                <w:b/>
                <w:bCs/>
                <w:noProof/>
                <w:sz w:val="20"/>
                <w:szCs w:val="20"/>
              </w:rPr>
              <w:t>16.746</w:t>
            </w:r>
          </w:p>
        </w:tc>
      </w:tr>
      <w:tr w:rsidR="006A1E30" w:rsidRPr="00F50E64" w:rsidTr="009F05F9">
        <w:trPr>
          <w:trHeight w:val="319"/>
          <w:jc w:val="center"/>
        </w:trPr>
        <w:tc>
          <w:tcPr>
            <w:tcW w:w="6545" w:type="dxa"/>
            <w:vAlign w:val="center"/>
          </w:tcPr>
          <w:p w:rsidR="006A1E30" w:rsidRPr="00F50E64" w:rsidRDefault="006A1E30" w:rsidP="006A1E30">
            <w:pPr>
              <w:spacing w:before="60"/>
              <w:rPr>
                <w:noProof/>
                <w:sz w:val="20"/>
                <w:szCs w:val="20"/>
              </w:rPr>
            </w:pPr>
            <w:r w:rsidRPr="00F50E64">
              <w:rPr>
                <w:rFonts w:eastAsia="Times New Roman"/>
                <w:noProof/>
                <w:color w:val="000000"/>
                <w:sz w:val="20"/>
                <w:szCs w:val="20"/>
                <w:lang w:eastAsia="en-IE"/>
              </w:rPr>
              <w:t>01 01 02 02 External personnel implementing "Euratom Research and Training Programme" — Indirect research</w:t>
            </w:r>
          </w:p>
        </w:tc>
        <w:tc>
          <w:tcPr>
            <w:tcW w:w="1417" w:type="dxa"/>
            <w:vAlign w:val="center"/>
          </w:tcPr>
          <w:p w:rsidR="006A1E30" w:rsidRPr="00F50E64" w:rsidRDefault="006A1E30" w:rsidP="006A1E30">
            <w:pPr>
              <w:spacing w:before="40" w:after="40"/>
              <w:jc w:val="right"/>
              <w:rPr>
                <w:noProof/>
                <w:sz w:val="20"/>
                <w:szCs w:val="20"/>
              </w:rPr>
            </w:pPr>
            <w:r w:rsidRPr="00F50E64">
              <w:rPr>
                <w:noProof/>
                <w:sz w:val="20"/>
                <w:szCs w:val="20"/>
              </w:rPr>
              <w:t>Commitments = Payments</w:t>
            </w:r>
          </w:p>
        </w:tc>
        <w:tc>
          <w:tcPr>
            <w:tcW w:w="992" w:type="dxa"/>
            <w:vAlign w:val="center"/>
          </w:tcPr>
          <w:p w:rsidR="006A1E30" w:rsidRPr="00F50E64" w:rsidRDefault="006A1E30" w:rsidP="006A1E30">
            <w:pPr>
              <w:spacing w:before="40" w:after="40"/>
              <w:jc w:val="center"/>
              <w:rPr>
                <w:noProof/>
                <w:sz w:val="16"/>
                <w:szCs w:val="16"/>
              </w:rPr>
            </w:pPr>
            <w:r w:rsidRPr="00F50E64">
              <w:rPr>
                <w:noProof/>
                <w:sz w:val="16"/>
                <w:szCs w:val="16"/>
              </w:rPr>
              <w:t>(3b)</w:t>
            </w:r>
          </w:p>
        </w:tc>
        <w:tc>
          <w:tcPr>
            <w:tcW w:w="1134" w:type="dxa"/>
            <w:vAlign w:val="center"/>
          </w:tcPr>
          <w:p w:rsidR="006A1E30" w:rsidRPr="00F50E64" w:rsidRDefault="006A1E30" w:rsidP="006A1E30">
            <w:pPr>
              <w:spacing w:before="40" w:after="40"/>
              <w:jc w:val="right"/>
              <w:rPr>
                <w:noProof/>
                <w:sz w:val="20"/>
                <w:szCs w:val="20"/>
              </w:rPr>
            </w:pPr>
            <w:r>
              <w:rPr>
                <w:noProof/>
                <w:sz w:val="20"/>
                <w:szCs w:val="20"/>
              </w:rPr>
              <w:t>0.</w:t>
            </w:r>
            <w:r w:rsidRPr="00F50E64">
              <w:rPr>
                <w:noProof/>
                <w:sz w:val="20"/>
                <w:szCs w:val="20"/>
              </w:rPr>
              <w:t xml:space="preserve">348 </w:t>
            </w:r>
          </w:p>
        </w:tc>
        <w:tc>
          <w:tcPr>
            <w:tcW w:w="993" w:type="dxa"/>
            <w:vAlign w:val="center"/>
          </w:tcPr>
          <w:p w:rsidR="006A1E30" w:rsidRPr="00F50E64" w:rsidRDefault="006A1E30" w:rsidP="006A1E30">
            <w:pPr>
              <w:spacing w:before="40" w:after="40"/>
              <w:jc w:val="right"/>
              <w:rPr>
                <w:noProof/>
                <w:sz w:val="20"/>
                <w:szCs w:val="20"/>
              </w:rPr>
            </w:pPr>
            <w:r>
              <w:rPr>
                <w:noProof/>
                <w:sz w:val="20"/>
                <w:szCs w:val="20"/>
              </w:rPr>
              <w:t>0.</w:t>
            </w:r>
            <w:r w:rsidRPr="00F50E64">
              <w:rPr>
                <w:noProof/>
                <w:sz w:val="20"/>
                <w:szCs w:val="20"/>
              </w:rPr>
              <w:t>36</w:t>
            </w:r>
            <w:r>
              <w:rPr>
                <w:noProof/>
                <w:sz w:val="20"/>
                <w:szCs w:val="20"/>
              </w:rPr>
              <w:t>1</w:t>
            </w:r>
          </w:p>
        </w:tc>
        <w:tc>
          <w:tcPr>
            <w:tcW w:w="1254" w:type="dxa"/>
            <w:vAlign w:val="center"/>
          </w:tcPr>
          <w:p w:rsidR="006A1E30" w:rsidRPr="00F50E64" w:rsidRDefault="006A1E30" w:rsidP="006A1E30">
            <w:pPr>
              <w:spacing w:before="40" w:after="40"/>
              <w:jc w:val="right"/>
              <w:rPr>
                <w:b/>
                <w:noProof/>
                <w:sz w:val="20"/>
                <w:szCs w:val="20"/>
              </w:rPr>
            </w:pPr>
          </w:p>
        </w:tc>
        <w:tc>
          <w:tcPr>
            <w:tcW w:w="1391" w:type="dxa"/>
            <w:vAlign w:val="center"/>
          </w:tcPr>
          <w:p w:rsidR="006A1E30" w:rsidRPr="00F50E64" w:rsidRDefault="006A1E30" w:rsidP="006A1E30">
            <w:pPr>
              <w:spacing w:before="20" w:after="20"/>
              <w:jc w:val="right"/>
              <w:rPr>
                <w:b/>
                <w:bCs/>
                <w:noProof/>
                <w:sz w:val="20"/>
                <w:szCs w:val="20"/>
              </w:rPr>
            </w:pPr>
            <w:r>
              <w:rPr>
                <w:b/>
                <w:bCs/>
                <w:noProof/>
                <w:sz w:val="20"/>
                <w:szCs w:val="20"/>
              </w:rPr>
              <w:t>0.</w:t>
            </w:r>
            <w:r w:rsidRPr="00F50E64">
              <w:rPr>
                <w:b/>
                <w:bCs/>
                <w:noProof/>
                <w:sz w:val="20"/>
                <w:szCs w:val="20"/>
              </w:rPr>
              <w:t>708</w:t>
            </w:r>
          </w:p>
        </w:tc>
      </w:tr>
      <w:tr w:rsidR="006A1E30" w:rsidRPr="00F50E64" w:rsidTr="009F05F9">
        <w:trPr>
          <w:trHeight w:val="319"/>
          <w:jc w:val="center"/>
        </w:trPr>
        <w:tc>
          <w:tcPr>
            <w:tcW w:w="6545" w:type="dxa"/>
            <w:vAlign w:val="center"/>
          </w:tcPr>
          <w:p w:rsidR="006A1E30" w:rsidRPr="00F50E64" w:rsidRDefault="006A1E30" w:rsidP="006A1E30">
            <w:pPr>
              <w:spacing w:before="60"/>
              <w:rPr>
                <w:rFonts w:eastAsia="Times New Roman"/>
                <w:noProof/>
                <w:color w:val="000000"/>
                <w:sz w:val="20"/>
                <w:szCs w:val="20"/>
                <w:lang w:eastAsia="en-IE"/>
              </w:rPr>
            </w:pPr>
            <w:r w:rsidRPr="00F50E64">
              <w:rPr>
                <w:rFonts w:eastAsia="Times New Roman"/>
                <w:noProof/>
                <w:color w:val="000000"/>
                <w:sz w:val="20"/>
                <w:szCs w:val="20"/>
                <w:lang w:eastAsia="en-IE"/>
              </w:rPr>
              <w:t>01 01 02 03 Other management expenditure for "Euratom Research and Training Programme" — Indirect research</w:t>
            </w:r>
          </w:p>
        </w:tc>
        <w:tc>
          <w:tcPr>
            <w:tcW w:w="1417" w:type="dxa"/>
            <w:vAlign w:val="center"/>
          </w:tcPr>
          <w:p w:rsidR="006A1E30" w:rsidRPr="00F50E64" w:rsidRDefault="006A1E30" w:rsidP="006A1E30">
            <w:pPr>
              <w:spacing w:before="40" w:after="40"/>
              <w:jc w:val="right"/>
              <w:rPr>
                <w:noProof/>
                <w:sz w:val="18"/>
              </w:rPr>
            </w:pPr>
            <w:r w:rsidRPr="00F50E64">
              <w:rPr>
                <w:noProof/>
                <w:sz w:val="20"/>
                <w:szCs w:val="20"/>
              </w:rPr>
              <w:t>Commitments = Payments</w:t>
            </w:r>
          </w:p>
        </w:tc>
        <w:tc>
          <w:tcPr>
            <w:tcW w:w="992" w:type="dxa"/>
            <w:vAlign w:val="center"/>
          </w:tcPr>
          <w:p w:rsidR="006A1E30" w:rsidRPr="00F50E64" w:rsidRDefault="006A1E30" w:rsidP="006A1E30">
            <w:pPr>
              <w:spacing w:before="40" w:after="40"/>
              <w:jc w:val="center"/>
              <w:rPr>
                <w:noProof/>
                <w:sz w:val="14"/>
              </w:rPr>
            </w:pPr>
            <w:r w:rsidRPr="00F50E64">
              <w:rPr>
                <w:noProof/>
                <w:sz w:val="14"/>
              </w:rPr>
              <w:t>(3c)</w:t>
            </w:r>
          </w:p>
        </w:tc>
        <w:tc>
          <w:tcPr>
            <w:tcW w:w="1134" w:type="dxa"/>
            <w:vAlign w:val="center"/>
          </w:tcPr>
          <w:p w:rsidR="006A1E30" w:rsidRPr="00F50E64" w:rsidRDefault="006A1E30" w:rsidP="006A1E30">
            <w:pPr>
              <w:spacing w:before="40" w:after="40"/>
              <w:jc w:val="right"/>
              <w:rPr>
                <w:noProof/>
                <w:sz w:val="20"/>
                <w:szCs w:val="18"/>
              </w:rPr>
            </w:pPr>
            <w:r w:rsidRPr="00F50E64">
              <w:rPr>
                <w:noProof/>
                <w:sz w:val="20"/>
                <w:szCs w:val="18"/>
              </w:rPr>
              <w:t>1.658</w:t>
            </w:r>
          </w:p>
        </w:tc>
        <w:tc>
          <w:tcPr>
            <w:tcW w:w="993" w:type="dxa"/>
            <w:vAlign w:val="center"/>
          </w:tcPr>
          <w:p w:rsidR="006A1E30" w:rsidRPr="00F50E64" w:rsidRDefault="006A1E30" w:rsidP="006A1E30">
            <w:pPr>
              <w:spacing w:before="40" w:after="40"/>
              <w:jc w:val="right"/>
              <w:rPr>
                <w:noProof/>
                <w:sz w:val="20"/>
                <w:szCs w:val="18"/>
              </w:rPr>
            </w:pPr>
            <w:r w:rsidRPr="00F50E64">
              <w:rPr>
                <w:noProof/>
                <w:sz w:val="20"/>
                <w:szCs w:val="18"/>
              </w:rPr>
              <w:t>1.718</w:t>
            </w:r>
          </w:p>
        </w:tc>
        <w:tc>
          <w:tcPr>
            <w:tcW w:w="1254" w:type="dxa"/>
            <w:vAlign w:val="center"/>
          </w:tcPr>
          <w:p w:rsidR="006A1E30" w:rsidRPr="00F50E64" w:rsidRDefault="006A1E30" w:rsidP="006A1E30">
            <w:pPr>
              <w:spacing w:before="40" w:after="40"/>
              <w:jc w:val="right"/>
              <w:rPr>
                <w:bCs/>
                <w:noProof/>
                <w:sz w:val="20"/>
              </w:rPr>
            </w:pPr>
          </w:p>
        </w:tc>
        <w:tc>
          <w:tcPr>
            <w:tcW w:w="1391" w:type="dxa"/>
            <w:vAlign w:val="center"/>
          </w:tcPr>
          <w:p w:rsidR="006A1E30" w:rsidRPr="00F50E64" w:rsidRDefault="006A1E30" w:rsidP="006A1E30">
            <w:pPr>
              <w:spacing w:before="20" w:after="20"/>
              <w:jc w:val="right"/>
              <w:rPr>
                <w:b/>
                <w:bCs/>
                <w:noProof/>
                <w:sz w:val="20"/>
                <w:szCs w:val="18"/>
              </w:rPr>
            </w:pPr>
            <w:r w:rsidRPr="00F50E64">
              <w:rPr>
                <w:b/>
                <w:bCs/>
                <w:noProof/>
                <w:sz w:val="20"/>
                <w:szCs w:val="18"/>
              </w:rPr>
              <w:t>3</w:t>
            </w:r>
            <w:r>
              <w:rPr>
                <w:b/>
                <w:bCs/>
                <w:noProof/>
                <w:sz w:val="20"/>
                <w:szCs w:val="18"/>
              </w:rPr>
              <w:t>.</w:t>
            </w:r>
            <w:r w:rsidRPr="00F50E64">
              <w:rPr>
                <w:b/>
                <w:bCs/>
                <w:noProof/>
                <w:sz w:val="20"/>
                <w:szCs w:val="18"/>
              </w:rPr>
              <w:t>376</w:t>
            </w:r>
          </w:p>
        </w:tc>
      </w:tr>
      <w:tr w:rsidR="006A1E30" w:rsidRPr="00F50E64" w:rsidTr="009F05F9">
        <w:trPr>
          <w:jc w:val="center"/>
        </w:trPr>
        <w:tc>
          <w:tcPr>
            <w:tcW w:w="6545" w:type="dxa"/>
            <w:vMerge w:val="restart"/>
            <w:vAlign w:val="center"/>
          </w:tcPr>
          <w:p w:rsidR="006A1E30" w:rsidRPr="00F50E64" w:rsidRDefault="006A1E30" w:rsidP="006A1E30">
            <w:pPr>
              <w:jc w:val="center"/>
              <w:rPr>
                <w:b/>
                <w:noProof/>
              </w:rPr>
            </w:pPr>
            <w:r w:rsidRPr="00F50E64">
              <w:rPr>
                <w:b/>
                <w:noProof/>
                <w:sz w:val="22"/>
              </w:rPr>
              <w:t>TOTAL appropriations</w:t>
            </w:r>
            <w:r w:rsidRPr="00F50E64">
              <w:rPr>
                <w:noProof/>
                <w:sz w:val="22"/>
              </w:rPr>
              <w:br/>
            </w:r>
            <w:r w:rsidRPr="00F50E64">
              <w:rPr>
                <w:b/>
                <w:noProof/>
                <w:sz w:val="22"/>
              </w:rPr>
              <w:t>for DG RTD</w:t>
            </w:r>
          </w:p>
        </w:tc>
        <w:tc>
          <w:tcPr>
            <w:tcW w:w="1417" w:type="dxa"/>
            <w:vAlign w:val="center"/>
          </w:tcPr>
          <w:p w:rsidR="006A1E30" w:rsidRPr="00F50E64" w:rsidRDefault="006A1E30" w:rsidP="006A1E30">
            <w:pPr>
              <w:rPr>
                <w:noProof/>
                <w:sz w:val="18"/>
              </w:rPr>
            </w:pPr>
            <w:r w:rsidRPr="00F50E64">
              <w:rPr>
                <w:noProof/>
                <w:sz w:val="18"/>
              </w:rPr>
              <w:t>Commitments</w:t>
            </w:r>
          </w:p>
        </w:tc>
        <w:tc>
          <w:tcPr>
            <w:tcW w:w="992" w:type="dxa"/>
            <w:vAlign w:val="center"/>
          </w:tcPr>
          <w:p w:rsidR="006A1E30" w:rsidRPr="00F50E64" w:rsidRDefault="006A1E30" w:rsidP="006A1E30">
            <w:pPr>
              <w:jc w:val="center"/>
              <w:rPr>
                <w:noProof/>
                <w:sz w:val="14"/>
              </w:rPr>
            </w:pPr>
            <w:r w:rsidRPr="00F50E64">
              <w:rPr>
                <w:noProof/>
                <w:sz w:val="14"/>
              </w:rPr>
              <w:t>=1a+1b +3a+3b+3c</w:t>
            </w:r>
          </w:p>
        </w:tc>
        <w:tc>
          <w:tcPr>
            <w:tcW w:w="1134" w:type="dxa"/>
            <w:vAlign w:val="center"/>
          </w:tcPr>
          <w:p w:rsidR="006A1E30" w:rsidRPr="00F50E64" w:rsidRDefault="006A1E30" w:rsidP="006A1E30">
            <w:pPr>
              <w:spacing w:before="20" w:after="20"/>
              <w:jc w:val="right"/>
              <w:rPr>
                <w:b/>
                <w:bCs/>
                <w:noProof/>
                <w:sz w:val="20"/>
              </w:rPr>
            </w:pPr>
            <w:r>
              <w:rPr>
                <w:b/>
                <w:bCs/>
                <w:noProof/>
                <w:sz w:val="20"/>
                <w:szCs w:val="18"/>
              </w:rPr>
              <w:t xml:space="preserve">179.263 </w:t>
            </w:r>
          </w:p>
        </w:tc>
        <w:tc>
          <w:tcPr>
            <w:tcW w:w="993" w:type="dxa"/>
            <w:vAlign w:val="center"/>
          </w:tcPr>
          <w:p w:rsidR="006A1E30" w:rsidRPr="00F50E64" w:rsidRDefault="006A1E30" w:rsidP="006A1E30">
            <w:pPr>
              <w:spacing w:before="20" w:after="20"/>
              <w:jc w:val="right"/>
              <w:rPr>
                <w:b/>
                <w:bCs/>
                <w:noProof/>
                <w:sz w:val="20"/>
              </w:rPr>
            </w:pPr>
            <w:r>
              <w:rPr>
                <w:b/>
                <w:bCs/>
                <w:noProof/>
                <w:sz w:val="20"/>
              </w:rPr>
              <w:t>188.609</w:t>
            </w:r>
          </w:p>
        </w:tc>
        <w:tc>
          <w:tcPr>
            <w:tcW w:w="1254" w:type="dxa"/>
            <w:vAlign w:val="center"/>
          </w:tcPr>
          <w:p w:rsidR="006A1E30" w:rsidRPr="00F50E64" w:rsidRDefault="006A1E30" w:rsidP="006A1E30">
            <w:pPr>
              <w:spacing w:before="20" w:after="20"/>
              <w:jc w:val="right"/>
              <w:rPr>
                <w:noProof/>
                <w:sz w:val="20"/>
              </w:rPr>
            </w:pPr>
          </w:p>
        </w:tc>
        <w:tc>
          <w:tcPr>
            <w:tcW w:w="1391" w:type="dxa"/>
            <w:vAlign w:val="center"/>
          </w:tcPr>
          <w:p w:rsidR="006A1E30" w:rsidRPr="00F50E64" w:rsidRDefault="006A1E30" w:rsidP="006A1E30">
            <w:pPr>
              <w:spacing w:before="20" w:after="20"/>
              <w:jc w:val="right"/>
              <w:rPr>
                <w:b/>
                <w:bCs/>
                <w:noProof/>
                <w:sz w:val="20"/>
                <w:szCs w:val="18"/>
              </w:rPr>
            </w:pPr>
            <w:r>
              <w:rPr>
                <w:b/>
                <w:bCs/>
                <w:noProof/>
                <w:sz w:val="20"/>
                <w:szCs w:val="18"/>
              </w:rPr>
              <w:t>367.872</w:t>
            </w:r>
          </w:p>
        </w:tc>
      </w:tr>
      <w:tr w:rsidR="006A1E30" w:rsidRPr="00F50E64" w:rsidTr="009F05F9">
        <w:trPr>
          <w:jc w:val="center"/>
        </w:trPr>
        <w:tc>
          <w:tcPr>
            <w:tcW w:w="6545" w:type="dxa"/>
            <w:vMerge/>
          </w:tcPr>
          <w:p w:rsidR="006A1E30" w:rsidRPr="00F50E64" w:rsidRDefault="006A1E30" w:rsidP="006A1E30">
            <w:pPr>
              <w:rPr>
                <w:noProof/>
                <w:sz w:val="20"/>
              </w:rPr>
            </w:pPr>
          </w:p>
        </w:tc>
        <w:tc>
          <w:tcPr>
            <w:tcW w:w="1417" w:type="dxa"/>
            <w:vAlign w:val="center"/>
          </w:tcPr>
          <w:p w:rsidR="006A1E30" w:rsidRPr="00F50E64" w:rsidRDefault="006A1E30" w:rsidP="006A1E30">
            <w:pPr>
              <w:rPr>
                <w:noProof/>
                <w:sz w:val="18"/>
              </w:rPr>
            </w:pPr>
            <w:r w:rsidRPr="00F50E64">
              <w:rPr>
                <w:noProof/>
                <w:sz w:val="18"/>
              </w:rPr>
              <w:t>Payments</w:t>
            </w:r>
          </w:p>
        </w:tc>
        <w:tc>
          <w:tcPr>
            <w:tcW w:w="992" w:type="dxa"/>
            <w:vAlign w:val="center"/>
          </w:tcPr>
          <w:p w:rsidR="006A1E30" w:rsidRPr="00F50E64" w:rsidRDefault="006A1E30" w:rsidP="006A1E30">
            <w:pPr>
              <w:jc w:val="center"/>
              <w:rPr>
                <w:noProof/>
                <w:sz w:val="14"/>
              </w:rPr>
            </w:pPr>
            <w:r w:rsidRPr="00F50E64">
              <w:rPr>
                <w:noProof/>
                <w:sz w:val="14"/>
              </w:rPr>
              <w:t>=2a+2b+3a+3b+3c</w:t>
            </w:r>
          </w:p>
        </w:tc>
        <w:tc>
          <w:tcPr>
            <w:tcW w:w="1134" w:type="dxa"/>
            <w:vAlign w:val="center"/>
          </w:tcPr>
          <w:p w:rsidR="006A1E30" w:rsidRPr="00F50E64" w:rsidRDefault="006A1E30" w:rsidP="006A1E30">
            <w:pPr>
              <w:spacing w:before="20" w:after="20"/>
              <w:jc w:val="right"/>
              <w:rPr>
                <w:noProof/>
                <w:sz w:val="20"/>
              </w:rPr>
            </w:pPr>
            <w:r w:rsidRPr="00127FDF">
              <w:rPr>
                <w:b/>
                <w:bCs/>
                <w:noProof/>
                <w:sz w:val="20"/>
              </w:rPr>
              <w:t>77.841</w:t>
            </w:r>
          </w:p>
        </w:tc>
        <w:tc>
          <w:tcPr>
            <w:tcW w:w="993" w:type="dxa"/>
            <w:vAlign w:val="center"/>
          </w:tcPr>
          <w:p w:rsidR="006A1E30" w:rsidRPr="00F50E64" w:rsidRDefault="006A1E30" w:rsidP="006A1E30">
            <w:pPr>
              <w:spacing w:before="20" w:after="20"/>
              <w:jc w:val="right"/>
              <w:rPr>
                <w:noProof/>
                <w:sz w:val="20"/>
              </w:rPr>
            </w:pPr>
            <w:r w:rsidRPr="00127FDF">
              <w:rPr>
                <w:b/>
                <w:bCs/>
                <w:noProof/>
                <w:sz w:val="20"/>
              </w:rPr>
              <w:t>83.004</w:t>
            </w:r>
          </w:p>
        </w:tc>
        <w:tc>
          <w:tcPr>
            <w:tcW w:w="1254" w:type="dxa"/>
            <w:vAlign w:val="center"/>
          </w:tcPr>
          <w:p w:rsidR="006A1E30" w:rsidRPr="00F50E64" w:rsidRDefault="006A1E30" w:rsidP="006A1E30">
            <w:pPr>
              <w:spacing w:before="20" w:after="20"/>
              <w:jc w:val="right"/>
              <w:rPr>
                <w:noProof/>
                <w:sz w:val="20"/>
              </w:rPr>
            </w:pPr>
            <w:r w:rsidRPr="00127FDF">
              <w:rPr>
                <w:b/>
                <w:bCs/>
                <w:noProof/>
                <w:sz w:val="20"/>
              </w:rPr>
              <w:t>207.027</w:t>
            </w:r>
          </w:p>
        </w:tc>
        <w:tc>
          <w:tcPr>
            <w:tcW w:w="1391" w:type="dxa"/>
            <w:vAlign w:val="center"/>
          </w:tcPr>
          <w:p w:rsidR="006A1E30" w:rsidRPr="00F50E64" w:rsidRDefault="006A1E30" w:rsidP="006A1E30">
            <w:pPr>
              <w:spacing w:before="20" w:after="20"/>
              <w:jc w:val="right"/>
              <w:rPr>
                <w:b/>
                <w:bCs/>
                <w:noProof/>
                <w:color w:val="0000FF"/>
                <w:sz w:val="20"/>
                <w:szCs w:val="18"/>
              </w:rPr>
            </w:pPr>
            <w:r>
              <w:rPr>
                <w:b/>
                <w:bCs/>
                <w:noProof/>
                <w:color w:val="000000"/>
                <w:sz w:val="20"/>
                <w:szCs w:val="18"/>
              </w:rPr>
              <w:t>367.872</w:t>
            </w:r>
          </w:p>
        </w:tc>
      </w:tr>
      <w:tr w:rsidR="00B96D6D" w:rsidRPr="00F50E64" w:rsidTr="009F05F9">
        <w:trPr>
          <w:jc w:val="center"/>
        </w:trPr>
        <w:tc>
          <w:tcPr>
            <w:tcW w:w="6545" w:type="dxa"/>
            <w:vAlign w:val="center"/>
          </w:tcPr>
          <w:p w:rsidR="00B96D6D" w:rsidRPr="00F50E64" w:rsidRDefault="00B96D6D" w:rsidP="00C874B9">
            <w:pPr>
              <w:jc w:val="center"/>
              <w:rPr>
                <w:b/>
                <w:bCs/>
                <w:noProof/>
                <w:sz w:val="22"/>
              </w:rPr>
            </w:pPr>
            <w:bookmarkStart w:id="74" w:name="_Hlk182991265"/>
          </w:p>
        </w:tc>
        <w:tc>
          <w:tcPr>
            <w:tcW w:w="1417" w:type="dxa"/>
          </w:tcPr>
          <w:p w:rsidR="00B96D6D" w:rsidRPr="00F50E64" w:rsidRDefault="00B96D6D" w:rsidP="00C874B9">
            <w:pPr>
              <w:rPr>
                <w:noProof/>
                <w:sz w:val="20"/>
              </w:rPr>
            </w:pPr>
          </w:p>
        </w:tc>
        <w:tc>
          <w:tcPr>
            <w:tcW w:w="992" w:type="dxa"/>
          </w:tcPr>
          <w:p w:rsidR="00B96D6D" w:rsidRPr="00F50E64" w:rsidRDefault="00B96D6D" w:rsidP="00C874B9">
            <w:pPr>
              <w:jc w:val="center"/>
              <w:rPr>
                <w:noProof/>
                <w:sz w:val="20"/>
              </w:rPr>
            </w:pPr>
          </w:p>
        </w:tc>
        <w:tc>
          <w:tcPr>
            <w:tcW w:w="1134" w:type="dxa"/>
            <w:vAlign w:val="center"/>
          </w:tcPr>
          <w:p w:rsidR="00B96D6D" w:rsidRPr="00F50E64" w:rsidRDefault="00B96D6D" w:rsidP="00C874B9">
            <w:pPr>
              <w:jc w:val="center"/>
              <w:rPr>
                <w:noProof/>
                <w:sz w:val="20"/>
              </w:rPr>
            </w:pPr>
          </w:p>
        </w:tc>
        <w:tc>
          <w:tcPr>
            <w:tcW w:w="993" w:type="dxa"/>
            <w:vAlign w:val="center"/>
          </w:tcPr>
          <w:p w:rsidR="00B96D6D" w:rsidRPr="00F50E64" w:rsidRDefault="00B96D6D" w:rsidP="00C874B9">
            <w:pPr>
              <w:jc w:val="center"/>
              <w:rPr>
                <w:noProof/>
                <w:sz w:val="20"/>
              </w:rPr>
            </w:pPr>
          </w:p>
        </w:tc>
        <w:tc>
          <w:tcPr>
            <w:tcW w:w="1254" w:type="dxa"/>
            <w:vAlign w:val="center"/>
          </w:tcPr>
          <w:p w:rsidR="00B96D6D" w:rsidRPr="00F50E64" w:rsidRDefault="00B96D6D" w:rsidP="00C874B9">
            <w:pPr>
              <w:jc w:val="center"/>
              <w:rPr>
                <w:noProof/>
                <w:sz w:val="18"/>
                <w:lang w:val="en-IE"/>
              </w:rPr>
            </w:pPr>
          </w:p>
        </w:tc>
        <w:tc>
          <w:tcPr>
            <w:tcW w:w="1391" w:type="dxa"/>
            <w:vAlign w:val="center"/>
          </w:tcPr>
          <w:p w:rsidR="00B96D6D" w:rsidRPr="00F50E64" w:rsidRDefault="00B96D6D" w:rsidP="00C874B9">
            <w:pPr>
              <w:spacing w:before="0" w:after="200" w:line="276" w:lineRule="auto"/>
              <w:jc w:val="center"/>
              <w:rPr>
                <w:b/>
                <w:noProof/>
                <w:sz w:val="20"/>
              </w:rPr>
            </w:pPr>
          </w:p>
        </w:tc>
      </w:tr>
      <w:bookmarkEnd w:id="74"/>
      <w:tr w:rsidR="00B96D6D" w:rsidRPr="00F50E64" w:rsidTr="009F05F9">
        <w:trPr>
          <w:jc w:val="center"/>
        </w:trPr>
        <w:tc>
          <w:tcPr>
            <w:tcW w:w="6545" w:type="dxa"/>
            <w:vAlign w:val="center"/>
          </w:tcPr>
          <w:p w:rsidR="00B96D6D" w:rsidRPr="00F50E64" w:rsidRDefault="00B96D6D" w:rsidP="00C874B9">
            <w:pPr>
              <w:jc w:val="center"/>
              <w:rPr>
                <w:b/>
                <w:bCs/>
                <w:noProof/>
              </w:rPr>
            </w:pPr>
            <w:r w:rsidRPr="00F50E64">
              <w:rPr>
                <w:b/>
                <w:bCs/>
                <w:noProof/>
                <w:sz w:val="22"/>
              </w:rPr>
              <w:t>DG: JRC</w:t>
            </w:r>
          </w:p>
        </w:tc>
        <w:tc>
          <w:tcPr>
            <w:tcW w:w="1417" w:type="dxa"/>
          </w:tcPr>
          <w:p w:rsidR="00B96D6D" w:rsidRPr="00F50E64" w:rsidRDefault="00B96D6D" w:rsidP="00C874B9">
            <w:pPr>
              <w:rPr>
                <w:noProof/>
                <w:sz w:val="20"/>
              </w:rPr>
            </w:pPr>
          </w:p>
        </w:tc>
        <w:tc>
          <w:tcPr>
            <w:tcW w:w="992" w:type="dxa"/>
          </w:tcPr>
          <w:p w:rsidR="00B96D6D" w:rsidRPr="00F50E64" w:rsidRDefault="00B96D6D" w:rsidP="00C874B9">
            <w:pPr>
              <w:jc w:val="center"/>
              <w:rPr>
                <w:noProof/>
                <w:sz w:val="20"/>
              </w:rPr>
            </w:pPr>
          </w:p>
        </w:tc>
        <w:tc>
          <w:tcPr>
            <w:tcW w:w="1134"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2026</w:t>
            </w:r>
          </w:p>
        </w:tc>
        <w:tc>
          <w:tcPr>
            <w:tcW w:w="993"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2027</w:t>
            </w:r>
          </w:p>
        </w:tc>
        <w:tc>
          <w:tcPr>
            <w:tcW w:w="1254" w:type="dxa"/>
            <w:vAlign w:val="center"/>
          </w:tcPr>
          <w:p w:rsidR="00B96D6D" w:rsidRPr="00F50E64" w:rsidRDefault="00B96D6D" w:rsidP="00C874B9">
            <w:pPr>
              <w:jc w:val="center"/>
              <w:rPr>
                <w:b/>
                <w:noProof/>
                <w:sz w:val="18"/>
                <w:lang w:val="en-IE"/>
              </w:rPr>
            </w:pPr>
            <w:r w:rsidRPr="00F50E64">
              <w:rPr>
                <w:noProof/>
                <w:sz w:val="18"/>
                <w:lang w:val="en-IE"/>
              </w:rPr>
              <w:t>Post-2027 (see point 1.6)</w:t>
            </w:r>
          </w:p>
        </w:tc>
        <w:tc>
          <w:tcPr>
            <w:tcW w:w="1391" w:type="dxa"/>
            <w:vAlign w:val="center"/>
          </w:tcPr>
          <w:p w:rsidR="00B96D6D" w:rsidRPr="00F50E64" w:rsidRDefault="00B96D6D" w:rsidP="00C874B9">
            <w:pPr>
              <w:spacing w:before="0" w:after="200" w:line="276" w:lineRule="auto"/>
              <w:jc w:val="center"/>
              <w:rPr>
                <w:noProof/>
              </w:rPr>
            </w:pPr>
            <w:r w:rsidRPr="00F50E64">
              <w:rPr>
                <w:b/>
                <w:noProof/>
                <w:sz w:val="20"/>
              </w:rPr>
              <w:t>TOTAL</w:t>
            </w:r>
          </w:p>
        </w:tc>
      </w:tr>
      <w:tr w:rsidR="00B96D6D" w:rsidRPr="00F50E64" w:rsidTr="009F05F9">
        <w:trPr>
          <w:trHeight w:val="213"/>
          <w:jc w:val="center"/>
        </w:trPr>
        <w:tc>
          <w:tcPr>
            <w:tcW w:w="8954" w:type="dxa"/>
            <w:gridSpan w:val="3"/>
            <w:vAlign w:val="center"/>
          </w:tcPr>
          <w:p w:rsidR="00B96D6D" w:rsidRPr="00F50E64" w:rsidRDefault="00B96D6D" w:rsidP="00C874B9">
            <w:pPr>
              <w:spacing w:before="20" w:after="20"/>
              <w:rPr>
                <w:noProof/>
                <w:sz w:val="21"/>
              </w:rPr>
            </w:pPr>
            <w:r w:rsidRPr="00F50E64">
              <w:rPr>
                <w:noProof/>
                <w:sz w:val="21"/>
              </w:rPr>
              <w:sym w:font="Wingdings" w:char="F09F"/>
            </w:r>
            <w:r w:rsidRPr="00F50E64">
              <w:rPr>
                <w:noProof/>
                <w:sz w:val="21"/>
              </w:rPr>
              <w:t xml:space="preserve"> Operational appropriations </w:t>
            </w:r>
          </w:p>
        </w:tc>
        <w:tc>
          <w:tcPr>
            <w:tcW w:w="1134" w:type="dxa"/>
            <w:vAlign w:val="center"/>
          </w:tcPr>
          <w:p w:rsidR="00B96D6D" w:rsidRPr="00F50E64" w:rsidRDefault="00B96D6D" w:rsidP="00C874B9">
            <w:pPr>
              <w:rPr>
                <w:noProof/>
                <w:sz w:val="20"/>
              </w:rPr>
            </w:pPr>
          </w:p>
        </w:tc>
        <w:tc>
          <w:tcPr>
            <w:tcW w:w="993" w:type="dxa"/>
            <w:vAlign w:val="center"/>
          </w:tcPr>
          <w:p w:rsidR="00B96D6D" w:rsidRPr="00F50E64" w:rsidRDefault="00B96D6D" w:rsidP="00C874B9">
            <w:pPr>
              <w:rPr>
                <w:noProof/>
                <w:sz w:val="20"/>
              </w:rPr>
            </w:pPr>
          </w:p>
        </w:tc>
        <w:tc>
          <w:tcPr>
            <w:tcW w:w="1254" w:type="dxa"/>
            <w:vAlign w:val="center"/>
          </w:tcPr>
          <w:p w:rsidR="00B96D6D" w:rsidRPr="00F50E64" w:rsidRDefault="00B96D6D" w:rsidP="00C874B9">
            <w:pPr>
              <w:rPr>
                <w:noProof/>
                <w:sz w:val="20"/>
              </w:rPr>
            </w:pPr>
          </w:p>
        </w:tc>
        <w:tc>
          <w:tcPr>
            <w:tcW w:w="1391" w:type="dxa"/>
            <w:vAlign w:val="center"/>
          </w:tcPr>
          <w:p w:rsidR="00B96D6D" w:rsidRPr="00F50E64" w:rsidRDefault="00B96D6D" w:rsidP="00C874B9">
            <w:pPr>
              <w:spacing w:before="20" w:after="20"/>
              <w:jc w:val="right"/>
              <w:rPr>
                <w:b/>
                <w:bCs/>
                <w:noProof/>
                <w:color w:val="0000FF"/>
                <w:sz w:val="20"/>
                <w:szCs w:val="18"/>
              </w:rPr>
            </w:pPr>
          </w:p>
        </w:tc>
      </w:tr>
      <w:tr w:rsidR="00032451" w:rsidRPr="00F50E64" w:rsidTr="009F05F9">
        <w:trPr>
          <w:trHeight w:val="277"/>
          <w:jc w:val="center"/>
        </w:trPr>
        <w:tc>
          <w:tcPr>
            <w:tcW w:w="6545" w:type="dxa"/>
            <w:vMerge w:val="restart"/>
            <w:vAlign w:val="center"/>
          </w:tcPr>
          <w:p w:rsidR="00032451" w:rsidRPr="00F50E64" w:rsidRDefault="00032451" w:rsidP="00032451">
            <w:pPr>
              <w:rPr>
                <w:noProof/>
              </w:rPr>
            </w:pPr>
            <w:r w:rsidRPr="00F50E64">
              <w:rPr>
                <w:noProof/>
                <w:sz w:val="20"/>
              </w:rPr>
              <w:t>01.0303 Nuclear direct actions of the Joint Research Centre</w:t>
            </w:r>
          </w:p>
        </w:tc>
        <w:tc>
          <w:tcPr>
            <w:tcW w:w="1417" w:type="dxa"/>
            <w:vAlign w:val="center"/>
          </w:tcPr>
          <w:p w:rsidR="00032451" w:rsidRPr="00F50E64" w:rsidRDefault="00032451" w:rsidP="00032451">
            <w:pPr>
              <w:spacing w:before="20" w:after="20"/>
              <w:rPr>
                <w:noProof/>
                <w:sz w:val="18"/>
              </w:rPr>
            </w:pPr>
            <w:r w:rsidRPr="00F50E64">
              <w:rPr>
                <w:noProof/>
                <w:sz w:val="18"/>
              </w:rPr>
              <w:t>Commitments</w:t>
            </w:r>
          </w:p>
        </w:tc>
        <w:tc>
          <w:tcPr>
            <w:tcW w:w="992" w:type="dxa"/>
            <w:vAlign w:val="center"/>
          </w:tcPr>
          <w:p w:rsidR="00032451" w:rsidRPr="00F50E64" w:rsidRDefault="00032451" w:rsidP="00032451">
            <w:pPr>
              <w:spacing w:before="20" w:after="20"/>
              <w:jc w:val="center"/>
              <w:rPr>
                <w:noProof/>
                <w:sz w:val="14"/>
              </w:rPr>
            </w:pPr>
            <w:r w:rsidRPr="00F50E64">
              <w:rPr>
                <w:noProof/>
                <w:sz w:val="14"/>
              </w:rPr>
              <w:t>(1a)</w:t>
            </w:r>
          </w:p>
        </w:tc>
        <w:tc>
          <w:tcPr>
            <w:tcW w:w="1134" w:type="dxa"/>
            <w:vAlign w:val="center"/>
          </w:tcPr>
          <w:p w:rsidR="00032451" w:rsidRPr="00F50E64" w:rsidRDefault="00032451" w:rsidP="00032451">
            <w:pPr>
              <w:spacing w:before="20" w:after="20"/>
              <w:jc w:val="right"/>
              <w:rPr>
                <w:noProof/>
                <w:sz w:val="20"/>
              </w:rPr>
            </w:pPr>
            <w:r w:rsidRPr="00F50E64">
              <w:rPr>
                <w:noProof/>
                <w:sz w:val="20"/>
                <w:szCs w:val="18"/>
              </w:rPr>
              <w:t>12</w:t>
            </w:r>
            <w:r>
              <w:rPr>
                <w:noProof/>
                <w:sz w:val="20"/>
                <w:szCs w:val="18"/>
              </w:rPr>
              <w:t>.</w:t>
            </w:r>
            <w:r w:rsidRPr="00F50E64">
              <w:rPr>
                <w:noProof/>
                <w:sz w:val="20"/>
                <w:szCs w:val="18"/>
              </w:rPr>
              <w:t>500</w:t>
            </w:r>
          </w:p>
        </w:tc>
        <w:tc>
          <w:tcPr>
            <w:tcW w:w="993" w:type="dxa"/>
            <w:vAlign w:val="center"/>
          </w:tcPr>
          <w:p w:rsidR="00032451" w:rsidRPr="00F50E64" w:rsidRDefault="00032451" w:rsidP="00032451">
            <w:pPr>
              <w:spacing w:before="20" w:after="20"/>
              <w:jc w:val="right"/>
              <w:rPr>
                <w:noProof/>
                <w:sz w:val="20"/>
              </w:rPr>
            </w:pPr>
            <w:r w:rsidRPr="00F50E64">
              <w:rPr>
                <w:noProof/>
                <w:sz w:val="20"/>
                <w:szCs w:val="18"/>
              </w:rPr>
              <w:t>12</w:t>
            </w:r>
            <w:r>
              <w:rPr>
                <w:noProof/>
                <w:sz w:val="20"/>
                <w:szCs w:val="18"/>
              </w:rPr>
              <w:t>.</w:t>
            </w:r>
            <w:r w:rsidRPr="00F50E64">
              <w:rPr>
                <w:noProof/>
                <w:sz w:val="20"/>
                <w:szCs w:val="18"/>
              </w:rPr>
              <w:t>500</w:t>
            </w:r>
          </w:p>
        </w:tc>
        <w:tc>
          <w:tcPr>
            <w:tcW w:w="1254" w:type="dxa"/>
            <w:vAlign w:val="center"/>
          </w:tcPr>
          <w:p w:rsidR="00032451" w:rsidRPr="00F50E64" w:rsidRDefault="00032451" w:rsidP="00032451">
            <w:pPr>
              <w:spacing w:before="20" w:after="20"/>
              <w:jc w:val="right"/>
              <w:rPr>
                <w:noProof/>
                <w:sz w:val="20"/>
              </w:rPr>
            </w:pP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25</w:t>
            </w:r>
            <w:r>
              <w:rPr>
                <w:b/>
                <w:bCs/>
                <w:noProof/>
                <w:sz w:val="20"/>
                <w:szCs w:val="18"/>
              </w:rPr>
              <w:t>.</w:t>
            </w:r>
            <w:r w:rsidRPr="00F50E64">
              <w:rPr>
                <w:b/>
                <w:bCs/>
                <w:noProof/>
                <w:sz w:val="20"/>
                <w:szCs w:val="18"/>
              </w:rPr>
              <w:t>000</w:t>
            </w:r>
          </w:p>
        </w:tc>
      </w:tr>
      <w:tr w:rsidR="00032451" w:rsidRPr="00F50E64" w:rsidTr="009F05F9">
        <w:trPr>
          <w:jc w:val="center"/>
        </w:trPr>
        <w:tc>
          <w:tcPr>
            <w:tcW w:w="6545" w:type="dxa"/>
            <w:vMerge/>
          </w:tcPr>
          <w:p w:rsidR="00032451" w:rsidRPr="00F50E64" w:rsidRDefault="00032451" w:rsidP="00032451">
            <w:pPr>
              <w:jc w:val="center"/>
              <w:rPr>
                <w:noProof/>
                <w:sz w:val="20"/>
              </w:rPr>
            </w:pPr>
          </w:p>
        </w:tc>
        <w:tc>
          <w:tcPr>
            <w:tcW w:w="1417" w:type="dxa"/>
            <w:vAlign w:val="center"/>
          </w:tcPr>
          <w:p w:rsidR="00032451" w:rsidRPr="00F50E64" w:rsidRDefault="00032451" w:rsidP="00032451">
            <w:pPr>
              <w:spacing w:before="20" w:after="20"/>
              <w:rPr>
                <w:noProof/>
                <w:sz w:val="18"/>
              </w:rPr>
            </w:pPr>
            <w:r w:rsidRPr="00F50E64">
              <w:rPr>
                <w:noProof/>
                <w:sz w:val="18"/>
              </w:rPr>
              <w:t>Payments</w:t>
            </w:r>
          </w:p>
        </w:tc>
        <w:tc>
          <w:tcPr>
            <w:tcW w:w="992" w:type="dxa"/>
            <w:vAlign w:val="center"/>
          </w:tcPr>
          <w:p w:rsidR="00032451" w:rsidRPr="00F50E64" w:rsidRDefault="00032451" w:rsidP="00032451">
            <w:pPr>
              <w:spacing w:before="20" w:after="20"/>
              <w:jc w:val="center"/>
              <w:rPr>
                <w:noProof/>
                <w:sz w:val="14"/>
              </w:rPr>
            </w:pPr>
            <w:r w:rsidRPr="00F50E64">
              <w:rPr>
                <w:noProof/>
                <w:sz w:val="14"/>
              </w:rPr>
              <w:t>(2a)</w:t>
            </w:r>
          </w:p>
        </w:tc>
        <w:tc>
          <w:tcPr>
            <w:tcW w:w="1134" w:type="dxa"/>
            <w:vAlign w:val="center"/>
          </w:tcPr>
          <w:p w:rsidR="00032451" w:rsidRPr="00F50E64" w:rsidRDefault="00032451" w:rsidP="00032451">
            <w:pPr>
              <w:spacing w:before="20" w:after="20"/>
              <w:jc w:val="right"/>
              <w:rPr>
                <w:noProof/>
                <w:sz w:val="20"/>
              </w:rPr>
            </w:pPr>
            <w:r w:rsidRPr="00F50E64">
              <w:rPr>
                <w:noProof/>
                <w:sz w:val="20"/>
                <w:szCs w:val="18"/>
              </w:rPr>
              <w:t>3</w:t>
            </w:r>
            <w:r>
              <w:rPr>
                <w:noProof/>
                <w:sz w:val="20"/>
                <w:szCs w:val="18"/>
              </w:rPr>
              <w:t>.</w:t>
            </w:r>
            <w:r w:rsidRPr="00F50E64">
              <w:rPr>
                <w:noProof/>
                <w:sz w:val="20"/>
                <w:szCs w:val="18"/>
              </w:rPr>
              <w:t>700</w:t>
            </w:r>
          </w:p>
        </w:tc>
        <w:tc>
          <w:tcPr>
            <w:tcW w:w="993" w:type="dxa"/>
            <w:vAlign w:val="center"/>
          </w:tcPr>
          <w:p w:rsidR="00032451" w:rsidRPr="00F50E64" w:rsidRDefault="00032451" w:rsidP="00032451">
            <w:pPr>
              <w:spacing w:before="20" w:after="20"/>
              <w:jc w:val="right"/>
              <w:rPr>
                <w:noProof/>
                <w:sz w:val="20"/>
              </w:rPr>
            </w:pPr>
            <w:r w:rsidRPr="00F50E64">
              <w:rPr>
                <w:noProof/>
                <w:sz w:val="20"/>
                <w:szCs w:val="18"/>
              </w:rPr>
              <w:t>9</w:t>
            </w:r>
            <w:r>
              <w:rPr>
                <w:noProof/>
                <w:sz w:val="20"/>
                <w:szCs w:val="18"/>
              </w:rPr>
              <w:t>.</w:t>
            </w:r>
            <w:r w:rsidRPr="00F50E64">
              <w:rPr>
                <w:noProof/>
                <w:sz w:val="20"/>
                <w:szCs w:val="18"/>
              </w:rPr>
              <w:t>700</w:t>
            </w:r>
          </w:p>
        </w:tc>
        <w:tc>
          <w:tcPr>
            <w:tcW w:w="1254" w:type="dxa"/>
            <w:vAlign w:val="center"/>
          </w:tcPr>
          <w:p w:rsidR="00032451" w:rsidRPr="00F50E64" w:rsidRDefault="00032451" w:rsidP="00032451">
            <w:pPr>
              <w:spacing w:before="20" w:after="20"/>
              <w:jc w:val="right"/>
              <w:rPr>
                <w:noProof/>
                <w:sz w:val="20"/>
              </w:rPr>
            </w:pPr>
            <w:r w:rsidRPr="00F50E64">
              <w:rPr>
                <w:noProof/>
                <w:sz w:val="20"/>
              </w:rPr>
              <w:t>11</w:t>
            </w:r>
            <w:r>
              <w:rPr>
                <w:noProof/>
                <w:sz w:val="20"/>
              </w:rPr>
              <w:t>.</w:t>
            </w:r>
            <w:r w:rsidRPr="00F50E64">
              <w:rPr>
                <w:noProof/>
                <w:sz w:val="20"/>
              </w:rPr>
              <w:t>600</w:t>
            </w: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25</w:t>
            </w:r>
            <w:r>
              <w:rPr>
                <w:b/>
                <w:bCs/>
                <w:noProof/>
                <w:sz w:val="20"/>
                <w:szCs w:val="18"/>
              </w:rPr>
              <w:t>.</w:t>
            </w:r>
            <w:r w:rsidRPr="00F50E64">
              <w:rPr>
                <w:b/>
                <w:bCs/>
                <w:noProof/>
                <w:sz w:val="20"/>
                <w:szCs w:val="18"/>
              </w:rPr>
              <w:t>000</w:t>
            </w:r>
          </w:p>
        </w:tc>
      </w:tr>
      <w:tr w:rsidR="00B96D6D" w:rsidRPr="00F50E64" w:rsidTr="009F05F9">
        <w:trPr>
          <w:trHeight w:val="231"/>
          <w:jc w:val="center"/>
        </w:trPr>
        <w:tc>
          <w:tcPr>
            <w:tcW w:w="8954" w:type="dxa"/>
            <w:gridSpan w:val="3"/>
            <w:vAlign w:val="center"/>
          </w:tcPr>
          <w:p w:rsidR="00B96D6D" w:rsidRPr="00F50E64" w:rsidRDefault="00B96D6D" w:rsidP="00C874B9">
            <w:pPr>
              <w:spacing w:before="20" w:after="20"/>
              <w:rPr>
                <w:noProof/>
                <w:lang w:val="en-IE"/>
              </w:rPr>
            </w:pPr>
            <w:r w:rsidRPr="00F50E64">
              <w:rPr>
                <w:noProof/>
                <w:sz w:val="21"/>
                <w:lang w:val="en-IE"/>
              </w:rPr>
              <w:t>Appropriations of an administrative nature financed from the envelope of specific programmes</w:t>
            </w:r>
            <w:r w:rsidRPr="00F50E64">
              <w:rPr>
                <w:rStyle w:val="FootnoteReference"/>
                <w:noProof/>
                <w:sz w:val="21"/>
              </w:rPr>
              <w:footnoteReference w:id="60"/>
            </w:r>
            <w:r w:rsidRPr="00F50E64">
              <w:rPr>
                <w:noProof/>
                <w:sz w:val="21"/>
                <w:lang w:val="en-IE"/>
              </w:rPr>
              <w:t xml:space="preserve"> </w:t>
            </w:r>
          </w:p>
          <w:p w:rsidR="00B96D6D" w:rsidRPr="00F50E64" w:rsidRDefault="00B96D6D" w:rsidP="00C874B9">
            <w:pPr>
              <w:spacing w:before="0" w:after="0"/>
              <w:rPr>
                <w:noProof/>
                <w:lang w:val="en-IE"/>
              </w:rPr>
            </w:pPr>
          </w:p>
        </w:tc>
        <w:tc>
          <w:tcPr>
            <w:tcW w:w="1134" w:type="dxa"/>
            <w:vAlign w:val="center"/>
          </w:tcPr>
          <w:p w:rsidR="00B96D6D" w:rsidRPr="00F50E64" w:rsidRDefault="00B96D6D" w:rsidP="00C874B9">
            <w:pPr>
              <w:rPr>
                <w:b/>
                <w:noProof/>
                <w:sz w:val="20"/>
                <w:lang w:val="en-IE"/>
              </w:rPr>
            </w:pPr>
          </w:p>
        </w:tc>
        <w:tc>
          <w:tcPr>
            <w:tcW w:w="993" w:type="dxa"/>
            <w:vAlign w:val="center"/>
          </w:tcPr>
          <w:p w:rsidR="00B96D6D" w:rsidRPr="00F50E64" w:rsidRDefault="00B96D6D" w:rsidP="00C874B9">
            <w:pPr>
              <w:rPr>
                <w:b/>
                <w:noProof/>
                <w:sz w:val="20"/>
                <w:lang w:val="en-IE"/>
              </w:rPr>
            </w:pPr>
          </w:p>
        </w:tc>
        <w:tc>
          <w:tcPr>
            <w:tcW w:w="1254" w:type="dxa"/>
            <w:vAlign w:val="center"/>
          </w:tcPr>
          <w:p w:rsidR="00B96D6D" w:rsidRPr="00F50E64" w:rsidRDefault="00B96D6D" w:rsidP="00C874B9">
            <w:pPr>
              <w:rPr>
                <w:b/>
                <w:noProof/>
                <w:sz w:val="20"/>
                <w:lang w:val="en-IE"/>
              </w:rPr>
            </w:pPr>
          </w:p>
        </w:tc>
        <w:tc>
          <w:tcPr>
            <w:tcW w:w="1391" w:type="dxa"/>
            <w:vAlign w:val="center"/>
          </w:tcPr>
          <w:p w:rsidR="00B96D6D" w:rsidRPr="00F50E64" w:rsidRDefault="00B96D6D" w:rsidP="00C874B9">
            <w:pPr>
              <w:spacing w:before="20" w:after="20"/>
              <w:jc w:val="right"/>
              <w:rPr>
                <w:b/>
                <w:bCs/>
                <w:noProof/>
                <w:color w:val="0000FF"/>
                <w:sz w:val="20"/>
                <w:szCs w:val="18"/>
              </w:rPr>
            </w:pPr>
          </w:p>
        </w:tc>
      </w:tr>
      <w:tr w:rsidR="00032451" w:rsidRPr="00F50E64" w:rsidTr="009F05F9">
        <w:trPr>
          <w:trHeight w:val="319"/>
          <w:jc w:val="center"/>
        </w:trPr>
        <w:tc>
          <w:tcPr>
            <w:tcW w:w="6545" w:type="dxa"/>
            <w:vAlign w:val="center"/>
          </w:tcPr>
          <w:p w:rsidR="00032451" w:rsidRPr="00F50E64" w:rsidRDefault="00032451" w:rsidP="00032451">
            <w:pPr>
              <w:spacing w:before="60" w:after="60"/>
              <w:rPr>
                <w:noProof/>
              </w:rPr>
            </w:pPr>
            <w:r w:rsidRPr="00F50E64">
              <w:rPr>
                <w:noProof/>
                <w:sz w:val="20"/>
              </w:rPr>
              <w:t>01 01 02 11 Expenditure related to officials and temporary staff implementing the Euratom Research and Training Programme — Direct research</w:t>
            </w:r>
          </w:p>
        </w:tc>
        <w:tc>
          <w:tcPr>
            <w:tcW w:w="1417" w:type="dxa"/>
            <w:vAlign w:val="center"/>
          </w:tcPr>
          <w:p w:rsidR="00032451" w:rsidRPr="00F50E64" w:rsidRDefault="00032451" w:rsidP="00032451">
            <w:pPr>
              <w:spacing w:before="20" w:after="20"/>
              <w:rPr>
                <w:noProof/>
                <w:sz w:val="18"/>
              </w:rPr>
            </w:pPr>
            <w:r w:rsidRPr="00032451">
              <w:rPr>
                <w:noProof/>
                <w:sz w:val="18"/>
              </w:rPr>
              <w:t>Commitments = Payments</w:t>
            </w:r>
          </w:p>
        </w:tc>
        <w:tc>
          <w:tcPr>
            <w:tcW w:w="992" w:type="dxa"/>
            <w:vAlign w:val="center"/>
          </w:tcPr>
          <w:p w:rsidR="00032451" w:rsidRPr="00F50E64" w:rsidRDefault="00032451" w:rsidP="00032451">
            <w:pPr>
              <w:spacing w:before="40" w:after="40"/>
              <w:jc w:val="center"/>
              <w:rPr>
                <w:noProof/>
                <w:sz w:val="14"/>
              </w:rPr>
            </w:pPr>
            <w:r w:rsidRPr="00F50E64">
              <w:rPr>
                <w:noProof/>
                <w:sz w:val="14"/>
              </w:rPr>
              <w:t>(3a)</w:t>
            </w:r>
          </w:p>
        </w:tc>
        <w:tc>
          <w:tcPr>
            <w:tcW w:w="1134" w:type="dxa"/>
            <w:vAlign w:val="center"/>
          </w:tcPr>
          <w:p w:rsidR="00032451" w:rsidRPr="00F50E64" w:rsidRDefault="00032451" w:rsidP="00032451">
            <w:pPr>
              <w:spacing w:before="40" w:after="40"/>
              <w:jc w:val="right"/>
              <w:rPr>
                <w:b/>
                <w:bCs/>
                <w:noProof/>
                <w:sz w:val="20"/>
              </w:rPr>
            </w:pPr>
            <w:r w:rsidRPr="00127FDF">
              <w:rPr>
                <w:noProof/>
                <w:sz w:val="20"/>
                <w:szCs w:val="18"/>
              </w:rPr>
              <w:t>56.277</w:t>
            </w:r>
          </w:p>
        </w:tc>
        <w:tc>
          <w:tcPr>
            <w:tcW w:w="993" w:type="dxa"/>
            <w:vAlign w:val="center"/>
          </w:tcPr>
          <w:p w:rsidR="00032451" w:rsidRPr="00F50E64" w:rsidRDefault="00032451" w:rsidP="00032451">
            <w:pPr>
              <w:spacing w:before="40" w:after="40"/>
              <w:jc w:val="right"/>
              <w:rPr>
                <w:b/>
                <w:bCs/>
                <w:noProof/>
                <w:sz w:val="20"/>
              </w:rPr>
            </w:pPr>
            <w:r w:rsidRPr="00127FDF">
              <w:rPr>
                <w:noProof/>
                <w:sz w:val="20"/>
                <w:szCs w:val="18"/>
              </w:rPr>
              <w:t>57.277</w:t>
            </w:r>
          </w:p>
        </w:tc>
        <w:tc>
          <w:tcPr>
            <w:tcW w:w="1254" w:type="dxa"/>
            <w:vAlign w:val="center"/>
          </w:tcPr>
          <w:p w:rsidR="00032451" w:rsidRPr="00F50E64" w:rsidRDefault="00032451" w:rsidP="00032451">
            <w:pPr>
              <w:spacing w:before="40" w:after="40"/>
              <w:jc w:val="right"/>
              <w:rPr>
                <w:b/>
                <w:bCs/>
                <w:noProof/>
                <w:sz w:val="20"/>
              </w:rPr>
            </w:pP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113</w:t>
            </w:r>
            <w:r>
              <w:rPr>
                <w:b/>
                <w:bCs/>
                <w:noProof/>
                <w:sz w:val="20"/>
                <w:szCs w:val="18"/>
              </w:rPr>
              <w:t>.</w:t>
            </w:r>
            <w:r w:rsidRPr="00F50E64">
              <w:rPr>
                <w:b/>
                <w:bCs/>
                <w:noProof/>
                <w:sz w:val="20"/>
                <w:szCs w:val="18"/>
              </w:rPr>
              <w:t>554</w:t>
            </w:r>
          </w:p>
        </w:tc>
      </w:tr>
      <w:tr w:rsidR="00032451" w:rsidRPr="00F50E64" w:rsidTr="009F05F9">
        <w:trPr>
          <w:trHeight w:val="319"/>
          <w:jc w:val="center"/>
        </w:trPr>
        <w:tc>
          <w:tcPr>
            <w:tcW w:w="6545" w:type="dxa"/>
            <w:vAlign w:val="center"/>
          </w:tcPr>
          <w:p w:rsidR="00032451" w:rsidRPr="00F50E64" w:rsidRDefault="00032451" w:rsidP="00032451">
            <w:pPr>
              <w:spacing w:before="60" w:after="60"/>
              <w:rPr>
                <w:noProof/>
                <w:sz w:val="20"/>
              </w:rPr>
            </w:pPr>
            <w:r w:rsidRPr="00F50E64">
              <w:rPr>
                <w:noProof/>
                <w:sz w:val="20"/>
                <w:szCs w:val="18"/>
              </w:rPr>
              <w:t>01 01 02 12 External personnel implementing the Euratom Research and Training Programme — Direct research</w:t>
            </w:r>
          </w:p>
        </w:tc>
        <w:tc>
          <w:tcPr>
            <w:tcW w:w="1417" w:type="dxa"/>
            <w:vAlign w:val="center"/>
          </w:tcPr>
          <w:p w:rsidR="00032451" w:rsidRPr="00F50E64" w:rsidRDefault="00032451" w:rsidP="00032451">
            <w:pPr>
              <w:spacing w:before="20" w:after="20"/>
              <w:rPr>
                <w:noProof/>
                <w:sz w:val="18"/>
              </w:rPr>
            </w:pPr>
            <w:r w:rsidRPr="00032451">
              <w:rPr>
                <w:noProof/>
                <w:sz w:val="18"/>
              </w:rPr>
              <w:t>Commitments = Payments</w:t>
            </w:r>
          </w:p>
        </w:tc>
        <w:tc>
          <w:tcPr>
            <w:tcW w:w="992" w:type="dxa"/>
            <w:vAlign w:val="center"/>
          </w:tcPr>
          <w:p w:rsidR="00032451" w:rsidRPr="00F50E64" w:rsidRDefault="00032451" w:rsidP="00032451">
            <w:pPr>
              <w:spacing w:before="40" w:after="40"/>
              <w:jc w:val="center"/>
              <w:rPr>
                <w:noProof/>
                <w:sz w:val="14"/>
              </w:rPr>
            </w:pPr>
            <w:r w:rsidRPr="00F50E64">
              <w:rPr>
                <w:noProof/>
                <w:sz w:val="14"/>
              </w:rPr>
              <w:t>(3b)</w:t>
            </w:r>
          </w:p>
        </w:tc>
        <w:tc>
          <w:tcPr>
            <w:tcW w:w="1134" w:type="dxa"/>
            <w:vAlign w:val="center"/>
          </w:tcPr>
          <w:p w:rsidR="00032451" w:rsidRPr="00F50E64" w:rsidRDefault="00032451" w:rsidP="00032451">
            <w:pPr>
              <w:spacing w:before="40" w:after="40"/>
              <w:jc w:val="right"/>
              <w:rPr>
                <w:noProof/>
                <w:sz w:val="20"/>
                <w:szCs w:val="18"/>
              </w:rPr>
            </w:pPr>
            <w:r w:rsidRPr="00F50E64">
              <w:rPr>
                <w:noProof/>
                <w:sz w:val="20"/>
                <w:szCs w:val="18"/>
              </w:rPr>
              <w:t>10</w:t>
            </w:r>
            <w:r>
              <w:rPr>
                <w:noProof/>
                <w:sz w:val="20"/>
                <w:szCs w:val="18"/>
              </w:rPr>
              <w:t>.</w:t>
            </w:r>
            <w:r w:rsidRPr="00F50E64">
              <w:rPr>
                <w:noProof/>
                <w:sz w:val="20"/>
                <w:szCs w:val="18"/>
              </w:rPr>
              <w:t>455</w:t>
            </w:r>
          </w:p>
        </w:tc>
        <w:tc>
          <w:tcPr>
            <w:tcW w:w="993" w:type="dxa"/>
            <w:vAlign w:val="center"/>
          </w:tcPr>
          <w:p w:rsidR="00032451" w:rsidRPr="00F50E64" w:rsidRDefault="00032451" w:rsidP="00032451">
            <w:pPr>
              <w:spacing w:before="40" w:after="40"/>
              <w:jc w:val="right"/>
              <w:rPr>
                <w:noProof/>
                <w:sz w:val="20"/>
                <w:szCs w:val="18"/>
              </w:rPr>
            </w:pPr>
            <w:r w:rsidRPr="00F50E64">
              <w:rPr>
                <w:noProof/>
                <w:sz w:val="20"/>
                <w:szCs w:val="18"/>
              </w:rPr>
              <w:t>10</w:t>
            </w:r>
            <w:r>
              <w:rPr>
                <w:noProof/>
                <w:sz w:val="20"/>
                <w:szCs w:val="18"/>
              </w:rPr>
              <w:t>.</w:t>
            </w:r>
            <w:r w:rsidRPr="00F50E64">
              <w:rPr>
                <w:noProof/>
                <w:sz w:val="20"/>
                <w:szCs w:val="18"/>
              </w:rPr>
              <w:t>455</w:t>
            </w:r>
          </w:p>
        </w:tc>
        <w:tc>
          <w:tcPr>
            <w:tcW w:w="1254" w:type="dxa"/>
            <w:vAlign w:val="center"/>
          </w:tcPr>
          <w:p w:rsidR="00032451" w:rsidRPr="00F50E64" w:rsidRDefault="00032451" w:rsidP="00032451">
            <w:pPr>
              <w:spacing w:before="40" w:after="40"/>
              <w:jc w:val="right"/>
              <w:rPr>
                <w:b/>
                <w:noProof/>
                <w:sz w:val="20"/>
              </w:rPr>
            </w:pP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20</w:t>
            </w:r>
            <w:r>
              <w:rPr>
                <w:b/>
                <w:bCs/>
                <w:noProof/>
                <w:sz w:val="20"/>
                <w:szCs w:val="18"/>
              </w:rPr>
              <w:t>.</w:t>
            </w:r>
            <w:r w:rsidRPr="00F50E64">
              <w:rPr>
                <w:b/>
                <w:bCs/>
                <w:noProof/>
                <w:sz w:val="20"/>
                <w:szCs w:val="18"/>
              </w:rPr>
              <w:t>910</w:t>
            </w:r>
          </w:p>
        </w:tc>
      </w:tr>
      <w:tr w:rsidR="00032451" w:rsidRPr="00F50E64" w:rsidTr="009F05F9">
        <w:trPr>
          <w:trHeight w:val="319"/>
          <w:jc w:val="center"/>
        </w:trPr>
        <w:tc>
          <w:tcPr>
            <w:tcW w:w="6545" w:type="dxa"/>
            <w:vAlign w:val="center"/>
          </w:tcPr>
          <w:p w:rsidR="00032451" w:rsidRPr="00F50E64" w:rsidRDefault="00032451" w:rsidP="00032451">
            <w:pPr>
              <w:spacing w:before="60" w:after="60"/>
              <w:rPr>
                <w:noProof/>
                <w:sz w:val="20"/>
              </w:rPr>
            </w:pPr>
            <w:r w:rsidRPr="00F50E64">
              <w:rPr>
                <w:noProof/>
                <w:sz w:val="20"/>
                <w:szCs w:val="18"/>
              </w:rPr>
              <w:t>01 01 02 13 Other management expenditure for the Euratom Research and Training Programme — Direct research</w:t>
            </w:r>
          </w:p>
        </w:tc>
        <w:tc>
          <w:tcPr>
            <w:tcW w:w="1417" w:type="dxa"/>
            <w:vAlign w:val="center"/>
          </w:tcPr>
          <w:p w:rsidR="00032451" w:rsidRPr="00F50E64" w:rsidRDefault="00032451" w:rsidP="00032451">
            <w:pPr>
              <w:spacing w:before="20" w:after="20"/>
              <w:rPr>
                <w:noProof/>
                <w:sz w:val="18"/>
              </w:rPr>
            </w:pPr>
            <w:r w:rsidRPr="00032451">
              <w:rPr>
                <w:noProof/>
                <w:sz w:val="18"/>
              </w:rPr>
              <w:t>Commitments = Payments</w:t>
            </w:r>
          </w:p>
        </w:tc>
        <w:tc>
          <w:tcPr>
            <w:tcW w:w="992" w:type="dxa"/>
            <w:vAlign w:val="center"/>
          </w:tcPr>
          <w:p w:rsidR="00032451" w:rsidRPr="00F50E64" w:rsidRDefault="00032451" w:rsidP="00032451">
            <w:pPr>
              <w:spacing w:before="40" w:after="40"/>
              <w:jc w:val="center"/>
              <w:rPr>
                <w:noProof/>
                <w:sz w:val="14"/>
              </w:rPr>
            </w:pPr>
            <w:r w:rsidRPr="00F50E64">
              <w:rPr>
                <w:noProof/>
                <w:sz w:val="14"/>
              </w:rPr>
              <w:t>(3c)</w:t>
            </w:r>
          </w:p>
        </w:tc>
        <w:tc>
          <w:tcPr>
            <w:tcW w:w="1134" w:type="dxa"/>
            <w:vAlign w:val="center"/>
          </w:tcPr>
          <w:p w:rsidR="00032451" w:rsidRPr="00F50E64" w:rsidRDefault="00032451" w:rsidP="00032451">
            <w:pPr>
              <w:spacing w:before="40" w:after="40"/>
              <w:jc w:val="right"/>
              <w:rPr>
                <w:noProof/>
                <w:sz w:val="20"/>
                <w:szCs w:val="18"/>
              </w:rPr>
            </w:pPr>
            <w:r w:rsidRPr="00F50E64">
              <w:rPr>
                <w:noProof/>
                <w:sz w:val="20"/>
                <w:szCs w:val="18"/>
              </w:rPr>
              <w:t>35</w:t>
            </w:r>
            <w:r>
              <w:rPr>
                <w:noProof/>
                <w:sz w:val="20"/>
                <w:szCs w:val="18"/>
              </w:rPr>
              <w:t>.</w:t>
            </w:r>
            <w:r w:rsidRPr="00F50E64">
              <w:rPr>
                <w:noProof/>
                <w:sz w:val="20"/>
                <w:szCs w:val="18"/>
              </w:rPr>
              <w:t>314</w:t>
            </w:r>
          </w:p>
        </w:tc>
        <w:tc>
          <w:tcPr>
            <w:tcW w:w="993" w:type="dxa"/>
            <w:vAlign w:val="center"/>
          </w:tcPr>
          <w:p w:rsidR="00032451" w:rsidRPr="00F50E64" w:rsidRDefault="00032451" w:rsidP="00032451">
            <w:pPr>
              <w:spacing w:before="40" w:after="40"/>
              <w:jc w:val="right"/>
              <w:rPr>
                <w:noProof/>
                <w:sz w:val="20"/>
                <w:szCs w:val="18"/>
              </w:rPr>
            </w:pPr>
            <w:r w:rsidRPr="00F50E64">
              <w:rPr>
                <w:noProof/>
                <w:sz w:val="20"/>
                <w:szCs w:val="18"/>
              </w:rPr>
              <w:t>35</w:t>
            </w:r>
            <w:r>
              <w:rPr>
                <w:noProof/>
                <w:sz w:val="20"/>
                <w:szCs w:val="18"/>
              </w:rPr>
              <w:t>.</w:t>
            </w:r>
            <w:r w:rsidRPr="00F50E64">
              <w:rPr>
                <w:noProof/>
                <w:sz w:val="20"/>
                <w:szCs w:val="18"/>
              </w:rPr>
              <w:t>697</w:t>
            </w:r>
          </w:p>
        </w:tc>
        <w:tc>
          <w:tcPr>
            <w:tcW w:w="1254" w:type="dxa"/>
            <w:vAlign w:val="center"/>
          </w:tcPr>
          <w:p w:rsidR="00032451" w:rsidRPr="00F50E64" w:rsidRDefault="00032451" w:rsidP="00032451">
            <w:pPr>
              <w:spacing w:before="40" w:after="40"/>
              <w:jc w:val="right"/>
              <w:rPr>
                <w:bCs/>
                <w:noProof/>
                <w:sz w:val="20"/>
              </w:rPr>
            </w:pP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71</w:t>
            </w:r>
            <w:r>
              <w:rPr>
                <w:b/>
                <w:bCs/>
                <w:noProof/>
                <w:sz w:val="20"/>
                <w:szCs w:val="18"/>
              </w:rPr>
              <w:t>.</w:t>
            </w:r>
            <w:r w:rsidRPr="00F50E64">
              <w:rPr>
                <w:b/>
                <w:bCs/>
                <w:noProof/>
                <w:sz w:val="20"/>
                <w:szCs w:val="18"/>
              </w:rPr>
              <w:t>011</w:t>
            </w:r>
          </w:p>
        </w:tc>
      </w:tr>
      <w:tr w:rsidR="00032451" w:rsidRPr="00F50E64" w:rsidTr="009F05F9">
        <w:trPr>
          <w:jc w:val="center"/>
        </w:trPr>
        <w:tc>
          <w:tcPr>
            <w:tcW w:w="6545" w:type="dxa"/>
            <w:vMerge w:val="restart"/>
            <w:vAlign w:val="center"/>
          </w:tcPr>
          <w:p w:rsidR="00032451" w:rsidRPr="00F50E64" w:rsidRDefault="00032451" w:rsidP="00032451">
            <w:pPr>
              <w:jc w:val="center"/>
              <w:rPr>
                <w:b/>
                <w:noProof/>
              </w:rPr>
            </w:pPr>
            <w:r w:rsidRPr="00F50E64">
              <w:rPr>
                <w:b/>
                <w:noProof/>
                <w:sz w:val="22"/>
              </w:rPr>
              <w:t>TOTAL appropriations</w:t>
            </w:r>
            <w:r w:rsidRPr="00F50E64">
              <w:rPr>
                <w:noProof/>
                <w:sz w:val="22"/>
              </w:rPr>
              <w:br/>
            </w:r>
            <w:r w:rsidRPr="00F50E64">
              <w:rPr>
                <w:b/>
                <w:noProof/>
                <w:sz w:val="22"/>
              </w:rPr>
              <w:t>for DG JRC</w:t>
            </w:r>
          </w:p>
        </w:tc>
        <w:tc>
          <w:tcPr>
            <w:tcW w:w="1417" w:type="dxa"/>
            <w:vAlign w:val="center"/>
          </w:tcPr>
          <w:p w:rsidR="00032451" w:rsidRPr="00F50E64" w:rsidRDefault="00032451" w:rsidP="00032451">
            <w:pPr>
              <w:rPr>
                <w:noProof/>
                <w:sz w:val="18"/>
              </w:rPr>
            </w:pPr>
            <w:r w:rsidRPr="00F50E64">
              <w:rPr>
                <w:noProof/>
                <w:sz w:val="18"/>
              </w:rPr>
              <w:t>Commitments</w:t>
            </w:r>
          </w:p>
        </w:tc>
        <w:tc>
          <w:tcPr>
            <w:tcW w:w="992" w:type="dxa"/>
            <w:vAlign w:val="center"/>
          </w:tcPr>
          <w:p w:rsidR="00032451" w:rsidRPr="00F50E64" w:rsidRDefault="00032451" w:rsidP="00032451">
            <w:pPr>
              <w:jc w:val="center"/>
              <w:rPr>
                <w:noProof/>
                <w:sz w:val="14"/>
              </w:rPr>
            </w:pPr>
            <w:r w:rsidRPr="00F50E64">
              <w:rPr>
                <w:noProof/>
                <w:sz w:val="14"/>
              </w:rPr>
              <w:t>=1a+3a+3b+3c</w:t>
            </w:r>
          </w:p>
        </w:tc>
        <w:tc>
          <w:tcPr>
            <w:tcW w:w="1134" w:type="dxa"/>
            <w:vAlign w:val="center"/>
          </w:tcPr>
          <w:p w:rsidR="00032451" w:rsidRPr="00F50E64" w:rsidRDefault="00032451" w:rsidP="00032451">
            <w:pPr>
              <w:spacing w:before="20" w:after="20"/>
              <w:jc w:val="right"/>
              <w:rPr>
                <w:noProof/>
                <w:sz w:val="20"/>
              </w:rPr>
            </w:pPr>
            <w:r w:rsidRPr="00127FDF">
              <w:rPr>
                <w:b/>
                <w:bCs/>
                <w:noProof/>
                <w:sz w:val="20"/>
                <w:szCs w:val="18"/>
              </w:rPr>
              <w:t>114.546</w:t>
            </w:r>
          </w:p>
        </w:tc>
        <w:tc>
          <w:tcPr>
            <w:tcW w:w="993" w:type="dxa"/>
            <w:vAlign w:val="center"/>
          </w:tcPr>
          <w:p w:rsidR="00032451" w:rsidRPr="00F50E64" w:rsidRDefault="00032451" w:rsidP="00032451">
            <w:pPr>
              <w:spacing w:before="20" w:after="20"/>
              <w:jc w:val="right"/>
              <w:rPr>
                <w:noProof/>
                <w:sz w:val="20"/>
              </w:rPr>
            </w:pPr>
            <w:r w:rsidRPr="00127FDF">
              <w:rPr>
                <w:b/>
                <w:bCs/>
                <w:noProof/>
                <w:sz w:val="20"/>
                <w:szCs w:val="18"/>
              </w:rPr>
              <w:t>115.929</w:t>
            </w:r>
          </w:p>
        </w:tc>
        <w:tc>
          <w:tcPr>
            <w:tcW w:w="1254" w:type="dxa"/>
            <w:vAlign w:val="center"/>
          </w:tcPr>
          <w:p w:rsidR="00032451" w:rsidRPr="00F50E64" w:rsidRDefault="00032451" w:rsidP="00032451">
            <w:pPr>
              <w:spacing w:before="20" w:after="20"/>
              <w:jc w:val="right"/>
              <w:rPr>
                <w:noProof/>
                <w:sz w:val="20"/>
              </w:rPr>
            </w:pP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230</w:t>
            </w:r>
            <w:r>
              <w:rPr>
                <w:b/>
                <w:bCs/>
                <w:noProof/>
                <w:sz w:val="20"/>
                <w:szCs w:val="18"/>
              </w:rPr>
              <w:t>.</w:t>
            </w:r>
            <w:r w:rsidRPr="00F50E64">
              <w:rPr>
                <w:b/>
                <w:bCs/>
                <w:noProof/>
                <w:sz w:val="20"/>
                <w:szCs w:val="18"/>
              </w:rPr>
              <w:t>475</w:t>
            </w:r>
          </w:p>
        </w:tc>
      </w:tr>
      <w:tr w:rsidR="00032451" w:rsidRPr="00F50E64" w:rsidTr="009F05F9">
        <w:trPr>
          <w:jc w:val="center"/>
        </w:trPr>
        <w:tc>
          <w:tcPr>
            <w:tcW w:w="6545" w:type="dxa"/>
            <w:vMerge/>
          </w:tcPr>
          <w:p w:rsidR="00032451" w:rsidRPr="00F50E64" w:rsidRDefault="00032451" w:rsidP="00032451">
            <w:pPr>
              <w:rPr>
                <w:noProof/>
                <w:sz w:val="20"/>
              </w:rPr>
            </w:pPr>
          </w:p>
        </w:tc>
        <w:tc>
          <w:tcPr>
            <w:tcW w:w="1417" w:type="dxa"/>
            <w:vAlign w:val="center"/>
          </w:tcPr>
          <w:p w:rsidR="00032451" w:rsidRPr="00F50E64" w:rsidRDefault="00032451" w:rsidP="00032451">
            <w:pPr>
              <w:rPr>
                <w:noProof/>
                <w:sz w:val="18"/>
              </w:rPr>
            </w:pPr>
            <w:r w:rsidRPr="00F50E64">
              <w:rPr>
                <w:noProof/>
                <w:sz w:val="18"/>
              </w:rPr>
              <w:t>Payments</w:t>
            </w:r>
          </w:p>
        </w:tc>
        <w:tc>
          <w:tcPr>
            <w:tcW w:w="992" w:type="dxa"/>
            <w:vAlign w:val="center"/>
          </w:tcPr>
          <w:p w:rsidR="00032451" w:rsidRPr="00F50E64" w:rsidRDefault="00032451" w:rsidP="00032451">
            <w:pPr>
              <w:jc w:val="center"/>
              <w:rPr>
                <w:noProof/>
                <w:sz w:val="14"/>
              </w:rPr>
            </w:pPr>
            <w:r w:rsidRPr="00F50E64">
              <w:rPr>
                <w:noProof/>
                <w:sz w:val="14"/>
              </w:rPr>
              <w:t>=2a+3a+3b+3c</w:t>
            </w:r>
          </w:p>
        </w:tc>
        <w:tc>
          <w:tcPr>
            <w:tcW w:w="1134" w:type="dxa"/>
            <w:vAlign w:val="center"/>
          </w:tcPr>
          <w:p w:rsidR="00032451" w:rsidRPr="00F50E64" w:rsidRDefault="00032451" w:rsidP="00032451">
            <w:pPr>
              <w:spacing w:before="20" w:after="20"/>
              <w:jc w:val="right"/>
              <w:rPr>
                <w:noProof/>
                <w:sz w:val="20"/>
              </w:rPr>
            </w:pPr>
            <w:r w:rsidRPr="00127FDF">
              <w:rPr>
                <w:b/>
                <w:bCs/>
                <w:noProof/>
                <w:sz w:val="20"/>
                <w:szCs w:val="18"/>
              </w:rPr>
              <w:t>105.746</w:t>
            </w:r>
          </w:p>
        </w:tc>
        <w:tc>
          <w:tcPr>
            <w:tcW w:w="993" w:type="dxa"/>
            <w:vAlign w:val="center"/>
          </w:tcPr>
          <w:p w:rsidR="00032451" w:rsidRPr="00F50E64" w:rsidRDefault="00032451" w:rsidP="00032451">
            <w:pPr>
              <w:spacing w:before="20" w:after="20"/>
              <w:jc w:val="right"/>
              <w:rPr>
                <w:noProof/>
                <w:sz w:val="20"/>
              </w:rPr>
            </w:pPr>
            <w:r w:rsidRPr="00127FDF">
              <w:rPr>
                <w:b/>
                <w:bCs/>
                <w:noProof/>
                <w:sz w:val="20"/>
                <w:szCs w:val="18"/>
              </w:rPr>
              <w:t>113.129</w:t>
            </w:r>
          </w:p>
        </w:tc>
        <w:tc>
          <w:tcPr>
            <w:tcW w:w="1254" w:type="dxa"/>
            <w:vAlign w:val="center"/>
          </w:tcPr>
          <w:p w:rsidR="00032451" w:rsidRPr="00F50E64" w:rsidRDefault="00032451" w:rsidP="00032451">
            <w:pPr>
              <w:spacing w:before="20" w:after="20"/>
              <w:jc w:val="right"/>
              <w:rPr>
                <w:noProof/>
                <w:sz w:val="20"/>
              </w:rPr>
            </w:pPr>
            <w:r w:rsidRPr="00127FDF">
              <w:rPr>
                <w:b/>
                <w:bCs/>
                <w:noProof/>
                <w:sz w:val="20"/>
                <w:szCs w:val="18"/>
              </w:rPr>
              <w:t>11.600</w:t>
            </w:r>
          </w:p>
        </w:tc>
        <w:tc>
          <w:tcPr>
            <w:tcW w:w="1391" w:type="dxa"/>
            <w:vAlign w:val="center"/>
          </w:tcPr>
          <w:p w:rsidR="00032451" w:rsidRPr="00F50E64" w:rsidRDefault="00032451" w:rsidP="00032451">
            <w:pPr>
              <w:spacing w:before="20" w:after="20"/>
              <w:jc w:val="right"/>
              <w:rPr>
                <w:b/>
                <w:bCs/>
                <w:noProof/>
                <w:sz w:val="20"/>
                <w:szCs w:val="18"/>
              </w:rPr>
            </w:pPr>
            <w:r w:rsidRPr="00F50E64">
              <w:rPr>
                <w:b/>
                <w:bCs/>
                <w:noProof/>
                <w:sz w:val="20"/>
                <w:szCs w:val="18"/>
              </w:rPr>
              <w:t>230</w:t>
            </w:r>
            <w:r>
              <w:rPr>
                <w:b/>
                <w:bCs/>
                <w:noProof/>
                <w:sz w:val="20"/>
                <w:szCs w:val="18"/>
              </w:rPr>
              <w:t>.</w:t>
            </w:r>
            <w:r w:rsidRPr="00F50E64">
              <w:rPr>
                <w:b/>
                <w:bCs/>
                <w:noProof/>
                <w:sz w:val="20"/>
                <w:szCs w:val="18"/>
              </w:rPr>
              <w:t>475</w:t>
            </w:r>
          </w:p>
        </w:tc>
      </w:tr>
    </w:tbl>
    <w:p w:rsidR="00B96D6D" w:rsidRPr="00F50E64" w:rsidRDefault="00B96D6D" w:rsidP="00B96D6D">
      <w:pPr>
        <w:rPr>
          <w:noProof/>
        </w:rPr>
      </w:pPr>
    </w:p>
    <w:p w:rsidR="00B96D6D" w:rsidRPr="00F50E64" w:rsidRDefault="00B96D6D" w:rsidP="00B96D6D">
      <w:pPr>
        <w:rPr>
          <w:noProof/>
        </w:rPr>
      </w:pPr>
    </w:p>
    <w:p w:rsidR="00B96D6D" w:rsidRPr="00F50E64" w:rsidRDefault="00B96D6D" w:rsidP="00B96D6D">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2"/>
        <w:gridCol w:w="1370"/>
        <w:gridCol w:w="992"/>
        <w:gridCol w:w="1134"/>
        <w:gridCol w:w="993"/>
        <w:gridCol w:w="1275"/>
        <w:gridCol w:w="1418"/>
      </w:tblGrid>
      <w:tr w:rsidR="00367D62" w:rsidRPr="00F50E64" w:rsidTr="00367D62">
        <w:trPr>
          <w:trHeight w:val="277"/>
          <w:jc w:val="center"/>
        </w:trPr>
        <w:tc>
          <w:tcPr>
            <w:tcW w:w="4802" w:type="dxa"/>
            <w:vMerge w:val="restart"/>
            <w:vAlign w:val="center"/>
          </w:tcPr>
          <w:p w:rsidR="00367D62" w:rsidRPr="00F50E64" w:rsidRDefault="00367D62" w:rsidP="00367D62">
            <w:pPr>
              <w:spacing w:before="20" w:after="20"/>
              <w:rPr>
                <w:noProof/>
              </w:rPr>
            </w:pPr>
            <w:r w:rsidRPr="00F50E64">
              <w:rPr>
                <w:noProof/>
                <w:sz w:val="22"/>
              </w:rPr>
              <w:br w:type="page"/>
            </w:r>
            <w:r w:rsidRPr="00F50E64">
              <w:rPr>
                <w:noProof/>
                <w:sz w:val="21"/>
              </w:rPr>
              <w:sym w:font="Wingdings" w:char="F09F"/>
            </w:r>
            <w:r w:rsidRPr="00F50E64">
              <w:rPr>
                <w:noProof/>
                <w:sz w:val="21"/>
              </w:rPr>
              <w:t xml:space="preserve"> TOTAL operational appropriations </w:t>
            </w:r>
          </w:p>
        </w:tc>
        <w:tc>
          <w:tcPr>
            <w:tcW w:w="1370" w:type="dxa"/>
            <w:vAlign w:val="center"/>
          </w:tcPr>
          <w:p w:rsidR="00367D62" w:rsidRPr="00F50E64" w:rsidRDefault="00367D62" w:rsidP="00367D62">
            <w:pPr>
              <w:spacing w:beforeLines="20" w:before="48" w:afterLines="20" w:after="48"/>
              <w:rPr>
                <w:noProof/>
                <w:sz w:val="18"/>
              </w:rPr>
            </w:pPr>
            <w:r w:rsidRPr="00F50E64">
              <w:rPr>
                <w:noProof/>
                <w:sz w:val="18"/>
              </w:rPr>
              <w:t>Commitments</w:t>
            </w:r>
          </w:p>
        </w:tc>
        <w:tc>
          <w:tcPr>
            <w:tcW w:w="992" w:type="dxa"/>
            <w:vAlign w:val="center"/>
          </w:tcPr>
          <w:p w:rsidR="00367D62" w:rsidRPr="00F50E64" w:rsidRDefault="00367D62" w:rsidP="00367D62">
            <w:pPr>
              <w:spacing w:beforeLines="20" w:before="48" w:afterLines="20" w:after="48"/>
              <w:jc w:val="center"/>
              <w:rPr>
                <w:noProof/>
                <w:sz w:val="14"/>
              </w:rPr>
            </w:pPr>
            <w:r w:rsidRPr="00F50E64">
              <w:rPr>
                <w:noProof/>
                <w:sz w:val="14"/>
              </w:rPr>
              <w:t>(4)</w:t>
            </w:r>
          </w:p>
        </w:tc>
        <w:tc>
          <w:tcPr>
            <w:tcW w:w="1134" w:type="dxa"/>
            <w:vAlign w:val="center"/>
          </w:tcPr>
          <w:p w:rsidR="00367D62" w:rsidRPr="00F50E64" w:rsidRDefault="00367D62" w:rsidP="00367D62">
            <w:pPr>
              <w:jc w:val="right"/>
              <w:rPr>
                <w:b/>
                <w:bCs/>
                <w:noProof/>
                <w:sz w:val="20"/>
              </w:rPr>
            </w:pPr>
            <w:r w:rsidRPr="00F50E64">
              <w:rPr>
                <w:b/>
                <w:bCs/>
                <w:noProof/>
                <w:sz w:val="20"/>
              </w:rPr>
              <w:t>181</w:t>
            </w:r>
            <w:r>
              <w:rPr>
                <w:b/>
                <w:bCs/>
                <w:noProof/>
                <w:sz w:val="20"/>
              </w:rPr>
              <w:t>.</w:t>
            </w:r>
            <w:r w:rsidRPr="00F50E64">
              <w:rPr>
                <w:b/>
                <w:bCs/>
                <w:noProof/>
                <w:sz w:val="20"/>
              </w:rPr>
              <w:t>53</w:t>
            </w:r>
            <w:r>
              <w:rPr>
                <w:b/>
                <w:bCs/>
                <w:noProof/>
                <w:sz w:val="20"/>
              </w:rPr>
              <w:t>4</w:t>
            </w:r>
          </w:p>
        </w:tc>
        <w:tc>
          <w:tcPr>
            <w:tcW w:w="993" w:type="dxa"/>
            <w:vAlign w:val="center"/>
          </w:tcPr>
          <w:p w:rsidR="00367D62" w:rsidRPr="00F50E64" w:rsidRDefault="00367D62" w:rsidP="00367D62">
            <w:pPr>
              <w:jc w:val="right"/>
              <w:rPr>
                <w:b/>
                <w:bCs/>
                <w:noProof/>
                <w:sz w:val="20"/>
              </w:rPr>
            </w:pPr>
            <w:r w:rsidRPr="00F50E64">
              <w:rPr>
                <w:b/>
                <w:bCs/>
                <w:noProof/>
                <w:sz w:val="20"/>
              </w:rPr>
              <w:t>190</w:t>
            </w:r>
            <w:r>
              <w:rPr>
                <w:b/>
                <w:bCs/>
                <w:noProof/>
                <w:sz w:val="20"/>
              </w:rPr>
              <w:t>.</w:t>
            </w:r>
            <w:r w:rsidRPr="00F50E64">
              <w:rPr>
                <w:b/>
                <w:bCs/>
                <w:noProof/>
                <w:sz w:val="20"/>
              </w:rPr>
              <w:t>507</w:t>
            </w:r>
          </w:p>
        </w:tc>
        <w:tc>
          <w:tcPr>
            <w:tcW w:w="1275" w:type="dxa"/>
            <w:vAlign w:val="center"/>
          </w:tcPr>
          <w:p w:rsidR="00367D62" w:rsidRPr="00F50E64" w:rsidRDefault="00367D62" w:rsidP="00367D62">
            <w:pPr>
              <w:spacing w:before="20" w:after="20"/>
              <w:jc w:val="right"/>
              <w:rPr>
                <w:b/>
                <w:bCs/>
                <w:noProof/>
                <w:sz w:val="20"/>
              </w:rPr>
            </w:pPr>
            <w:r w:rsidRPr="00F50E64">
              <w:rPr>
                <w:b/>
                <w:bCs/>
                <w:noProof/>
                <w:sz w:val="20"/>
              </w:rPr>
              <w:t>0</w:t>
            </w:r>
          </w:p>
        </w:tc>
        <w:tc>
          <w:tcPr>
            <w:tcW w:w="1418" w:type="dxa"/>
            <w:vAlign w:val="center"/>
          </w:tcPr>
          <w:p w:rsidR="00367D62" w:rsidRPr="00F50E64" w:rsidRDefault="00367D62" w:rsidP="00367D62">
            <w:pPr>
              <w:jc w:val="right"/>
              <w:rPr>
                <w:b/>
                <w:bCs/>
                <w:noProof/>
                <w:sz w:val="20"/>
              </w:rPr>
            </w:pPr>
            <w:r w:rsidRPr="00F50E64">
              <w:rPr>
                <w:b/>
                <w:bCs/>
                <w:noProof/>
                <w:sz w:val="20"/>
              </w:rPr>
              <w:t>372</w:t>
            </w:r>
            <w:r>
              <w:rPr>
                <w:b/>
                <w:bCs/>
                <w:noProof/>
                <w:sz w:val="20"/>
              </w:rPr>
              <w:t>.</w:t>
            </w:r>
            <w:r w:rsidRPr="00F50E64">
              <w:rPr>
                <w:b/>
                <w:bCs/>
                <w:noProof/>
                <w:sz w:val="20"/>
              </w:rPr>
              <w:t xml:space="preserve">041 </w:t>
            </w:r>
          </w:p>
        </w:tc>
      </w:tr>
      <w:tr w:rsidR="00367D62" w:rsidRPr="00F50E64" w:rsidTr="00367D62">
        <w:trPr>
          <w:jc w:val="center"/>
        </w:trPr>
        <w:tc>
          <w:tcPr>
            <w:tcW w:w="4802" w:type="dxa"/>
            <w:vMerge/>
          </w:tcPr>
          <w:p w:rsidR="00367D62" w:rsidRPr="00F50E64" w:rsidRDefault="00367D62" w:rsidP="00367D62">
            <w:pPr>
              <w:jc w:val="center"/>
              <w:rPr>
                <w:noProof/>
                <w:sz w:val="20"/>
              </w:rPr>
            </w:pPr>
          </w:p>
        </w:tc>
        <w:tc>
          <w:tcPr>
            <w:tcW w:w="1370" w:type="dxa"/>
            <w:vAlign w:val="center"/>
          </w:tcPr>
          <w:p w:rsidR="00367D62" w:rsidRPr="00F50E64" w:rsidRDefault="00367D62" w:rsidP="00367D62">
            <w:pPr>
              <w:spacing w:beforeLines="20" w:before="48" w:afterLines="20" w:after="48"/>
              <w:rPr>
                <w:noProof/>
                <w:sz w:val="18"/>
              </w:rPr>
            </w:pPr>
            <w:r w:rsidRPr="00F50E64">
              <w:rPr>
                <w:noProof/>
                <w:sz w:val="18"/>
              </w:rPr>
              <w:t>Payments</w:t>
            </w:r>
          </w:p>
        </w:tc>
        <w:tc>
          <w:tcPr>
            <w:tcW w:w="992" w:type="dxa"/>
            <w:vAlign w:val="center"/>
          </w:tcPr>
          <w:p w:rsidR="00367D62" w:rsidRPr="00F50E64" w:rsidRDefault="00367D62" w:rsidP="00367D62">
            <w:pPr>
              <w:spacing w:beforeLines="20" w:before="48" w:afterLines="20" w:after="48"/>
              <w:jc w:val="center"/>
              <w:rPr>
                <w:noProof/>
                <w:sz w:val="14"/>
              </w:rPr>
            </w:pPr>
            <w:r w:rsidRPr="00F50E64">
              <w:rPr>
                <w:noProof/>
                <w:sz w:val="14"/>
              </w:rPr>
              <w:t>(5)</w:t>
            </w:r>
          </w:p>
        </w:tc>
        <w:tc>
          <w:tcPr>
            <w:tcW w:w="1134" w:type="dxa"/>
            <w:vAlign w:val="center"/>
          </w:tcPr>
          <w:p w:rsidR="00367D62" w:rsidRPr="00F50E64" w:rsidRDefault="00367D62" w:rsidP="00367D62">
            <w:pPr>
              <w:spacing w:before="20" w:after="20"/>
              <w:jc w:val="right"/>
              <w:rPr>
                <w:noProof/>
                <w:sz w:val="20"/>
              </w:rPr>
            </w:pPr>
            <w:r w:rsidRPr="00F50E64">
              <w:rPr>
                <w:noProof/>
                <w:sz w:val="20"/>
              </w:rPr>
              <w:t>71.</w:t>
            </w:r>
            <w:r>
              <w:rPr>
                <w:noProof/>
                <w:sz w:val="20"/>
              </w:rPr>
              <w:t>3</w:t>
            </w:r>
            <w:r w:rsidRPr="00F50E64">
              <w:rPr>
                <w:noProof/>
                <w:sz w:val="20"/>
              </w:rPr>
              <w:t>13</w:t>
            </w:r>
          </w:p>
        </w:tc>
        <w:tc>
          <w:tcPr>
            <w:tcW w:w="993" w:type="dxa"/>
            <w:vAlign w:val="center"/>
          </w:tcPr>
          <w:p w:rsidR="00367D62" w:rsidRPr="00F50E64" w:rsidRDefault="00367D62" w:rsidP="00367D62">
            <w:pPr>
              <w:spacing w:before="20" w:after="20"/>
              <w:jc w:val="right"/>
              <w:rPr>
                <w:noProof/>
                <w:sz w:val="20"/>
              </w:rPr>
            </w:pPr>
            <w:r w:rsidRPr="00F50E64">
              <w:rPr>
                <w:noProof/>
                <w:sz w:val="20"/>
              </w:rPr>
              <w:t>82.102</w:t>
            </w:r>
          </w:p>
        </w:tc>
        <w:tc>
          <w:tcPr>
            <w:tcW w:w="1275" w:type="dxa"/>
            <w:vAlign w:val="center"/>
          </w:tcPr>
          <w:p w:rsidR="00367D62" w:rsidRPr="00F50E64" w:rsidRDefault="00367D62" w:rsidP="00367D62">
            <w:pPr>
              <w:spacing w:before="20" w:after="20"/>
              <w:jc w:val="right"/>
              <w:rPr>
                <w:noProof/>
                <w:sz w:val="20"/>
              </w:rPr>
            </w:pPr>
            <w:r w:rsidRPr="00F50E64">
              <w:rPr>
                <w:noProof/>
                <w:sz w:val="20"/>
              </w:rPr>
              <w:t>218.</w:t>
            </w:r>
            <w:r>
              <w:rPr>
                <w:noProof/>
                <w:sz w:val="20"/>
              </w:rPr>
              <w:t>627</w:t>
            </w:r>
          </w:p>
        </w:tc>
        <w:tc>
          <w:tcPr>
            <w:tcW w:w="1418" w:type="dxa"/>
            <w:vAlign w:val="center"/>
          </w:tcPr>
          <w:p w:rsidR="00367D62" w:rsidRPr="00F50E64" w:rsidRDefault="00367D62" w:rsidP="00367D62">
            <w:pPr>
              <w:jc w:val="right"/>
              <w:rPr>
                <w:b/>
                <w:noProof/>
                <w:sz w:val="20"/>
              </w:rPr>
            </w:pPr>
            <w:r w:rsidRPr="00F50E64">
              <w:rPr>
                <w:b/>
                <w:noProof/>
                <w:sz w:val="20"/>
              </w:rPr>
              <w:t>372.041</w:t>
            </w:r>
          </w:p>
        </w:tc>
      </w:tr>
      <w:tr w:rsidR="00367D62" w:rsidRPr="00F50E64" w:rsidTr="00367D62">
        <w:trPr>
          <w:trHeight w:val="533"/>
          <w:jc w:val="center"/>
        </w:trPr>
        <w:tc>
          <w:tcPr>
            <w:tcW w:w="4802" w:type="dxa"/>
            <w:vAlign w:val="center"/>
          </w:tcPr>
          <w:p w:rsidR="00367D62" w:rsidRPr="00F50E64" w:rsidRDefault="00367D62" w:rsidP="00367D62">
            <w:pPr>
              <w:spacing w:beforeLines="20" w:before="48" w:afterLines="20" w:after="48"/>
              <w:rPr>
                <w:noProof/>
                <w:lang w:val="en-IE"/>
              </w:rPr>
            </w:pPr>
            <w:r w:rsidRPr="00F50E64">
              <w:rPr>
                <w:noProof/>
                <w:sz w:val="21"/>
              </w:rPr>
              <w:sym w:font="Wingdings" w:char="F09F"/>
            </w:r>
            <w:r w:rsidRPr="00F50E64">
              <w:rPr>
                <w:noProof/>
                <w:sz w:val="21"/>
                <w:lang w:val="en-IE"/>
              </w:rPr>
              <w:t xml:space="preserve"> TOTAL appropriations of an administrative nature financed from the envelope for specific programmes </w:t>
            </w:r>
          </w:p>
        </w:tc>
        <w:tc>
          <w:tcPr>
            <w:tcW w:w="1370" w:type="dxa"/>
            <w:vAlign w:val="center"/>
          </w:tcPr>
          <w:p w:rsidR="00367D62" w:rsidRPr="00367D62" w:rsidRDefault="00367D62" w:rsidP="00367D62">
            <w:pPr>
              <w:spacing w:beforeLines="20" w:before="48" w:afterLines="20" w:after="48"/>
              <w:rPr>
                <w:noProof/>
                <w:sz w:val="18"/>
              </w:rPr>
            </w:pPr>
            <w:r w:rsidRPr="00367D62">
              <w:rPr>
                <w:noProof/>
                <w:sz w:val="18"/>
              </w:rPr>
              <w:t>Commitments = Payments</w:t>
            </w:r>
          </w:p>
        </w:tc>
        <w:tc>
          <w:tcPr>
            <w:tcW w:w="992" w:type="dxa"/>
            <w:vAlign w:val="center"/>
          </w:tcPr>
          <w:p w:rsidR="00367D62" w:rsidRPr="00F50E64" w:rsidRDefault="00367D62" w:rsidP="00367D62">
            <w:pPr>
              <w:spacing w:beforeLines="20" w:before="48" w:afterLines="20" w:after="48"/>
              <w:jc w:val="center"/>
              <w:rPr>
                <w:noProof/>
                <w:sz w:val="14"/>
              </w:rPr>
            </w:pPr>
            <w:r w:rsidRPr="00F50E64">
              <w:rPr>
                <w:noProof/>
                <w:sz w:val="14"/>
              </w:rPr>
              <w:t>(6)</w:t>
            </w:r>
          </w:p>
        </w:tc>
        <w:tc>
          <w:tcPr>
            <w:tcW w:w="1134" w:type="dxa"/>
            <w:vAlign w:val="center"/>
          </w:tcPr>
          <w:p w:rsidR="00367D62" w:rsidRPr="00F50E64" w:rsidRDefault="00367D62" w:rsidP="00367D62">
            <w:pPr>
              <w:spacing w:before="20" w:after="20"/>
              <w:jc w:val="right"/>
              <w:rPr>
                <w:b/>
                <w:noProof/>
                <w:sz w:val="20"/>
              </w:rPr>
            </w:pPr>
            <w:r w:rsidRPr="00F50E64">
              <w:rPr>
                <w:b/>
                <w:noProof/>
                <w:sz w:val="20"/>
              </w:rPr>
              <w:t>112</w:t>
            </w:r>
            <w:r>
              <w:rPr>
                <w:b/>
                <w:noProof/>
                <w:sz w:val="20"/>
              </w:rPr>
              <w:t>.</w:t>
            </w:r>
            <w:r w:rsidRPr="00F50E64">
              <w:rPr>
                <w:b/>
                <w:noProof/>
                <w:sz w:val="20"/>
              </w:rPr>
              <w:t>275</w:t>
            </w:r>
          </w:p>
        </w:tc>
        <w:tc>
          <w:tcPr>
            <w:tcW w:w="993" w:type="dxa"/>
            <w:vAlign w:val="center"/>
          </w:tcPr>
          <w:p w:rsidR="00367D62" w:rsidRPr="00F50E64" w:rsidRDefault="00367D62" w:rsidP="00367D62">
            <w:pPr>
              <w:spacing w:before="20" w:after="20"/>
              <w:jc w:val="right"/>
              <w:rPr>
                <w:b/>
                <w:noProof/>
                <w:sz w:val="20"/>
              </w:rPr>
            </w:pPr>
            <w:r w:rsidRPr="00F50E64">
              <w:rPr>
                <w:b/>
                <w:noProof/>
                <w:sz w:val="20"/>
              </w:rPr>
              <w:t>114</w:t>
            </w:r>
            <w:r>
              <w:rPr>
                <w:b/>
                <w:noProof/>
                <w:sz w:val="20"/>
              </w:rPr>
              <w:t>.</w:t>
            </w:r>
            <w:r w:rsidRPr="00F50E64">
              <w:rPr>
                <w:b/>
                <w:noProof/>
                <w:sz w:val="20"/>
              </w:rPr>
              <w:t>031</w:t>
            </w:r>
          </w:p>
        </w:tc>
        <w:tc>
          <w:tcPr>
            <w:tcW w:w="1275" w:type="dxa"/>
            <w:vAlign w:val="center"/>
          </w:tcPr>
          <w:p w:rsidR="00367D62" w:rsidRPr="00F50E64" w:rsidRDefault="00367D62" w:rsidP="00367D62">
            <w:pPr>
              <w:spacing w:before="20" w:after="20"/>
              <w:jc w:val="right"/>
              <w:rPr>
                <w:b/>
                <w:noProof/>
                <w:sz w:val="20"/>
              </w:rPr>
            </w:pPr>
          </w:p>
        </w:tc>
        <w:tc>
          <w:tcPr>
            <w:tcW w:w="1418" w:type="dxa"/>
            <w:vAlign w:val="center"/>
          </w:tcPr>
          <w:p w:rsidR="00367D62" w:rsidRPr="00F50E64" w:rsidRDefault="00367D62" w:rsidP="00367D62">
            <w:pPr>
              <w:spacing w:before="20" w:after="20"/>
              <w:jc w:val="right"/>
              <w:rPr>
                <w:b/>
                <w:noProof/>
                <w:sz w:val="20"/>
              </w:rPr>
            </w:pPr>
            <w:r w:rsidRPr="00F50E64">
              <w:rPr>
                <w:b/>
                <w:noProof/>
                <w:sz w:val="20"/>
              </w:rPr>
              <w:t>226</w:t>
            </w:r>
            <w:r>
              <w:rPr>
                <w:b/>
                <w:noProof/>
                <w:sz w:val="20"/>
              </w:rPr>
              <w:t>.</w:t>
            </w:r>
            <w:r w:rsidRPr="00F50E64">
              <w:rPr>
                <w:b/>
                <w:noProof/>
                <w:sz w:val="20"/>
              </w:rPr>
              <w:t>30</w:t>
            </w:r>
            <w:r>
              <w:rPr>
                <w:b/>
                <w:noProof/>
                <w:sz w:val="20"/>
              </w:rPr>
              <w:t>6</w:t>
            </w:r>
          </w:p>
        </w:tc>
      </w:tr>
      <w:tr w:rsidR="00367D62" w:rsidRPr="00F50E64" w:rsidTr="00367D62">
        <w:trPr>
          <w:jc w:val="center"/>
        </w:trPr>
        <w:tc>
          <w:tcPr>
            <w:tcW w:w="4802" w:type="dxa"/>
            <w:vMerge w:val="restart"/>
            <w:shd w:val="thinDiagStripe" w:color="C0C0C0" w:fill="auto"/>
            <w:vAlign w:val="center"/>
          </w:tcPr>
          <w:p w:rsidR="00367D62" w:rsidRPr="00F50E64" w:rsidRDefault="00367D62" w:rsidP="00367D62">
            <w:pPr>
              <w:jc w:val="center"/>
              <w:rPr>
                <w:b/>
                <w:noProof/>
                <w:lang w:val="en-IE"/>
              </w:rPr>
            </w:pPr>
            <w:r w:rsidRPr="00F50E64">
              <w:rPr>
                <w:b/>
                <w:noProof/>
                <w:sz w:val="22"/>
                <w:lang w:val="en-IE"/>
              </w:rPr>
              <w:t xml:space="preserve">TOTAL appropriations </w:t>
            </w:r>
            <w:r w:rsidRPr="00F50E64">
              <w:rPr>
                <w:noProof/>
                <w:sz w:val="22"/>
                <w:lang w:val="en-IE"/>
              </w:rPr>
              <w:br/>
            </w:r>
            <w:r w:rsidRPr="00F50E64">
              <w:rPr>
                <w:b/>
                <w:noProof/>
                <w:sz w:val="22"/>
                <w:lang w:val="en-IE"/>
              </w:rPr>
              <w:t>under HEADING 1</w:t>
            </w:r>
            <w:r w:rsidRPr="00F50E64">
              <w:rPr>
                <w:noProof/>
                <w:sz w:val="22"/>
                <w:lang w:val="en-IE"/>
              </w:rPr>
              <w:br/>
              <w:t>of the multiannual financial framework</w:t>
            </w:r>
          </w:p>
        </w:tc>
        <w:tc>
          <w:tcPr>
            <w:tcW w:w="1370" w:type="dxa"/>
            <w:vAlign w:val="center"/>
          </w:tcPr>
          <w:p w:rsidR="00367D62" w:rsidRPr="00F50E64" w:rsidRDefault="00367D62" w:rsidP="00367D62">
            <w:pPr>
              <w:rPr>
                <w:noProof/>
                <w:sz w:val="18"/>
              </w:rPr>
            </w:pPr>
            <w:r w:rsidRPr="00F50E64">
              <w:rPr>
                <w:noProof/>
                <w:sz w:val="18"/>
              </w:rPr>
              <w:t>Commitments</w:t>
            </w:r>
          </w:p>
        </w:tc>
        <w:tc>
          <w:tcPr>
            <w:tcW w:w="992" w:type="dxa"/>
            <w:vAlign w:val="center"/>
          </w:tcPr>
          <w:p w:rsidR="00367D62" w:rsidRPr="00F50E64" w:rsidRDefault="00367D62" w:rsidP="00367D62">
            <w:pPr>
              <w:jc w:val="center"/>
              <w:rPr>
                <w:noProof/>
                <w:sz w:val="14"/>
              </w:rPr>
            </w:pPr>
            <w:r w:rsidRPr="00F50E64">
              <w:rPr>
                <w:noProof/>
                <w:sz w:val="14"/>
              </w:rPr>
              <w:t>=4+ 6</w:t>
            </w:r>
          </w:p>
        </w:tc>
        <w:tc>
          <w:tcPr>
            <w:tcW w:w="1134" w:type="dxa"/>
            <w:vAlign w:val="center"/>
          </w:tcPr>
          <w:p w:rsidR="00367D62" w:rsidRPr="00F50E64" w:rsidRDefault="00367D62" w:rsidP="00367D62">
            <w:pPr>
              <w:spacing w:before="20" w:after="20"/>
              <w:jc w:val="right"/>
              <w:rPr>
                <w:b/>
                <w:bCs/>
                <w:noProof/>
                <w:sz w:val="20"/>
              </w:rPr>
            </w:pPr>
            <w:r w:rsidRPr="00F50E64">
              <w:rPr>
                <w:b/>
                <w:bCs/>
                <w:noProof/>
                <w:sz w:val="20"/>
              </w:rPr>
              <w:t>293</w:t>
            </w:r>
            <w:r>
              <w:rPr>
                <w:b/>
                <w:bCs/>
                <w:noProof/>
                <w:sz w:val="20"/>
              </w:rPr>
              <w:t>.</w:t>
            </w:r>
            <w:r w:rsidRPr="00F50E64">
              <w:rPr>
                <w:b/>
                <w:bCs/>
                <w:noProof/>
                <w:sz w:val="20"/>
              </w:rPr>
              <w:t>809</w:t>
            </w:r>
          </w:p>
        </w:tc>
        <w:tc>
          <w:tcPr>
            <w:tcW w:w="993" w:type="dxa"/>
            <w:vAlign w:val="center"/>
          </w:tcPr>
          <w:p w:rsidR="00367D62" w:rsidRPr="00F50E64" w:rsidRDefault="00367D62" w:rsidP="00367D62">
            <w:pPr>
              <w:spacing w:before="20" w:after="20"/>
              <w:jc w:val="right"/>
              <w:rPr>
                <w:b/>
                <w:bCs/>
                <w:noProof/>
                <w:sz w:val="20"/>
              </w:rPr>
            </w:pPr>
            <w:r w:rsidRPr="00F50E64">
              <w:rPr>
                <w:b/>
                <w:bCs/>
                <w:noProof/>
                <w:sz w:val="20"/>
              </w:rPr>
              <w:t>304</w:t>
            </w:r>
            <w:r>
              <w:rPr>
                <w:b/>
                <w:bCs/>
                <w:noProof/>
                <w:sz w:val="20"/>
              </w:rPr>
              <w:t>.</w:t>
            </w:r>
            <w:r w:rsidRPr="00F50E64">
              <w:rPr>
                <w:b/>
                <w:bCs/>
                <w:noProof/>
                <w:sz w:val="20"/>
              </w:rPr>
              <w:t>538</w:t>
            </w:r>
          </w:p>
        </w:tc>
        <w:tc>
          <w:tcPr>
            <w:tcW w:w="1275" w:type="dxa"/>
            <w:vAlign w:val="center"/>
          </w:tcPr>
          <w:p w:rsidR="00367D62" w:rsidRPr="00F50E64" w:rsidRDefault="00367D62" w:rsidP="00367D62">
            <w:pPr>
              <w:spacing w:before="20" w:after="20"/>
              <w:jc w:val="right"/>
              <w:rPr>
                <w:noProof/>
                <w:sz w:val="20"/>
              </w:rPr>
            </w:pPr>
          </w:p>
        </w:tc>
        <w:tc>
          <w:tcPr>
            <w:tcW w:w="1418" w:type="dxa"/>
            <w:vAlign w:val="center"/>
          </w:tcPr>
          <w:p w:rsidR="00367D62" w:rsidRPr="00F50E64" w:rsidRDefault="00367D62" w:rsidP="00367D62">
            <w:pPr>
              <w:spacing w:before="20" w:after="20"/>
              <w:jc w:val="right"/>
              <w:rPr>
                <w:b/>
                <w:noProof/>
                <w:sz w:val="20"/>
              </w:rPr>
            </w:pPr>
            <w:r w:rsidRPr="00F50E64">
              <w:rPr>
                <w:b/>
                <w:noProof/>
                <w:sz w:val="20"/>
              </w:rPr>
              <w:t>598</w:t>
            </w:r>
            <w:r>
              <w:rPr>
                <w:b/>
                <w:noProof/>
                <w:sz w:val="20"/>
              </w:rPr>
              <w:t>.</w:t>
            </w:r>
            <w:r w:rsidRPr="00F50E64">
              <w:rPr>
                <w:b/>
                <w:noProof/>
                <w:sz w:val="20"/>
              </w:rPr>
              <w:t>347</w:t>
            </w:r>
          </w:p>
        </w:tc>
      </w:tr>
      <w:tr w:rsidR="00367D62" w:rsidRPr="00F50E64" w:rsidTr="00367D62">
        <w:trPr>
          <w:jc w:val="center"/>
        </w:trPr>
        <w:tc>
          <w:tcPr>
            <w:tcW w:w="4802" w:type="dxa"/>
            <w:vMerge/>
            <w:shd w:val="thinDiagStripe" w:color="C0C0C0" w:fill="auto"/>
          </w:tcPr>
          <w:p w:rsidR="00367D62" w:rsidRPr="00F50E64" w:rsidRDefault="00367D62" w:rsidP="00367D62">
            <w:pPr>
              <w:rPr>
                <w:noProof/>
                <w:sz w:val="20"/>
              </w:rPr>
            </w:pPr>
          </w:p>
        </w:tc>
        <w:tc>
          <w:tcPr>
            <w:tcW w:w="1370" w:type="dxa"/>
            <w:vAlign w:val="center"/>
          </w:tcPr>
          <w:p w:rsidR="00367D62" w:rsidRPr="00F50E64" w:rsidRDefault="00367D62" w:rsidP="00367D62">
            <w:pPr>
              <w:rPr>
                <w:noProof/>
                <w:sz w:val="18"/>
              </w:rPr>
            </w:pPr>
            <w:r w:rsidRPr="00F50E64">
              <w:rPr>
                <w:noProof/>
                <w:sz w:val="18"/>
              </w:rPr>
              <w:t>Payments</w:t>
            </w:r>
          </w:p>
        </w:tc>
        <w:tc>
          <w:tcPr>
            <w:tcW w:w="992" w:type="dxa"/>
            <w:vAlign w:val="center"/>
          </w:tcPr>
          <w:p w:rsidR="00367D62" w:rsidRPr="00F50E64" w:rsidRDefault="00367D62" w:rsidP="00367D62">
            <w:pPr>
              <w:jc w:val="center"/>
              <w:rPr>
                <w:noProof/>
                <w:sz w:val="14"/>
              </w:rPr>
            </w:pPr>
            <w:r w:rsidRPr="00F50E64">
              <w:rPr>
                <w:noProof/>
                <w:sz w:val="14"/>
              </w:rPr>
              <w:t>=5+ 6</w:t>
            </w:r>
          </w:p>
        </w:tc>
        <w:tc>
          <w:tcPr>
            <w:tcW w:w="1134" w:type="dxa"/>
            <w:vAlign w:val="center"/>
          </w:tcPr>
          <w:p w:rsidR="00367D62" w:rsidRPr="00F50E64" w:rsidRDefault="00367D62" w:rsidP="00367D62">
            <w:pPr>
              <w:spacing w:before="20" w:after="20"/>
              <w:jc w:val="right"/>
              <w:rPr>
                <w:noProof/>
                <w:sz w:val="20"/>
              </w:rPr>
            </w:pPr>
            <w:r w:rsidRPr="00302D92">
              <w:rPr>
                <w:b/>
                <w:bCs/>
                <w:noProof/>
                <w:sz w:val="20"/>
              </w:rPr>
              <w:t>183.588</w:t>
            </w:r>
          </w:p>
        </w:tc>
        <w:tc>
          <w:tcPr>
            <w:tcW w:w="993" w:type="dxa"/>
            <w:vAlign w:val="center"/>
          </w:tcPr>
          <w:p w:rsidR="00367D62" w:rsidRPr="00F50E64" w:rsidRDefault="00367D62" w:rsidP="00367D62">
            <w:pPr>
              <w:spacing w:before="20" w:after="20"/>
              <w:jc w:val="right"/>
              <w:rPr>
                <w:noProof/>
                <w:sz w:val="20"/>
              </w:rPr>
            </w:pPr>
            <w:r w:rsidRPr="00302D92">
              <w:rPr>
                <w:b/>
                <w:bCs/>
                <w:noProof/>
                <w:sz w:val="20"/>
              </w:rPr>
              <w:t>196.133</w:t>
            </w:r>
          </w:p>
        </w:tc>
        <w:tc>
          <w:tcPr>
            <w:tcW w:w="1275" w:type="dxa"/>
            <w:vAlign w:val="center"/>
          </w:tcPr>
          <w:p w:rsidR="00367D62" w:rsidRPr="00F50E64" w:rsidRDefault="00367D62" w:rsidP="00367D62">
            <w:pPr>
              <w:spacing w:before="20" w:after="20"/>
              <w:jc w:val="right"/>
              <w:rPr>
                <w:noProof/>
                <w:sz w:val="20"/>
              </w:rPr>
            </w:pPr>
            <w:r w:rsidRPr="00302D92">
              <w:rPr>
                <w:b/>
                <w:bCs/>
                <w:noProof/>
                <w:sz w:val="20"/>
              </w:rPr>
              <w:t>218.627</w:t>
            </w:r>
          </w:p>
        </w:tc>
        <w:tc>
          <w:tcPr>
            <w:tcW w:w="1418" w:type="dxa"/>
            <w:vAlign w:val="center"/>
          </w:tcPr>
          <w:p w:rsidR="00367D62" w:rsidRPr="00F50E64" w:rsidRDefault="00367D62" w:rsidP="00367D62">
            <w:pPr>
              <w:spacing w:before="20" w:after="20"/>
              <w:jc w:val="right"/>
              <w:rPr>
                <w:b/>
                <w:noProof/>
                <w:sz w:val="20"/>
              </w:rPr>
            </w:pPr>
            <w:r w:rsidRPr="00F50E64">
              <w:rPr>
                <w:b/>
                <w:noProof/>
                <w:sz w:val="20"/>
              </w:rPr>
              <w:t>598.347</w:t>
            </w:r>
          </w:p>
        </w:tc>
      </w:tr>
    </w:tbl>
    <w:p w:rsidR="00B96D6D" w:rsidRPr="00F50E64" w:rsidRDefault="00B96D6D" w:rsidP="00B96D6D">
      <w:pPr>
        <w:spacing w:before="0" w:after="0"/>
        <w:jc w:val="left"/>
        <w:rPr>
          <w:noProof/>
        </w:rPr>
      </w:pPr>
      <w:r w:rsidRPr="00F50E64">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6D6D" w:rsidRPr="00F50E64" w:rsidTr="00C874B9">
        <w:trPr>
          <w:jc w:val="center"/>
        </w:trPr>
        <w:tc>
          <w:tcPr>
            <w:tcW w:w="4744" w:type="dxa"/>
            <w:shd w:val="thinDiagStripe" w:color="C0C0C0" w:fill="auto"/>
            <w:vAlign w:val="center"/>
          </w:tcPr>
          <w:p w:rsidR="00B96D6D" w:rsidRPr="00F50E64" w:rsidRDefault="00B96D6D" w:rsidP="00C874B9">
            <w:pPr>
              <w:spacing w:before="60" w:after="60"/>
              <w:jc w:val="center"/>
              <w:rPr>
                <w:b/>
                <w:noProof/>
                <w:lang w:val="en-IE"/>
              </w:rPr>
            </w:pPr>
            <w:r w:rsidRPr="00F50E64">
              <w:rPr>
                <w:noProof/>
                <w:sz w:val="22"/>
                <w:lang w:val="en-IE"/>
              </w:rPr>
              <w:br w:type="page"/>
            </w:r>
            <w:r w:rsidRPr="00F50E64">
              <w:rPr>
                <w:b/>
                <w:noProof/>
                <w:sz w:val="22"/>
                <w:lang w:val="en-IE"/>
              </w:rPr>
              <w:t xml:space="preserve">Heading of multiannual financial framework </w:t>
            </w:r>
          </w:p>
        </w:tc>
        <w:tc>
          <w:tcPr>
            <w:tcW w:w="1080" w:type="dxa"/>
            <w:shd w:val="thinDiagStripe" w:color="C0C0C0" w:fill="auto"/>
            <w:vAlign w:val="center"/>
          </w:tcPr>
          <w:p w:rsidR="00B96D6D" w:rsidRPr="00F50E64" w:rsidRDefault="00B96D6D" w:rsidP="00C874B9">
            <w:pPr>
              <w:spacing w:before="60" w:after="60"/>
              <w:jc w:val="center"/>
              <w:rPr>
                <w:noProof/>
              </w:rPr>
            </w:pPr>
            <w:r w:rsidRPr="00F50E64">
              <w:rPr>
                <w:b/>
                <w:noProof/>
                <w:sz w:val="22"/>
              </w:rPr>
              <w:t>7</w:t>
            </w:r>
          </w:p>
        </w:tc>
        <w:tc>
          <w:tcPr>
            <w:tcW w:w="7817" w:type="dxa"/>
            <w:vAlign w:val="center"/>
          </w:tcPr>
          <w:p w:rsidR="00B96D6D" w:rsidRPr="00F50E64" w:rsidRDefault="00B96D6D" w:rsidP="00C874B9">
            <w:pPr>
              <w:spacing w:before="60" w:after="60"/>
              <w:rPr>
                <w:noProof/>
              </w:rPr>
            </w:pPr>
            <w:r w:rsidRPr="00F50E64">
              <w:rPr>
                <w:noProof/>
                <w:sz w:val="22"/>
              </w:rPr>
              <w:t>‘Administrative expenditure’</w:t>
            </w:r>
          </w:p>
        </w:tc>
      </w:tr>
    </w:tbl>
    <w:p w:rsidR="00B96D6D" w:rsidRPr="00F50E64" w:rsidRDefault="00B96D6D" w:rsidP="00B96D6D">
      <w:pPr>
        <w:jc w:val="right"/>
        <w:rPr>
          <w:noProof/>
          <w:sz w:val="20"/>
          <w:lang w:val="en-IE"/>
        </w:rPr>
      </w:pPr>
      <w:r w:rsidRPr="00F50E64">
        <w:rPr>
          <w:noProof/>
          <w:sz w:val="20"/>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B96D6D" w:rsidRPr="00F50E64" w:rsidTr="00B96D6D">
        <w:trPr>
          <w:jc w:val="center"/>
        </w:trPr>
        <w:tc>
          <w:tcPr>
            <w:tcW w:w="3960" w:type="dxa"/>
            <w:tcBorders>
              <w:top w:val="nil"/>
              <w:left w:val="nil"/>
              <w:right w:val="nil"/>
            </w:tcBorders>
            <w:vAlign w:val="center"/>
          </w:tcPr>
          <w:p w:rsidR="00B96D6D" w:rsidRPr="00F50E64" w:rsidRDefault="00B96D6D" w:rsidP="00C874B9">
            <w:pPr>
              <w:jc w:val="center"/>
              <w:rPr>
                <w:noProof/>
                <w:lang w:val="en-IE"/>
              </w:rPr>
            </w:pPr>
          </w:p>
        </w:tc>
        <w:tc>
          <w:tcPr>
            <w:tcW w:w="1560" w:type="dxa"/>
            <w:tcBorders>
              <w:top w:val="nil"/>
              <w:left w:val="nil"/>
              <w:right w:val="nil"/>
            </w:tcBorders>
          </w:tcPr>
          <w:p w:rsidR="00B96D6D" w:rsidRPr="00F50E64" w:rsidRDefault="00B96D6D" w:rsidP="00C874B9">
            <w:pPr>
              <w:rPr>
                <w:noProof/>
                <w:sz w:val="20"/>
                <w:lang w:val="en-IE"/>
              </w:rPr>
            </w:pPr>
          </w:p>
        </w:tc>
        <w:tc>
          <w:tcPr>
            <w:tcW w:w="534" w:type="dxa"/>
            <w:tcBorders>
              <w:top w:val="nil"/>
              <w:left w:val="nil"/>
            </w:tcBorders>
          </w:tcPr>
          <w:p w:rsidR="00B96D6D" w:rsidRPr="00F50E64" w:rsidRDefault="00B96D6D" w:rsidP="00C874B9">
            <w:pPr>
              <w:jc w:val="center"/>
              <w:rPr>
                <w:noProof/>
                <w:sz w:val="20"/>
                <w:lang w:val="en-IE"/>
              </w:rPr>
            </w:pPr>
          </w:p>
        </w:tc>
        <w:tc>
          <w:tcPr>
            <w:tcW w:w="868"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2026</w:t>
            </w:r>
          </w:p>
        </w:tc>
        <w:tc>
          <w:tcPr>
            <w:tcW w:w="868"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2027</w:t>
            </w:r>
          </w:p>
        </w:tc>
        <w:tc>
          <w:tcPr>
            <w:tcW w:w="2604" w:type="dxa"/>
            <w:gridSpan w:val="3"/>
            <w:vAlign w:val="center"/>
          </w:tcPr>
          <w:p w:rsidR="00B96D6D" w:rsidRPr="00F50E64" w:rsidRDefault="00B96D6D" w:rsidP="00C874B9">
            <w:pPr>
              <w:jc w:val="center"/>
              <w:rPr>
                <w:b/>
                <w:noProof/>
                <w:sz w:val="18"/>
                <w:lang w:val="en-IE"/>
              </w:rPr>
            </w:pPr>
            <w:r w:rsidRPr="00F50E64">
              <w:rPr>
                <w:noProof/>
                <w:sz w:val="18"/>
                <w:lang w:val="en-IE"/>
              </w:rPr>
              <w:t xml:space="preserve">Post 2027 (see point 1.6) </w:t>
            </w:r>
          </w:p>
        </w:tc>
        <w:tc>
          <w:tcPr>
            <w:tcW w:w="1777" w:type="dxa"/>
            <w:vAlign w:val="center"/>
          </w:tcPr>
          <w:p w:rsidR="00B96D6D" w:rsidRPr="00F50E64" w:rsidRDefault="00B96D6D" w:rsidP="00C874B9">
            <w:pPr>
              <w:jc w:val="center"/>
              <w:rPr>
                <w:b/>
                <w:noProof/>
                <w:sz w:val="20"/>
              </w:rPr>
            </w:pPr>
            <w:r w:rsidRPr="00F50E64">
              <w:rPr>
                <w:b/>
                <w:noProof/>
                <w:sz w:val="20"/>
              </w:rPr>
              <w:t>TOTAL</w:t>
            </w:r>
          </w:p>
        </w:tc>
      </w:tr>
      <w:tr w:rsidR="00B96D6D" w:rsidRPr="00F50E64" w:rsidTr="00B96D6D">
        <w:trPr>
          <w:gridAfter w:val="8"/>
          <w:wAfter w:w="8211" w:type="dxa"/>
          <w:jc w:val="center"/>
        </w:trPr>
        <w:tc>
          <w:tcPr>
            <w:tcW w:w="3960" w:type="dxa"/>
            <w:vAlign w:val="center"/>
          </w:tcPr>
          <w:p w:rsidR="00B96D6D" w:rsidRPr="00F50E64" w:rsidRDefault="00B96D6D" w:rsidP="00C874B9">
            <w:pPr>
              <w:spacing w:before="60" w:after="60"/>
              <w:jc w:val="center"/>
              <w:rPr>
                <w:noProof/>
              </w:rPr>
            </w:pPr>
            <w:r w:rsidRPr="00F50E64">
              <w:rPr>
                <w:noProof/>
                <w:sz w:val="22"/>
              </w:rPr>
              <w:t>DG: &lt;…….&gt;</w:t>
            </w:r>
          </w:p>
        </w:tc>
      </w:tr>
      <w:tr w:rsidR="00B96D6D" w:rsidRPr="00F50E64" w:rsidTr="00B96D6D">
        <w:trPr>
          <w:trHeight w:val="313"/>
          <w:jc w:val="center"/>
        </w:trPr>
        <w:tc>
          <w:tcPr>
            <w:tcW w:w="6054" w:type="dxa"/>
            <w:gridSpan w:val="3"/>
            <w:vAlign w:val="center"/>
          </w:tcPr>
          <w:p w:rsidR="00B96D6D" w:rsidRPr="00F50E64" w:rsidRDefault="00B96D6D" w:rsidP="00C874B9">
            <w:pPr>
              <w:spacing w:before="20" w:after="20"/>
              <w:rPr>
                <w:noProof/>
              </w:rPr>
            </w:pPr>
            <w:r w:rsidRPr="00F50E64">
              <w:rPr>
                <w:noProof/>
                <w:sz w:val="22"/>
              </w:rPr>
              <w:sym w:font="Wingdings" w:char="F09F"/>
            </w:r>
            <w:r w:rsidRPr="00F50E64">
              <w:rPr>
                <w:noProof/>
                <w:sz w:val="22"/>
              </w:rPr>
              <w:t xml:space="preserve"> Human resources </w:t>
            </w: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b/>
                <w:noProof/>
                <w:sz w:val="20"/>
              </w:rPr>
            </w:pPr>
          </w:p>
        </w:tc>
        <w:tc>
          <w:tcPr>
            <w:tcW w:w="1777" w:type="dxa"/>
            <w:vAlign w:val="center"/>
          </w:tcPr>
          <w:p w:rsidR="00B96D6D" w:rsidRPr="00F50E64" w:rsidRDefault="00B96D6D" w:rsidP="00C874B9">
            <w:pPr>
              <w:spacing w:before="20" w:after="20"/>
              <w:jc w:val="right"/>
              <w:rPr>
                <w:b/>
                <w:noProof/>
                <w:sz w:val="20"/>
              </w:rPr>
            </w:pPr>
          </w:p>
        </w:tc>
      </w:tr>
      <w:tr w:rsidR="00B96D6D" w:rsidRPr="00F50E64" w:rsidTr="00B96D6D">
        <w:trPr>
          <w:trHeight w:val="351"/>
          <w:jc w:val="center"/>
        </w:trPr>
        <w:tc>
          <w:tcPr>
            <w:tcW w:w="6054" w:type="dxa"/>
            <w:gridSpan w:val="3"/>
            <w:vAlign w:val="center"/>
          </w:tcPr>
          <w:p w:rsidR="00B96D6D" w:rsidRPr="00F50E64" w:rsidRDefault="00B96D6D" w:rsidP="00C874B9">
            <w:pPr>
              <w:spacing w:before="20" w:after="20"/>
              <w:rPr>
                <w:noProof/>
              </w:rPr>
            </w:pPr>
            <w:r w:rsidRPr="00F50E64">
              <w:rPr>
                <w:noProof/>
                <w:sz w:val="22"/>
              </w:rPr>
              <w:sym w:font="Wingdings" w:char="F09F"/>
            </w:r>
            <w:r w:rsidRPr="00F50E64">
              <w:rPr>
                <w:noProof/>
                <w:sz w:val="22"/>
              </w:rPr>
              <w:t xml:space="preserve"> Other administrative expenditure </w:t>
            </w:r>
          </w:p>
        </w:tc>
        <w:tc>
          <w:tcPr>
            <w:tcW w:w="868" w:type="dxa"/>
            <w:vAlign w:val="center"/>
          </w:tcPr>
          <w:p w:rsidR="00B96D6D" w:rsidRPr="00F50E64" w:rsidRDefault="00B96D6D" w:rsidP="00C874B9">
            <w:pPr>
              <w:spacing w:before="20" w:after="20"/>
              <w:jc w:val="right"/>
              <w:rPr>
                <w:b/>
                <w:noProof/>
                <w:sz w:val="20"/>
              </w:rPr>
            </w:pPr>
          </w:p>
        </w:tc>
        <w:tc>
          <w:tcPr>
            <w:tcW w:w="868" w:type="dxa"/>
            <w:vAlign w:val="center"/>
          </w:tcPr>
          <w:p w:rsidR="00B96D6D" w:rsidRPr="00F50E64" w:rsidRDefault="00B96D6D" w:rsidP="00C874B9">
            <w:pPr>
              <w:spacing w:before="20" w:after="20"/>
              <w:jc w:val="right"/>
              <w:rPr>
                <w:b/>
                <w:noProof/>
                <w:sz w:val="20"/>
              </w:rPr>
            </w:pPr>
          </w:p>
        </w:tc>
        <w:tc>
          <w:tcPr>
            <w:tcW w:w="868" w:type="dxa"/>
            <w:vAlign w:val="center"/>
          </w:tcPr>
          <w:p w:rsidR="00B96D6D" w:rsidRPr="00F50E64" w:rsidRDefault="00B96D6D" w:rsidP="00C874B9">
            <w:pPr>
              <w:spacing w:before="20" w:after="20"/>
              <w:jc w:val="right"/>
              <w:rPr>
                <w:b/>
                <w:noProof/>
                <w:sz w:val="20"/>
              </w:rPr>
            </w:pPr>
          </w:p>
        </w:tc>
        <w:tc>
          <w:tcPr>
            <w:tcW w:w="868" w:type="dxa"/>
            <w:vAlign w:val="center"/>
          </w:tcPr>
          <w:p w:rsidR="00B96D6D" w:rsidRPr="00F50E64" w:rsidRDefault="00B96D6D" w:rsidP="00C874B9">
            <w:pPr>
              <w:spacing w:before="20" w:after="20"/>
              <w:jc w:val="right"/>
              <w:rPr>
                <w:b/>
                <w:noProof/>
                <w:sz w:val="20"/>
              </w:rPr>
            </w:pPr>
          </w:p>
        </w:tc>
        <w:tc>
          <w:tcPr>
            <w:tcW w:w="868" w:type="dxa"/>
            <w:vAlign w:val="center"/>
          </w:tcPr>
          <w:p w:rsidR="00B96D6D" w:rsidRPr="00F50E64" w:rsidRDefault="00B96D6D" w:rsidP="00C874B9">
            <w:pPr>
              <w:spacing w:before="20" w:after="20"/>
              <w:jc w:val="right"/>
              <w:rPr>
                <w:b/>
                <w:noProof/>
                <w:sz w:val="20"/>
              </w:rPr>
            </w:pPr>
          </w:p>
        </w:tc>
        <w:tc>
          <w:tcPr>
            <w:tcW w:w="1777" w:type="dxa"/>
            <w:vAlign w:val="center"/>
          </w:tcPr>
          <w:p w:rsidR="00B96D6D" w:rsidRPr="00F50E64" w:rsidRDefault="00B96D6D" w:rsidP="00C874B9">
            <w:pPr>
              <w:spacing w:before="20" w:after="20"/>
              <w:jc w:val="right"/>
              <w:rPr>
                <w:b/>
                <w:noProof/>
                <w:sz w:val="20"/>
              </w:rPr>
            </w:pPr>
          </w:p>
        </w:tc>
      </w:tr>
      <w:tr w:rsidR="00B96D6D" w:rsidRPr="00F50E64" w:rsidTr="00B96D6D">
        <w:trPr>
          <w:jc w:val="center"/>
        </w:trPr>
        <w:tc>
          <w:tcPr>
            <w:tcW w:w="3960" w:type="dxa"/>
            <w:vAlign w:val="center"/>
          </w:tcPr>
          <w:p w:rsidR="00B96D6D" w:rsidRPr="00F50E64" w:rsidRDefault="00B96D6D" w:rsidP="00C874B9">
            <w:pPr>
              <w:jc w:val="center"/>
              <w:rPr>
                <w:b/>
                <w:noProof/>
              </w:rPr>
            </w:pPr>
            <w:r w:rsidRPr="00F50E64">
              <w:rPr>
                <w:b/>
                <w:noProof/>
                <w:sz w:val="22"/>
              </w:rPr>
              <w:t xml:space="preserve">TOTAL DG </w:t>
            </w:r>
            <w:r w:rsidRPr="00F50E64">
              <w:rPr>
                <w:noProof/>
                <w:sz w:val="22"/>
              </w:rPr>
              <w:t>&lt;…….&gt;</w:t>
            </w:r>
          </w:p>
        </w:tc>
        <w:tc>
          <w:tcPr>
            <w:tcW w:w="2094" w:type="dxa"/>
            <w:gridSpan w:val="2"/>
            <w:vAlign w:val="center"/>
          </w:tcPr>
          <w:p w:rsidR="00B96D6D" w:rsidRPr="00F50E64" w:rsidRDefault="00B96D6D" w:rsidP="00C874B9">
            <w:pPr>
              <w:rPr>
                <w:noProof/>
                <w:sz w:val="14"/>
              </w:rPr>
            </w:pPr>
            <w:r w:rsidRPr="00F50E64">
              <w:rPr>
                <w:noProof/>
                <w:sz w:val="18"/>
              </w:rPr>
              <w:t xml:space="preserve">Appropriations </w:t>
            </w: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b/>
                <w:noProof/>
                <w:sz w:val="20"/>
              </w:rPr>
            </w:pPr>
          </w:p>
        </w:tc>
        <w:tc>
          <w:tcPr>
            <w:tcW w:w="1777" w:type="dxa"/>
            <w:vAlign w:val="center"/>
          </w:tcPr>
          <w:p w:rsidR="00B96D6D" w:rsidRPr="00F50E64" w:rsidRDefault="00B96D6D" w:rsidP="00C874B9">
            <w:pPr>
              <w:spacing w:before="20" w:after="20"/>
              <w:jc w:val="right"/>
              <w:rPr>
                <w:b/>
                <w:noProof/>
                <w:sz w:val="20"/>
              </w:rPr>
            </w:pPr>
          </w:p>
        </w:tc>
      </w:tr>
    </w:tbl>
    <w:p w:rsidR="00B96D6D" w:rsidRPr="00F50E64" w:rsidRDefault="00B96D6D" w:rsidP="00B96D6D">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rsidR="00B96D6D" w:rsidRPr="00F50E64" w:rsidTr="00B96D6D">
        <w:trPr>
          <w:jc w:val="center"/>
        </w:trPr>
        <w:tc>
          <w:tcPr>
            <w:tcW w:w="3960" w:type="dxa"/>
            <w:shd w:val="thinDiagStripe" w:color="C0C0C0" w:fill="auto"/>
            <w:vAlign w:val="center"/>
          </w:tcPr>
          <w:p w:rsidR="00B96D6D" w:rsidRPr="00F50E64" w:rsidRDefault="00B96D6D" w:rsidP="00C874B9">
            <w:pPr>
              <w:jc w:val="center"/>
              <w:rPr>
                <w:b/>
                <w:noProof/>
                <w:lang w:val="en-IE"/>
              </w:rPr>
            </w:pPr>
            <w:r w:rsidRPr="00F50E64">
              <w:rPr>
                <w:b/>
                <w:noProof/>
                <w:sz w:val="22"/>
                <w:lang w:val="en-IE"/>
              </w:rPr>
              <w:t>TOTAL appropriations</w:t>
            </w:r>
            <w:r w:rsidRPr="00F50E64">
              <w:rPr>
                <w:noProof/>
                <w:sz w:val="22"/>
                <w:lang w:val="en-IE"/>
              </w:rPr>
              <w:br/>
            </w:r>
            <w:r w:rsidRPr="00F50E64">
              <w:rPr>
                <w:b/>
                <w:noProof/>
                <w:sz w:val="22"/>
                <w:lang w:val="en-IE"/>
              </w:rPr>
              <w:t>under HEADING 7</w:t>
            </w:r>
            <w:r w:rsidRPr="00F50E64">
              <w:rPr>
                <w:noProof/>
                <w:sz w:val="22"/>
                <w:lang w:val="en-IE"/>
              </w:rPr>
              <w:br/>
              <w:t>of the multiannual financial framework</w:t>
            </w:r>
            <w:r w:rsidRPr="00F50E64">
              <w:rPr>
                <w:b/>
                <w:noProof/>
                <w:sz w:val="22"/>
                <w:lang w:val="en-IE"/>
              </w:rPr>
              <w:t xml:space="preserve"> </w:t>
            </w:r>
          </w:p>
        </w:tc>
        <w:tc>
          <w:tcPr>
            <w:tcW w:w="2094" w:type="dxa"/>
            <w:vAlign w:val="center"/>
          </w:tcPr>
          <w:p w:rsidR="00B96D6D" w:rsidRPr="00F50E64" w:rsidRDefault="00B96D6D" w:rsidP="00C874B9">
            <w:pPr>
              <w:spacing w:before="40" w:after="40"/>
              <w:rPr>
                <w:noProof/>
              </w:rPr>
            </w:pPr>
            <w:r w:rsidRPr="00F50E64">
              <w:rPr>
                <w:noProof/>
                <w:sz w:val="18"/>
              </w:rPr>
              <w:t>(Total commitments = Total payments)</w:t>
            </w: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noProof/>
                <w:sz w:val="20"/>
              </w:rPr>
            </w:pPr>
          </w:p>
        </w:tc>
        <w:tc>
          <w:tcPr>
            <w:tcW w:w="868" w:type="dxa"/>
            <w:vAlign w:val="center"/>
          </w:tcPr>
          <w:p w:rsidR="00B96D6D" w:rsidRPr="00F50E64" w:rsidRDefault="00B96D6D" w:rsidP="00C874B9">
            <w:pPr>
              <w:spacing w:before="20" w:after="20"/>
              <w:jc w:val="right"/>
              <w:rPr>
                <w:b/>
                <w:noProof/>
                <w:sz w:val="20"/>
              </w:rPr>
            </w:pPr>
          </w:p>
        </w:tc>
        <w:tc>
          <w:tcPr>
            <w:tcW w:w="1777" w:type="dxa"/>
            <w:vAlign w:val="center"/>
          </w:tcPr>
          <w:p w:rsidR="00B96D6D" w:rsidRPr="00F50E64" w:rsidRDefault="00B96D6D" w:rsidP="00C874B9">
            <w:pPr>
              <w:spacing w:before="20" w:after="20"/>
              <w:jc w:val="right"/>
              <w:rPr>
                <w:b/>
                <w:noProof/>
                <w:sz w:val="20"/>
              </w:rPr>
            </w:pPr>
          </w:p>
        </w:tc>
      </w:tr>
    </w:tbl>
    <w:p w:rsidR="00B96D6D" w:rsidRPr="00F50E64" w:rsidRDefault="00B96D6D" w:rsidP="00B96D6D">
      <w:pPr>
        <w:jc w:val="right"/>
        <w:rPr>
          <w:noProof/>
          <w:sz w:val="20"/>
          <w:lang w:val="en-IE"/>
        </w:rPr>
      </w:pPr>
      <w:r w:rsidRPr="00F50E64">
        <w:rPr>
          <w:noProof/>
          <w:sz w:val="20"/>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B96D6D" w:rsidRPr="00F50E64" w:rsidTr="00B96D6D">
        <w:trPr>
          <w:jc w:val="center"/>
        </w:trPr>
        <w:tc>
          <w:tcPr>
            <w:tcW w:w="3960" w:type="dxa"/>
            <w:tcBorders>
              <w:top w:val="nil"/>
              <w:left w:val="nil"/>
              <w:right w:val="nil"/>
            </w:tcBorders>
            <w:vAlign w:val="center"/>
          </w:tcPr>
          <w:p w:rsidR="00B96D6D" w:rsidRPr="00F50E64" w:rsidRDefault="00B96D6D" w:rsidP="00C874B9">
            <w:pPr>
              <w:jc w:val="center"/>
              <w:rPr>
                <w:noProof/>
                <w:lang w:val="en-IE"/>
              </w:rPr>
            </w:pPr>
          </w:p>
        </w:tc>
        <w:tc>
          <w:tcPr>
            <w:tcW w:w="1560" w:type="dxa"/>
            <w:tcBorders>
              <w:top w:val="nil"/>
              <w:left w:val="nil"/>
              <w:right w:val="nil"/>
            </w:tcBorders>
          </w:tcPr>
          <w:p w:rsidR="00B96D6D" w:rsidRPr="00F50E64" w:rsidRDefault="00B96D6D" w:rsidP="00C874B9">
            <w:pPr>
              <w:rPr>
                <w:noProof/>
                <w:sz w:val="20"/>
                <w:lang w:val="en-IE"/>
              </w:rPr>
            </w:pPr>
          </w:p>
        </w:tc>
        <w:tc>
          <w:tcPr>
            <w:tcW w:w="534" w:type="dxa"/>
            <w:tcBorders>
              <w:top w:val="nil"/>
              <w:left w:val="nil"/>
            </w:tcBorders>
          </w:tcPr>
          <w:p w:rsidR="00B96D6D" w:rsidRPr="00F50E64" w:rsidRDefault="00B96D6D" w:rsidP="00C874B9">
            <w:pPr>
              <w:jc w:val="center"/>
              <w:rPr>
                <w:noProof/>
                <w:sz w:val="20"/>
                <w:lang w:val="en-IE"/>
              </w:rPr>
            </w:pPr>
          </w:p>
        </w:tc>
        <w:tc>
          <w:tcPr>
            <w:tcW w:w="868"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2026</w:t>
            </w:r>
          </w:p>
        </w:tc>
        <w:tc>
          <w:tcPr>
            <w:tcW w:w="868" w:type="dxa"/>
            <w:vAlign w:val="center"/>
          </w:tcPr>
          <w:p w:rsidR="00B96D6D" w:rsidRPr="00F50E64" w:rsidRDefault="00B96D6D" w:rsidP="00C874B9">
            <w:pPr>
              <w:jc w:val="center"/>
              <w:rPr>
                <w:noProof/>
                <w:sz w:val="20"/>
              </w:rPr>
            </w:pPr>
            <w:r w:rsidRPr="00F50E64">
              <w:rPr>
                <w:noProof/>
                <w:sz w:val="20"/>
              </w:rPr>
              <w:t>Year</w:t>
            </w:r>
            <w:r w:rsidRPr="00F50E64">
              <w:rPr>
                <w:noProof/>
                <w:sz w:val="22"/>
              </w:rPr>
              <w:br/>
            </w:r>
            <w:r w:rsidRPr="00F50E64">
              <w:rPr>
                <w:b/>
                <w:noProof/>
                <w:sz w:val="20"/>
              </w:rPr>
              <w:t>2027</w:t>
            </w:r>
          </w:p>
        </w:tc>
        <w:tc>
          <w:tcPr>
            <w:tcW w:w="2604" w:type="dxa"/>
            <w:gridSpan w:val="3"/>
            <w:vAlign w:val="center"/>
          </w:tcPr>
          <w:p w:rsidR="00B96D6D" w:rsidRPr="00F50E64" w:rsidRDefault="00B96D6D" w:rsidP="00C874B9">
            <w:pPr>
              <w:jc w:val="center"/>
              <w:rPr>
                <w:b/>
                <w:noProof/>
                <w:sz w:val="18"/>
                <w:lang w:val="en-IE"/>
              </w:rPr>
            </w:pPr>
            <w:r w:rsidRPr="00F50E64">
              <w:rPr>
                <w:noProof/>
                <w:sz w:val="18"/>
                <w:lang w:val="en-IE"/>
              </w:rPr>
              <w:t>Post 2027Enter as many years as necessary to show the duration of the impact (see point 1.6)</w:t>
            </w:r>
          </w:p>
        </w:tc>
        <w:tc>
          <w:tcPr>
            <w:tcW w:w="1777" w:type="dxa"/>
            <w:vAlign w:val="center"/>
          </w:tcPr>
          <w:p w:rsidR="00B96D6D" w:rsidRPr="00F50E64" w:rsidRDefault="00B96D6D" w:rsidP="00C874B9">
            <w:pPr>
              <w:jc w:val="center"/>
              <w:rPr>
                <w:b/>
                <w:noProof/>
                <w:sz w:val="20"/>
              </w:rPr>
            </w:pPr>
            <w:r w:rsidRPr="00F50E64">
              <w:rPr>
                <w:b/>
                <w:noProof/>
                <w:sz w:val="20"/>
              </w:rPr>
              <w:t>TOTAL</w:t>
            </w:r>
          </w:p>
        </w:tc>
      </w:tr>
      <w:tr w:rsidR="00B96D6D" w:rsidRPr="00F50E64" w:rsidTr="00B96D6D">
        <w:trPr>
          <w:jc w:val="center"/>
        </w:trPr>
        <w:tc>
          <w:tcPr>
            <w:tcW w:w="3960" w:type="dxa"/>
            <w:vMerge w:val="restart"/>
            <w:shd w:val="clear" w:color="auto" w:fill="C0C0C0"/>
            <w:vAlign w:val="center"/>
          </w:tcPr>
          <w:p w:rsidR="00B96D6D" w:rsidRPr="00F50E64" w:rsidRDefault="00B96D6D" w:rsidP="00C874B9">
            <w:pPr>
              <w:jc w:val="center"/>
              <w:rPr>
                <w:b/>
                <w:noProof/>
                <w:lang w:val="en-IE"/>
              </w:rPr>
            </w:pPr>
            <w:r w:rsidRPr="00F50E64">
              <w:rPr>
                <w:b/>
                <w:noProof/>
                <w:sz w:val="22"/>
                <w:lang w:val="en-IE"/>
              </w:rPr>
              <w:t xml:space="preserve">TOTAL appropriations </w:t>
            </w:r>
            <w:r w:rsidRPr="00F50E64">
              <w:rPr>
                <w:noProof/>
                <w:sz w:val="22"/>
                <w:lang w:val="en-IE"/>
              </w:rPr>
              <w:br/>
            </w:r>
            <w:r w:rsidRPr="00F50E64">
              <w:rPr>
                <w:b/>
                <w:noProof/>
                <w:sz w:val="22"/>
                <w:lang w:val="en-IE"/>
              </w:rPr>
              <w:t>under HEADINGS 1 to 7</w:t>
            </w:r>
            <w:r w:rsidRPr="00F50E64">
              <w:rPr>
                <w:noProof/>
                <w:sz w:val="22"/>
                <w:lang w:val="en-IE"/>
              </w:rPr>
              <w:br/>
              <w:t>of the multiannual financial framework</w:t>
            </w:r>
            <w:r w:rsidRPr="00F50E64">
              <w:rPr>
                <w:b/>
                <w:noProof/>
                <w:sz w:val="22"/>
                <w:lang w:val="en-IE"/>
              </w:rPr>
              <w:t xml:space="preserve"> </w:t>
            </w:r>
          </w:p>
        </w:tc>
        <w:tc>
          <w:tcPr>
            <w:tcW w:w="2094" w:type="dxa"/>
            <w:gridSpan w:val="2"/>
            <w:vAlign w:val="center"/>
          </w:tcPr>
          <w:p w:rsidR="00B96D6D" w:rsidRPr="00F50E64" w:rsidRDefault="00B96D6D" w:rsidP="00C874B9">
            <w:pPr>
              <w:rPr>
                <w:noProof/>
                <w:sz w:val="14"/>
              </w:rPr>
            </w:pPr>
            <w:r w:rsidRPr="00F50E64">
              <w:rPr>
                <w:noProof/>
                <w:sz w:val="18"/>
              </w:rPr>
              <w:t>Commitments</w:t>
            </w: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b/>
                <w:noProof/>
                <w:sz w:val="20"/>
              </w:rPr>
            </w:pPr>
          </w:p>
        </w:tc>
        <w:tc>
          <w:tcPr>
            <w:tcW w:w="1777" w:type="dxa"/>
            <w:vAlign w:val="center"/>
          </w:tcPr>
          <w:p w:rsidR="00B96D6D" w:rsidRPr="00F50E64" w:rsidRDefault="00B96D6D" w:rsidP="00C874B9">
            <w:pPr>
              <w:spacing w:before="60" w:after="60"/>
              <w:jc w:val="right"/>
              <w:rPr>
                <w:b/>
                <w:noProof/>
                <w:sz w:val="20"/>
              </w:rPr>
            </w:pPr>
          </w:p>
        </w:tc>
      </w:tr>
      <w:tr w:rsidR="00B96D6D" w:rsidRPr="00F50E64" w:rsidTr="00B96D6D">
        <w:trPr>
          <w:jc w:val="center"/>
        </w:trPr>
        <w:tc>
          <w:tcPr>
            <w:tcW w:w="3960" w:type="dxa"/>
            <w:vMerge/>
            <w:shd w:val="clear" w:color="auto" w:fill="C0C0C0"/>
          </w:tcPr>
          <w:p w:rsidR="00B96D6D" w:rsidRPr="00F50E64" w:rsidRDefault="00B96D6D" w:rsidP="00C874B9">
            <w:pPr>
              <w:rPr>
                <w:noProof/>
                <w:sz w:val="20"/>
              </w:rPr>
            </w:pPr>
          </w:p>
        </w:tc>
        <w:tc>
          <w:tcPr>
            <w:tcW w:w="2094" w:type="dxa"/>
            <w:gridSpan w:val="2"/>
            <w:vAlign w:val="center"/>
          </w:tcPr>
          <w:p w:rsidR="00B96D6D" w:rsidRPr="00F50E64" w:rsidRDefault="00B96D6D" w:rsidP="00C874B9">
            <w:pPr>
              <w:rPr>
                <w:noProof/>
                <w:sz w:val="14"/>
              </w:rPr>
            </w:pPr>
            <w:r w:rsidRPr="00F50E64">
              <w:rPr>
                <w:noProof/>
                <w:sz w:val="18"/>
              </w:rPr>
              <w:t>Payments</w:t>
            </w: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noProof/>
                <w:sz w:val="20"/>
              </w:rPr>
            </w:pPr>
          </w:p>
        </w:tc>
        <w:tc>
          <w:tcPr>
            <w:tcW w:w="868" w:type="dxa"/>
            <w:vAlign w:val="center"/>
          </w:tcPr>
          <w:p w:rsidR="00B96D6D" w:rsidRPr="00F50E64" w:rsidRDefault="00B96D6D" w:rsidP="00C874B9">
            <w:pPr>
              <w:spacing w:before="60" w:after="60"/>
              <w:jc w:val="right"/>
              <w:rPr>
                <w:b/>
                <w:noProof/>
                <w:sz w:val="20"/>
              </w:rPr>
            </w:pPr>
          </w:p>
        </w:tc>
        <w:tc>
          <w:tcPr>
            <w:tcW w:w="1777" w:type="dxa"/>
            <w:vAlign w:val="center"/>
          </w:tcPr>
          <w:p w:rsidR="00B96D6D" w:rsidRPr="00F50E64" w:rsidRDefault="00B96D6D" w:rsidP="00C874B9">
            <w:pPr>
              <w:spacing w:before="60" w:after="60"/>
              <w:jc w:val="right"/>
              <w:rPr>
                <w:b/>
                <w:noProof/>
                <w:sz w:val="20"/>
              </w:rPr>
            </w:pPr>
          </w:p>
        </w:tc>
      </w:tr>
    </w:tbl>
    <w:p w:rsidR="00B96D6D" w:rsidRPr="00F50E64" w:rsidRDefault="00B96D6D" w:rsidP="00B96D6D">
      <w:pPr>
        <w:rPr>
          <w:noProof/>
        </w:rPr>
      </w:pPr>
    </w:p>
    <w:p w:rsidR="00B96D6D" w:rsidRPr="00F50E64" w:rsidRDefault="00B96D6D" w:rsidP="00B96D6D">
      <w:pPr>
        <w:pStyle w:val="ManualHeading3"/>
        <w:rPr>
          <w:bCs/>
          <w:noProof/>
          <w:szCs w:val="24"/>
        </w:rPr>
      </w:pPr>
      <w:bookmarkStart w:id="75" w:name="_Toc514938054"/>
      <w:bookmarkStart w:id="76" w:name="_Toc520485053"/>
      <w:r w:rsidRPr="00F50E64">
        <w:rPr>
          <w:noProof/>
        </w:rPr>
        <w:t>3.2.2.</w:t>
      </w:r>
      <w:r w:rsidRPr="00F50E64">
        <w:rPr>
          <w:noProof/>
        </w:rPr>
        <w:tab/>
        <w:t>Estimated output funded with operational appropriations</w:t>
      </w:r>
      <w:bookmarkEnd w:id="75"/>
      <w:bookmarkEnd w:id="76"/>
      <w:r w:rsidRPr="00F50E64">
        <w:rPr>
          <w:noProof/>
        </w:rPr>
        <w:t xml:space="preserve"> </w:t>
      </w:r>
    </w:p>
    <w:p w:rsidR="00B96D6D" w:rsidRPr="00F50E64" w:rsidRDefault="00B96D6D" w:rsidP="00B96D6D">
      <w:pPr>
        <w:jc w:val="right"/>
        <w:rPr>
          <w:noProof/>
          <w:sz w:val="20"/>
          <w:lang w:val="en-IE"/>
        </w:rPr>
      </w:pPr>
      <w:r w:rsidRPr="00F50E64">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96D6D" w:rsidRPr="00F50E64" w:rsidTr="00C874B9">
        <w:trPr>
          <w:jc w:val="center"/>
        </w:trPr>
        <w:tc>
          <w:tcPr>
            <w:tcW w:w="1423" w:type="dxa"/>
            <w:vMerge w:val="restart"/>
            <w:vAlign w:val="center"/>
          </w:tcPr>
          <w:p w:rsidR="00B96D6D" w:rsidRPr="00F50E64" w:rsidRDefault="00B96D6D" w:rsidP="00C874B9">
            <w:pPr>
              <w:ind w:right="-29"/>
              <w:jc w:val="center"/>
              <w:rPr>
                <w:b/>
                <w:noProof/>
                <w:sz w:val="18"/>
                <w:szCs w:val="18"/>
              </w:rPr>
            </w:pPr>
            <w:r w:rsidRPr="00F50E64">
              <w:rPr>
                <w:b/>
                <w:noProof/>
                <w:sz w:val="18"/>
              </w:rPr>
              <w:t xml:space="preserve">Indicate objectives and outputs </w:t>
            </w:r>
          </w:p>
          <w:p w:rsidR="00B96D6D" w:rsidRPr="00F50E64" w:rsidRDefault="00B96D6D" w:rsidP="00C874B9">
            <w:pPr>
              <w:ind w:right="-29"/>
              <w:jc w:val="center"/>
              <w:rPr>
                <w:b/>
                <w:noProof/>
                <w:sz w:val="18"/>
                <w:szCs w:val="18"/>
              </w:rPr>
            </w:pPr>
          </w:p>
          <w:p w:rsidR="00B96D6D" w:rsidRPr="00F50E64" w:rsidRDefault="00B96D6D" w:rsidP="00C874B9">
            <w:pPr>
              <w:ind w:right="-29"/>
              <w:jc w:val="center"/>
              <w:rPr>
                <w:noProof/>
                <w:sz w:val="18"/>
                <w:szCs w:val="18"/>
              </w:rPr>
            </w:pPr>
            <w:r w:rsidRPr="00F50E64">
              <w:rPr>
                <w:noProof/>
                <w:sz w:val="18"/>
              </w:rPr>
              <w:sym w:font="Wingdings" w:char="F0F2"/>
            </w:r>
          </w:p>
        </w:tc>
        <w:tc>
          <w:tcPr>
            <w:tcW w:w="720" w:type="dxa"/>
            <w:vAlign w:val="center"/>
          </w:tcPr>
          <w:p w:rsidR="00B96D6D" w:rsidRPr="00F50E64" w:rsidRDefault="00B96D6D" w:rsidP="00C874B9">
            <w:pPr>
              <w:ind w:right="-29"/>
              <w:jc w:val="center"/>
              <w:rPr>
                <w:noProof/>
                <w:sz w:val="18"/>
                <w:szCs w:val="18"/>
              </w:rPr>
            </w:pPr>
          </w:p>
        </w:tc>
        <w:tc>
          <w:tcPr>
            <w:tcW w:w="701" w:type="dxa"/>
            <w:vAlign w:val="center"/>
          </w:tcPr>
          <w:p w:rsidR="00B96D6D" w:rsidRPr="00F50E64" w:rsidRDefault="00B96D6D" w:rsidP="00C874B9">
            <w:pPr>
              <w:ind w:right="-29"/>
              <w:jc w:val="center"/>
              <w:rPr>
                <w:noProof/>
                <w:sz w:val="18"/>
                <w:szCs w:val="18"/>
              </w:rPr>
            </w:pPr>
          </w:p>
        </w:tc>
        <w:tc>
          <w:tcPr>
            <w:tcW w:w="1224" w:type="dxa"/>
            <w:gridSpan w:val="2"/>
            <w:tcBorders>
              <w:left w:val="nil"/>
            </w:tcBorders>
            <w:vAlign w:val="center"/>
          </w:tcPr>
          <w:p w:rsidR="00B96D6D" w:rsidRPr="00F50E64" w:rsidRDefault="00B96D6D" w:rsidP="00C874B9">
            <w:pPr>
              <w:ind w:right="-29"/>
              <w:jc w:val="center"/>
              <w:rPr>
                <w:noProof/>
                <w:sz w:val="18"/>
                <w:szCs w:val="18"/>
              </w:rPr>
            </w:pPr>
            <w:r w:rsidRPr="00F50E64">
              <w:rPr>
                <w:noProof/>
                <w:sz w:val="18"/>
              </w:rPr>
              <w:t>Year</w:t>
            </w:r>
            <w:r w:rsidRPr="00F50E64">
              <w:rPr>
                <w:noProof/>
                <w:sz w:val="22"/>
              </w:rPr>
              <w:br/>
            </w:r>
            <w:r w:rsidRPr="00F50E64">
              <w:rPr>
                <w:b/>
                <w:noProof/>
                <w:sz w:val="18"/>
              </w:rPr>
              <w:t>N</w:t>
            </w:r>
          </w:p>
        </w:tc>
        <w:tc>
          <w:tcPr>
            <w:tcW w:w="1260" w:type="dxa"/>
            <w:gridSpan w:val="2"/>
            <w:vAlign w:val="center"/>
          </w:tcPr>
          <w:p w:rsidR="00B96D6D" w:rsidRPr="00F50E64" w:rsidRDefault="00B96D6D" w:rsidP="00C874B9">
            <w:pPr>
              <w:ind w:right="-29"/>
              <w:jc w:val="center"/>
              <w:rPr>
                <w:noProof/>
                <w:sz w:val="18"/>
                <w:szCs w:val="18"/>
              </w:rPr>
            </w:pPr>
            <w:r w:rsidRPr="00F50E64">
              <w:rPr>
                <w:noProof/>
                <w:sz w:val="18"/>
              </w:rPr>
              <w:t>Year</w:t>
            </w:r>
            <w:r w:rsidRPr="00F50E64">
              <w:rPr>
                <w:noProof/>
                <w:sz w:val="22"/>
              </w:rPr>
              <w:br/>
            </w:r>
            <w:r w:rsidRPr="00F50E64">
              <w:rPr>
                <w:b/>
                <w:noProof/>
                <w:sz w:val="18"/>
              </w:rPr>
              <w:t>N+1</w:t>
            </w:r>
          </w:p>
        </w:tc>
        <w:tc>
          <w:tcPr>
            <w:tcW w:w="1440" w:type="dxa"/>
            <w:gridSpan w:val="2"/>
            <w:vAlign w:val="center"/>
          </w:tcPr>
          <w:p w:rsidR="00B96D6D" w:rsidRPr="00F50E64" w:rsidRDefault="00B96D6D" w:rsidP="00C874B9">
            <w:pPr>
              <w:ind w:right="-29"/>
              <w:jc w:val="center"/>
              <w:rPr>
                <w:noProof/>
                <w:sz w:val="18"/>
                <w:szCs w:val="18"/>
              </w:rPr>
            </w:pPr>
            <w:r w:rsidRPr="00F50E64">
              <w:rPr>
                <w:noProof/>
                <w:sz w:val="18"/>
              </w:rPr>
              <w:t>Year</w:t>
            </w:r>
            <w:r w:rsidRPr="00F50E64">
              <w:rPr>
                <w:noProof/>
                <w:sz w:val="22"/>
              </w:rPr>
              <w:br/>
            </w:r>
            <w:r w:rsidRPr="00F50E64">
              <w:rPr>
                <w:b/>
                <w:noProof/>
                <w:sz w:val="18"/>
              </w:rPr>
              <w:t>N+2</w:t>
            </w:r>
          </w:p>
        </w:tc>
        <w:tc>
          <w:tcPr>
            <w:tcW w:w="1620" w:type="dxa"/>
            <w:gridSpan w:val="3"/>
            <w:vAlign w:val="center"/>
          </w:tcPr>
          <w:p w:rsidR="00B96D6D" w:rsidRPr="00F50E64" w:rsidRDefault="00B96D6D" w:rsidP="00C874B9">
            <w:pPr>
              <w:ind w:right="-29"/>
              <w:jc w:val="center"/>
              <w:rPr>
                <w:noProof/>
                <w:sz w:val="18"/>
                <w:szCs w:val="18"/>
              </w:rPr>
            </w:pPr>
            <w:r w:rsidRPr="00F50E64">
              <w:rPr>
                <w:noProof/>
                <w:sz w:val="18"/>
              </w:rPr>
              <w:t>Year</w:t>
            </w:r>
            <w:r w:rsidRPr="00F50E64">
              <w:rPr>
                <w:noProof/>
                <w:sz w:val="22"/>
              </w:rPr>
              <w:br/>
            </w:r>
            <w:r w:rsidRPr="00F50E64">
              <w:rPr>
                <w:b/>
                <w:noProof/>
                <w:sz w:val="18"/>
              </w:rPr>
              <w:t>N+3</w:t>
            </w:r>
          </w:p>
        </w:tc>
        <w:tc>
          <w:tcPr>
            <w:tcW w:w="3600" w:type="dxa"/>
            <w:gridSpan w:val="6"/>
            <w:vAlign w:val="center"/>
          </w:tcPr>
          <w:p w:rsidR="00B96D6D" w:rsidRPr="00F50E64" w:rsidRDefault="00B96D6D" w:rsidP="00C874B9">
            <w:pPr>
              <w:jc w:val="center"/>
              <w:rPr>
                <w:noProof/>
                <w:sz w:val="18"/>
                <w:szCs w:val="18"/>
                <w:lang w:val="en-IE"/>
              </w:rPr>
            </w:pPr>
            <w:r w:rsidRPr="00F50E64">
              <w:rPr>
                <w:noProof/>
                <w:sz w:val="18"/>
                <w:lang w:val="en-IE"/>
              </w:rPr>
              <w:t>Enter as many years as necessary to show the duration of the impact (see point 1.6)</w:t>
            </w:r>
          </w:p>
        </w:tc>
        <w:tc>
          <w:tcPr>
            <w:tcW w:w="1620" w:type="dxa"/>
            <w:gridSpan w:val="2"/>
            <w:tcBorders>
              <w:left w:val="nil"/>
              <w:bottom w:val="nil"/>
            </w:tcBorders>
            <w:vAlign w:val="center"/>
          </w:tcPr>
          <w:p w:rsidR="00B96D6D" w:rsidRPr="00F50E64" w:rsidRDefault="00B96D6D" w:rsidP="00C874B9">
            <w:pPr>
              <w:ind w:right="-29"/>
              <w:jc w:val="center"/>
              <w:rPr>
                <w:noProof/>
                <w:sz w:val="18"/>
                <w:szCs w:val="18"/>
              </w:rPr>
            </w:pPr>
            <w:r w:rsidRPr="00F50E64">
              <w:rPr>
                <w:b/>
                <w:noProof/>
                <w:sz w:val="18"/>
              </w:rPr>
              <w:t>TOTAL</w:t>
            </w:r>
          </w:p>
        </w:tc>
      </w:tr>
      <w:tr w:rsidR="00B96D6D" w:rsidRPr="00F50E64" w:rsidTr="00C874B9">
        <w:trPr>
          <w:jc w:val="center"/>
        </w:trPr>
        <w:tc>
          <w:tcPr>
            <w:tcW w:w="1423" w:type="dxa"/>
            <w:vMerge/>
            <w:vAlign w:val="center"/>
          </w:tcPr>
          <w:p w:rsidR="00B96D6D" w:rsidRPr="00F50E64" w:rsidRDefault="00B96D6D" w:rsidP="00C874B9">
            <w:pPr>
              <w:ind w:right="-29"/>
              <w:jc w:val="center"/>
              <w:rPr>
                <w:noProof/>
                <w:sz w:val="18"/>
                <w:szCs w:val="18"/>
              </w:rPr>
            </w:pPr>
          </w:p>
        </w:tc>
        <w:tc>
          <w:tcPr>
            <w:tcW w:w="12185" w:type="dxa"/>
            <w:gridSpan w:val="19"/>
            <w:vAlign w:val="center"/>
          </w:tcPr>
          <w:p w:rsidR="00B96D6D" w:rsidRPr="00F50E64" w:rsidRDefault="00B96D6D" w:rsidP="00C874B9">
            <w:pPr>
              <w:spacing w:before="60" w:after="60"/>
              <w:ind w:right="-29"/>
              <w:jc w:val="center"/>
              <w:rPr>
                <w:noProof/>
                <w:sz w:val="18"/>
                <w:szCs w:val="18"/>
              </w:rPr>
            </w:pPr>
            <w:r w:rsidRPr="00F50E64">
              <w:rPr>
                <w:b/>
                <w:noProof/>
                <w:sz w:val="18"/>
              </w:rPr>
              <w:t>OUTPUTS</w:t>
            </w:r>
          </w:p>
        </w:tc>
      </w:tr>
      <w:tr w:rsidR="00B96D6D" w:rsidRPr="00F50E64" w:rsidTr="00C874B9">
        <w:trPr>
          <w:cantSplit/>
          <w:trHeight w:val="1134"/>
          <w:jc w:val="center"/>
        </w:trPr>
        <w:tc>
          <w:tcPr>
            <w:tcW w:w="1423" w:type="dxa"/>
            <w:vMerge/>
            <w:vAlign w:val="center"/>
          </w:tcPr>
          <w:p w:rsidR="00B96D6D" w:rsidRPr="00F50E64" w:rsidRDefault="00B96D6D" w:rsidP="00C874B9">
            <w:pPr>
              <w:rPr>
                <w:noProof/>
                <w:sz w:val="18"/>
                <w:szCs w:val="18"/>
              </w:rPr>
            </w:pPr>
          </w:p>
        </w:tc>
        <w:tc>
          <w:tcPr>
            <w:tcW w:w="720" w:type="dxa"/>
            <w:vAlign w:val="center"/>
          </w:tcPr>
          <w:p w:rsidR="00B96D6D" w:rsidRPr="00F50E64" w:rsidRDefault="00B96D6D" w:rsidP="00C874B9">
            <w:pPr>
              <w:jc w:val="center"/>
              <w:rPr>
                <w:noProof/>
                <w:sz w:val="18"/>
                <w:szCs w:val="18"/>
              </w:rPr>
            </w:pPr>
            <w:r w:rsidRPr="00F50E64">
              <w:rPr>
                <w:noProof/>
                <w:sz w:val="18"/>
              </w:rPr>
              <w:t>Type</w:t>
            </w:r>
            <w:r w:rsidRPr="00F50E64">
              <w:rPr>
                <w:rStyle w:val="FootnoteReference"/>
                <w:noProof/>
                <w:sz w:val="18"/>
              </w:rPr>
              <w:footnoteReference w:id="61"/>
            </w:r>
          </w:p>
          <w:p w:rsidR="00B96D6D" w:rsidRPr="00F50E64" w:rsidRDefault="00B96D6D" w:rsidP="00C874B9">
            <w:pPr>
              <w:spacing w:before="0" w:after="0"/>
              <w:jc w:val="center"/>
              <w:rPr>
                <w:noProof/>
                <w:sz w:val="18"/>
                <w:szCs w:val="18"/>
              </w:rPr>
            </w:pPr>
          </w:p>
        </w:tc>
        <w:tc>
          <w:tcPr>
            <w:tcW w:w="701" w:type="dxa"/>
            <w:vAlign w:val="center"/>
          </w:tcPr>
          <w:p w:rsidR="00B96D6D" w:rsidRPr="00F50E64" w:rsidRDefault="00B96D6D" w:rsidP="00C874B9">
            <w:pPr>
              <w:jc w:val="center"/>
              <w:rPr>
                <w:noProof/>
                <w:sz w:val="18"/>
                <w:szCs w:val="18"/>
              </w:rPr>
            </w:pPr>
            <w:r w:rsidRPr="00F50E64">
              <w:rPr>
                <w:noProof/>
                <w:sz w:val="18"/>
              </w:rPr>
              <w:t>Average cost</w:t>
            </w:r>
          </w:p>
        </w:tc>
        <w:tc>
          <w:tcPr>
            <w:tcW w:w="504" w:type="dxa"/>
            <w:tcBorders>
              <w:left w:val="nil"/>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540"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720"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900"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gridSpan w:val="2"/>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540"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648"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432"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540" w:type="dxa"/>
            <w:tcBorders>
              <w:right w:val="dashSmallGap" w:sz="4" w:space="0" w:color="auto"/>
            </w:tcBorders>
            <w:shd w:val="pct10" w:color="auto" w:fill="auto"/>
            <w:textDirection w:val="btLr"/>
            <w:vAlign w:val="center"/>
          </w:tcPr>
          <w:p w:rsidR="00B96D6D" w:rsidRPr="00F50E64" w:rsidRDefault="00B96D6D" w:rsidP="00C874B9">
            <w:pPr>
              <w:ind w:left="113" w:right="113"/>
              <w:jc w:val="center"/>
              <w:rPr>
                <w:noProof/>
                <w:sz w:val="18"/>
                <w:szCs w:val="18"/>
              </w:rPr>
            </w:pPr>
            <w:r w:rsidRPr="00F50E64">
              <w:rPr>
                <w:noProof/>
                <w:sz w:val="18"/>
              </w:rPr>
              <w:t>No</w:t>
            </w:r>
          </w:p>
        </w:tc>
        <w:tc>
          <w:tcPr>
            <w:tcW w:w="72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Cost</w:t>
            </w:r>
          </w:p>
        </w:tc>
        <w:tc>
          <w:tcPr>
            <w:tcW w:w="720" w:type="dxa"/>
            <w:tcBorders>
              <w:righ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Total No</w:t>
            </w:r>
          </w:p>
        </w:tc>
        <w:tc>
          <w:tcPr>
            <w:tcW w:w="900" w:type="dxa"/>
            <w:tcBorders>
              <w:left w:val="dashSmallGap" w:sz="4" w:space="0" w:color="auto"/>
            </w:tcBorders>
            <w:shd w:val="pct10" w:color="auto" w:fill="auto"/>
            <w:vAlign w:val="center"/>
          </w:tcPr>
          <w:p w:rsidR="00B96D6D" w:rsidRPr="00F50E64" w:rsidRDefault="00B96D6D" w:rsidP="00C874B9">
            <w:pPr>
              <w:jc w:val="center"/>
              <w:rPr>
                <w:noProof/>
                <w:sz w:val="18"/>
                <w:szCs w:val="18"/>
              </w:rPr>
            </w:pPr>
            <w:r w:rsidRPr="00F50E64">
              <w:rPr>
                <w:noProof/>
                <w:sz w:val="18"/>
              </w:rPr>
              <w:t>Total cost</w:t>
            </w:r>
          </w:p>
        </w:tc>
      </w:tr>
      <w:tr w:rsidR="00B96D6D" w:rsidRPr="00F50E64" w:rsidTr="00C874B9">
        <w:trPr>
          <w:jc w:val="center"/>
        </w:trPr>
        <w:tc>
          <w:tcPr>
            <w:tcW w:w="2844" w:type="dxa"/>
            <w:gridSpan w:val="3"/>
            <w:vAlign w:val="center"/>
          </w:tcPr>
          <w:p w:rsidR="00B96D6D" w:rsidRPr="00F50E64" w:rsidRDefault="00B96D6D" w:rsidP="00C874B9">
            <w:pPr>
              <w:spacing w:before="60" w:after="60"/>
              <w:ind w:right="-29"/>
              <w:jc w:val="center"/>
              <w:rPr>
                <w:noProof/>
                <w:sz w:val="18"/>
                <w:szCs w:val="18"/>
              </w:rPr>
            </w:pPr>
            <w:r w:rsidRPr="00F50E64">
              <w:rPr>
                <w:noProof/>
                <w:sz w:val="18"/>
              </w:rPr>
              <w:t>SPECIFIC OBJECTIVE No 1</w:t>
            </w:r>
            <w:r w:rsidRPr="00F50E64">
              <w:rPr>
                <w:rStyle w:val="FootnoteReference"/>
                <w:noProof/>
                <w:sz w:val="18"/>
              </w:rPr>
              <w:footnoteReference w:id="62"/>
            </w:r>
            <w:r w:rsidRPr="00F50E64">
              <w:rPr>
                <w:noProof/>
                <w:sz w:val="18"/>
              </w:rPr>
              <w:t>…</w:t>
            </w:r>
          </w:p>
        </w:tc>
        <w:tc>
          <w:tcPr>
            <w:tcW w:w="504"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90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gridSpan w:val="2"/>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648"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432"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90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r>
      <w:tr w:rsidR="00B96D6D" w:rsidRPr="00F50E64" w:rsidTr="00C874B9">
        <w:trPr>
          <w:trHeight w:hRule="exact" w:val="369"/>
          <w:jc w:val="center"/>
        </w:trPr>
        <w:tc>
          <w:tcPr>
            <w:tcW w:w="1423" w:type="dxa"/>
          </w:tcPr>
          <w:p w:rsidR="00B96D6D" w:rsidRPr="00F50E64" w:rsidRDefault="00B96D6D" w:rsidP="00C874B9">
            <w:pPr>
              <w:ind w:right="-29"/>
              <w:jc w:val="center"/>
              <w:rPr>
                <w:noProof/>
                <w:sz w:val="18"/>
                <w:szCs w:val="18"/>
              </w:rPr>
            </w:pPr>
            <w:r w:rsidRPr="00F50E64">
              <w:rPr>
                <w:noProof/>
                <w:sz w:val="18"/>
              </w:rPr>
              <w:t>- Output</w:t>
            </w:r>
          </w:p>
        </w:tc>
        <w:tc>
          <w:tcPr>
            <w:tcW w:w="720" w:type="dxa"/>
          </w:tcPr>
          <w:p w:rsidR="00B96D6D" w:rsidRPr="00F50E64" w:rsidRDefault="00B96D6D" w:rsidP="00C874B9">
            <w:pPr>
              <w:ind w:right="-29"/>
              <w:jc w:val="center"/>
              <w:rPr>
                <w:noProof/>
                <w:sz w:val="18"/>
                <w:szCs w:val="18"/>
              </w:rPr>
            </w:pPr>
          </w:p>
        </w:tc>
        <w:tc>
          <w:tcPr>
            <w:tcW w:w="701" w:type="dxa"/>
          </w:tcPr>
          <w:p w:rsidR="00B96D6D" w:rsidRPr="00F50E64" w:rsidRDefault="00B96D6D" w:rsidP="00C874B9">
            <w:pPr>
              <w:ind w:right="-29"/>
              <w:jc w:val="center"/>
              <w:rPr>
                <w:noProof/>
                <w:sz w:val="18"/>
                <w:szCs w:val="18"/>
              </w:rPr>
            </w:pPr>
          </w:p>
        </w:tc>
        <w:tc>
          <w:tcPr>
            <w:tcW w:w="504"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72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900" w:type="dxa"/>
            <w:tcBorders>
              <w:right w:val="dashSmallGap" w:sz="4" w:space="0" w:color="auto"/>
            </w:tcBorders>
          </w:tcPr>
          <w:p w:rsidR="00B96D6D" w:rsidRPr="00F50E64" w:rsidRDefault="00B96D6D" w:rsidP="00C874B9">
            <w:pPr>
              <w:ind w:right="-29"/>
              <w:jc w:val="center"/>
              <w:rPr>
                <w:noProof/>
                <w:sz w:val="18"/>
                <w:szCs w:val="18"/>
              </w:rPr>
            </w:pPr>
          </w:p>
        </w:tc>
        <w:tc>
          <w:tcPr>
            <w:tcW w:w="720" w:type="dxa"/>
            <w:gridSpan w:val="2"/>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648" w:type="dxa"/>
            <w:tcBorders>
              <w:left w:val="dashSmallGap" w:sz="4" w:space="0" w:color="auto"/>
            </w:tcBorders>
          </w:tcPr>
          <w:p w:rsidR="00B96D6D" w:rsidRPr="00F50E64" w:rsidRDefault="00B96D6D" w:rsidP="00C874B9">
            <w:pPr>
              <w:ind w:right="-29"/>
              <w:jc w:val="center"/>
              <w:rPr>
                <w:noProof/>
                <w:sz w:val="18"/>
                <w:szCs w:val="18"/>
              </w:rPr>
            </w:pPr>
          </w:p>
        </w:tc>
        <w:tc>
          <w:tcPr>
            <w:tcW w:w="432"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r>
      <w:tr w:rsidR="00B96D6D" w:rsidRPr="00F50E64" w:rsidTr="00C874B9">
        <w:trPr>
          <w:trHeight w:hRule="exact" w:val="369"/>
          <w:jc w:val="center"/>
        </w:trPr>
        <w:tc>
          <w:tcPr>
            <w:tcW w:w="1423" w:type="dxa"/>
          </w:tcPr>
          <w:p w:rsidR="00B96D6D" w:rsidRPr="00F50E64" w:rsidRDefault="00B96D6D" w:rsidP="00C874B9">
            <w:pPr>
              <w:ind w:right="-29"/>
              <w:jc w:val="center"/>
              <w:rPr>
                <w:noProof/>
                <w:sz w:val="18"/>
                <w:szCs w:val="18"/>
              </w:rPr>
            </w:pPr>
            <w:r w:rsidRPr="00F50E64">
              <w:rPr>
                <w:noProof/>
                <w:sz w:val="18"/>
              </w:rPr>
              <w:t>- Output</w:t>
            </w:r>
          </w:p>
        </w:tc>
        <w:tc>
          <w:tcPr>
            <w:tcW w:w="720" w:type="dxa"/>
          </w:tcPr>
          <w:p w:rsidR="00B96D6D" w:rsidRPr="00F50E64" w:rsidRDefault="00B96D6D" w:rsidP="00C874B9">
            <w:pPr>
              <w:ind w:right="-29"/>
              <w:jc w:val="center"/>
              <w:rPr>
                <w:noProof/>
                <w:sz w:val="18"/>
                <w:szCs w:val="18"/>
              </w:rPr>
            </w:pPr>
          </w:p>
        </w:tc>
        <w:tc>
          <w:tcPr>
            <w:tcW w:w="701" w:type="dxa"/>
          </w:tcPr>
          <w:p w:rsidR="00B96D6D" w:rsidRPr="00F50E64" w:rsidRDefault="00B96D6D" w:rsidP="00C874B9">
            <w:pPr>
              <w:ind w:right="-29"/>
              <w:jc w:val="center"/>
              <w:rPr>
                <w:noProof/>
                <w:sz w:val="18"/>
                <w:szCs w:val="18"/>
              </w:rPr>
            </w:pPr>
          </w:p>
        </w:tc>
        <w:tc>
          <w:tcPr>
            <w:tcW w:w="504"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72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900" w:type="dxa"/>
            <w:tcBorders>
              <w:right w:val="dashSmallGap" w:sz="4" w:space="0" w:color="auto"/>
            </w:tcBorders>
          </w:tcPr>
          <w:p w:rsidR="00B96D6D" w:rsidRPr="00F50E64" w:rsidRDefault="00B96D6D" w:rsidP="00C874B9">
            <w:pPr>
              <w:ind w:right="-29"/>
              <w:jc w:val="center"/>
              <w:rPr>
                <w:noProof/>
                <w:sz w:val="18"/>
                <w:szCs w:val="18"/>
              </w:rPr>
            </w:pPr>
          </w:p>
        </w:tc>
        <w:tc>
          <w:tcPr>
            <w:tcW w:w="720" w:type="dxa"/>
            <w:gridSpan w:val="2"/>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648" w:type="dxa"/>
            <w:tcBorders>
              <w:left w:val="dashSmallGap" w:sz="4" w:space="0" w:color="auto"/>
            </w:tcBorders>
          </w:tcPr>
          <w:p w:rsidR="00B96D6D" w:rsidRPr="00F50E64" w:rsidRDefault="00B96D6D" w:rsidP="00C874B9">
            <w:pPr>
              <w:ind w:right="-29"/>
              <w:jc w:val="center"/>
              <w:rPr>
                <w:noProof/>
                <w:sz w:val="18"/>
                <w:szCs w:val="18"/>
              </w:rPr>
            </w:pPr>
          </w:p>
        </w:tc>
        <w:tc>
          <w:tcPr>
            <w:tcW w:w="432"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540" w:type="dxa"/>
            <w:tcBorders>
              <w:right w:val="dashSmallGap" w:sz="4" w:space="0" w:color="auto"/>
            </w:tcBorders>
          </w:tcPr>
          <w:p w:rsidR="00B96D6D" w:rsidRPr="00F50E64" w:rsidRDefault="00B96D6D" w:rsidP="00C874B9">
            <w:pPr>
              <w:ind w:right="-29"/>
              <w:jc w:val="center"/>
              <w:rPr>
                <w:noProof/>
                <w:sz w:val="18"/>
                <w:szCs w:val="18"/>
              </w:rPr>
            </w:pPr>
          </w:p>
        </w:tc>
        <w:tc>
          <w:tcPr>
            <w:tcW w:w="720" w:type="dxa"/>
            <w:tcBorders>
              <w:left w:val="dashSmallGap" w:sz="4" w:space="0" w:color="auto"/>
            </w:tcBorders>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r>
      <w:tr w:rsidR="00B96D6D" w:rsidRPr="00F50E64" w:rsidTr="00C874B9">
        <w:trPr>
          <w:trHeight w:hRule="exact" w:val="369"/>
          <w:jc w:val="center"/>
        </w:trPr>
        <w:tc>
          <w:tcPr>
            <w:tcW w:w="1423" w:type="dxa"/>
          </w:tcPr>
          <w:p w:rsidR="00B96D6D" w:rsidRPr="00F50E64" w:rsidRDefault="00B96D6D" w:rsidP="00C874B9">
            <w:pPr>
              <w:ind w:right="-29"/>
              <w:jc w:val="center"/>
              <w:rPr>
                <w:noProof/>
                <w:sz w:val="18"/>
                <w:szCs w:val="18"/>
              </w:rPr>
            </w:pPr>
            <w:r w:rsidRPr="00F50E64">
              <w:rPr>
                <w:noProof/>
                <w:sz w:val="18"/>
              </w:rPr>
              <w:t>- Output</w:t>
            </w:r>
          </w:p>
        </w:tc>
        <w:tc>
          <w:tcPr>
            <w:tcW w:w="720" w:type="dxa"/>
          </w:tcPr>
          <w:p w:rsidR="00B96D6D" w:rsidRPr="00F50E64" w:rsidRDefault="00B96D6D" w:rsidP="00C874B9">
            <w:pPr>
              <w:ind w:right="-29"/>
              <w:jc w:val="center"/>
              <w:rPr>
                <w:noProof/>
                <w:sz w:val="18"/>
                <w:szCs w:val="18"/>
              </w:rPr>
            </w:pPr>
          </w:p>
        </w:tc>
        <w:tc>
          <w:tcPr>
            <w:tcW w:w="701" w:type="dxa"/>
          </w:tcPr>
          <w:p w:rsidR="00B96D6D" w:rsidRPr="00F50E64" w:rsidRDefault="00B96D6D" w:rsidP="00C874B9">
            <w:pPr>
              <w:ind w:right="-29"/>
              <w:jc w:val="center"/>
              <w:rPr>
                <w:noProof/>
                <w:sz w:val="18"/>
                <w:szCs w:val="18"/>
              </w:rPr>
            </w:pPr>
          </w:p>
        </w:tc>
        <w:tc>
          <w:tcPr>
            <w:tcW w:w="504"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c>
          <w:tcPr>
            <w:tcW w:w="720" w:type="dxa"/>
            <w:gridSpan w:val="2"/>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648" w:type="dxa"/>
          </w:tcPr>
          <w:p w:rsidR="00B96D6D" w:rsidRPr="00F50E64" w:rsidRDefault="00B96D6D" w:rsidP="00C874B9">
            <w:pPr>
              <w:ind w:right="-29"/>
              <w:jc w:val="center"/>
              <w:rPr>
                <w:noProof/>
                <w:sz w:val="18"/>
                <w:szCs w:val="18"/>
              </w:rPr>
            </w:pPr>
          </w:p>
        </w:tc>
        <w:tc>
          <w:tcPr>
            <w:tcW w:w="432"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r>
      <w:tr w:rsidR="00B96D6D" w:rsidRPr="00F50E64" w:rsidTr="00C874B9">
        <w:trPr>
          <w:trHeight w:val="77"/>
          <w:jc w:val="center"/>
        </w:trPr>
        <w:tc>
          <w:tcPr>
            <w:tcW w:w="2844" w:type="dxa"/>
            <w:gridSpan w:val="3"/>
            <w:tcBorders>
              <w:bottom w:val="single" w:sz="12" w:space="0" w:color="auto"/>
            </w:tcBorders>
            <w:vAlign w:val="center"/>
          </w:tcPr>
          <w:p w:rsidR="00B96D6D" w:rsidRPr="00F50E64" w:rsidRDefault="00B96D6D" w:rsidP="00C874B9">
            <w:pPr>
              <w:ind w:right="-29"/>
              <w:jc w:val="center"/>
              <w:rPr>
                <w:noProof/>
                <w:sz w:val="18"/>
                <w:szCs w:val="18"/>
                <w:lang w:val="en-IE"/>
              </w:rPr>
            </w:pPr>
            <w:r w:rsidRPr="00F50E64">
              <w:rPr>
                <w:noProof/>
                <w:sz w:val="18"/>
                <w:lang w:val="en-IE"/>
              </w:rPr>
              <w:t>Subtotal for specific objective No 1</w:t>
            </w:r>
          </w:p>
        </w:tc>
        <w:tc>
          <w:tcPr>
            <w:tcW w:w="504"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90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gridSpan w:val="2"/>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648" w:type="dxa"/>
            <w:tcBorders>
              <w:bottom w:val="single" w:sz="12" w:space="0" w:color="auto"/>
            </w:tcBorders>
          </w:tcPr>
          <w:p w:rsidR="00B96D6D" w:rsidRPr="00F50E64" w:rsidRDefault="00B96D6D" w:rsidP="00C874B9">
            <w:pPr>
              <w:ind w:right="-29"/>
              <w:jc w:val="center"/>
              <w:rPr>
                <w:noProof/>
                <w:sz w:val="18"/>
                <w:szCs w:val="18"/>
                <w:lang w:val="en-IE"/>
              </w:rPr>
            </w:pPr>
          </w:p>
        </w:tc>
        <w:tc>
          <w:tcPr>
            <w:tcW w:w="432"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900" w:type="dxa"/>
            <w:tcBorders>
              <w:bottom w:val="single" w:sz="12" w:space="0" w:color="auto"/>
            </w:tcBorders>
          </w:tcPr>
          <w:p w:rsidR="00B96D6D" w:rsidRPr="00F50E64" w:rsidRDefault="00B96D6D" w:rsidP="00C874B9">
            <w:pPr>
              <w:ind w:right="-29"/>
              <w:jc w:val="center"/>
              <w:rPr>
                <w:noProof/>
                <w:sz w:val="18"/>
                <w:szCs w:val="18"/>
                <w:lang w:val="en-IE"/>
              </w:rPr>
            </w:pPr>
          </w:p>
        </w:tc>
      </w:tr>
      <w:tr w:rsidR="00B96D6D" w:rsidRPr="00F50E64" w:rsidTr="00C874B9">
        <w:trPr>
          <w:jc w:val="center"/>
        </w:trPr>
        <w:tc>
          <w:tcPr>
            <w:tcW w:w="2844" w:type="dxa"/>
            <w:gridSpan w:val="3"/>
            <w:vAlign w:val="center"/>
          </w:tcPr>
          <w:p w:rsidR="00B96D6D" w:rsidRPr="00F50E64" w:rsidRDefault="00B96D6D" w:rsidP="00C874B9">
            <w:pPr>
              <w:spacing w:before="60" w:after="60"/>
              <w:ind w:right="-29"/>
              <w:jc w:val="center"/>
              <w:rPr>
                <w:noProof/>
                <w:sz w:val="18"/>
                <w:szCs w:val="18"/>
              </w:rPr>
            </w:pPr>
            <w:r w:rsidRPr="00F50E64">
              <w:rPr>
                <w:noProof/>
                <w:sz w:val="18"/>
              </w:rPr>
              <w:t>SPECIFIC OBJECTIVE No 2 ...</w:t>
            </w:r>
          </w:p>
        </w:tc>
        <w:tc>
          <w:tcPr>
            <w:tcW w:w="504"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90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gridSpan w:val="2"/>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648"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432"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54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72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c>
          <w:tcPr>
            <w:tcW w:w="900" w:type="dxa"/>
            <w:tcBorders>
              <w:top w:val="nil"/>
              <w:left w:val="nil"/>
              <w:bottom w:val="nil"/>
              <w:right w:val="nil"/>
            </w:tcBorders>
          </w:tcPr>
          <w:p w:rsidR="00B96D6D" w:rsidRPr="00F50E64" w:rsidRDefault="00B96D6D" w:rsidP="00C874B9">
            <w:pPr>
              <w:spacing w:before="60" w:after="60"/>
              <w:ind w:right="-29"/>
              <w:jc w:val="center"/>
              <w:rPr>
                <w:noProof/>
                <w:sz w:val="18"/>
                <w:szCs w:val="18"/>
              </w:rPr>
            </w:pPr>
          </w:p>
        </w:tc>
      </w:tr>
      <w:tr w:rsidR="00B96D6D" w:rsidRPr="00F50E64" w:rsidTr="00C874B9">
        <w:trPr>
          <w:trHeight w:hRule="exact" w:val="369"/>
          <w:jc w:val="center"/>
        </w:trPr>
        <w:tc>
          <w:tcPr>
            <w:tcW w:w="1423" w:type="dxa"/>
          </w:tcPr>
          <w:p w:rsidR="00B96D6D" w:rsidRPr="00F50E64" w:rsidRDefault="00B96D6D" w:rsidP="00C874B9">
            <w:pPr>
              <w:ind w:right="-29"/>
              <w:jc w:val="center"/>
              <w:rPr>
                <w:noProof/>
                <w:sz w:val="18"/>
                <w:szCs w:val="18"/>
              </w:rPr>
            </w:pPr>
            <w:r w:rsidRPr="00F50E64">
              <w:rPr>
                <w:noProof/>
                <w:sz w:val="18"/>
              </w:rPr>
              <w:t>- Output</w:t>
            </w:r>
          </w:p>
        </w:tc>
        <w:tc>
          <w:tcPr>
            <w:tcW w:w="720" w:type="dxa"/>
          </w:tcPr>
          <w:p w:rsidR="00B96D6D" w:rsidRPr="00F50E64" w:rsidRDefault="00B96D6D" w:rsidP="00C874B9">
            <w:pPr>
              <w:ind w:right="-29"/>
              <w:jc w:val="center"/>
              <w:rPr>
                <w:noProof/>
                <w:sz w:val="18"/>
                <w:szCs w:val="18"/>
              </w:rPr>
            </w:pPr>
          </w:p>
        </w:tc>
        <w:tc>
          <w:tcPr>
            <w:tcW w:w="701" w:type="dxa"/>
          </w:tcPr>
          <w:p w:rsidR="00B96D6D" w:rsidRPr="00F50E64" w:rsidRDefault="00B96D6D" w:rsidP="00C874B9">
            <w:pPr>
              <w:ind w:right="-29"/>
              <w:jc w:val="center"/>
              <w:rPr>
                <w:noProof/>
                <w:sz w:val="18"/>
                <w:szCs w:val="18"/>
              </w:rPr>
            </w:pPr>
          </w:p>
        </w:tc>
        <w:tc>
          <w:tcPr>
            <w:tcW w:w="504"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c>
          <w:tcPr>
            <w:tcW w:w="720" w:type="dxa"/>
            <w:gridSpan w:val="2"/>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648" w:type="dxa"/>
          </w:tcPr>
          <w:p w:rsidR="00B96D6D" w:rsidRPr="00F50E64" w:rsidRDefault="00B96D6D" w:rsidP="00C874B9">
            <w:pPr>
              <w:ind w:right="-29"/>
              <w:jc w:val="center"/>
              <w:rPr>
                <w:noProof/>
                <w:sz w:val="18"/>
                <w:szCs w:val="18"/>
              </w:rPr>
            </w:pPr>
          </w:p>
        </w:tc>
        <w:tc>
          <w:tcPr>
            <w:tcW w:w="432"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54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720" w:type="dxa"/>
          </w:tcPr>
          <w:p w:rsidR="00B96D6D" w:rsidRPr="00F50E64" w:rsidRDefault="00B96D6D" w:rsidP="00C874B9">
            <w:pPr>
              <w:ind w:right="-29"/>
              <w:jc w:val="center"/>
              <w:rPr>
                <w:noProof/>
                <w:sz w:val="18"/>
                <w:szCs w:val="18"/>
              </w:rPr>
            </w:pPr>
          </w:p>
        </w:tc>
        <w:tc>
          <w:tcPr>
            <w:tcW w:w="900" w:type="dxa"/>
          </w:tcPr>
          <w:p w:rsidR="00B96D6D" w:rsidRPr="00F50E64" w:rsidRDefault="00B96D6D" w:rsidP="00C874B9">
            <w:pPr>
              <w:ind w:right="-29"/>
              <w:jc w:val="center"/>
              <w:rPr>
                <w:noProof/>
                <w:sz w:val="18"/>
                <w:szCs w:val="18"/>
              </w:rPr>
            </w:pPr>
          </w:p>
        </w:tc>
      </w:tr>
      <w:tr w:rsidR="00B96D6D" w:rsidRPr="00F50E64" w:rsidTr="00C874B9">
        <w:trPr>
          <w:jc w:val="center"/>
        </w:trPr>
        <w:tc>
          <w:tcPr>
            <w:tcW w:w="2844" w:type="dxa"/>
            <w:gridSpan w:val="3"/>
            <w:tcBorders>
              <w:bottom w:val="single" w:sz="12" w:space="0" w:color="auto"/>
            </w:tcBorders>
            <w:vAlign w:val="center"/>
          </w:tcPr>
          <w:p w:rsidR="00B96D6D" w:rsidRPr="00F50E64" w:rsidRDefault="00B96D6D" w:rsidP="00C874B9">
            <w:pPr>
              <w:jc w:val="center"/>
              <w:rPr>
                <w:noProof/>
                <w:sz w:val="18"/>
                <w:szCs w:val="18"/>
                <w:lang w:val="en-IE"/>
              </w:rPr>
            </w:pPr>
            <w:r w:rsidRPr="00F50E64">
              <w:rPr>
                <w:noProof/>
                <w:sz w:val="18"/>
                <w:lang w:val="en-IE"/>
              </w:rPr>
              <w:t>Subtotal for specific objective No 2</w:t>
            </w:r>
          </w:p>
        </w:tc>
        <w:tc>
          <w:tcPr>
            <w:tcW w:w="504"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951" w:type="dxa"/>
            <w:gridSpan w:val="2"/>
            <w:tcBorders>
              <w:bottom w:val="single" w:sz="12" w:space="0" w:color="auto"/>
            </w:tcBorders>
          </w:tcPr>
          <w:p w:rsidR="00B96D6D" w:rsidRPr="00F50E64" w:rsidRDefault="00B96D6D" w:rsidP="00C874B9">
            <w:pPr>
              <w:ind w:right="-29"/>
              <w:jc w:val="center"/>
              <w:rPr>
                <w:noProof/>
                <w:sz w:val="18"/>
                <w:szCs w:val="18"/>
                <w:lang w:val="en-IE"/>
              </w:rPr>
            </w:pPr>
          </w:p>
        </w:tc>
        <w:tc>
          <w:tcPr>
            <w:tcW w:w="669" w:type="dxa"/>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648" w:type="dxa"/>
            <w:tcBorders>
              <w:bottom w:val="single" w:sz="12" w:space="0" w:color="auto"/>
            </w:tcBorders>
          </w:tcPr>
          <w:p w:rsidR="00B96D6D" w:rsidRPr="00F50E64" w:rsidRDefault="00B96D6D" w:rsidP="00C874B9">
            <w:pPr>
              <w:ind w:right="-29"/>
              <w:jc w:val="center"/>
              <w:rPr>
                <w:noProof/>
                <w:sz w:val="18"/>
                <w:szCs w:val="18"/>
                <w:lang w:val="en-IE"/>
              </w:rPr>
            </w:pPr>
          </w:p>
        </w:tc>
        <w:tc>
          <w:tcPr>
            <w:tcW w:w="432"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54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720" w:type="dxa"/>
            <w:tcBorders>
              <w:bottom w:val="single" w:sz="12" w:space="0" w:color="auto"/>
            </w:tcBorders>
          </w:tcPr>
          <w:p w:rsidR="00B96D6D" w:rsidRPr="00F50E64" w:rsidRDefault="00B96D6D" w:rsidP="00C874B9">
            <w:pPr>
              <w:ind w:right="-29"/>
              <w:jc w:val="center"/>
              <w:rPr>
                <w:noProof/>
                <w:sz w:val="18"/>
                <w:szCs w:val="18"/>
                <w:lang w:val="en-IE"/>
              </w:rPr>
            </w:pPr>
          </w:p>
        </w:tc>
        <w:tc>
          <w:tcPr>
            <w:tcW w:w="900" w:type="dxa"/>
            <w:tcBorders>
              <w:bottom w:val="single" w:sz="12" w:space="0" w:color="auto"/>
            </w:tcBorders>
          </w:tcPr>
          <w:p w:rsidR="00B96D6D" w:rsidRPr="00F50E64" w:rsidRDefault="00B96D6D" w:rsidP="00C874B9">
            <w:pPr>
              <w:ind w:right="-29"/>
              <w:jc w:val="center"/>
              <w:rPr>
                <w:noProof/>
                <w:sz w:val="18"/>
                <w:szCs w:val="18"/>
                <w:lang w:val="en-IE"/>
              </w:rPr>
            </w:pPr>
          </w:p>
        </w:tc>
      </w:tr>
      <w:tr w:rsidR="00B96D6D" w:rsidRPr="00F50E64" w:rsidTr="00C874B9">
        <w:trPr>
          <w:jc w:val="center"/>
        </w:trPr>
        <w:tc>
          <w:tcPr>
            <w:tcW w:w="2844" w:type="dxa"/>
            <w:gridSpan w:val="3"/>
            <w:tcBorders>
              <w:top w:val="single" w:sz="12" w:space="0" w:color="auto"/>
              <w:left w:val="single" w:sz="12" w:space="0" w:color="auto"/>
              <w:bottom w:val="single" w:sz="12" w:space="0" w:color="auto"/>
            </w:tcBorders>
            <w:vAlign w:val="center"/>
          </w:tcPr>
          <w:p w:rsidR="00B96D6D" w:rsidRPr="00F50E64" w:rsidRDefault="00B96D6D" w:rsidP="00C874B9">
            <w:pPr>
              <w:ind w:right="-29"/>
              <w:jc w:val="center"/>
              <w:rPr>
                <w:noProof/>
                <w:sz w:val="18"/>
                <w:szCs w:val="18"/>
              </w:rPr>
            </w:pPr>
            <w:r w:rsidRPr="00F50E64">
              <w:rPr>
                <w:b/>
                <w:noProof/>
                <w:sz w:val="18"/>
              </w:rPr>
              <w:t>TOTALS</w:t>
            </w:r>
          </w:p>
        </w:tc>
        <w:tc>
          <w:tcPr>
            <w:tcW w:w="504"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54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90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54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648"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432"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54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720" w:type="dxa"/>
            <w:tcBorders>
              <w:top w:val="single" w:sz="12" w:space="0" w:color="auto"/>
              <w:bottom w:val="single" w:sz="12" w:space="0" w:color="auto"/>
            </w:tcBorders>
          </w:tcPr>
          <w:p w:rsidR="00B96D6D" w:rsidRPr="00F50E64" w:rsidRDefault="00B96D6D" w:rsidP="00C874B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96D6D" w:rsidRPr="00F50E64" w:rsidRDefault="00B96D6D" w:rsidP="00C874B9">
            <w:pPr>
              <w:spacing w:before="180" w:after="180"/>
              <w:ind w:right="-29"/>
              <w:jc w:val="center"/>
              <w:rPr>
                <w:noProof/>
                <w:sz w:val="18"/>
                <w:szCs w:val="18"/>
              </w:rPr>
            </w:pPr>
          </w:p>
        </w:tc>
      </w:tr>
    </w:tbl>
    <w:p w:rsidR="00B96D6D" w:rsidRPr="00F50E64" w:rsidRDefault="00B96D6D" w:rsidP="00B96D6D">
      <w:pPr>
        <w:rPr>
          <w:noProof/>
        </w:rPr>
        <w:sectPr w:rsidR="00B96D6D" w:rsidRPr="00F50E64" w:rsidSect="008A2E9F">
          <w:headerReference w:type="default" r:id="rId16"/>
          <w:footerReference w:type="default" r:id="rId17"/>
          <w:pgSz w:w="16840" w:h="11907" w:orient="landscape" w:code="9"/>
          <w:pgMar w:top="1134" w:right="1418" w:bottom="567" w:left="1418" w:header="709" w:footer="709" w:gutter="0"/>
          <w:cols w:space="708"/>
          <w:docGrid w:linePitch="360"/>
        </w:sectPr>
      </w:pPr>
    </w:p>
    <w:p w:rsidR="00B96D6D" w:rsidRPr="00F50E64" w:rsidRDefault="00B96D6D" w:rsidP="00B96D6D">
      <w:pPr>
        <w:pStyle w:val="ManualHeading3"/>
        <w:rPr>
          <w:bCs/>
          <w:noProof/>
          <w:szCs w:val="24"/>
        </w:rPr>
      </w:pPr>
      <w:bookmarkStart w:id="77" w:name="_Toc514938055"/>
      <w:bookmarkStart w:id="78" w:name="_Toc520485054"/>
      <w:r w:rsidRPr="00F50E64">
        <w:rPr>
          <w:noProof/>
        </w:rPr>
        <w:t>3.2.3.</w:t>
      </w:r>
      <w:r w:rsidRPr="00F50E64">
        <w:rPr>
          <w:noProof/>
        </w:rPr>
        <w:tab/>
        <w:t>Summary of estimated impact on administrative appropriations</w:t>
      </w:r>
      <w:bookmarkEnd w:id="77"/>
      <w:bookmarkEnd w:id="78"/>
      <w:r w:rsidRPr="00F50E64">
        <w:rPr>
          <w:noProof/>
        </w:rPr>
        <w:t xml:space="preserve"> </w:t>
      </w:r>
    </w:p>
    <w:p w:rsidR="00B96D6D" w:rsidRPr="00F50E64" w:rsidRDefault="00B96D6D" w:rsidP="00B96D6D">
      <w:pPr>
        <w:pStyle w:val="ListDash1"/>
        <w:rPr>
          <w:noProof/>
        </w:rPr>
      </w:pPr>
      <w:r w:rsidRPr="00F50E64">
        <w:rPr>
          <w:noProof/>
        </w:rPr>
        <w:sym w:font="Wingdings" w:char="F0A8"/>
      </w:r>
      <w:r w:rsidRPr="00F50E64">
        <w:rPr>
          <w:noProof/>
        </w:rPr>
        <w:tab/>
        <w:t xml:space="preserve">The proposal/initiative does not require the use of appropriations of an administrative nature </w:t>
      </w:r>
    </w:p>
    <w:p w:rsidR="00B96D6D" w:rsidRPr="00F50E64" w:rsidRDefault="00B96D6D" w:rsidP="00B96D6D">
      <w:pPr>
        <w:pStyle w:val="ListDash1"/>
        <w:rPr>
          <w:noProof/>
        </w:rPr>
      </w:pPr>
      <w:r w:rsidRPr="00F50E64">
        <w:rPr>
          <w:noProof/>
        </w:rPr>
        <w:sym w:font="Wingdings" w:char="F0FD"/>
      </w:r>
      <w:r w:rsidRPr="00F50E64">
        <w:rPr>
          <w:noProof/>
        </w:rPr>
        <w:tab/>
        <w:t>The proposal/initiative requires the use of appropriations of an administrative nature, as explained below:</w:t>
      </w:r>
    </w:p>
    <w:p w:rsidR="00B96D6D" w:rsidRPr="00F50E64" w:rsidRDefault="00B96D6D" w:rsidP="00B96D6D">
      <w:pPr>
        <w:jc w:val="right"/>
        <w:rPr>
          <w:noProof/>
          <w:sz w:val="20"/>
          <w:lang w:val="en-IE"/>
        </w:rPr>
      </w:pPr>
      <w:r w:rsidRPr="00F50E64">
        <w:rPr>
          <w:noProof/>
          <w:sz w:val="20"/>
          <w:lang w:val="en-IE"/>
        </w:rPr>
        <w:t>EUR million (to three decimal places)</w:t>
      </w:r>
    </w:p>
    <w:tbl>
      <w:tblPr>
        <w:tblW w:w="52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62"/>
        <w:gridCol w:w="1071"/>
        <w:gridCol w:w="1071"/>
        <w:gridCol w:w="1071"/>
        <w:gridCol w:w="45"/>
      </w:tblGrid>
      <w:tr w:rsidR="00B96D6D" w:rsidRPr="00F50E64" w:rsidTr="00367D62">
        <w:trPr>
          <w:trHeight w:val="585"/>
          <w:jc w:val="center"/>
        </w:trPr>
        <w:tc>
          <w:tcPr>
            <w:tcW w:w="1962" w:type="dxa"/>
          </w:tcPr>
          <w:p w:rsidR="00B96D6D" w:rsidRPr="00F50E64" w:rsidRDefault="00B96D6D" w:rsidP="00C874B9">
            <w:pPr>
              <w:spacing w:before="60" w:after="60" w:line="200" w:lineRule="exact"/>
              <w:rPr>
                <w:noProof/>
                <w:sz w:val="16"/>
                <w:szCs w:val="16"/>
                <w:lang w:val="en-IE"/>
              </w:rPr>
            </w:pPr>
          </w:p>
        </w:tc>
        <w:tc>
          <w:tcPr>
            <w:tcW w:w="1071" w:type="dxa"/>
            <w:vAlign w:val="center"/>
          </w:tcPr>
          <w:p w:rsidR="00B96D6D" w:rsidRPr="00F50E64" w:rsidRDefault="00B96D6D" w:rsidP="00C874B9">
            <w:pPr>
              <w:spacing w:before="60" w:after="60" w:line="200" w:lineRule="exact"/>
              <w:jc w:val="center"/>
              <w:rPr>
                <w:noProof/>
                <w:sz w:val="16"/>
                <w:szCs w:val="16"/>
              </w:rPr>
            </w:pPr>
            <w:r w:rsidRPr="00F50E64">
              <w:rPr>
                <w:noProof/>
                <w:sz w:val="16"/>
              </w:rPr>
              <w:t>Year</w:t>
            </w:r>
            <w:r w:rsidRPr="00F50E64">
              <w:rPr>
                <w:noProof/>
                <w:sz w:val="22"/>
              </w:rPr>
              <w:br/>
            </w:r>
            <w:r w:rsidRPr="00F50E64">
              <w:rPr>
                <w:b/>
                <w:noProof/>
                <w:sz w:val="16"/>
              </w:rPr>
              <w:t>2026</w:t>
            </w:r>
          </w:p>
        </w:tc>
        <w:tc>
          <w:tcPr>
            <w:tcW w:w="1071" w:type="dxa"/>
            <w:vAlign w:val="center"/>
          </w:tcPr>
          <w:p w:rsidR="00B96D6D" w:rsidRPr="00F50E64" w:rsidRDefault="00B96D6D" w:rsidP="00C874B9">
            <w:pPr>
              <w:spacing w:before="60" w:after="60" w:line="200" w:lineRule="exact"/>
              <w:jc w:val="center"/>
              <w:rPr>
                <w:noProof/>
                <w:sz w:val="16"/>
                <w:szCs w:val="16"/>
              </w:rPr>
            </w:pPr>
            <w:r w:rsidRPr="00F50E64">
              <w:rPr>
                <w:noProof/>
                <w:sz w:val="16"/>
              </w:rPr>
              <w:t>Year</w:t>
            </w:r>
            <w:r w:rsidRPr="00F50E64">
              <w:rPr>
                <w:noProof/>
                <w:sz w:val="22"/>
              </w:rPr>
              <w:br/>
            </w:r>
            <w:r w:rsidRPr="00F50E64">
              <w:rPr>
                <w:b/>
                <w:noProof/>
                <w:sz w:val="16"/>
              </w:rPr>
              <w:t>2027</w:t>
            </w:r>
          </w:p>
        </w:tc>
        <w:tc>
          <w:tcPr>
            <w:tcW w:w="1116" w:type="dxa"/>
            <w:gridSpan w:val="2"/>
            <w:vAlign w:val="center"/>
          </w:tcPr>
          <w:p w:rsidR="00B96D6D" w:rsidRPr="00F50E64" w:rsidRDefault="00B96D6D" w:rsidP="00C874B9">
            <w:pPr>
              <w:spacing w:before="60" w:after="60" w:line="200" w:lineRule="exact"/>
              <w:jc w:val="center"/>
              <w:rPr>
                <w:b/>
                <w:noProof/>
                <w:sz w:val="16"/>
                <w:szCs w:val="16"/>
              </w:rPr>
            </w:pPr>
            <w:r w:rsidRPr="00F50E64">
              <w:rPr>
                <w:b/>
                <w:noProof/>
                <w:sz w:val="16"/>
              </w:rPr>
              <w:t>TOTAL</w:t>
            </w:r>
          </w:p>
        </w:tc>
      </w:tr>
      <w:tr w:rsidR="00B96D6D" w:rsidRPr="00F50E64" w:rsidTr="00367D62">
        <w:trPr>
          <w:gridAfter w:val="1"/>
          <w:wAfter w:w="45" w:type="dxa"/>
          <w:trHeight w:val="585"/>
          <w:jc w:val="center"/>
        </w:trPr>
        <w:tc>
          <w:tcPr>
            <w:tcW w:w="1962" w:type="dxa"/>
            <w:shd w:val="clear" w:color="auto" w:fill="CCCCCC"/>
            <w:vAlign w:val="center"/>
          </w:tcPr>
          <w:p w:rsidR="00B96D6D" w:rsidRPr="00F50E64" w:rsidRDefault="00B96D6D" w:rsidP="00C874B9">
            <w:pPr>
              <w:spacing w:before="60" w:after="60" w:line="200" w:lineRule="exact"/>
              <w:jc w:val="center"/>
              <w:rPr>
                <w:b/>
                <w:noProof/>
                <w:sz w:val="16"/>
                <w:szCs w:val="16"/>
                <w:lang w:val="en-IE"/>
              </w:rPr>
            </w:pPr>
            <w:r w:rsidRPr="00F50E64">
              <w:rPr>
                <w:b/>
                <w:noProof/>
                <w:sz w:val="16"/>
                <w:lang w:val="en-IE"/>
              </w:rPr>
              <w:t>HEADING 7</w:t>
            </w:r>
            <w:r w:rsidRPr="00F50E64">
              <w:rPr>
                <w:noProof/>
                <w:sz w:val="22"/>
                <w:lang w:val="en-IE"/>
              </w:rPr>
              <w:br/>
            </w:r>
            <w:r w:rsidRPr="00F50E64">
              <w:rPr>
                <w:b/>
                <w:noProof/>
                <w:sz w:val="16"/>
                <w:lang w:val="en-IE"/>
              </w:rPr>
              <w:t>of the multiannual financial framework</w:t>
            </w:r>
          </w:p>
        </w:tc>
        <w:tc>
          <w:tcPr>
            <w:tcW w:w="1071" w:type="dxa"/>
            <w:vAlign w:val="center"/>
          </w:tcPr>
          <w:p w:rsidR="00B96D6D" w:rsidRPr="00F50E64" w:rsidRDefault="00B96D6D" w:rsidP="00C874B9">
            <w:pPr>
              <w:spacing w:before="60" w:after="60" w:line="200" w:lineRule="exact"/>
              <w:jc w:val="right"/>
              <w:rPr>
                <w:noProof/>
                <w:sz w:val="16"/>
                <w:szCs w:val="16"/>
                <w:lang w:val="en-IE"/>
              </w:rPr>
            </w:pPr>
          </w:p>
        </w:tc>
        <w:tc>
          <w:tcPr>
            <w:tcW w:w="1071" w:type="dxa"/>
            <w:vAlign w:val="center"/>
          </w:tcPr>
          <w:p w:rsidR="00B96D6D" w:rsidRPr="00F50E64" w:rsidRDefault="00B96D6D" w:rsidP="00C874B9">
            <w:pPr>
              <w:spacing w:before="60" w:after="60" w:line="200" w:lineRule="exact"/>
              <w:jc w:val="right"/>
              <w:rPr>
                <w:noProof/>
                <w:sz w:val="16"/>
                <w:szCs w:val="16"/>
                <w:lang w:val="en-IE"/>
              </w:rPr>
            </w:pPr>
          </w:p>
        </w:tc>
        <w:tc>
          <w:tcPr>
            <w:tcW w:w="1071" w:type="dxa"/>
            <w:vAlign w:val="center"/>
          </w:tcPr>
          <w:p w:rsidR="00B96D6D" w:rsidRPr="00F50E64" w:rsidRDefault="00B96D6D" w:rsidP="00C874B9">
            <w:pPr>
              <w:spacing w:before="60" w:after="60" w:line="200" w:lineRule="exact"/>
              <w:jc w:val="right"/>
              <w:rPr>
                <w:b/>
                <w:noProof/>
                <w:sz w:val="16"/>
                <w:szCs w:val="16"/>
                <w:lang w:val="en-IE"/>
              </w:rPr>
            </w:pPr>
          </w:p>
        </w:tc>
      </w:tr>
      <w:tr w:rsidR="00B96D6D" w:rsidRPr="00F50E64" w:rsidTr="00367D62">
        <w:trPr>
          <w:gridAfter w:val="1"/>
          <w:wAfter w:w="45" w:type="dxa"/>
          <w:trHeight w:val="585"/>
          <w:jc w:val="center"/>
        </w:trPr>
        <w:tc>
          <w:tcPr>
            <w:tcW w:w="1962" w:type="dxa"/>
            <w:vAlign w:val="center"/>
          </w:tcPr>
          <w:p w:rsidR="00B96D6D" w:rsidRPr="00F50E64" w:rsidRDefault="00B96D6D" w:rsidP="00C874B9">
            <w:pPr>
              <w:spacing w:before="60" w:after="60" w:line="200" w:lineRule="exact"/>
              <w:ind w:left="72"/>
              <w:jc w:val="left"/>
              <w:rPr>
                <w:noProof/>
                <w:sz w:val="16"/>
                <w:szCs w:val="16"/>
              </w:rPr>
            </w:pPr>
            <w:r w:rsidRPr="00F50E64">
              <w:rPr>
                <w:noProof/>
                <w:sz w:val="16"/>
              </w:rPr>
              <w:t xml:space="preserve">Human resources </w:t>
            </w:r>
          </w:p>
        </w:tc>
        <w:tc>
          <w:tcPr>
            <w:tcW w:w="1071" w:type="dxa"/>
            <w:vAlign w:val="center"/>
          </w:tcPr>
          <w:p w:rsidR="00B96D6D" w:rsidRPr="00F50E64" w:rsidRDefault="00B96D6D" w:rsidP="00C874B9">
            <w:pPr>
              <w:spacing w:before="60" w:after="60" w:line="200" w:lineRule="exact"/>
              <w:jc w:val="right"/>
              <w:rPr>
                <w:noProof/>
                <w:sz w:val="16"/>
                <w:szCs w:val="16"/>
              </w:rPr>
            </w:pPr>
          </w:p>
        </w:tc>
        <w:tc>
          <w:tcPr>
            <w:tcW w:w="1071" w:type="dxa"/>
            <w:vAlign w:val="center"/>
          </w:tcPr>
          <w:p w:rsidR="00B96D6D" w:rsidRPr="00F50E64" w:rsidRDefault="00B96D6D" w:rsidP="00C874B9">
            <w:pPr>
              <w:spacing w:before="60" w:after="60" w:line="200" w:lineRule="exact"/>
              <w:jc w:val="right"/>
              <w:rPr>
                <w:noProof/>
                <w:sz w:val="16"/>
                <w:szCs w:val="16"/>
              </w:rPr>
            </w:pPr>
          </w:p>
        </w:tc>
        <w:tc>
          <w:tcPr>
            <w:tcW w:w="1071" w:type="dxa"/>
            <w:vAlign w:val="center"/>
          </w:tcPr>
          <w:p w:rsidR="00B96D6D" w:rsidRPr="00F50E64" w:rsidRDefault="00B96D6D" w:rsidP="00C874B9">
            <w:pPr>
              <w:spacing w:before="60" w:after="60" w:line="200" w:lineRule="exact"/>
              <w:jc w:val="right"/>
              <w:rPr>
                <w:b/>
                <w:noProof/>
                <w:sz w:val="16"/>
                <w:szCs w:val="16"/>
              </w:rPr>
            </w:pPr>
          </w:p>
        </w:tc>
      </w:tr>
      <w:tr w:rsidR="00B96D6D" w:rsidRPr="00F50E64" w:rsidTr="00367D62">
        <w:trPr>
          <w:gridAfter w:val="1"/>
          <w:wAfter w:w="45" w:type="dxa"/>
          <w:trHeight w:val="585"/>
          <w:jc w:val="center"/>
        </w:trPr>
        <w:tc>
          <w:tcPr>
            <w:tcW w:w="1962" w:type="dxa"/>
            <w:tcBorders>
              <w:bottom w:val="single" w:sz="4" w:space="0" w:color="auto"/>
            </w:tcBorders>
            <w:vAlign w:val="center"/>
          </w:tcPr>
          <w:p w:rsidR="00B96D6D" w:rsidRPr="00F50E64" w:rsidRDefault="00B96D6D" w:rsidP="00C874B9">
            <w:pPr>
              <w:spacing w:before="60" w:after="60" w:line="200" w:lineRule="exact"/>
              <w:ind w:left="72"/>
              <w:jc w:val="left"/>
              <w:rPr>
                <w:noProof/>
                <w:sz w:val="16"/>
                <w:szCs w:val="16"/>
              </w:rPr>
            </w:pPr>
            <w:r w:rsidRPr="00F50E64">
              <w:rPr>
                <w:noProof/>
                <w:sz w:val="16"/>
              </w:rPr>
              <w:t xml:space="preserve">Other administrative expenditure </w:t>
            </w:r>
          </w:p>
        </w:tc>
        <w:tc>
          <w:tcPr>
            <w:tcW w:w="1071" w:type="dxa"/>
            <w:tcBorders>
              <w:bottom w:val="single" w:sz="4" w:space="0" w:color="auto"/>
            </w:tcBorders>
            <w:vAlign w:val="center"/>
          </w:tcPr>
          <w:p w:rsidR="00B96D6D" w:rsidRPr="00F50E64" w:rsidRDefault="00B96D6D" w:rsidP="00C874B9">
            <w:pPr>
              <w:spacing w:before="60" w:after="60" w:line="200" w:lineRule="exact"/>
              <w:jc w:val="right"/>
              <w:rPr>
                <w:noProof/>
                <w:sz w:val="16"/>
                <w:szCs w:val="16"/>
              </w:rPr>
            </w:pPr>
          </w:p>
        </w:tc>
        <w:tc>
          <w:tcPr>
            <w:tcW w:w="1071" w:type="dxa"/>
            <w:tcBorders>
              <w:bottom w:val="single" w:sz="4" w:space="0" w:color="auto"/>
            </w:tcBorders>
            <w:vAlign w:val="center"/>
          </w:tcPr>
          <w:p w:rsidR="00B96D6D" w:rsidRPr="00F50E64" w:rsidRDefault="00B96D6D" w:rsidP="00C874B9">
            <w:pPr>
              <w:spacing w:before="60" w:after="60" w:line="200" w:lineRule="exact"/>
              <w:jc w:val="right"/>
              <w:rPr>
                <w:noProof/>
                <w:sz w:val="16"/>
                <w:szCs w:val="16"/>
              </w:rPr>
            </w:pPr>
          </w:p>
        </w:tc>
        <w:tc>
          <w:tcPr>
            <w:tcW w:w="1071" w:type="dxa"/>
            <w:tcBorders>
              <w:bottom w:val="single" w:sz="4" w:space="0" w:color="auto"/>
            </w:tcBorders>
            <w:vAlign w:val="center"/>
          </w:tcPr>
          <w:p w:rsidR="00B96D6D" w:rsidRPr="00F50E64" w:rsidRDefault="00B96D6D" w:rsidP="00C874B9">
            <w:pPr>
              <w:spacing w:before="60" w:after="60" w:line="200" w:lineRule="exact"/>
              <w:jc w:val="right"/>
              <w:rPr>
                <w:b/>
                <w:noProof/>
                <w:sz w:val="16"/>
                <w:szCs w:val="16"/>
              </w:rPr>
            </w:pPr>
          </w:p>
        </w:tc>
      </w:tr>
      <w:tr w:rsidR="00B96D6D" w:rsidRPr="00F50E64" w:rsidTr="00367D62">
        <w:trPr>
          <w:gridAfter w:val="1"/>
          <w:wAfter w:w="45" w:type="dxa"/>
          <w:trHeight w:val="585"/>
          <w:jc w:val="center"/>
        </w:trPr>
        <w:tc>
          <w:tcPr>
            <w:tcW w:w="1962" w:type="dxa"/>
            <w:tcBorders>
              <w:top w:val="single" w:sz="4" w:space="0" w:color="auto"/>
              <w:left w:val="single" w:sz="4" w:space="0" w:color="auto"/>
              <w:bottom w:val="single" w:sz="4" w:space="0" w:color="auto"/>
              <w:right w:val="single" w:sz="4" w:space="0" w:color="auto"/>
            </w:tcBorders>
            <w:shd w:val="clear" w:color="auto" w:fill="CCCCCC"/>
            <w:vAlign w:val="center"/>
          </w:tcPr>
          <w:p w:rsidR="00B96D6D" w:rsidRPr="00F50E64" w:rsidRDefault="00B96D6D" w:rsidP="00C874B9">
            <w:pPr>
              <w:spacing w:before="60" w:after="60" w:line="200" w:lineRule="exact"/>
              <w:jc w:val="center"/>
              <w:rPr>
                <w:b/>
                <w:noProof/>
                <w:sz w:val="16"/>
                <w:szCs w:val="16"/>
                <w:lang w:val="en-IE"/>
              </w:rPr>
            </w:pPr>
            <w:r w:rsidRPr="00F50E64">
              <w:rPr>
                <w:b/>
                <w:noProof/>
                <w:sz w:val="16"/>
                <w:lang w:val="en-IE"/>
              </w:rPr>
              <w:t>Subtotal HEADING 7</w:t>
            </w:r>
            <w:r w:rsidRPr="00F50E64">
              <w:rPr>
                <w:noProof/>
                <w:sz w:val="22"/>
                <w:lang w:val="en-IE"/>
              </w:rPr>
              <w:br/>
            </w:r>
            <w:r w:rsidRPr="00F50E64">
              <w:rPr>
                <w:b/>
                <w:noProof/>
                <w:sz w:val="16"/>
                <w:lang w:val="en-IE"/>
              </w:rPr>
              <w:t xml:space="preserve">of the multiannual financial framework </w:t>
            </w: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right"/>
              <w:rPr>
                <w:noProof/>
                <w:sz w:val="16"/>
                <w:szCs w:val="16"/>
                <w:lang w:val="en-IE"/>
              </w:rPr>
            </w:pP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right"/>
              <w:rPr>
                <w:noProof/>
                <w:sz w:val="16"/>
                <w:szCs w:val="16"/>
                <w:lang w:val="en-IE"/>
              </w:rPr>
            </w:pP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right"/>
              <w:rPr>
                <w:b/>
                <w:noProof/>
                <w:sz w:val="16"/>
                <w:szCs w:val="16"/>
                <w:lang w:val="en-IE"/>
              </w:rPr>
            </w:pPr>
          </w:p>
        </w:tc>
      </w:tr>
      <w:tr w:rsidR="00B96D6D" w:rsidRPr="00F50E64" w:rsidTr="00367D62">
        <w:trPr>
          <w:gridAfter w:val="1"/>
          <w:wAfter w:w="45" w:type="dxa"/>
          <w:trHeight w:val="196"/>
          <w:jc w:val="center"/>
        </w:trPr>
        <w:tc>
          <w:tcPr>
            <w:tcW w:w="1962" w:type="dxa"/>
            <w:tcBorders>
              <w:top w:val="single" w:sz="4" w:space="0" w:color="auto"/>
              <w:left w:val="nil"/>
              <w:bottom w:val="single" w:sz="4" w:space="0" w:color="auto"/>
              <w:right w:val="nil"/>
            </w:tcBorders>
            <w:shd w:val="clear" w:color="auto" w:fill="auto"/>
            <w:vAlign w:val="center"/>
          </w:tcPr>
          <w:p w:rsidR="00B96D6D" w:rsidRPr="00F50E64" w:rsidRDefault="00B96D6D" w:rsidP="00C874B9">
            <w:pPr>
              <w:spacing w:before="60" w:after="60" w:line="200" w:lineRule="exact"/>
              <w:jc w:val="center"/>
              <w:rPr>
                <w:b/>
                <w:noProof/>
                <w:sz w:val="16"/>
                <w:lang w:val="en-IE"/>
              </w:rPr>
            </w:pPr>
          </w:p>
        </w:tc>
        <w:tc>
          <w:tcPr>
            <w:tcW w:w="1071" w:type="dxa"/>
            <w:tcBorders>
              <w:top w:val="single" w:sz="4" w:space="0" w:color="auto"/>
              <w:left w:val="nil"/>
              <w:bottom w:val="single" w:sz="4" w:space="0" w:color="auto"/>
              <w:right w:val="nil"/>
            </w:tcBorders>
            <w:shd w:val="clear" w:color="auto" w:fill="auto"/>
            <w:vAlign w:val="center"/>
          </w:tcPr>
          <w:p w:rsidR="00B96D6D" w:rsidRPr="00F50E64" w:rsidRDefault="00B96D6D" w:rsidP="00C874B9">
            <w:pPr>
              <w:spacing w:before="60" w:after="60" w:line="200" w:lineRule="exact"/>
              <w:jc w:val="right"/>
              <w:rPr>
                <w:noProof/>
                <w:sz w:val="16"/>
                <w:szCs w:val="16"/>
                <w:lang w:val="en-IE"/>
              </w:rPr>
            </w:pPr>
          </w:p>
        </w:tc>
        <w:tc>
          <w:tcPr>
            <w:tcW w:w="1071" w:type="dxa"/>
            <w:tcBorders>
              <w:top w:val="single" w:sz="4" w:space="0" w:color="auto"/>
              <w:left w:val="nil"/>
              <w:bottom w:val="single" w:sz="4" w:space="0" w:color="auto"/>
              <w:right w:val="nil"/>
            </w:tcBorders>
            <w:shd w:val="clear" w:color="auto" w:fill="auto"/>
            <w:vAlign w:val="center"/>
          </w:tcPr>
          <w:p w:rsidR="00B96D6D" w:rsidRPr="00F50E64" w:rsidRDefault="00B96D6D" w:rsidP="00C874B9">
            <w:pPr>
              <w:spacing w:before="60" w:after="60" w:line="200" w:lineRule="exact"/>
              <w:jc w:val="right"/>
              <w:rPr>
                <w:noProof/>
                <w:sz w:val="16"/>
                <w:szCs w:val="16"/>
                <w:lang w:val="en-IE"/>
              </w:rPr>
            </w:pPr>
          </w:p>
        </w:tc>
        <w:tc>
          <w:tcPr>
            <w:tcW w:w="1071" w:type="dxa"/>
            <w:tcBorders>
              <w:top w:val="single" w:sz="4" w:space="0" w:color="auto"/>
              <w:left w:val="nil"/>
              <w:bottom w:val="single" w:sz="4" w:space="0" w:color="auto"/>
              <w:right w:val="nil"/>
            </w:tcBorders>
            <w:shd w:val="clear" w:color="auto" w:fill="auto"/>
            <w:vAlign w:val="center"/>
          </w:tcPr>
          <w:p w:rsidR="00B96D6D" w:rsidRPr="00F50E64" w:rsidRDefault="00B96D6D" w:rsidP="00C874B9">
            <w:pPr>
              <w:spacing w:before="60" w:after="60" w:line="200" w:lineRule="exact"/>
              <w:jc w:val="right"/>
              <w:rPr>
                <w:b/>
                <w:noProof/>
                <w:sz w:val="16"/>
                <w:szCs w:val="16"/>
                <w:lang w:val="en-IE"/>
              </w:rPr>
            </w:pPr>
          </w:p>
        </w:tc>
      </w:tr>
      <w:tr w:rsidR="00B96D6D" w:rsidRPr="00F50E64" w:rsidTr="00367D62">
        <w:trPr>
          <w:gridAfter w:val="1"/>
          <w:wAfter w:w="45" w:type="dxa"/>
          <w:trHeight w:val="585"/>
          <w:jc w:val="center"/>
        </w:trPr>
        <w:tc>
          <w:tcPr>
            <w:tcW w:w="1962" w:type="dxa"/>
            <w:tcBorders>
              <w:top w:val="single" w:sz="4" w:space="0" w:color="auto"/>
              <w:left w:val="single" w:sz="4" w:space="0" w:color="auto"/>
              <w:bottom w:val="single" w:sz="4" w:space="0" w:color="auto"/>
              <w:right w:val="single" w:sz="4" w:space="0" w:color="auto"/>
            </w:tcBorders>
            <w:shd w:val="clear" w:color="auto" w:fill="CCCCCC"/>
            <w:vAlign w:val="center"/>
          </w:tcPr>
          <w:p w:rsidR="00B96D6D" w:rsidRPr="00F50E64" w:rsidRDefault="00B96D6D" w:rsidP="00C874B9">
            <w:pPr>
              <w:spacing w:before="60" w:after="60" w:line="200" w:lineRule="exact"/>
              <w:jc w:val="center"/>
              <w:rPr>
                <w:b/>
                <w:noProof/>
                <w:sz w:val="16"/>
                <w:lang w:val="en-IE"/>
              </w:rPr>
            </w:pPr>
            <w:r w:rsidRPr="00F50E64">
              <w:rPr>
                <w:b/>
                <w:noProof/>
                <w:sz w:val="16"/>
                <w:lang w:val="en-IE"/>
              </w:rPr>
              <w:t>Outside HEADING 7</w:t>
            </w:r>
            <w:r w:rsidRPr="00F50E64">
              <w:rPr>
                <w:b/>
                <w:noProof/>
                <w:sz w:val="16"/>
                <w:lang w:val="en-IE"/>
              </w:rPr>
              <w:br/>
              <w:t xml:space="preserve">of the multiannual financial framework </w:t>
            </w:r>
          </w:p>
          <w:p w:rsidR="00B96D6D" w:rsidRPr="00F50E64" w:rsidRDefault="00B96D6D" w:rsidP="00C874B9">
            <w:pPr>
              <w:spacing w:before="60" w:after="60" w:line="200" w:lineRule="exact"/>
              <w:jc w:val="center"/>
              <w:rPr>
                <w:b/>
                <w:noProof/>
                <w:sz w:val="16"/>
                <w:lang w:val="en-IE"/>
              </w:rPr>
            </w:pP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center"/>
              <w:rPr>
                <w:b/>
                <w:bCs/>
                <w:noProof/>
                <w:sz w:val="16"/>
                <w:szCs w:val="16"/>
                <w:lang w:val="en-IE"/>
              </w:rPr>
            </w:pPr>
            <w:r w:rsidRPr="00F50E64">
              <w:rPr>
                <w:b/>
                <w:bCs/>
                <w:noProof/>
                <w:sz w:val="16"/>
                <w:szCs w:val="16"/>
                <w:lang w:val="en-IE"/>
              </w:rPr>
              <w:t>Year</w:t>
            </w:r>
            <w:r w:rsidRPr="00F50E64">
              <w:rPr>
                <w:b/>
                <w:bCs/>
                <w:noProof/>
                <w:sz w:val="16"/>
                <w:szCs w:val="16"/>
                <w:lang w:val="en-IE"/>
              </w:rPr>
              <w:br/>
              <w:t>2026</w:t>
            </w: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center"/>
              <w:rPr>
                <w:b/>
                <w:bCs/>
                <w:noProof/>
                <w:sz w:val="16"/>
                <w:szCs w:val="16"/>
                <w:lang w:val="en-IE"/>
              </w:rPr>
            </w:pPr>
            <w:r w:rsidRPr="00F50E64">
              <w:rPr>
                <w:b/>
                <w:bCs/>
                <w:noProof/>
                <w:sz w:val="16"/>
                <w:szCs w:val="16"/>
                <w:lang w:val="en-IE"/>
              </w:rPr>
              <w:t>Year</w:t>
            </w:r>
            <w:r w:rsidRPr="00F50E64">
              <w:rPr>
                <w:b/>
                <w:bCs/>
                <w:noProof/>
                <w:sz w:val="16"/>
                <w:szCs w:val="16"/>
                <w:lang w:val="en-IE"/>
              </w:rPr>
              <w:br/>
              <w:t>2027</w:t>
            </w:r>
          </w:p>
        </w:tc>
        <w:tc>
          <w:tcPr>
            <w:tcW w:w="1071" w:type="dxa"/>
            <w:tcBorders>
              <w:top w:val="single" w:sz="4" w:space="0" w:color="auto"/>
              <w:left w:val="single" w:sz="4" w:space="0" w:color="auto"/>
              <w:bottom w:val="single" w:sz="4" w:space="0" w:color="auto"/>
              <w:right w:val="single" w:sz="4" w:space="0" w:color="auto"/>
            </w:tcBorders>
            <w:vAlign w:val="center"/>
          </w:tcPr>
          <w:p w:rsidR="00B96D6D" w:rsidRPr="00F50E64" w:rsidRDefault="00B96D6D" w:rsidP="00C874B9">
            <w:pPr>
              <w:spacing w:before="60" w:after="60" w:line="200" w:lineRule="exact"/>
              <w:jc w:val="right"/>
              <w:rPr>
                <w:b/>
                <w:noProof/>
                <w:sz w:val="16"/>
                <w:szCs w:val="16"/>
                <w:lang w:val="en-IE"/>
              </w:rPr>
            </w:pPr>
            <w:r w:rsidRPr="00F50E64">
              <w:rPr>
                <w:b/>
                <w:noProof/>
                <w:sz w:val="16"/>
                <w:szCs w:val="16"/>
                <w:lang w:val="en-IE"/>
              </w:rPr>
              <w:t>TOTAL</w:t>
            </w:r>
          </w:p>
        </w:tc>
      </w:tr>
      <w:tr w:rsidR="00367D62" w:rsidRPr="00F50E64" w:rsidTr="00367D62">
        <w:trPr>
          <w:gridAfter w:val="1"/>
          <w:wAfter w:w="45" w:type="dxa"/>
          <w:trHeight w:val="585"/>
          <w:jc w:val="center"/>
        </w:trPr>
        <w:tc>
          <w:tcPr>
            <w:tcW w:w="1962" w:type="dxa"/>
            <w:tcBorders>
              <w:top w:val="single" w:sz="4" w:space="0" w:color="auto"/>
              <w:left w:val="single" w:sz="2" w:space="0" w:color="auto"/>
              <w:bottom w:val="single" w:sz="2" w:space="0" w:color="auto"/>
              <w:right w:val="single" w:sz="2" w:space="0" w:color="auto"/>
            </w:tcBorders>
            <w:shd w:val="clear" w:color="auto" w:fill="auto"/>
            <w:vAlign w:val="center"/>
          </w:tcPr>
          <w:p w:rsidR="00367D62" w:rsidRPr="00F50E64" w:rsidRDefault="00367D62" w:rsidP="00367D62">
            <w:pPr>
              <w:spacing w:before="60" w:after="60" w:line="200" w:lineRule="exact"/>
              <w:jc w:val="center"/>
              <w:rPr>
                <w:b/>
                <w:noProof/>
                <w:sz w:val="16"/>
                <w:lang w:val="en-IE"/>
              </w:rPr>
            </w:pPr>
            <w:r w:rsidRPr="00F50E64">
              <w:rPr>
                <w:b/>
                <w:noProof/>
                <w:sz w:val="16"/>
                <w:lang w:val="en-IE"/>
              </w:rPr>
              <w:t xml:space="preserve">Human resources </w:t>
            </w:r>
          </w:p>
        </w:tc>
        <w:tc>
          <w:tcPr>
            <w:tcW w:w="1071" w:type="dxa"/>
            <w:tcBorders>
              <w:top w:val="single" w:sz="4"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75</w:t>
            </w:r>
            <w:r>
              <w:rPr>
                <w:noProof/>
                <w:sz w:val="16"/>
                <w:szCs w:val="16"/>
                <w:lang w:val="en-IE"/>
              </w:rPr>
              <w:t>.</w:t>
            </w:r>
            <w:r w:rsidRPr="00F50E64">
              <w:rPr>
                <w:noProof/>
                <w:sz w:val="16"/>
                <w:szCs w:val="16"/>
                <w:lang w:val="en-IE"/>
              </w:rPr>
              <w:t>303</w:t>
            </w:r>
          </w:p>
        </w:tc>
        <w:tc>
          <w:tcPr>
            <w:tcW w:w="1071" w:type="dxa"/>
            <w:tcBorders>
              <w:top w:val="single" w:sz="4"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76</w:t>
            </w:r>
            <w:r>
              <w:rPr>
                <w:noProof/>
                <w:sz w:val="16"/>
                <w:szCs w:val="16"/>
                <w:lang w:val="en-IE"/>
              </w:rPr>
              <w:t>.</w:t>
            </w:r>
            <w:r w:rsidRPr="00F50E64">
              <w:rPr>
                <w:noProof/>
                <w:sz w:val="16"/>
                <w:szCs w:val="16"/>
                <w:lang w:val="en-IE"/>
              </w:rPr>
              <w:t>616</w:t>
            </w:r>
          </w:p>
        </w:tc>
        <w:tc>
          <w:tcPr>
            <w:tcW w:w="1071" w:type="dxa"/>
            <w:tcBorders>
              <w:top w:val="single" w:sz="4"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b/>
                <w:noProof/>
                <w:sz w:val="16"/>
                <w:szCs w:val="16"/>
                <w:lang w:val="en-IE"/>
              </w:rPr>
            </w:pPr>
            <w:r w:rsidRPr="00F50E64">
              <w:rPr>
                <w:b/>
                <w:noProof/>
                <w:sz w:val="16"/>
                <w:szCs w:val="16"/>
                <w:lang w:val="en-IE"/>
              </w:rPr>
              <w:t>151</w:t>
            </w:r>
            <w:r>
              <w:rPr>
                <w:b/>
                <w:noProof/>
                <w:sz w:val="16"/>
                <w:szCs w:val="16"/>
                <w:lang w:val="en-IE"/>
              </w:rPr>
              <w:t>.</w:t>
            </w:r>
            <w:r w:rsidRPr="00F50E64">
              <w:rPr>
                <w:b/>
                <w:noProof/>
                <w:sz w:val="16"/>
                <w:szCs w:val="16"/>
                <w:lang w:val="en-IE"/>
              </w:rPr>
              <w:t>918</w:t>
            </w:r>
          </w:p>
        </w:tc>
      </w:tr>
      <w:tr w:rsidR="00367D62" w:rsidRPr="00F50E64" w:rsidTr="00367D62">
        <w:trPr>
          <w:gridAfter w:val="1"/>
          <w:wAfter w:w="45" w:type="dxa"/>
          <w:trHeight w:val="585"/>
          <w:jc w:val="center"/>
        </w:trPr>
        <w:tc>
          <w:tcPr>
            <w:tcW w:w="1962" w:type="dxa"/>
            <w:tcBorders>
              <w:top w:val="single" w:sz="2" w:space="0" w:color="auto"/>
              <w:left w:val="single" w:sz="2" w:space="0" w:color="auto"/>
              <w:bottom w:val="single" w:sz="2" w:space="0" w:color="auto"/>
              <w:right w:val="single" w:sz="2" w:space="0" w:color="auto"/>
            </w:tcBorders>
            <w:shd w:val="clear" w:color="auto" w:fill="auto"/>
            <w:vAlign w:val="center"/>
          </w:tcPr>
          <w:p w:rsidR="00367D62" w:rsidRPr="00F50E64" w:rsidRDefault="00367D62" w:rsidP="00367D62">
            <w:pPr>
              <w:spacing w:before="60" w:after="60" w:line="200" w:lineRule="exact"/>
              <w:jc w:val="center"/>
              <w:rPr>
                <w:b/>
                <w:noProof/>
                <w:sz w:val="16"/>
                <w:lang w:val="en-IE"/>
              </w:rPr>
            </w:pPr>
            <w:r w:rsidRPr="00F50E64">
              <w:rPr>
                <w:b/>
                <w:noProof/>
                <w:sz w:val="16"/>
                <w:lang w:val="en-IE"/>
              </w:rPr>
              <w:t xml:space="preserve">Other expenditure </w:t>
            </w:r>
            <w:r w:rsidRPr="00F50E64">
              <w:rPr>
                <w:b/>
                <w:noProof/>
                <w:sz w:val="16"/>
                <w:lang w:val="en-IE"/>
              </w:rPr>
              <w:br/>
              <w:t>of an administrative nature</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36</w:t>
            </w:r>
            <w:r>
              <w:rPr>
                <w:noProof/>
                <w:sz w:val="16"/>
                <w:szCs w:val="16"/>
                <w:lang w:val="en-IE"/>
              </w:rPr>
              <w:t>.</w:t>
            </w:r>
            <w:r w:rsidRPr="00F50E64">
              <w:rPr>
                <w:noProof/>
                <w:sz w:val="16"/>
                <w:szCs w:val="16"/>
                <w:lang w:val="en-IE"/>
              </w:rPr>
              <w:t>972</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37</w:t>
            </w:r>
            <w:r>
              <w:rPr>
                <w:noProof/>
                <w:sz w:val="16"/>
                <w:szCs w:val="16"/>
                <w:lang w:val="en-IE"/>
              </w:rPr>
              <w:t>.</w:t>
            </w:r>
            <w:r w:rsidRPr="00F50E64">
              <w:rPr>
                <w:noProof/>
                <w:sz w:val="16"/>
                <w:szCs w:val="16"/>
                <w:lang w:val="en-IE"/>
              </w:rPr>
              <w:t>415</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b/>
                <w:noProof/>
                <w:sz w:val="16"/>
                <w:szCs w:val="16"/>
                <w:lang w:val="en-IE"/>
              </w:rPr>
            </w:pPr>
            <w:r w:rsidRPr="00F50E64">
              <w:rPr>
                <w:b/>
                <w:noProof/>
                <w:sz w:val="16"/>
                <w:szCs w:val="16"/>
                <w:lang w:val="en-IE"/>
              </w:rPr>
              <w:t>74</w:t>
            </w:r>
            <w:r>
              <w:rPr>
                <w:b/>
                <w:noProof/>
                <w:sz w:val="16"/>
                <w:szCs w:val="16"/>
                <w:lang w:val="en-IE"/>
              </w:rPr>
              <w:t>.</w:t>
            </w:r>
            <w:r w:rsidRPr="00F50E64">
              <w:rPr>
                <w:b/>
                <w:noProof/>
                <w:sz w:val="16"/>
                <w:szCs w:val="16"/>
                <w:lang w:val="en-IE"/>
              </w:rPr>
              <w:t>387</w:t>
            </w:r>
          </w:p>
        </w:tc>
      </w:tr>
      <w:tr w:rsidR="00367D62" w:rsidRPr="00F50E64" w:rsidTr="00367D62">
        <w:trPr>
          <w:gridAfter w:val="1"/>
          <w:wAfter w:w="45" w:type="dxa"/>
          <w:trHeight w:val="585"/>
          <w:jc w:val="center"/>
        </w:trPr>
        <w:tc>
          <w:tcPr>
            <w:tcW w:w="1962" w:type="dxa"/>
            <w:tcBorders>
              <w:top w:val="single" w:sz="2" w:space="0" w:color="auto"/>
              <w:left w:val="single" w:sz="2" w:space="0" w:color="auto"/>
              <w:bottom w:val="single" w:sz="2" w:space="0" w:color="auto"/>
              <w:right w:val="single" w:sz="2" w:space="0" w:color="auto"/>
            </w:tcBorders>
            <w:shd w:val="clear" w:color="auto" w:fill="CCCCCC"/>
            <w:vAlign w:val="center"/>
          </w:tcPr>
          <w:p w:rsidR="00367D62" w:rsidRPr="00F50E64" w:rsidRDefault="00367D62" w:rsidP="00367D62">
            <w:pPr>
              <w:spacing w:before="60" w:after="60" w:line="200" w:lineRule="exact"/>
              <w:jc w:val="center"/>
              <w:rPr>
                <w:b/>
                <w:noProof/>
                <w:sz w:val="16"/>
                <w:lang w:val="en-IE"/>
              </w:rPr>
            </w:pPr>
            <w:r w:rsidRPr="00F50E64">
              <w:rPr>
                <w:b/>
                <w:noProof/>
                <w:sz w:val="16"/>
                <w:lang w:val="en-IE"/>
              </w:rPr>
              <w:t xml:space="preserve">Subtotal </w:t>
            </w:r>
            <w:r w:rsidRPr="00F50E64">
              <w:rPr>
                <w:b/>
                <w:noProof/>
                <w:sz w:val="16"/>
                <w:lang w:val="en-IE"/>
              </w:rPr>
              <w:br/>
              <w:t>outside HEADING 7</w:t>
            </w:r>
            <w:r w:rsidRPr="00F50E64">
              <w:rPr>
                <w:b/>
                <w:noProof/>
                <w:sz w:val="16"/>
                <w:lang w:val="en-IE"/>
              </w:rPr>
              <w:br/>
              <w:t xml:space="preserve">of the multiannual financial framework </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112</w:t>
            </w:r>
            <w:r>
              <w:rPr>
                <w:noProof/>
                <w:sz w:val="16"/>
                <w:szCs w:val="16"/>
                <w:lang w:val="en-IE"/>
              </w:rPr>
              <w:t>.</w:t>
            </w:r>
            <w:r w:rsidRPr="00F50E64">
              <w:rPr>
                <w:noProof/>
                <w:sz w:val="16"/>
                <w:szCs w:val="16"/>
                <w:lang w:val="en-IE"/>
              </w:rPr>
              <w:t>275</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noProof/>
                <w:sz w:val="16"/>
                <w:szCs w:val="16"/>
                <w:lang w:val="en-IE"/>
              </w:rPr>
            </w:pPr>
            <w:r w:rsidRPr="00F50E64">
              <w:rPr>
                <w:noProof/>
                <w:sz w:val="16"/>
                <w:szCs w:val="16"/>
                <w:lang w:val="en-IE"/>
              </w:rPr>
              <w:t>114</w:t>
            </w:r>
            <w:r>
              <w:rPr>
                <w:noProof/>
                <w:sz w:val="16"/>
                <w:szCs w:val="16"/>
                <w:lang w:val="en-IE"/>
              </w:rPr>
              <w:t>.</w:t>
            </w:r>
            <w:r w:rsidRPr="00F50E64">
              <w:rPr>
                <w:noProof/>
                <w:sz w:val="16"/>
                <w:szCs w:val="16"/>
                <w:lang w:val="en-IE"/>
              </w:rPr>
              <w:t>031</w:t>
            </w:r>
          </w:p>
        </w:tc>
        <w:tc>
          <w:tcPr>
            <w:tcW w:w="1071" w:type="dxa"/>
            <w:tcBorders>
              <w:top w:val="single" w:sz="2" w:space="0" w:color="auto"/>
              <w:left w:val="single" w:sz="2" w:space="0" w:color="auto"/>
              <w:bottom w:val="single" w:sz="2" w:space="0" w:color="auto"/>
              <w:right w:val="single" w:sz="2" w:space="0" w:color="auto"/>
            </w:tcBorders>
            <w:vAlign w:val="center"/>
          </w:tcPr>
          <w:p w:rsidR="00367D62" w:rsidRPr="00F50E64" w:rsidRDefault="00367D62" w:rsidP="00367D62">
            <w:pPr>
              <w:spacing w:before="60" w:after="60" w:line="200" w:lineRule="exact"/>
              <w:jc w:val="right"/>
              <w:rPr>
                <w:b/>
                <w:noProof/>
                <w:sz w:val="16"/>
                <w:szCs w:val="16"/>
                <w:lang w:val="en-IE"/>
              </w:rPr>
            </w:pPr>
            <w:r w:rsidRPr="00F50E64">
              <w:rPr>
                <w:b/>
                <w:noProof/>
                <w:sz w:val="16"/>
                <w:szCs w:val="16"/>
                <w:lang w:val="en-IE"/>
              </w:rPr>
              <w:t>226</w:t>
            </w:r>
            <w:r>
              <w:rPr>
                <w:b/>
                <w:noProof/>
                <w:sz w:val="16"/>
                <w:szCs w:val="16"/>
                <w:lang w:val="en-IE"/>
              </w:rPr>
              <w:t>.</w:t>
            </w:r>
            <w:r w:rsidRPr="00F50E64">
              <w:rPr>
                <w:b/>
                <w:noProof/>
                <w:sz w:val="16"/>
                <w:szCs w:val="16"/>
                <w:lang w:val="en-IE"/>
              </w:rPr>
              <w:t>305</w:t>
            </w:r>
          </w:p>
        </w:tc>
      </w:tr>
    </w:tbl>
    <w:p w:rsidR="00B96D6D" w:rsidRPr="00564821" w:rsidRDefault="00B96D6D" w:rsidP="00B96D6D">
      <w:pPr>
        <w:spacing w:before="0" w:after="0"/>
        <w:rPr>
          <w:noProof/>
        </w:rPr>
      </w:pPr>
    </w:p>
    <w:tbl>
      <w:tblPr>
        <w:tblpPr w:leftFromText="180" w:rightFromText="180" w:vertAnchor="text" w:horzAnchor="page" w:tblpXSpec="center" w:tblpY="8"/>
        <w:tblW w:w="5220" w:type="dxa"/>
        <w:tblLayout w:type="fixed"/>
        <w:tblLook w:val="01E0" w:firstRow="1" w:lastRow="1" w:firstColumn="1" w:lastColumn="1" w:noHBand="0" w:noVBand="0"/>
      </w:tblPr>
      <w:tblGrid>
        <w:gridCol w:w="1980"/>
        <w:gridCol w:w="1080"/>
        <w:gridCol w:w="1080"/>
        <w:gridCol w:w="1080"/>
      </w:tblGrid>
      <w:tr w:rsidR="00367D62" w:rsidRPr="00F50E64" w:rsidTr="0012626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67D62" w:rsidRPr="00F50E64" w:rsidRDefault="00367D62" w:rsidP="00367D62">
            <w:pPr>
              <w:spacing w:before="60" w:after="60" w:line="200" w:lineRule="exact"/>
              <w:jc w:val="center"/>
              <w:rPr>
                <w:b/>
                <w:noProof/>
                <w:sz w:val="16"/>
                <w:lang w:val="en-IE"/>
              </w:rPr>
            </w:pPr>
            <w:r w:rsidRPr="00F50E64">
              <w:rPr>
                <w:b/>
                <w:noProof/>
                <w:sz w:val="16"/>
                <w:lang w:val="en-IE"/>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67D62" w:rsidRPr="00F50E64" w:rsidRDefault="00367D62" w:rsidP="00367D62">
            <w:pPr>
              <w:spacing w:before="60" w:after="60" w:line="200" w:lineRule="exact"/>
              <w:jc w:val="right"/>
              <w:rPr>
                <w:b/>
                <w:noProof/>
                <w:sz w:val="16"/>
                <w:lang w:val="en-IE"/>
              </w:rPr>
            </w:pPr>
            <w:r w:rsidRPr="00F50E64">
              <w:rPr>
                <w:b/>
                <w:noProof/>
                <w:sz w:val="16"/>
                <w:lang w:val="en-IE"/>
              </w:rPr>
              <w:t>112</w:t>
            </w:r>
            <w:r>
              <w:rPr>
                <w:b/>
                <w:noProof/>
                <w:sz w:val="16"/>
                <w:lang w:val="en-IE"/>
              </w:rPr>
              <w:t>.</w:t>
            </w:r>
            <w:r w:rsidRPr="00F50E64">
              <w:rPr>
                <w:b/>
                <w:noProof/>
                <w:sz w:val="16"/>
                <w:lang w:val="en-IE"/>
              </w:rPr>
              <w:t>275</w:t>
            </w:r>
          </w:p>
        </w:tc>
        <w:tc>
          <w:tcPr>
            <w:tcW w:w="1080" w:type="dxa"/>
            <w:tcBorders>
              <w:top w:val="single" w:sz="12" w:space="0" w:color="auto"/>
              <w:left w:val="single" w:sz="2" w:space="0" w:color="auto"/>
              <w:bottom w:val="single" w:sz="12" w:space="0" w:color="auto"/>
              <w:right w:val="single" w:sz="2" w:space="0" w:color="auto"/>
            </w:tcBorders>
            <w:vAlign w:val="center"/>
          </w:tcPr>
          <w:p w:rsidR="00367D62" w:rsidRPr="00F50E64" w:rsidRDefault="00367D62" w:rsidP="00367D62">
            <w:pPr>
              <w:spacing w:before="60" w:after="60" w:line="200" w:lineRule="exact"/>
              <w:jc w:val="right"/>
              <w:rPr>
                <w:b/>
                <w:noProof/>
                <w:sz w:val="16"/>
                <w:lang w:val="en-IE"/>
              </w:rPr>
            </w:pPr>
            <w:r w:rsidRPr="00F50E64">
              <w:rPr>
                <w:b/>
                <w:noProof/>
                <w:sz w:val="16"/>
                <w:lang w:val="en-IE"/>
              </w:rPr>
              <w:t>114</w:t>
            </w:r>
            <w:r>
              <w:rPr>
                <w:b/>
                <w:noProof/>
                <w:sz w:val="16"/>
                <w:lang w:val="en-IE"/>
              </w:rPr>
              <w:t>.</w:t>
            </w:r>
            <w:r w:rsidRPr="00F50E64">
              <w:rPr>
                <w:b/>
                <w:noProof/>
                <w:sz w:val="16"/>
                <w:lang w:val="en-IE"/>
              </w:rPr>
              <w:t>031</w:t>
            </w:r>
          </w:p>
        </w:tc>
        <w:tc>
          <w:tcPr>
            <w:tcW w:w="1080" w:type="dxa"/>
            <w:tcBorders>
              <w:top w:val="single" w:sz="12" w:space="0" w:color="auto"/>
              <w:left w:val="single" w:sz="2" w:space="0" w:color="auto"/>
              <w:bottom w:val="single" w:sz="12" w:space="0" w:color="auto"/>
              <w:right w:val="single" w:sz="12" w:space="0" w:color="auto"/>
            </w:tcBorders>
            <w:vAlign w:val="center"/>
          </w:tcPr>
          <w:p w:rsidR="00367D62" w:rsidRPr="00F50E64" w:rsidRDefault="00367D62" w:rsidP="00367D62">
            <w:pPr>
              <w:spacing w:before="60" w:after="60" w:line="200" w:lineRule="exact"/>
              <w:jc w:val="right"/>
              <w:rPr>
                <w:b/>
                <w:noProof/>
                <w:sz w:val="16"/>
                <w:lang w:val="en-IE"/>
              </w:rPr>
            </w:pPr>
            <w:r w:rsidRPr="00F50E64">
              <w:rPr>
                <w:b/>
                <w:noProof/>
                <w:sz w:val="16"/>
                <w:lang w:val="en-IE"/>
              </w:rPr>
              <w:t>226</w:t>
            </w:r>
            <w:r>
              <w:rPr>
                <w:b/>
                <w:noProof/>
                <w:sz w:val="16"/>
                <w:lang w:val="en-IE"/>
              </w:rPr>
              <w:t>.</w:t>
            </w:r>
            <w:r w:rsidRPr="00F50E64">
              <w:rPr>
                <w:b/>
                <w:noProof/>
                <w:sz w:val="16"/>
                <w:lang w:val="en-IE"/>
              </w:rPr>
              <w:t>305</w:t>
            </w:r>
          </w:p>
        </w:tc>
      </w:tr>
    </w:tbl>
    <w:p w:rsidR="00B96D6D" w:rsidRPr="00F50E64" w:rsidRDefault="00B96D6D" w:rsidP="00B96D6D">
      <w:pPr>
        <w:spacing w:line="200" w:lineRule="exact"/>
        <w:rPr>
          <w:noProof/>
          <w:sz w:val="16"/>
          <w:szCs w:val="16"/>
          <w:lang w:val="en-IE"/>
        </w:rPr>
      </w:pPr>
    </w:p>
    <w:p w:rsidR="00B96D6D" w:rsidRPr="00F50E64" w:rsidRDefault="00B96D6D" w:rsidP="00B96D6D">
      <w:pPr>
        <w:rPr>
          <w:noProof/>
          <w:sz w:val="18"/>
          <w:lang w:val="en-IE"/>
        </w:rPr>
      </w:pPr>
    </w:p>
    <w:p w:rsidR="00B96D6D" w:rsidRPr="00F50E64" w:rsidRDefault="00B96D6D" w:rsidP="00B96D6D">
      <w:pPr>
        <w:rPr>
          <w:noProof/>
          <w:sz w:val="18"/>
          <w:lang w:val="en-IE"/>
        </w:rPr>
      </w:pPr>
      <w:r w:rsidRPr="00F50E64">
        <w:rPr>
          <w:noProof/>
          <w:sz w:val="1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96D6D" w:rsidRPr="00F50E64" w:rsidRDefault="00B96D6D" w:rsidP="00B96D6D">
      <w:pPr>
        <w:rPr>
          <w:noProof/>
          <w:sz w:val="18"/>
          <w:lang w:val="en-IE"/>
        </w:rPr>
        <w:sectPr w:rsidR="00B96D6D" w:rsidRPr="00F50E64" w:rsidSect="008A2E9F">
          <w:headerReference w:type="default" r:id="rId18"/>
          <w:footerReference w:type="default" r:id="rId19"/>
          <w:pgSz w:w="11907" w:h="16840"/>
          <w:pgMar w:top="1134" w:right="1418" w:bottom="1134" w:left="1418" w:header="709" w:footer="709" w:gutter="0"/>
          <w:cols w:space="708"/>
          <w:docGrid w:linePitch="360"/>
        </w:sectPr>
      </w:pPr>
    </w:p>
    <w:p w:rsidR="00B96D6D" w:rsidRPr="00F50E64" w:rsidRDefault="00B96D6D" w:rsidP="00B96D6D">
      <w:pPr>
        <w:pStyle w:val="ManualHeading4"/>
        <w:rPr>
          <w:bCs/>
          <w:noProof/>
          <w:szCs w:val="24"/>
        </w:rPr>
      </w:pPr>
      <w:bookmarkStart w:id="79" w:name="_Toc82C9CE6E4E1F470F8F09B4938A67F539"/>
      <w:r w:rsidRPr="00F50E64">
        <w:rPr>
          <w:noProof/>
        </w:rPr>
        <w:t>3.2.3.1.</w:t>
      </w:r>
      <w:r w:rsidRPr="00F50E64">
        <w:rPr>
          <w:noProof/>
        </w:rPr>
        <w:tab/>
        <w:t xml:space="preserve">Estimated requirements of human resources </w:t>
      </w:r>
      <w:bookmarkEnd w:id="79"/>
    </w:p>
    <w:p w:rsidR="00B96D6D" w:rsidRPr="00F50E64" w:rsidRDefault="00B96D6D" w:rsidP="00B96D6D">
      <w:pPr>
        <w:pStyle w:val="ListDash1"/>
        <w:rPr>
          <w:noProof/>
        </w:rPr>
      </w:pPr>
      <w:r w:rsidRPr="00F50E64">
        <w:rPr>
          <w:noProof/>
        </w:rPr>
        <w:sym w:font="Wingdings" w:char="F0A8"/>
      </w:r>
      <w:r w:rsidRPr="00F50E64">
        <w:rPr>
          <w:noProof/>
        </w:rPr>
        <w:tab/>
        <w:t xml:space="preserve">The proposal/initiative does not require the use of human resources. </w:t>
      </w:r>
    </w:p>
    <w:p w:rsidR="00B96D6D" w:rsidRPr="00F50E64" w:rsidRDefault="00B96D6D" w:rsidP="00B96D6D">
      <w:pPr>
        <w:pStyle w:val="ListDash1"/>
        <w:rPr>
          <w:noProof/>
        </w:rPr>
      </w:pPr>
      <w:r w:rsidRPr="00F50E64">
        <w:rPr>
          <w:noProof/>
        </w:rPr>
        <w:sym w:font="Wingdings" w:char="F0FD"/>
      </w:r>
      <w:r w:rsidRPr="00F50E64">
        <w:rPr>
          <w:noProof/>
        </w:rPr>
        <w:tab/>
        <w:t>The proposal/initiative requires the use of human resources, as explained below:</w:t>
      </w:r>
    </w:p>
    <w:p w:rsidR="00B96D6D" w:rsidRPr="00F50E64" w:rsidRDefault="00B96D6D" w:rsidP="00B96D6D">
      <w:pPr>
        <w:spacing w:after="60"/>
        <w:jc w:val="right"/>
        <w:rPr>
          <w:i/>
          <w:noProof/>
          <w:sz w:val="20"/>
          <w:lang w:val="en-IE"/>
        </w:rPr>
      </w:pPr>
      <w:r w:rsidRPr="00F50E64">
        <w:rPr>
          <w:i/>
          <w:noProof/>
          <w:sz w:val="20"/>
          <w:lang w:val="en-IE"/>
        </w:rPr>
        <w:t>Estimate to be expressed in full time equivalent units</w:t>
      </w:r>
    </w:p>
    <w:tbl>
      <w:tblPr>
        <w:tblW w:w="6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33"/>
        <w:gridCol w:w="2378"/>
        <w:gridCol w:w="731"/>
        <w:gridCol w:w="735"/>
      </w:tblGrid>
      <w:tr w:rsidR="00B96D6D" w:rsidRPr="00F50E64" w:rsidTr="00F50E64">
        <w:trPr>
          <w:trHeight w:val="289"/>
          <w:jc w:val="center"/>
        </w:trPr>
        <w:tc>
          <w:tcPr>
            <w:tcW w:w="4911" w:type="dxa"/>
            <w:gridSpan w:val="2"/>
            <w:shd w:val="clear" w:color="auto" w:fill="auto"/>
          </w:tcPr>
          <w:p w:rsidR="00B96D6D" w:rsidRPr="00F50E64" w:rsidRDefault="00B96D6D" w:rsidP="00C874B9">
            <w:pPr>
              <w:pStyle w:val="Text1"/>
              <w:spacing w:before="40" w:after="40"/>
              <w:ind w:left="0"/>
              <w:jc w:val="center"/>
              <w:rPr>
                <w:i/>
                <w:noProof/>
                <w:sz w:val="16"/>
                <w:szCs w:val="16"/>
              </w:rPr>
            </w:pPr>
          </w:p>
        </w:tc>
        <w:tc>
          <w:tcPr>
            <w:tcW w:w="731" w:type="dxa"/>
            <w:shd w:val="clear" w:color="auto" w:fill="auto"/>
            <w:vAlign w:val="center"/>
          </w:tcPr>
          <w:p w:rsidR="00B96D6D" w:rsidRPr="00F50E64" w:rsidRDefault="00B96D6D" w:rsidP="00C874B9">
            <w:pPr>
              <w:spacing w:before="20" w:after="20"/>
              <w:jc w:val="center"/>
              <w:rPr>
                <w:noProof/>
                <w:sz w:val="16"/>
                <w:szCs w:val="16"/>
              </w:rPr>
            </w:pPr>
            <w:r w:rsidRPr="00F50E64">
              <w:rPr>
                <w:noProof/>
                <w:sz w:val="16"/>
              </w:rPr>
              <w:t>Year</w:t>
            </w:r>
            <w:r w:rsidRPr="00F50E64">
              <w:rPr>
                <w:noProof/>
                <w:sz w:val="22"/>
              </w:rPr>
              <w:br/>
            </w:r>
            <w:r w:rsidRPr="00F50E64">
              <w:rPr>
                <w:b/>
                <w:noProof/>
                <w:sz w:val="16"/>
              </w:rPr>
              <w:t>2026</w:t>
            </w:r>
          </w:p>
        </w:tc>
        <w:tc>
          <w:tcPr>
            <w:tcW w:w="735" w:type="dxa"/>
            <w:shd w:val="clear" w:color="auto" w:fill="auto"/>
            <w:vAlign w:val="center"/>
          </w:tcPr>
          <w:p w:rsidR="00B96D6D" w:rsidRPr="00F50E64" w:rsidRDefault="00B96D6D" w:rsidP="00C874B9">
            <w:pPr>
              <w:spacing w:before="20" w:after="20"/>
              <w:jc w:val="center"/>
              <w:rPr>
                <w:noProof/>
                <w:sz w:val="16"/>
                <w:szCs w:val="16"/>
              </w:rPr>
            </w:pPr>
            <w:r w:rsidRPr="00F50E64">
              <w:rPr>
                <w:noProof/>
                <w:sz w:val="16"/>
              </w:rPr>
              <w:t>Year</w:t>
            </w:r>
            <w:r w:rsidRPr="00F50E64">
              <w:rPr>
                <w:noProof/>
                <w:sz w:val="22"/>
              </w:rPr>
              <w:br/>
            </w:r>
            <w:r w:rsidRPr="00F50E64">
              <w:rPr>
                <w:b/>
                <w:noProof/>
                <w:sz w:val="16"/>
              </w:rPr>
              <w:t>2027</w:t>
            </w:r>
          </w:p>
        </w:tc>
      </w:tr>
      <w:tr w:rsidR="00B96D6D" w:rsidRPr="00F50E64" w:rsidTr="00F50E64">
        <w:trPr>
          <w:trHeight w:val="289"/>
          <w:jc w:val="center"/>
        </w:trPr>
        <w:tc>
          <w:tcPr>
            <w:tcW w:w="6377" w:type="dxa"/>
            <w:gridSpan w:val="4"/>
            <w:shd w:val="clear" w:color="auto" w:fill="auto"/>
          </w:tcPr>
          <w:p w:rsidR="00B96D6D" w:rsidRPr="00F50E64" w:rsidRDefault="00B96D6D" w:rsidP="00C874B9">
            <w:pPr>
              <w:jc w:val="left"/>
              <w:rPr>
                <w:noProof/>
                <w:sz w:val="16"/>
                <w:szCs w:val="16"/>
                <w:lang w:val="en-IE"/>
              </w:rPr>
            </w:pPr>
            <w:r w:rsidRPr="00F50E64">
              <w:rPr>
                <w:b/>
                <w:noProof/>
                <w:sz w:val="16"/>
              </w:rPr>
              <w:sym w:font="Wingdings" w:char="F09F"/>
            </w:r>
            <w:r w:rsidRPr="00F50E64">
              <w:rPr>
                <w:b/>
                <w:noProof/>
                <w:sz w:val="16"/>
                <w:lang w:val="en-IE"/>
              </w:rPr>
              <w:t xml:space="preserve"> Establishment plan posts (officials and temporary staff)</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4"/>
              <w:jc w:val="left"/>
              <w:rPr>
                <w:b/>
                <w:noProof/>
                <w:sz w:val="16"/>
                <w:szCs w:val="16"/>
              </w:rPr>
            </w:pPr>
            <w:r w:rsidRPr="00F50E64">
              <w:rPr>
                <w:noProof/>
                <w:sz w:val="16"/>
              </w:rPr>
              <w:t>20 01 02 01</w:t>
            </w:r>
            <w:r w:rsidRPr="00F50E64">
              <w:rPr>
                <w:rFonts w:ascii="Arial Narrow" w:hAnsi="Arial Narrow"/>
                <w:noProof/>
                <w:color w:val="000000"/>
                <w:sz w:val="20"/>
                <w:szCs w:val="20"/>
              </w:rPr>
              <w:t xml:space="preserve"> </w:t>
            </w:r>
            <w:r w:rsidRPr="00F50E64">
              <w:rPr>
                <w:noProof/>
                <w:sz w:val="16"/>
              </w:rPr>
              <w:t>(Headquarters and Commission’s Representation Offices)</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4"/>
              <w:jc w:val="left"/>
              <w:rPr>
                <w:noProof/>
                <w:sz w:val="16"/>
              </w:rPr>
            </w:pPr>
            <w:r w:rsidRPr="00F50E64">
              <w:rPr>
                <w:noProof/>
                <w:sz w:val="16"/>
              </w:rPr>
              <w:t>20 01 02 03 (Delegations)</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4"/>
              <w:jc w:val="left"/>
              <w:rPr>
                <w:noProof/>
                <w:sz w:val="16"/>
                <w:szCs w:val="16"/>
              </w:rPr>
            </w:pPr>
            <w:r w:rsidRPr="00F50E64">
              <w:rPr>
                <w:noProof/>
                <w:sz w:val="16"/>
              </w:rPr>
              <w:t>01 01 02 01</w:t>
            </w:r>
            <w:r w:rsidRPr="00F50E64">
              <w:rPr>
                <w:rFonts w:ascii="Arial Narrow" w:hAnsi="Arial Narrow"/>
                <w:noProof/>
                <w:color w:val="000000"/>
                <w:sz w:val="20"/>
                <w:szCs w:val="20"/>
              </w:rPr>
              <w:t xml:space="preserve"> </w:t>
            </w:r>
            <w:r w:rsidRPr="00F50E64">
              <w:rPr>
                <w:noProof/>
                <w:sz w:val="16"/>
              </w:rPr>
              <w:t xml:space="preserve"> (Indirect research)</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rPr>
            </w:pPr>
            <w:r w:rsidRPr="00F50E64">
              <w:rPr>
                <w:noProof/>
                <w:sz w:val="16"/>
                <w:szCs w:val="16"/>
              </w:rPr>
              <w:t>47</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r w:rsidRPr="00F50E64">
              <w:rPr>
                <w:noProof/>
                <w:sz w:val="16"/>
                <w:szCs w:val="16"/>
              </w:rPr>
              <w:t>47</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4"/>
              <w:jc w:val="left"/>
              <w:rPr>
                <w:noProof/>
                <w:sz w:val="16"/>
                <w:szCs w:val="16"/>
              </w:rPr>
            </w:pPr>
            <w:r w:rsidRPr="00F50E64">
              <w:rPr>
                <w:noProof/>
                <w:sz w:val="16"/>
              </w:rPr>
              <w:t xml:space="preserve"> 01 01 02 11 (Direct research)</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rPr>
            </w:pPr>
            <w:r w:rsidRPr="00F50E64">
              <w:rPr>
                <w:noProof/>
                <w:sz w:val="18"/>
                <w:szCs w:val="16"/>
              </w:rPr>
              <w:t>396</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r w:rsidRPr="00F50E64">
              <w:rPr>
                <w:noProof/>
                <w:sz w:val="18"/>
                <w:szCs w:val="16"/>
              </w:rPr>
              <w:t>390</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4"/>
              <w:jc w:val="left"/>
              <w:rPr>
                <w:noProof/>
                <w:sz w:val="16"/>
              </w:rPr>
            </w:pPr>
            <w:r w:rsidRPr="00F50E64">
              <w:rPr>
                <w:noProof/>
                <w:sz w:val="16"/>
              </w:rPr>
              <w:t>Other budget lines (specify)</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p>
        </w:tc>
      </w:tr>
      <w:tr w:rsidR="00B96D6D" w:rsidRPr="00F50E64" w:rsidTr="00F50E64">
        <w:trPr>
          <w:trHeight w:val="248"/>
          <w:jc w:val="center"/>
        </w:trPr>
        <w:tc>
          <w:tcPr>
            <w:tcW w:w="6377" w:type="dxa"/>
            <w:gridSpan w:val="4"/>
            <w:shd w:val="clear" w:color="auto" w:fill="auto"/>
            <w:vAlign w:val="center"/>
          </w:tcPr>
          <w:p w:rsidR="00B96D6D" w:rsidRPr="00F50E64" w:rsidRDefault="00B96D6D" w:rsidP="00C874B9">
            <w:pPr>
              <w:pStyle w:val="Text1"/>
              <w:spacing w:before="60" w:after="60"/>
              <w:ind w:left="0"/>
              <w:jc w:val="left"/>
              <w:rPr>
                <w:b/>
                <w:noProof/>
                <w:sz w:val="16"/>
                <w:szCs w:val="16"/>
              </w:rPr>
            </w:pPr>
            <w:r w:rsidRPr="00F50E64">
              <w:rPr>
                <w:b/>
                <w:noProof/>
                <w:sz w:val="16"/>
              </w:rPr>
              <w:sym w:font="Wingdings" w:char="F09F"/>
            </w:r>
            <w:r w:rsidRPr="00F50E64">
              <w:rPr>
                <w:b/>
                <w:noProof/>
                <w:sz w:val="16"/>
              </w:rPr>
              <w:t xml:space="preserve"> External staff (in Full Time Equivalent unit: FTE)</w:t>
            </w:r>
            <w:r w:rsidRPr="00F50E64">
              <w:rPr>
                <w:rStyle w:val="FootnoteReference"/>
                <w:b/>
                <w:noProof/>
                <w:sz w:val="16"/>
              </w:rPr>
              <w:footnoteReference w:id="63"/>
            </w:r>
          </w:p>
          <w:p w:rsidR="00B96D6D" w:rsidRPr="00F50E64" w:rsidRDefault="00B96D6D" w:rsidP="00C874B9">
            <w:pPr>
              <w:pStyle w:val="Text1"/>
              <w:spacing w:before="0" w:after="0"/>
              <w:ind w:left="0"/>
              <w:jc w:val="left"/>
              <w:rPr>
                <w:noProof/>
                <w:sz w:val="16"/>
                <w:szCs w:val="16"/>
              </w:rPr>
            </w:pP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6"/>
              <w:jc w:val="left"/>
              <w:rPr>
                <w:b/>
                <w:noProof/>
                <w:sz w:val="16"/>
                <w:szCs w:val="16"/>
              </w:rPr>
            </w:pPr>
            <w:r w:rsidRPr="00F50E64">
              <w:rPr>
                <w:noProof/>
                <w:sz w:val="16"/>
              </w:rPr>
              <w:t>20 02 01</w:t>
            </w:r>
            <w:r w:rsidRPr="00F50E64">
              <w:rPr>
                <w:rFonts w:ascii="Arial Narrow" w:hAnsi="Arial Narrow"/>
                <w:noProof/>
                <w:color w:val="000000"/>
                <w:sz w:val="20"/>
                <w:szCs w:val="20"/>
              </w:rPr>
              <w:t xml:space="preserve"> </w:t>
            </w:r>
            <w:r w:rsidRPr="00F50E64">
              <w:rPr>
                <w:noProof/>
                <w:sz w:val="16"/>
              </w:rPr>
              <w:t>(AC, END, INT from the ‘global envelope’)</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0</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0</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6"/>
              <w:jc w:val="left"/>
              <w:rPr>
                <w:noProof/>
                <w:sz w:val="16"/>
              </w:rPr>
            </w:pPr>
            <w:r w:rsidRPr="00F50E64">
              <w:rPr>
                <w:noProof/>
                <w:sz w:val="16"/>
              </w:rPr>
              <w:t>20 02 03 (AC, AL, END, INT and JPD in the delegations)</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0</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0</w:t>
            </w:r>
          </w:p>
        </w:tc>
      </w:tr>
      <w:tr w:rsidR="00B96D6D" w:rsidRPr="00F50E64" w:rsidTr="00F50E64">
        <w:trPr>
          <w:trHeight w:val="289"/>
          <w:jc w:val="center"/>
        </w:trPr>
        <w:tc>
          <w:tcPr>
            <w:tcW w:w="2533" w:type="dxa"/>
            <w:vMerge w:val="restart"/>
            <w:shd w:val="clear" w:color="auto" w:fill="auto"/>
            <w:vAlign w:val="center"/>
          </w:tcPr>
          <w:p w:rsidR="00B96D6D" w:rsidRPr="00F50E64" w:rsidRDefault="00B96D6D" w:rsidP="00C874B9">
            <w:pPr>
              <w:pStyle w:val="Text1"/>
              <w:spacing w:beforeLines="20" w:before="48" w:afterLines="20" w:after="48"/>
              <w:ind w:left="136"/>
              <w:jc w:val="left"/>
              <w:rPr>
                <w:b/>
                <w:noProof/>
                <w:sz w:val="16"/>
                <w:szCs w:val="16"/>
              </w:rPr>
            </w:pPr>
            <w:r w:rsidRPr="00F50E64">
              <w:rPr>
                <w:b/>
                <w:noProof/>
                <w:sz w:val="16"/>
                <w:szCs w:val="16"/>
              </w:rPr>
              <w:t>XX</w:t>
            </w:r>
            <w:r w:rsidRPr="00F50E64">
              <w:rPr>
                <w:noProof/>
                <w:sz w:val="16"/>
                <w:szCs w:val="16"/>
              </w:rPr>
              <w:t xml:space="preserve"> 01  xx </w:t>
            </w:r>
            <w:r w:rsidRPr="00F50E64">
              <w:rPr>
                <w:b/>
                <w:noProof/>
                <w:sz w:val="16"/>
                <w:szCs w:val="16"/>
              </w:rPr>
              <w:t xml:space="preserve">yy zz </w:t>
            </w:r>
            <w:r w:rsidRPr="00F50E64">
              <w:rPr>
                <w:b/>
                <w:i/>
                <w:noProof/>
                <w:sz w:val="16"/>
              </w:rPr>
              <w:t xml:space="preserve"> </w:t>
            </w:r>
            <w:r w:rsidRPr="00F50E64">
              <w:rPr>
                <w:rStyle w:val="FootnoteReference"/>
                <w:b/>
                <w:i/>
                <w:noProof/>
                <w:sz w:val="16"/>
              </w:rPr>
              <w:footnoteReference w:id="64"/>
            </w:r>
          </w:p>
          <w:p w:rsidR="00B96D6D" w:rsidRPr="00F50E64" w:rsidRDefault="00B96D6D" w:rsidP="00C874B9">
            <w:pPr>
              <w:pStyle w:val="Text1"/>
              <w:spacing w:beforeLines="20" w:before="48" w:afterLines="20" w:after="48"/>
              <w:ind w:left="136"/>
              <w:jc w:val="left"/>
              <w:rPr>
                <w:b/>
                <w:noProof/>
                <w:sz w:val="16"/>
                <w:szCs w:val="16"/>
              </w:rPr>
            </w:pPr>
          </w:p>
        </w:tc>
        <w:tc>
          <w:tcPr>
            <w:tcW w:w="2378" w:type="dxa"/>
            <w:shd w:val="clear" w:color="auto" w:fill="auto"/>
            <w:vAlign w:val="center"/>
          </w:tcPr>
          <w:p w:rsidR="00B96D6D" w:rsidRPr="00F50E64" w:rsidRDefault="00B96D6D" w:rsidP="00C874B9">
            <w:pPr>
              <w:pStyle w:val="Text1"/>
              <w:spacing w:beforeLines="20" w:before="48" w:afterLines="20" w:after="48"/>
              <w:ind w:left="136"/>
              <w:jc w:val="left"/>
              <w:rPr>
                <w:b/>
                <w:noProof/>
                <w:sz w:val="16"/>
                <w:szCs w:val="16"/>
              </w:rPr>
            </w:pPr>
            <w:r w:rsidRPr="00F50E64">
              <w:rPr>
                <w:noProof/>
                <w:sz w:val="16"/>
              </w:rPr>
              <w:t>- at Headquarters</w:t>
            </w:r>
          </w:p>
          <w:p w:rsidR="00B96D6D" w:rsidRPr="00F50E64" w:rsidRDefault="00B96D6D" w:rsidP="00C874B9">
            <w:pPr>
              <w:pStyle w:val="Text1"/>
              <w:spacing w:beforeLines="20" w:before="48" w:afterLines="20" w:after="48"/>
              <w:ind w:left="136"/>
              <w:jc w:val="left"/>
              <w:rPr>
                <w:b/>
                <w:noProof/>
                <w:sz w:val="16"/>
                <w:szCs w:val="16"/>
              </w:rPr>
            </w:pPr>
          </w:p>
        </w:tc>
        <w:tc>
          <w:tcPr>
            <w:tcW w:w="731" w:type="dxa"/>
            <w:shd w:val="clear" w:color="auto" w:fill="auto"/>
            <w:vAlign w:val="center"/>
          </w:tcPr>
          <w:p w:rsidR="00B96D6D" w:rsidRPr="00F50E64" w:rsidRDefault="00B96D6D" w:rsidP="00C874B9">
            <w:pPr>
              <w:pStyle w:val="Text1"/>
              <w:spacing w:beforeLines="20" w:before="48" w:afterLines="20" w:after="48"/>
              <w:ind w:left="0"/>
              <w:rPr>
                <w:noProof/>
                <w:sz w:val="16"/>
                <w:szCs w:val="16"/>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p>
        </w:tc>
      </w:tr>
      <w:tr w:rsidR="00B96D6D" w:rsidRPr="00F50E64" w:rsidTr="00F50E64">
        <w:trPr>
          <w:trHeight w:val="289"/>
          <w:jc w:val="center"/>
        </w:trPr>
        <w:tc>
          <w:tcPr>
            <w:tcW w:w="2533" w:type="dxa"/>
            <w:vMerge/>
            <w:shd w:val="clear" w:color="auto" w:fill="auto"/>
            <w:vAlign w:val="center"/>
          </w:tcPr>
          <w:p w:rsidR="00B96D6D" w:rsidRPr="00F50E64" w:rsidRDefault="00B96D6D" w:rsidP="00C874B9">
            <w:pPr>
              <w:pStyle w:val="Text1"/>
              <w:spacing w:beforeLines="20" w:before="48" w:afterLines="20" w:after="48"/>
              <w:ind w:left="136"/>
              <w:jc w:val="left"/>
              <w:rPr>
                <w:b/>
                <w:noProof/>
                <w:sz w:val="16"/>
                <w:szCs w:val="16"/>
              </w:rPr>
            </w:pPr>
          </w:p>
        </w:tc>
        <w:tc>
          <w:tcPr>
            <w:tcW w:w="2378" w:type="dxa"/>
            <w:shd w:val="clear" w:color="auto" w:fill="auto"/>
            <w:vAlign w:val="center"/>
          </w:tcPr>
          <w:p w:rsidR="00B96D6D" w:rsidRPr="00F50E64" w:rsidRDefault="00B96D6D" w:rsidP="00C874B9">
            <w:pPr>
              <w:pStyle w:val="Text1"/>
              <w:spacing w:beforeLines="20" w:before="48" w:afterLines="20" w:after="48"/>
              <w:ind w:left="136"/>
              <w:jc w:val="left"/>
              <w:rPr>
                <w:b/>
                <w:noProof/>
                <w:sz w:val="16"/>
                <w:szCs w:val="16"/>
              </w:rPr>
            </w:pPr>
            <w:r w:rsidRPr="00F50E64">
              <w:rPr>
                <w:noProof/>
                <w:sz w:val="16"/>
              </w:rPr>
              <w:t xml:space="preserve">- in Delegations </w:t>
            </w:r>
          </w:p>
        </w:tc>
        <w:tc>
          <w:tcPr>
            <w:tcW w:w="731" w:type="dxa"/>
            <w:shd w:val="clear" w:color="auto" w:fill="auto"/>
            <w:vAlign w:val="center"/>
          </w:tcPr>
          <w:p w:rsidR="00B96D6D" w:rsidRPr="00F50E64" w:rsidRDefault="00B96D6D" w:rsidP="00C874B9">
            <w:pPr>
              <w:pStyle w:val="Text1"/>
              <w:spacing w:beforeLines="20" w:before="48" w:afterLines="20" w:after="48"/>
              <w:ind w:left="0"/>
              <w:rPr>
                <w:noProof/>
                <w:sz w:val="16"/>
                <w:szCs w:val="16"/>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6"/>
              <w:jc w:val="left"/>
              <w:rPr>
                <w:noProof/>
                <w:sz w:val="16"/>
                <w:szCs w:val="16"/>
              </w:rPr>
            </w:pPr>
            <w:r w:rsidRPr="00F50E64">
              <w:rPr>
                <w:noProof/>
                <w:sz w:val="16"/>
              </w:rPr>
              <w:t>01 01 02 02</w:t>
            </w:r>
            <w:r w:rsidRPr="00F50E64">
              <w:rPr>
                <w:rFonts w:ascii="Arial Narrow" w:hAnsi="Arial Narrow"/>
                <w:noProof/>
                <w:color w:val="000000"/>
                <w:sz w:val="20"/>
                <w:szCs w:val="20"/>
              </w:rPr>
              <w:t xml:space="preserve"> </w:t>
            </w:r>
            <w:r w:rsidRPr="00F50E64">
              <w:rPr>
                <w:noProof/>
                <w:sz w:val="16"/>
                <w:szCs w:val="16"/>
              </w:rPr>
              <w:t>(AC, END, INT - Indirect research)</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4</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6"/>
                <w:szCs w:val="16"/>
                <w:lang w:val="en-IE"/>
              </w:rPr>
              <w:t>4</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6"/>
              <w:jc w:val="left"/>
              <w:rPr>
                <w:noProof/>
                <w:color w:val="FF0000"/>
                <w:sz w:val="16"/>
                <w:szCs w:val="16"/>
              </w:rPr>
            </w:pPr>
            <w:r w:rsidRPr="00F50E64">
              <w:rPr>
                <w:noProof/>
                <w:sz w:val="16"/>
              </w:rPr>
              <w:t xml:space="preserve"> 01 01 02 12 (AC, END, INT - Direct research)</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8"/>
                <w:szCs w:val="16"/>
              </w:rPr>
              <w:t>153</w:t>
            </w: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lang w:val="en-IE"/>
              </w:rPr>
            </w:pPr>
            <w:r w:rsidRPr="00F50E64">
              <w:rPr>
                <w:noProof/>
                <w:sz w:val="18"/>
                <w:szCs w:val="16"/>
              </w:rPr>
              <w:t>138</w:t>
            </w:r>
          </w:p>
        </w:tc>
      </w:tr>
      <w:tr w:rsidR="00B96D6D" w:rsidRPr="00F50E64" w:rsidTr="00F50E64">
        <w:trPr>
          <w:trHeight w:val="289"/>
          <w:jc w:val="center"/>
        </w:trPr>
        <w:tc>
          <w:tcPr>
            <w:tcW w:w="4911" w:type="dxa"/>
            <w:gridSpan w:val="2"/>
            <w:shd w:val="clear" w:color="auto" w:fill="auto"/>
            <w:vAlign w:val="center"/>
          </w:tcPr>
          <w:p w:rsidR="00B96D6D" w:rsidRPr="00F50E64" w:rsidRDefault="00B96D6D" w:rsidP="00C874B9">
            <w:pPr>
              <w:pStyle w:val="Text1"/>
              <w:spacing w:beforeLines="20" w:before="48" w:afterLines="20" w:after="48"/>
              <w:ind w:left="136"/>
              <w:jc w:val="left"/>
              <w:rPr>
                <w:noProof/>
                <w:sz w:val="16"/>
              </w:rPr>
            </w:pPr>
            <w:r w:rsidRPr="00F50E64">
              <w:rPr>
                <w:noProof/>
                <w:sz w:val="16"/>
              </w:rPr>
              <w:t>Other budget lines (specify)</w:t>
            </w:r>
          </w:p>
        </w:tc>
        <w:tc>
          <w:tcPr>
            <w:tcW w:w="731" w:type="dxa"/>
            <w:shd w:val="clear" w:color="auto" w:fill="auto"/>
            <w:vAlign w:val="center"/>
          </w:tcPr>
          <w:p w:rsidR="00B96D6D" w:rsidRPr="00F50E64" w:rsidRDefault="00B96D6D" w:rsidP="00C874B9">
            <w:pPr>
              <w:spacing w:beforeLines="20" w:before="48" w:afterLines="20" w:after="48"/>
              <w:jc w:val="center"/>
              <w:rPr>
                <w:noProof/>
                <w:sz w:val="16"/>
                <w:szCs w:val="16"/>
              </w:rPr>
            </w:pPr>
          </w:p>
        </w:tc>
        <w:tc>
          <w:tcPr>
            <w:tcW w:w="735" w:type="dxa"/>
            <w:shd w:val="clear" w:color="auto" w:fill="auto"/>
            <w:vAlign w:val="center"/>
          </w:tcPr>
          <w:p w:rsidR="00B96D6D" w:rsidRPr="00F50E64" w:rsidRDefault="00B96D6D" w:rsidP="00C874B9">
            <w:pPr>
              <w:spacing w:beforeLines="20" w:before="48" w:afterLines="20" w:after="48"/>
              <w:jc w:val="center"/>
              <w:rPr>
                <w:noProof/>
                <w:sz w:val="16"/>
                <w:szCs w:val="16"/>
              </w:rPr>
            </w:pPr>
          </w:p>
        </w:tc>
      </w:tr>
      <w:tr w:rsidR="00B96D6D" w:rsidRPr="00F50E64" w:rsidTr="00F50E64">
        <w:trPr>
          <w:trHeight w:val="289"/>
          <w:jc w:val="center"/>
        </w:trPr>
        <w:tc>
          <w:tcPr>
            <w:tcW w:w="4911" w:type="dxa"/>
            <w:gridSpan w:val="2"/>
            <w:tcBorders>
              <w:top w:val="double" w:sz="4" w:space="0" w:color="auto"/>
            </w:tcBorders>
            <w:shd w:val="clear" w:color="auto" w:fill="auto"/>
            <w:vAlign w:val="center"/>
          </w:tcPr>
          <w:p w:rsidR="00B96D6D" w:rsidRPr="00F50E64" w:rsidRDefault="00B96D6D" w:rsidP="00C874B9">
            <w:pPr>
              <w:pStyle w:val="Text1"/>
              <w:spacing w:beforeLines="20" w:before="48" w:afterLines="20" w:after="48"/>
              <w:ind w:left="136"/>
              <w:jc w:val="left"/>
              <w:rPr>
                <w:noProof/>
                <w:sz w:val="16"/>
                <w:szCs w:val="16"/>
              </w:rPr>
            </w:pPr>
            <w:r w:rsidRPr="00F50E64">
              <w:rPr>
                <w:b/>
                <w:noProof/>
                <w:sz w:val="16"/>
              </w:rPr>
              <w:t>TOTAL</w:t>
            </w:r>
          </w:p>
        </w:tc>
        <w:tc>
          <w:tcPr>
            <w:tcW w:w="731" w:type="dxa"/>
            <w:tcBorders>
              <w:top w:val="double" w:sz="4" w:space="0" w:color="auto"/>
            </w:tcBorders>
            <w:shd w:val="clear" w:color="auto" w:fill="auto"/>
            <w:vAlign w:val="center"/>
          </w:tcPr>
          <w:p w:rsidR="00B96D6D" w:rsidRPr="00F50E64" w:rsidRDefault="00B96D6D" w:rsidP="00C874B9">
            <w:pPr>
              <w:spacing w:beforeLines="20" w:before="48" w:afterLines="20" w:after="48"/>
              <w:jc w:val="center"/>
              <w:rPr>
                <w:b/>
                <w:noProof/>
                <w:sz w:val="16"/>
                <w:szCs w:val="16"/>
              </w:rPr>
            </w:pPr>
            <w:r w:rsidRPr="00F50E64">
              <w:rPr>
                <w:noProof/>
                <w:sz w:val="18"/>
                <w:szCs w:val="16"/>
              </w:rPr>
              <w:t>600</w:t>
            </w:r>
          </w:p>
        </w:tc>
        <w:tc>
          <w:tcPr>
            <w:tcW w:w="735" w:type="dxa"/>
            <w:tcBorders>
              <w:top w:val="double" w:sz="4" w:space="0" w:color="auto"/>
            </w:tcBorders>
            <w:shd w:val="clear" w:color="auto" w:fill="auto"/>
            <w:vAlign w:val="center"/>
          </w:tcPr>
          <w:p w:rsidR="00B96D6D" w:rsidRPr="00F50E64" w:rsidRDefault="00B96D6D" w:rsidP="00C874B9">
            <w:pPr>
              <w:spacing w:beforeLines="20" w:before="48" w:afterLines="20" w:after="48"/>
              <w:jc w:val="center"/>
              <w:rPr>
                <w:b/>
                <w:noProof/>
                <w:sz w:val="16"/>
                <w:szCs w:val="16"/>
              </w:rPr>
            </w:pPr>
            <w:r w:rsidRPr="00F50E64">
              <w:rPr>
                <w:noProof/>
                <w:sz w:val="18"/>
                <w:szCs w:val="16"/>
              </w:rPr>
              <w:t>579</w:t>
            </w:r>
          </w:p>
        </w:tc>
      </w:tr>
    </w:tbl>
    <w:p w:rsidR="00B96D6D" w:rsidRPr="00F50E64" w:rsidRDefault="00B96D6D" w:rsidP="00B96D6D">
      <w:pPr>
        <w:pStyle w:val="Text1"/>
        <w:spacing w:before="60" w:after="60"/>
        <w:ind w:left="851"/>
        <w:rPr>
          <w:noProof/>
          <w:sz w:val="18"/>
          <w:szCs w:val="18"/>
        </w:rPr>
      </w:pPr>
      <w:r w:rsidRPr="00F50E64">
        <w:rPr>
          <w:b/>
          <w:noProof/>
          <w:sz w:val="18"/>
          <w:szCs w:val="18"/>
        </w:rPr>
        <w:t>XX</w:t>
      </w:r>
      <w:r w:rsidRPr="00F50E64">
        <w:rPr>
          <w:noProof/>
          <w:sz w:val="18"/>
          <w:szCs w:val="18"/>
        </w:rPr>
        <w:t xml:space="preserve"> is the policy area or budget title concerned.</w:t>
      </w:r>
    </w:p>
    <w:p w:rsidR="00B96D6D" w:rsidRPr="00F50E64" w:rsidRDefault="00B96D6D" w:rsidP="0012626A">
      <w:pPr>
        <w:pStyle w:val="Text1"/>
        <w:ind w:left="0"/>
        <w:rPr>
          <w:noProof/>
          <w:sz w:val="18"/>
          <w:szCs w:val="18"/>
        </w:rPr>
      </w:pPr>
      <w:r w:rsidRPr="00F50E64">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96D6D" w:rsidRPr="00F50E64" w:rsidRDefault="00B96D6D" w:rsidP="00B96D6D">
      <w:pPr>
        <w:rPr>
          <w:noProof/>
          <w:sz w:val="20"/>
          <w:lang w:val="en-IE"/>
        </w:rPr>
      </w:pPr>
      <w:r w:rsidRPr="00F50E64">
        <w:rPr>
          <w:noProof/>
          <w:sz w:val="20"/>
          <w:lang w:val="en-IE"/>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96D6D" w:rsidRPr="00F50E64" w:rsidTr="00C874B9">
        <w:tc>
          <w:tcPr>
            <w:tcW w:w="3240" w:type="dxa"/>
          </w:tcPr>
          <w:p w:rsidR="00B96D6D" w:rsidRPr="00F50E64" w:rsidRDefault="00B96D6D" w:rsidP="00C874B9">
            <w:pPr>
              <w:rPr>
                <w:noProof/>
                <w:sz w:val="20"/>
              </w:rPr>
            </w:pPr>
            <w:r w:rsidRPr="00F50E64">
              <w:rPr>
                <w:noProof/>
                <w:sz w:val="20"/>
              </w:rPr>
              <w:t>Officials and temporary staff</w:t>
            </w:r>
          </w:p>
        </w:tc>
        <w:tc>
          <w:tcPr>
            <w:tcW w:w="7200" w:type="dxa"/>
          </w:tcPr>
          <w:p w:rsidR="00B96D6D" w:rsidRPr="00F50E64" w:rsidRDefault="00B96D6D" w:rsidP="00C874B9">
            <w:pPr>
              <w:rPr>
                <w:noProof/>
                <w:sz w:val="20"/>
              </w:rPr>
            </w:pPr>
            <w:r w:rsidRPr="00F50E64">
              <w:rPr>
                <w:noProof/>
                <w:sz w:val="18"/>
              </w:rPr>
              <w:t xml:space="preserve">Tasks derived for the management and implementing the specific Euratom Research and Training Programme who occupy posts on the authorised establishment plans and are engaged in indirect and direct research actions. </w:t>
            </w:r>
          </w:p>
        </w:tc>
      </w:tr>
      <w:tr w:rsidR="00B96D6D" w:rsidRPr="00F50E64" w:rsidTr="00C874B9">
        <w:tc>
          <w:tcPr>
            <w:tcW w:w="3240" w:type="dxa"/>
          </w:tcPr>
          <w:p w:rsidR="00B96D6D" w:rsidRPr="00F50E64" w:rsidRDefault="00B96D6D" w:rsidP="00C874B9">
            <w:pPr>
              <w:spacing w:before="60" w:after="60"/>
              <w:rPr>
                <w:noProof/>
                <w:sz w:val="20"/>
              </w:rPr>
            </w:pPr>
            <w:r w:rsidRPr="00F50E64">
              <w:rPr>
                <w:noProof/>
                <w:sz w:val="20"/>
              </w:rPr>
              <w:t>External staff</w:t>
            </w:r>
          </w:p>
        </w:tc>
        <w:tc>
          <w:tcPr>
            <w:tcW w:w="7200" w:type="dxa"/>
          </w:tcPr>
          <w:p w:rsidR="00B96D6D" w:rsidRPr="00F50E64" w:rsidRDefault="00B96D6D" w:rsidP="00C874B9">
            <w:pPr>
              <w:rPr>
                <w:noProof/>
                <w:sz w:val="20"/>
              </w:rPr>
            </w:pPr>
            <w:r w:rsidRPr="00F50E64">
              <w:rPr>
                <w:noProof/>
                <w:sz w:val="18"/>
              </w:rPr>
              <w:t>Tasks of external personnel implementing the specific Euratom Research and Training Programme, in the form of direct and indirect research actions</w:t>
            </w:r>
          </w:p>
        </w:tc>
      </w:tr>
    </w:tbl>
    <w:p w:rsidR="00B96D6D" w:rsidRPr="00F50E64" w:rsidRDefault="00B96D6D" w:rsidP="00B96D6D">
      <w:pPr>
        <w:rPr>
          <w:noProof/>
        </w:rPr>
        <w:sectPr w:rsidR="00B96D6D" w:rsidRPr="00F50E64" w:rsidSect="008A2E9F">
          <w:pgSz w:w="11907" w:h="16840"/>
          <w:pgMar w:top="1134" w:right="1418" w:bottom="1134" w:left="1418" w:header="709" w:footer="709" w:gutter="0"/>
          <w:cols w:space="708"/>
          <w:docGrid w:linePitch="360"/>
        </w:sectPr>
      </w:pPr>
    </w:p>
    <w:p w:rsidR="00B96D6D" w:rsidRPr="00F50E64" w:rsidRDefault="00B96D6D" w:rsidP="00B96D6D">
      <w:pPr>
        <w:pStyle w:val="ManualHeading3"/>
        <w:rPr>
          <w:noProof/>
        </w:rPr>
      </w:pPr>
      <w:bookmarkStart w:id="80" w:name="_Toc514938056"/>
      <w:bookmarkStart w:id="81" w:name="_Toc520485055"/>
      <w:r w:rsidRPr="00F50E64">
        <w:rPr>
          <w:noProof/>
        </w:rPr>
        <w:t>3.2.4.</w:t>
      </w:r>
      <w:r w:rsidRPr="00F50E64">
        <w:rPr>
          <w:noProof/>
        </w:rPr>
        <w:tab/>
        <w:t>Compatibility with the current multiannual financial framework</w:t>
      </w:r>
      <w:bookmarkEnd w:id="80"/>
      <w:bookmarkEnd w:id="81"/>
      <w:r w:rsidRPr="00F50E64">
        <w:rPr>
          <w:noProof/>
        </w:rPr>
        <w:t xml:space="preserve"> </w:t>
      </w:r>
    </w:p>
    <w:p w:rsidR="00B96D6D" w:rsidRPr="00F50E64" w:rsidRDefault="00B96D6D" w:rsidP="00B96D6D">
      <w:pPr>
        <w:pStyle w:val="Text1"/>
        <w:rPr>
          <w:noProof/>
        </w:rPr>
      </w:pPr>
      <w:r w:rsidRPr="00F50E64">
        <w:rPr>
          <w:noProof/>
        </w:rPr>
        <w:t>The proposal/initiative:</w:t>
      </w:r>
    </w:p>
    <w:p w:rsidR="00B96D6D" w:rsidRPr="00F50E64" w:rsidRDefault="00B96D6D" w:rsidP="00B96D6D">
      <w:pPr>
        <w:pStyle w:val="ListDash1"/>
        <w:rPr>
          <w:noProof/>
        </w:rPr>
      </w:pPr>
      <w:r w:rsidRPr="00F50E64">
        <w:rPr>
          <w:noProof/>
        </w:rPr>
        <w:sym w:font="Wingdings" w:char="F0A8"/>
      </w:r>
      <w:r w:rsidRPr="00F50E64">
        <w:rPr>
          <w:noProof/>
        </w:rPr>
        <w:tab/>
        <w:t>can be fully financed through redeployment within the relevant heading of the Multiannual Financial Framework (MFF).</w:t>
      </w:r>
    </w:p>
    <w:p w:rsidR="00B96D6D" w:rsidRPr="00F50E64" w:rsidRDefault="00B96D6D" w:rsidP="00B96D6D">
      <w:pPr>
        <w:pStyle w:val="Text1"/>
        <w:pBdr>
          <w:top w:val="single" w:sz="4" w:space="1" w:color="auto"/>
          <w:left w:val="single" w:sz="4" w:space="4" w:color="auto"/>
          <w:bottom w:val="single" w:sz="4" w:space="1" w:color="auto"/>
          <w:right w:val="single" w:sz="4" w:space="4" w:color="auto"/>
        </w:pBdr>
        <w:rPr>
          <w:noProof/>
          <w:sz w:val="20"/>
        </w:rPr>
      </w:pPr>
    </w:p>
    <w:p w:rsidR="00B96D6D" w:rsidRPr="00F50E64" w:rsidRDefault="00B96D6D" w:rsidP="00B96D6D">
      <w:pPr>
        <w:pStyle w:val="ListDash1"/>
        <w:rPr>
          <w:noProof/>
        </w:rPr>
      </w:pPr>
      <w:r w:rsidRPr="00F50E64">
        <w:rPr>
          <w:noProof/>
        </w:rPr>
        <w:sym w:font="Wingdings" w:char="F0A8"/>
      </w:r>
      <w:r w:rsidRPr="00F50E64">
        <w:rPr>
          <w:noProof/>
        </w:rPr>
        <w:tab/>
        <w:t>requires use of the unallocated margin under the relevant heading of the MFF and/or use of the special instruments as defined in the MFF Regulation.</w:t>
      </w:r>
    </w:p>
    <w:p w:rsidR="00B96D6D" w:rsidRPr="00F50E64" w:rsidRDefault="00B96D6D" w:rsidP="00B96D6D">
      <w:pPr>
        <w:pStyle w:val="Text1"/>
        <w:pBdr>
          <w:top w:val="single" w:sz="4" w:space="1" w:color="auto"/>
          <w:left w:val="single" w:sz="4" w:space="4" w:color="auto"/>
          <w:bottom w:val="single" w:sz="4" w:space="1" w:color="auto"/>
          <w:right w:val="single" w:sz="4" w:space="4" w:color="auto"/>
        </w:pBdr>
        <w:rPr>
          <w:noProof/>
          <w:sz w:val="20"/>
        </w:rPr>
      </w:pPr>
    </w:p>
    <w:p w:rsidR="00B96D6D" w:rsidRPr="00F50E64" w:rsidRDefault="00B96D6D" w:rsidP="00B96D6D">
      <w:pPr>
        <w:pStyle w:val="ListDash1"/>
        <w:rPr>
          <w:noProof/>
        </w:rPr>
      </w:pPr>
      <w:r w:rsidRPr="00F50E64">
        <w:rPr>
          <w:noProof/>
        </w:rPr>
        <w:sym w:font="Wingdings" w:char="F0A8"/>
      </w:r>
      <w:r w:rsidRPr="00F50E64">
        <w:rPr>
          <w:noProof/>
        </w:rPr>
        <w:tab/>
        <w:t>requires a revision of the MFF.</w:t>
      </w:r>
    </w:p>
    <w:p w:rsidR="00B96D6D" w:rsidRPr="00F50E64" w:rsidRDefault="00B96D6D" w:rsidP="00B96D6D">
      <w:pPr>
        <w:pStyle w:val="Text1"/>
        <w:pBdr>
          <w:top w:val="single" w:sz="4" w:space="1" w:color="auto"/>
          <w:left w:val="single" w:sz="4" w:space="4" w:color="auto"/>
          <w:bottom w:val="single" w:sz="4" w:space="1" w:color="auto"/>
          <w:right w:val="single" w:sz="4" w:space="4" w:color="auto"/>
        </w:pBdr>
        <w:rPr>
          <w:noProof/>
          <w:sz w:val="20"/>
        </w:rPr>
      </w:pPr>
    </w:p>
    <w:p w:rsidR="00B96D6D" w:rsidRPr="00F50E64" w:rsidRDefault="00B96D6D" w:rsidP="00B96D6D">
      <w:pPr>
        <w:pStyle w:val="ManualHeading3"/>
        <w:rPr>
          <w:bCs/>
          <w:noProof/>
          <w:szCs w:val="24"/>
        </w:rPr>
      </w:pPr>
      <w:bookmarkStart w:id="82" w:name="_Toc514938058"/>
      <w:bookmarkStart w:id="83" w:name="_Toc520485056"/>
      <w:r w:rsidRPr="00F50E64">
        <w:rPr>
          <w:noProof/>
        </w:rPr>
        <w:t>3.2.5.</w:t>
      </w:r>
      <w:r w:rsidRPr="00F50E64">
        <w:rPr>
          <w:noProof/>
        </w:rPr>
        <w:tab/>
        <w:t>Third-party contributions</w:t>
      </w:r>
      <w:bookmarkEnd w:id="82"/>
      <w:bookmarkEnd w:id="83"/>
      <w:r w:rsidRPr="00F50E64">
        <w:rPr>
          <w:noProof/>
        </w:rPr>
        <w:t xml:space="preserve"> </w:t>
      </w:r>
    </w:p>
    <w:p w:rsidR="00B96D6D" w:rsidRPr="00F50E64" w:rsidRDefault="00B96D6D" w:rsidP="00B96D6D">
      <w:pPr>
        <w:pStyle w:val="Text1"/>
        <w:rPr>
          <w:noProof/>
        </w:rPr>
      </w:pPr>
      <w:r w:rsidRPr="00F50E64">
        <w:rPr>
          <w:noProof/>
        </w:rPr>
        <w:t>The proposal/initiative:</w:t>
      </w:r>
    </w:p>
    <w:p w:rsidR="00B96D6D" w:rsidRPr="00F50E64" w:rsidRDefault="00032451" w:rsidP="00B96D6D">
      <w:pPr>
        <w:pStyle w:val="ListDash1"/>
        <w:rPr>
          <w:noProof/>
        </w:rPr>
      </w:pPr>
      <w:r w:rsidRPr="00F50E64">
        <w:rPr>
          <w:noProof/>
        </w:rPr>
        <w:sym w:font="Wingdings" w:char="F0A8"/>
      </w:r>
      <w:r w:rsidR="00B96D6D" w:rsidRPr="00F50E64">
        <w:rPr>
          <w:noProof/>
        </w:rPr>
        <w:tab/>
        <w:t>does not provide for co-financing by third parties</w:t>
      </w:r>
    </w:p>
    <w:p w:rsidR="00B96D6D" w:rsidRPr="00F50E64" w:rsidRDefault="00032451" w:rsidP="00B96D6D">
      <w:pPr>
        <w:pStyle w:val="ListDash1"/>
        <w:rPr>
          <w:noProof/>
        </w:rPr>
      </w:pPr>
      <w:r w:rsidRPr="00F50E64">
        <w:rPr>
          <w:noProof/>
        </w:rPr>
        <w:sym w:font="Wingdings" w:char="F0FD"/>
      </w:r>
      <w:r w:rsidR="00B96D6D" w:rsidRPr="00F50E64">
        <w:rPr>
          <w:noProof/>
        </w:rPr>
        <w:tab/>
        <w:t>provides for the co-financing by third parties estimated below:</w:t>
      </w:r>
    </w:p>
    <w:p w:rsidR="00B96D6D" w:rsidRPr="00F50E64" w:rsidRDefault="00B96D6D" w:rsidP="00B96D6D">
      <w:pPr>
        <w:jc w:val="right"/>
        <w:rPr>
          <w:noProof/>
          <w:sz w:val="20"/>
          <w:lang w:val="en-IE"/>
        </w:rPr>
      </w:pPr>
      <w:r w:rsidRPr="00F50E64">
        <w:rPr>
          <w:noProof/>
          <w:sz w:val="20"/>
          <w:lang w:val="en-IE"/>
        </w:rPr>
        <w:t>Appropriations in EUR million (to three decimal places)</w:t>
      </w:r>
    </w:p>
    <w:tbl>
      <w:tblPr>
        <w:tblW w:w="54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1158"/>
      </w:tblGrid>
      <w:tr w:rsidR="00032451" w:rsidRPr="00F50E64" w:rsidTr="00032451">
        <w:trPr>
          <w:cantSplit/>
          <w:jc w:val="center"/>
        </w:trPr>
        <w:tc>
          <w:tcPr>
            <w:tcW w:w="2340" w:type="dxa"/>
          </w:tcPr>
          <w:p w:rsidR="00032451" w:rsidRPr="00F50E64" w:rsidRDefault="00032451" w:rsidP="00C874B9">
            <w:pPr>
              <w:spacing w:before="60" w:after="60"/>
              <w:rPr>
                <w:noProof/>
                <w:sz w:val="20"/>
                <w:lang w:val="en-IE"/>
              </w:rPr>
            </w:pPr>
          </w:p>
        </w:tc>
        <w:tc>
          <w:tcPr>
            <w:tcW w:w="964" w:type="dxa"/>
            <w:vAlign w:val="center"/>
          </w:tcPr>
          <w:p w:rsidR="00032451" w:rsidRPr="00F50E64" w:rsidRDefault="00032451" w:rsidP="00C874B9">
            <w:pPr>
              <w:jc w:val="center"/>
              <w:rPr>
                <w:noProof/>
                <w:sz w:val="20"/>
              </w:rPr>
            </w:pPr>
            <w:r>
              <w:rPr>
                <w:noProof/>
                <w:sz w:val="20"/>
              </w:rPr>
              <w:t>2026</w:t>
            </w:r>
          </w:p>
        </w:tc>
        <w:tc>
          <w:tcPr>
            <w:tcW w:w="964" w:type="dxa"/>
            <w:vAlign w:val="center"/>
          </w:tcPr>
          <w:p w:rsidR="00032451" w:rsidRPr="00F50E64" w:rsidRDefault="00032451" w:rsidP="00C874B9">
            <w:pPr>
              <w:jc w:val="center"/>
              <w:rPr>
                <w:noProof/>
                <w:sz w:val="20"/>
              </w:rPr>
            </w:pPr>
            <w:r>
              <w:rPr>
                <w:noProof/>
                <w:sz w:val="20"/>
              </w:rPr>
              <w:t>2027</w:t>
            </w:r>
          </w:p>
        </w:tc>
        <w:tc>
          <w:tcPr>
            <w:tcW w:w="1158" w:type="dxa"/>
            <w:vAlign w:val="center"/>
          </w:tcPr>
          <w:p w:rsidR="00032451" w:rsidRPr="00F50E64" w:rsidRDefault="00032451" w:rsidP="00C874B9">
            <w:pPr>
              <w:spacing w:before="60" w:after="60"/>
              <w:jc w:val="center"/>
              <w:rPr>
                <w:noProof/>
                <w:sz w:val="20"/>
              </w:rPr>
            </w:pPr>
            <w:r w:rsidRPr="00F50E64">
              <w:rPr>
                <w:noProof/>
                <w:sz w:val="20"/>
              </w:rPr>
              <w:t>Total</w:t>
            </w:r>
          </w:p>
        </w:tc>
      </w:tr>
      <w:tr w:rsidR="00032451" w:rsidRPr="00F50E64" w:rsidTr="00032451">
        <w:trPr>
          <w:cantSplit/>
          <w:jc w:val="center"/>
        </w:trPr>
        <w:tc>
          <w:tcPr>
            <w:tcW w:w="2340" w:type="dxa"/>
          </w:tcPr>
          <w:p w:rsidR="00032451" w:rsidRPr="00F50E64" w:rsidRDefault="00032451" w:rsidP="00C874B9">
            <w:pPr>
              <w:rPr>
                <w:noProof/>
                <w:lang w:val="en-IE"/>
              </w:rPr>
            </w:pPr>
            <w:r w:rsidRPr="00F50E64">
              <w:rPr>
                <w:noProof/>
                <w:sz w:val="20"/>
                <w:lang w:val="en-IE"/>
              </w:rPr>
              <w:t>Specify the co-financing body</w:t>
            </w:r>
            <w:r w:rsidRPr="00F50E64">
              <w:rPr>
                <w:i/>
                <w:noProof/>
                <w:sz w:val="20"/>
                <w:lang w:val="en-IE"/>
              </w:rPr>
              <w:t xml:space="preserve"> </w:t>
            </w:r>
          </w:p>
        </w:tc>
        <w:tc>
          <w:tcPr>
            <w:tcW w:w="964" w:type="dxa"/>
            <w:vAlign w:val="center"/>
          </w:tcPr>
          <w:p w:rsidR="00032451" w:rsidRPr="00F50E64" w:rsidRDefault="00032451" w:rsidP="00C874B9">
            <w:pPr>
              <w:spacing w:before="60" w:after="60"/>
              <w:jc w:val="center"/>
              <w:rPr>
                <w:noProof/>
                <w:sz w:val="20"/>
                <w:lang w:val="en-IE"/>
              </w:rPr>
            </w:pPr>
          </w:p>
        </w:tc>
        <w:tc>
          <w:tcPr>
            <w:tcW w:w="964" w:type="dxa"/>
            <w:vAlign w:val="center"/>
          </w:tcPr>
          <w:p w:rsidR="00032451" w:rsidRPr="00F50E64" w:rsidRDefault="00032451" w:rsidP="00C874B9">
            <w:pPr>
              <w:spacing w:before="60" w:after="60"/>
              <w:jc w:val="center"/>
              <w:rPr>
                <w:noProof/>
                <w:sz w:val="20"/>
                <w:lang w:val="en-IE"/>
              </w:rPr>
            </w:pPr>
          </w:p>
        </w:tc>
        <w:tc>
          <w:tcPr>
            <w:tcW w:w="1158" w:type="dxa"/>
            <w:vAlign w:val="center"/>
          </w:tcPr>
          <w:p w:rsidR="00032451" w:rsidRPr="00F50E64" w:rsidRDefault="00032451" w:rsidP="00C874B9">
            <w:pPr>
              <w:spacing w:before="60" w:after="60"/>
              <w:jc w:val="center"/>
              <w:rPr>
                <w:noProof/>
                <w:sz w:val="20"/>
                <w:lang w:val="en-IE"/>
              </w:rPr>
            </w:pPr>
          </w:p>
        </w:tc>
      </w:tr>
      <w:tr w:rsidR="00032451" w:rsidRPr="00F50E64" w:rsidTr="00032451">
        <w:trPr>
          <w:cantSplit/>
          <w:jc w:val="center"/>
        </w:trPr>
        <w:tc>
          <w:tcPr>
            <w:tcW w:w="2340" w:type="dxa"/>
          </w:tcPr>
          <w:p w:rsidR="00032451" w:rsidRPr="00F50E64" w:rsidRDefault="00032451" w:rsidP="00C874B9">
            <w:pPr>
              <w:spacing w:before="60" w:after="60"/>
              <w:jc w:val="left"/>
              <w:rPr>
                <w:noProof/>
                <w:sz w:val="20"/>
              </w:rPr>
            </w:pPr>
            <w:r w:rsidRPr="00F50E64">
              <w:rPr>
                <w:noProof/>
                <w:sz w:val="20"/>
              </w:rPr>
              <w:t xml:space="preserve">TOTAL appropriations co-financed </w:t>
            </w:r>
          </w:p>
        </w:tc>
        <w:tc>
          <w:tcPr>
            <w:tcW w:w="964" w:type="dxa"/>
            <w:vAlign w:val="center"/>
          </w:tcPr>
          <w:p w:rsidR="00032451" w:rsidRPr="00F50E64" w:rsidRDefault="00032451" w:rsidP="00C874B9">
            <w:pPr>
              <w:spacing w:before="60" w:after="60"/>
              <w:jc w:val="center"/>
              <w:rPr>
                <w:noProof/>
                <w:sz w:val="20"/>
              </w:rPr>
            </w:pPr>
            <w:r>
              <w:rPr>
                <w:noProof/>
                <w:sz w:val="20"/>
              </w:rPr>
              <w:t>p.m.</w:t>
            </w:r>
          </w:p>
        </w:tc>
        <w:tc>
          <w:tcPr>
            <w:tcW w:w="964" w:type="dxa"/>
            <w:vAlign w:val="center"/>
          </w:tcPr>
          <w:p w:rsidR="00032451" w:rsidRPr="00F50E64" w:rsidRDefault="00032451" w:rsidP="00C874B9">
            <w:pPr>
              <w:spacing w:before="60" w:after="60"/>
              <w:jc w:val="center"/>
              <w:rPr>
                <w:noProof/>
                <w:sz w:val="20"/>
              </w:rPr>
            </w:pPr>
            <w:r>
              <w:rPr>
                <w:noProof/>
                <w:sz w:val="20"/>
              </w:rPr>
              <w:t>p.m.</w:t>
            </w:r>
          </w:p>
        </w:tc>
        <w:tc>
          <w:tcPr>
            <w:tcW w:w="1158" w:type="dxa"/>
            <w:vAlign w:val="center"/>
          </w:tcPr>
          <w:p w:rsidR="00032451" w:rsidRPr="00F50E64" w:rsidRDefault="00032451" w:rsidP="00C874B9">
            <w:pPr>
              <w:spacing w:before="60" w:after="60"/>
              <w:jc w:val="center"/>
              <w:rPr>
                <w:noProof/>
                <w:sz w:val="20"/>
              </w:rPr>
            </w:pPr>
            <w:r>
              <w:rPr>
                <w:noProof/>
                <w:sz w:val="20"/>
              </w:rPr>
              <w:t>p.m.</w:t>
            </w:r>
          </w:p>
        </w:tc>
      </w:tr>
    </w:tbl>
    <w:p w:rsidR="00B96D6D" w:rsidRPr="00F50E64" w:rsidRDefault="00B96D6D" w:rsidP="00B96D6D">
      <w:pPr>
        <w:rPr>
          <w:noProof/>
        </w:rPr>
      </w:pPr>
      <w:r w:rsidRPr="00F50E64">
        <w:rPr>
          <w:noProof/>
        </w:rPr>
        <w:br/>
      </w:r>
    </w:p>
    <w:p w:rsidR="00B96D6D" w:rsidRPr="00F50E64" w:rsidRDefault="00B96D6D" w:rsidP="00B96D6D">
      <w:pPr>
        <w:pStyle w:val="ManualHeading2"/>
        <w:rPr>
          <w:bCs/>
          <w:noProof/>
          <w:szCs w:val="24"/>
        </w:rPr>
      </w:pPr>
      <w:r w:rsidRPr="00F50E64">
        <w:rPr>
          <w:noProof/>
        </w:rPr>
        <w:br w:type="page"/>
      </w:r>
      <w:bookmarkStart w:id="84" w:name="_Toc514938059"/>
      <w:bookmarkStart w:id="85" w:name="_Toc520485057"/>
      <w:r w:rsidRPr="00F50E64">
        <w:rPr>
          <w:noProof/>
        </w:rPr>
        <w:t>3.3.</w:t>
      </w:r>
      <w:r w:rsidRPr="00F50E64">
        <w:rPr>
          <w:noProof/>
        </w:rPr>
        <w:tab/>
        <w:t>Estimated impact on revenue</w:t>
      </w:r>
      <w:bookmarkEnd w:id="84"/>
      <w:bookmarkEnd w:id="85"/>
      <w:r w:rsidRPr="00F50E64">
        <w:rPr>
          <w:noProof/>
        </w:rPr>
        <w:t xml:space="preserve"> </w:t>
      </w:r>
    </w:p>
    <w:p w:rsidR="00B96D6D" w:rsidRPr="00F50E64" w:rsidRDefault="00032451" w:rsidP="00B96D6D">
      <w:pPr>
        <w:pStyle w:val="ListDash1"/>
        <w:rPr>
          <w:noProof/>
        </w:rPr>
      </w:pPr>
      <w:r w:rsidRPr="00F50E64">
        <w:rPr>
          <w:noProof/>
        </w:rPr>
        <w:sym w:font="Wingdings" w:char="F0A8"/>
      </w:r>
      <w:r w:rsidR="00B96D6D" w:rsidRPr="00F50E64">
        <w:rPr>
          <w:noProof/>
        </w:rPr>
        <w:tab/>
        <w:t>The proposal/initiative has no financial impact on revenue.</w:t>
      </w:r>
    </w:p>
    <w:p w:rsidR="00B96D6D" w:rsidRPr="00F50E64" w:rsidRDefault="00032451" w:rsidP="00B96D6D">
      <w:pPr>
        <w:pStyle w:val="ListDash1"/>
        <w:rPr>
          <w:noProof/>
        </w:rPr>
      </w:pPr>
      <w:r w:rsidRPr="00F50E64">
        <w:rPr>
          <w:noProof/>
        </w:rPr>
        <w:sym w:font="Wingdings" w:char="F0FD"/>
      </w:r>
      <w:r w:rsidR="00B96D6D" w:rsidRPr="00F50E64">
        <w:rPr>
          <w:noProof/>
        </w:rPr>
        <w:tab/>
        <w:t>The proposal/initiative has the following financial impact:</w:t>
      </w:r>
    </w:p>
    <w:p w:rsidR="00B96D6D" w:rsidRPr="00F50E64" w:rsidRDefault="00B96D6D" w:rsidP="00B96D6D">
      <w:pPr>
        <w:pStyle w:val="ListNumberLevel3"/>
        <w:rPr>
          <w:noProof/>
        </w:rPr>
      </w:pPr>
      <w:r w:rsidRPr="00F50E64">
        <w:rPr>
          <w:noProof/>
        </w:rPr>
        <w:sym w:font="Wingdings" w:char="F0A8"/>
      </w:r>
      <w:r w:rsidRPr="00F50E64">
        <w:rPr>
          <w:noProof/>
        </w:rPr>
        <w:tab/>
        <w:t xml:space="preserve">on own resources </w:t>
      </w:r>
    </w:p>
    <w:p w:rsidR="00B96D6D" w:rsidRPr="00F50E64" w:rsidRDefault="00032451" w:rsidP="00B96D6D">
      <w:pPr>
        <w:pStyle w:val="ListNumberLevel3"/>
        <w:rPr>
          <w:noProof/>
        </w:rPr>
      </w:pPr>
      <w:r w:rsidRPr="00F50E64">
        <w:rPr>
          <w:noProof/>
        </w:rPr>
        <w:sym w:font="Wingdings" w:char="F0FD"/>
      </w:r>
      <w:r w:rsidR="00B96D6D" w:rsidRPr="00F50E64">
        <w:rPr>
          <w:noProof/>
        </w:rPr>
        <w:tab/>
        <w:t>on other revenue</w:t>
      </w:r>
    </w:p>
    <w:p w:rsidR="00B96D6D" w:rsidRPr="00F50E64" w:rsidRDefault="00B96D6D" w:rsidP="00B96D6D">
      <w:pPr>
        <w:pStyle w:val="ListNumberLevel3"/>
        <w:rPr>
          <w:noProof/>
        </w:rPr>
      </w:pPr>
      <w:r w:rsidRPr="00F50E64">
        <w:rPr>
          <w:noProof/>
        </w:rPr>
        <w:t xml:space="preserve">please indicate, if the revenue is assigned to expenditure lines </w:t>
      </w:r>
      <w:r w:rsidRPr="00F50E64">
        <w:rPr>
          <w:noProof/>
        </w:rPr>
        <w:sym w:font="Wingdings" w:char="F0A8"/>
      </w:r>
      <w:r w:rsidRPr="00F50E64">
        <w:rPr>
          <w:noProof/>
        </w:rPr>
        <w:tab/>
      </w:r>
    </w:p>
    <w:p w:rsidR="00B96D6D" w:rsidRDefault="00B96D6D" w:rsidP="00B96D6D">
      <w:pPr>
        <w:ind w:left="4320"/>
        <w:rPr>
          <w:noProof/>
          <w:lang w:val="en-IE"/>
        </w:rPr>
      </w:pPr>
      <w:r w:rsidRPr="00F50E64">
        <w:rPr>
          <w:noProof/>
          <w:lang w:val="en-IE"/>
        </w:rPr>
        <w:t xml:space="preserve">     EUR million (to three decimal places)</w:t>
      </w: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351"/>
        <w:gridCol w:w="1418"/>
      </w:tblGrid>
      <w:tr w:rsidR="00032451" w:rsidRPr="00F50E64" w:rsidTr="00127FDF">
        <w:trPr>
          <w:trHeight w:val="388"/>
          <w:jc w:val="center"/>
        </w:trPr>
        <w:tc>
          <w:tcPr>
            <w:tcW w:w="2144" w:type="dxa"/>
            <w:vMerge w:val="restart"/>
            <w:vAlign w:val="center"/>
          </w:tcPr>
          <w:p w:rsidR="00032451" w:rsidRPr="00F50E64" w:rsidRDefault="00032451" w:rsidP="00127FDF">
            <w:pPr>
              <w:spacing w:before="40" w:after="40"/>
              <w:rPr>
                <w:noProof/>
                <w:sz w:val="18"/>
              </w:rPr>
            </w:pPr>
            <w:r w:rsidRPr="00F50E64">
              <w:rPr>
                <w:noProof/>
                <w:sz w:val="18"/>
              </w:rPr>
              <w:t>Budget revenue line:</w:t>
            </w:r>
          </w:p>
        </w:tc>
        <w:tc>
          <w:tcPr>
            <w:tcW w:w="1325" w:type="dxa"/>
            <w:vMerge w:val="restart"/>
            <w:vAlign w:val="center"/>
          </w:tcPr>
          <w:p w:rsidR="00032451" w:rsidRPr="00F50E64" w:rsidRDefault="00032451" w:rsidP="00127FDF">
            <w:pPr>
              <w:jc w:val="center"/>
              <w:rPr>
                <w:noProof/>
                <w:sz w:val="18"/>
                <w:lang w:val="en-IE"/>
              </w:rPr>
            </w:pPr>
            <w:r w:rsidRPr="00F50E64">
              <w:rPr>
                <w:noProof/>
                <w:sz w:val="18"/>
                <w:lang w:val="en-IE"/>
              </w:rPr>
              <w:t>Appropriations available for the current financial year</w:t>
            </w:r>
          </w:p>
        </w:tc>
        <w:tc>
          <w:tcPr>
            <w:tcW w:w="2769" w:type="dxa"/>
            <w:gridSpan w:val="2"/>
            <w:vAlign w:val="center"/>
          </w:tcPr>
          <w:p w:rsidR="00032451" w:rsidRPr="00F50E64" w:rsidRDefault="00032451" w:rsidP="00127FDF">
            <w:pPr>
              <w:jc w:val="center"/>
              <w:rPr>
                <w:noProof/>
                <w:sz w:val="18"/>
                <w:lang w:val="en-IE"/>
              </w:rPr>
            </w:pPr>
            <w:r w:rsidRPr="00F50E64">
              <w:rPr>
                <w:noProof/>
                <w:sz w:val="18"/>
                <w:lang w:val="en-IE"/>
              </w:rPr>
              <w:t>Impact of the proposal/initiative</w:t>
            </w:r>
            <w:r w:rsidRPr="00F50E64">
              <w:rPr>
                <w:rStyle w:val="FootnoteReference"/>
                <w:noProof/>
                <w:sz w:val="18"/>
              </w:rPr>
              <w:footnoteReference w:id="65"/>
            </w:r>
          </w:p>
        </w:tc>
      </w:tr>
      <w:tr w:rsidR="00032451" w:rsidRPr="00F50E64" w:rsidTr="00127FDF">
        <w:trPr>
          <w:trHeight w:val="388"/>
          <w:jc w:val="center"/>
        </w:trPr>
        <w:tc>
          <w:tcPr>
            <w:tcW w:w="2144" w:type="dxa"/>
            <w:vMerge/>
          </w:tcPr>
          <w:p w:rsidR="00032451" w:rsidRPr="00F50E64" w:rsidRDefault="00032451" w:rsidP="00127FDF">
            <w:pPr>
              <w:spacing w:before="40" w:after="40"/>
              <w:rPr>
                <w:noProof/>
                <w:sz w:val="18"/>
                <w:lang w:val="en-IE"/>
              </w:rPr>
            </w:pPr>
          </w:p>
        </w:tc>
        <w:tc>
          <w:tcPr>
            <w:tcW w:w="1325" w:type="dxa"/>
            <w:vMerge/>
          </w:tcPr>
          <w:p w:rsidR="00032451" w:rsidRPr="00F50E64" w:rsidRDefault="00032451" w:rsidP="00127FDF">
            <w:pPr>
              <w:spacing w:beforeLines="40" w:before="96" w:afterLines="40" w:after="96"/>
              <w:rPr>
                <w:i/>
                <w:noProof/>
                <w:sz w:val="18"/>
                <w:lang w:val="en-IE"/>
              </w:rPr>
            </w:pPr>
          </w:p>
        </w:tc>
        <w:tc>
          <w:tcPr>
            <w:tcW w:w="1351" w:type="dxa"/>
            <w:vAlign w:val="center"/>
          </w:tcPr>
          <w:p w:rsidR="00032451" w:rsidRPr="00F50E64" w:rsidRDefault="00032451" w:rsidP="00127FDF">
            <w:pPr>
              <w:jc w:val="center"/>
              <w:rPr>
                <w:noProof/>
                <w:sz w:val="18"/>
              </w:rPr>
            </w:pPr>
            <w:r>
              <w:rPr>
                <w:noProof/>
                <w:sz w:val="18"/>
              </w:rPr>
              <w:t>2026</w:t>
            </w:r>
          </w:p>
        </w:tc>
        <w:tc>
          <w:tcPr>
            <w:tcW w:w="1418" w:type="dxa"/>
            <w:vAlign w:val="center"/>
          </w:tcPr>
          <w:p w:rsidR="00032451" w:rsidRPr="00F50E64" w:rsidRDefault="00032451" w:rsidP="00127FDF">
            <w:pPr>
              <w:jc w:val="center"/>
              <w:rPr>
                <w:noProof/>
                <w:sz w:val="18"/>
              </w:rPr>
            </w:pPr>
            <w:r>
              <w:rPr>
                <w:noProof/>
                <w:sz w:val="18"/>
              </w:rPr>
              <w:t>2027</w:t>
            </w:r>
          </w:p>
        </w:tc>
      </w:tr>
      <w:tr w:rsidR="00032451" w:rsidRPr="00F50E64" w:rsidTr="00127FDF">
        <w:trPr>
          <w:trHeight w:val="388"/>
          <w:jc w:val="center"/>
        </w:trPr>
        <w:tc>
          <w:tcPr>
            <w:tcW w:w="2144" w:type="dxa"/>
            <w:vAlign w:val="center"/>
          </w:tcPr>
          <w:p w:rsidR="00032451" w:rsidRDefault="00032451" w:rsidP="00127FDF">
            <w:pPr>
              <w:spacing w:before="40" w:after="40"/>
              <w:rPr>
                <w:noProof/>
                <w:sz w:val="18"/>
              </w:rPr>
            </w:pPr>
            <w:r>
              <w:rPr>
                <w:noProof/>
                <w:sz w:val="18"/>
              </w:rPr>
              <w:t>Item 6011</w:t>
            </w:r>
          </w:p>
          <w:p w:rsidR="00032451" w:rsidRDefault="00032451" w:rsidP="00127FDF">
            <w:pPr>
              <w:spacing w:before="40" w:after="40"/>
              <w:rPr>
                <w:noProof/>
                <w:sz w:val="18"/>
              </w:rPr>
            </w:pPr>
            <w:r>
              <w:rPr>
                <w:noProof/>
                <w:sz w:val="18"/>
              </w:rPr>
              <w:t>Item 6012</w:t>
            </w:r>
          </w:p>
          <w:p w:rsidR="00032451" w:rsidRDefault="00032451" w:rsidP="00127FDF">
            <w:pPr>
              <w:spacing w:before="40" w:after="40"/>
              <w:rPr>
                <w:noProof/>
                <w:sz w:val="18"/>
              </w:rPr>
            </w:pPr>
            <w:r>
              <w:rPr>
                <w:noProof/>
                <w:sz w:val="18"/>
              </w:rPr>
              <w:t>Item 6013</w:t>
            </w:r>
          </w:p>
          <w:p w:rsidR="00032451" w:rsidRPr="00F50E64" w:rsidRDefault="00032451" w:rsidP="00127FDF">
            <w:pPr>
              <w:spacing w:before="40" w:after="40"/>
              <w:rPr>
                <w:noProof/>
                <w:sz w:val="18"/>
              </w:rPr>
            </w:pPr>
            <w:r>
              <w:rPr>
                <w:noProof/>
                <w:sz w:val="18"/>
              </w:rPr>
              <w:t>Item 6031</w:t>
            </w:r>
          </w:p>
        </w:tc>
        <w:tc>
          <w:tcPr>
            <w:tcW w:w="1325" w:type="dxa"/>
          </w:tcPr>
          <w:p w:rsidR="00032451" w:rsidRPr="00127FDF" w:rsidRDefault="00032451" w:rsidP="00127FDF">
            <w:pPr>
              <w:spacing w:beforeLines="40" w:before="96" w:afterLines="40" w:after="96"/>
              <w:jc w:val="center"/>
              <w:rPr>
                <w:iCs/>
                <w:noProof/>
                <w:sz w:val="18"/>
              </w:rPr>
            </w:pPr>
            <w:r w:rsidRPr="00127FDF">
              <w:rPr>
                <w:iCs/>
                <w:noProof/>
                <w:sz w:val="18"/>
              </w:rPr>
              <w:t>p.m</w:t>
            </w:r>
          </w:p>
        </w:tc>
        <w:tc>
          <w:tcPr>
            <w:tcW w:w="1351" w:type="dxa"/>
          </w:tcPr>
          <w:p w:rsidR="00032451" w:rsidRPr="00F50E64" w:rsidRDefault="00032451" w:rsidP="00127FDF">
            <w:pPr>
              <w:spacing w:beforeLines="40" w:before="96" w:afterLines="40" w:after="96"/>
              <w:jc w:val="center"/>
              <w:rPr>
                <w:noProof/>
                <w:sz w:val="18"/>
              </w:rPr>
            </w:pPr>
            <w:r>
              <w:rPr>
                <w:noProof/>
                <w:sz w:val="18"/>
              </w:rPr>
              <w:t>p.m.</w:t>
            </w:r>
          </w:p>
        </w:tc>
        <w:tc>
          <w:tcPr>
            <w:tcW w:w="1418" w:type="dxa"/>
          </w:tcPr>
          <w:p w:rsidR="00032451" w:rsidRPr="00F50E64" w:rsidRDefault="00032451" w:rsidP="00127FDF">
            <w:pPr>
              <w:spacing w:beforeLines="40" w:before="96" w:afterLines="40" w:after="96"/>
              <w:jc w:val="center"/>
              <w:rPr>
                <w:noProof/>
                <w:sz w:val="18"/>
              </w:rPr>
            </w:pPr>
            <w:r>
              <w:rPr>
                <w:noProof/>
                <w:sz w:val="18"/>
              </w:rPr>
              <w:t>p.m.</w:t>
            </w:r>
          </w:p>
        </w:tc>
      </w:tr>
    </w:tbl>
    <w:p w:rsidR="00B96D6D" w:rsidRPr="00F50E64" w:rsidRDefault="00B96D6D" w:rsidP="00B96D6D">
      <w:pPr>
        <w:pStyle w:val="Text1"/>
        <w:rPr>
          <w:noProof/>
          <w:sz w:val="20"/>
        </w:rPr>
      </w:pPr>
      <w:r w:rsidRPr="00F50E64">
        <w:rPr>
          <w:noProof/>
          <w:sz w:val="20"/>
        </w:rPr>
        <w:t>For assigned revenue, specify the budget expenditure line(s) affected.</w:t>
      </w:r>
    </w:p>
    <w:p w:rsidR="00B96D6D" w:rsidRPr="00F50E64" w:rsidRDefault="00032451" w:rsidP="00032451">
      <w:pPr>
        <w:pStyle w:val="Text1"/>
        <w:pBdr>
          <w:top w:val="single" w:sz="4" w:space="1" w:color="auto"/>
          <w:left w:val="single" w:sz="4" w:space="4" w:color="auto"/>
          <w:bottom w:val="single" w:sz="4" w:space="1" w:color="auto"/>
          <w:right w:val="single" w:sz="4" w:space="4" w:color="auto"/>
        </w:pBdr>
        <w:tabs>
          <w:tab w:val="left" w:pos="1335"/>
        </w:tabs>
        <w:rPr>
          <w:noProof/>
        </w:rPr>
      </w:pPr>
      <w:r w:rsidRPr="008325C9">
        <w:rPr>
          <w:noProof/>
        </w:rPr>
        <w:t>01</w:t>
      </w:r>
      <w:r>
        <w:rPr>
          <w:noProof/>
        </w:rPr>
        <w:t xml:space="preserve"> </w:t>
      </w:r>
      <w:r w:rsidRPr="008325C9">
        <w:rPr>
          <w:noProof/>
        </w:rPr>
        <w:t>03XX Appropriations accruing from contributions from third parties</w:t>
      </w:r>
    </w:p>
    <w:p w:rsidR="00B96D6D" w:rsidRPr="00F50E64" w:rsidRDefault="00B96D6D" w:rsidP="00B96D6D">
      <w:pPr>
        <w:pStyle w:val="Text1"/>
        <w:rPr>
          <w:noProof/>
          <w:sz w:val="20"/>
        </w:rPr>
      </w:pPr>
      <w:r w:rsidRPr="00F50E64">
        <w:rPr>
          <w:noProof/>
          <w:sz w:val="20"/>
        </w:rPr>
        <w:t>Other remarks (e.g. method/formula used for calculating the impact on revenue or any other information).</w:t>
      </w:r>
    </w:p>
    <w:p w:rsidR="00B96D6D" w:rsidRPr="00F50E64" w:rsidRDefault="00032451" w:rsidP="00032451">
      <w:pPr>
        <w:pStyle w:val="Text1"/>
        <w:pBdr>
          <w:top w:val="single" w:sz="4" w:space="1" w:color="auto"/>
          <w:left w:val="single" w:sz="4" w:space="4" w:color="auto"/>
          <w:bottom w:val="single" w:sz="4" w:space="1" w:color="auto"/>
          <w:right w:val="single" w:sz="4" w:space="4" w:color="auto"/>
        </w:pBdr>
        <w:rPr>
          <w:noProof/>
        </w:rPr>
      </w:pPr>
      <w:r w:rsidRPr="008325C9">
        <w:rPr>
          <w:noProof/>
        </w:rPr>
        <w:t>Third countries may contribute to the programme through association agreements. The conditions determining the level of financial contribution will be laid down in association agreements with each country and shall ensure an automatic correction of any significant imbalance compared to the amount that entities established in the associated country receive through participation in the programme, taking into account the costs in managing the programme.</w:t>
      </w:r>
    </w:p>
    <w:p w:rsidR="00DA7FE3" w:rsidRPr="001E37DF" w:rsidRDefault="00DA7FE3" w:rsidP="001E37DF">
      <w:pPr>
        <w:pStyle w:val="ManualHeading1"/>
        <w:rPr>
          <w:noProof/>
        </w:rPr>
      </w:pPr>
      <w:r w:rsidRPr="00F50E64">
        <w:rPr>
          <w:noProof/>
        </w:rPr>
        <w:t>4.</w:t>
      </w:r>
      <w:r w:rsidRPr="00F50E64">
        <w:rPr>
          <w:noProof/>
        </w:rPr>
        <w:tab/>
      </w:r>
      <w:bookmarkStart w:id="86" w:name="_Hlk167692977"/>
      <w:r w:rsidRPr="00F50E64">
        <w:rPr>
          <w:noProof/>
        </w:rPr>
        <w:t>Digital dimensions</w:t>
      </w:r>
      <w:bookmarkEnd w:id="66"/>
      <w:bookmarkEnd w:id="67"/>
    </w:p>
    <w:p w:rsidR="00DA7FE3" w:rsidRPr="00F50E64" w:rsidRDefault="00DA7FE3" w:rsidP="00DA7FE3">
      <w:pPr>
        <w:pStyle w:val="ManualHeading2"/>
        <w:rPr>
          <w:noProof/>
        </w:rPr>
      </w:pPr>
      <w:bookmarkStart w:id="87" w:name="_Toc167220302"/>
      <w:bookmarkStart w:id="88" w:name="_Toc177549037"/>
      <w:r w:rsidRPr="00F50E64">
        <w:rPr>
          <w:noProof/>
        </w:rPr>
        <w:t>4.1.</w:t>
      </w:r>
      <w:r w:rsidRPr="00F50E64">
        <w:rPr>
          <w:noProof/>
        </w:rPr>
        <w:tab/>
        <w:t>Requirements of digital relevance</w:t>
      </w:r>
      <w:bookmarkEnd w:id="87"/>
      <w:bookmarkEnd w:id="88"/>
    </w:p>
    <w:tbl>
      <w:tblPr>
        <w:tblStyle w:val="TableGrid"/>
        <w:tblW w:w="9072" w:type="dxa"/>
        <w:tblInd w:w="-5" w:type="dxa"/>
        <w:tblLayout w:type="fixed"/>
        <w:tblLook w:val="06A0" w:firstRow="1" w:lastRow="0" w:firstColumn="1" w:lastColumn="0" w:noHBand="1" w:noVBand="1"/>
      </w:tblPr>
      <w:tblGrid>
        <w:gridCol w:w="9072"/>
      </w:tblGrid>
      <w:tr w:rsidR="00DA7FE3" w:rsidRPr="00F50E64" w:rsidTr="00C874B9">
        <w:trPr>
          <w:trHeight w:val="300"/>
        </w:trPr>
        <w:tc>
          <w:tcPr>
            <w:tcW w:w="9072" w:type="dxa"/>
          </w:tcPr>
          <w:p w:rsidR="00DA7FE3" w:rsidRPr="00F50E64" w:rsidRDefault="00A87A78" w:rsidP="00A87A78">
            <w:pPr>
              <w:pStyle w:val="Text1"/>
              <w:ind w:left="0"/>
              <w:rPr>
                <w:noProof/>
              </w:rPr>
            </w:pPr>
            <w:r w:rsidRPr="00A87A78">
              <w:rPr>
                <w:noProof/>
              </w:rPr>
              <w:t>This Regulation does not include additional requirements of digital relevance. Provisions</w:t>
            </w:r>
            <w:r>
              <w:rPr>
                <w:noProof/>
              </w:rPr>
              <w:t xml:space="preserve"> </w:t>
            </w:r>
            <w:r w:rsidRPr="00A87A78">
              <w:rPr>
                <w:noProof/>
              </w:rPr>
              <w:t>under Regulation (EU) 2021/695 apply and include requirements of digital relevance in</w:t>
            </w:r>
            <w:r>
              <w:rPr>
                <w:noProof/>
              </w:rPr>
              <w:t xml:space="preserve"> </w:t>
            </w:r>
            <w:r w:rsidRPr="00A87A78">
              <w:rPr>
                <w:noProof/>
              </w:rPr>
              <w:t>terms of data collection, transmission and storage and exchanges of information.</w:t>
            </w:r>
          </w:p>
        </w:tc>
      </w:tr>
    </w:tbl>
    <w:p w:rsidR="00DA7FE3" w:rsidRPr="00F50E64" w:rsidRDefault="00DA7FE3" w:rsidP="00DA7FE3">
      <w:pPr>
        <w:pStyle w:val="ManualHeading2"/>
        <w:rPr>
          <w:noProof/>
        </w:rPr>
      </w:pPr>
      <w:bookmarkStart w:id="89" w:name="_Toc167220303"/>
      <w:bookmarkStart w:id="90" w:name="_Toc177549038"/>
      <w:r w:rsidRPr="00F50E64">
        <w:rPr>
          <w:noProof/>
        </w:rPr>
        <w:t>4.2.</w:t>
      </w:r>
      <w:r w:rsidRPr="00F50E64">
        <w:rPr>
          <w:noProof/>
        </w:rPr>
        <w:tab/>
        <w:t>Data</w:t>
      </w:r>
      <w:bookmarkEnd w:id="89"/>
      <w:bookmarkEnd w:id="90"/>
    </w:p>
    <w:tbl>
      <w:tblPr>
        <w:tblStyle w:val="TableGrid"/>
        <w:tblW w:w="0" w:type="auto"/>
        <w:tblLook w:val="04A0" w:firstRow="1" w:lastRow="0" w:firstColumn="1" w:lastColumn="0" w:noHBand="0" w:noVBand="1"/>
      </w:tblPr>
      <w:tblGrid>
        <w:gridCol w:w="9063"/>
      </w:tblGrid>
      <w:tr w:rsidR="00DA7FE3" w:rsidRPr="00F50E64" w:rsidTr="00C874B9">
        <w:tc>
          <w:tcPr>
            <w:tcW w:w="9063" w:type="dxa"/>
          </w:tcPr>
          <w:p w:rsidR="00DA7FE3" w:rsidRPr="00F50E64" w:rsidRDefault="00A87A78" w:rsidP="00A87A78">
            <w:pPr>
              <w:pStyle w:val="Text1"/>
              <w:ind w:left="0"/>
              <w:rPr>
                <w:noProof/>
              </w:rPr>
            </w:pPr>
            <w:r w:rsidRPr="00A87A78">
              <w:rPr>
                <w:noProof/>
              </w:rPr>
              <w:t>This Regulation does not include additional requirements of digital relevance for the collection, processing, generation, exchange or sharing of data. Provisions under</w:t>
            </w:r>
            <w:r>
              <w:rPr>
                <w:noProof/>
              </w:rPr>
              <w:t xml:space="preserve"> </w:t>
            </w:r>
            <w:r w:rsidRPr="00A87A78">
              <w:rPr>
                <w:noProof/>
              </w:rPr>
              <w:t>Regulation (EU) 2021/695 apply.</w:t>
            </w:r>
          </w:p>
        </w:tc>
      </w:tr>
    </w:tbl>
    <w:p w:rsidR="00DA7FE3" w:rsidRPr="00F50E64" w:rsidRDefault="00DA7FE3" w:rsidP="00DA7FE3">
      <w:pPr>
        <w:pStyle w:val="ManualHeading2"/>
        <w:rPr>
          <w:noProof/>
        </w:rPr>
      </w:pPr>
      <w:bookmarkStart w:id="91" w:name="_Toc167220305"/>
      <w:bookmarkStart w:id="92" w:name="_Toc177549039"/>
      <w:r w:rsidRPr="00F50E64">
        <w:rPr>
          <w:noProof/>
        </w:rPr>
        <w:t>4.3.</w:t>
      </w:r>
      <w:r w:rsidRPr="00F50E64">
        <w:rPr>
          <w:noProof/>
        </w:rPr>
        <w:tab/>
        <w:t>Digital solutions</w:t>
      </w:r>
      <w:bookmarkEnd w:id="91"/>
      <w:bookmarkEnd w:id="92"/>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DA7FE3" w:rsidRPr="00F50E64" w:rsidTr="00C874B9">
        <w:tc>
          <w:tcPr>
            <w:tcW w:w="9067" w:type="dxa"/>
          </w:tcPr>
          <w:p w:rsidR="00DA7FE3" w:rsidRPr="00F50E64" w:rsidRDefault="00A87A78" w:rsidP="00A87A78">
            <w:pPr>
              <w:pStyle w:val="Text1"/>
              <w:ind w:left="0"/>
              <w:rPr>
                <w:noProof/>
              </w:rPr>
            </w:pPr>
            <w:r w:rsidRPr="00A87A78">
              <w:rPr>
                <w:noProof/>
              </w:rPr>
              <w:t>This Regulation does not include additional requirements of digital relevance that mandate</w:t>
            </w:r>
            <w:r>
              <w:rPr>
                <w:noProof/>
              </w:rPr>
              <w:t xml:space="preserve"> </w:t>
            </w:r>
            <w:r w:rsidRPr="00A87A78">
              <w:rPr>
                <w:noProof/>
              </w:rPr>
              <w:t>a digital solution. Provisions under Regulation (EU) 2021/695 apply.</w:t>
            </w:r>
          </w:p>
        </w:tc>
      </w:tr>
    </w:tbl>
    <w:p w:rsidR="00DA7FE3" w:rsidRPr="00F50E64" w:rsidRDefault="00DA7FE3" w:rsidP="00DA7FE3">
      <w:pPr>
        <w:pStyle w:val="ManualHeading2"/>
        <w:rPr>
          <w:noProof/>
        </w:rPr>
      </w:pPr>
      <w:bookmarkStart w:id="93" w:name="_Toc167220304"/>
      <w:bookmarkStart w:id="94" w:name="_Toc177549040"/>
      <w:r w:rsidRPr="00F50E64">
        <w:rPr>
          <w:noProof/>
        </w:rPr>
        <w:t>4.4.</w:t>
      </w:r>
      <w:r w:rsidRPr="00F50E64">
        <w:rPr>
          <w:noProof/>
        </w:rPr>
        <w:tab/>
        <w:t>Interoperability assessment</w:t>
      </w:r>
      <w:bookmarkEnd w:id="93"/>
      <w:bookmarkEnd w:id="94"/>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DA7FE3" w:rsidRPr="00F50E64" w:rsidTr="00C874B9">
        <w:trPr>
          <w:trHeight w:val="300"/>
        </w:trPr>
        <w:tc>
          <w:tcPr>
            <w:tcW w:w="9067" w:type="dxa"/>
          </w:tcPr>
          <w:p w:rsidR="00DA7FE3" w:rsidRPr="00F50E64" w:rsidRDefault="00A87A78" w:rsidP="00A87A78">
            <w:pPr>
              <w:pStyle w:val="Text1"/>
              <w:ind w:left="0"/>
              <w:rPr>
                <w:i/>
                <w:iCs/>
                <w:noProof/>
              </w:rPr>
            </w:pPr>
            <w:r>
              <w:rPr>
                <w:noProof/>
              </w:rPr>
              <w:t>T</w:t>
            </w:r>
            <w:r w:rsidRPr="00A87A78">
              <w:rPr>
                <w:noProof/>
              </w:rPr>
              <w:t>his Regulation does not include additional requirements of digital relevance that concern</w:t>
            </w:r>
            <w:r>
              <w:rPr>
                <w:noProof/>
              </w:rPr>
              <w:t xml:space="preserve"> </w:t>
            </w:r>
            <w:r w:rsidRPr="00A87A78">
              <w:rPr>
                <w:noProof/>
              </w:rPr>
              <w:t>digital public services. Provisions under Regulation (EU) 2021/695 apply.</w:t>
            </w:r>
          </w:p>
        </w:tc>
      </w:tr>
    </w:tbl>
    <w:p w:rsidR="00DA7FE3" w:rsidRPr="00F50E64" w:rsidRDefault="00DA7FE3" w:rsidP="00DA7FE3">
      <w:pPr>
        <w:pStyle w:val="ManualHeading2"/>
        <w:rPr>
          <w:noProof/>
        </w:rPr>
      </w:pPr>
      <w:bookmarkStart w:id="95" w:name="_Toc167220306"/>
      <w:bookmarkStart w:id="96" w:name="_Toc177549041"/>
      <w:r w:rsidRPr="00F50E64">
        <w:rPr>
          <w:noProof/>
        </w:rPr>
        <w:t>4.5.</w:t>
      </w:r>
      <w:r w:rsidRPr="00F50E64">
        <w:rPr>
          <w:noProof/>
        </w:rPr>
        <w:tab/>
        <w:t>Measures to support digital implementation</w:t>
      </w:r>
      <w:bookmarkEnd w:id="95"/>
      <w:bookmarkEnd w:id="96"/>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DA7FE3" w:rsidRPr="00F50E64" w:rsidTr="00C874B9">
        <w:tc>
          <w:tcPr>
            <w:tcW w:w="9067" w:type="dxa"/>
          </w:tcPr>
          <w:p w:rsidR="00DA7FE3" w:rsidRPr="00F50E64" w:rsidRDefault="00A87A78" w:rsidP="00A87A78">
            <w:pPr>
              <w:pStyle w:val="Text1"/>
              <w:ind w:left="0"/>
              <w:rPr>
                <w:noProof/>
              </w:rPr>
            </w:pPr>
            <w:r w:rsidRPr="00A87A78">
              <w:rPr>
                <w:noProof/>
              </w:rPr>
              <w:t>This Regulation does not include additional requirements of digital relevance that need</w:t>
            </w:r>
            <w:r>
              <w:rPr>
                <w:noProof/>
              </w:rPr>
              <w:t xml:space="preserve"> </w:t>
            </w:r>
            <w:r w:rsidRPr="00A87A78">
              <w:rPr>
                <w:noProof/>
              </w:rPr>
              <w:t>specific implementation measures. Provisions under Regulation (EU) 2021/695 apply</w:t>
            </w:r>
            <w:r>
              <w:rPr>
                <w:noProof/>
              </w:rPr>
              <w:t>.</w:t>
            </w:r>
          </w:p>
        </w:tc>
      </w:tr>
      <w:bookmarkEnd w:id="86"/>
    </w:tbl>
    <w:p w:rsidR="00DA7FE3" w:rsidRPr="006C2791" w:rsidRDefault="00DA7FE3" w:rsidP="00DA7FE3">
      <w:pPr>
        <w:pStyle w:val="Text1"/>
        <w:ind w:left="0"/>
        <w:rPr>
          <w:noProof/>
        </w:rPr>
      </w:pPr>
    </w:p>
    <w:sectPr w:rsidR="00DA7FE3" w:rsidRPr="006C2791" w:rsidSect="008A2E9F">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5D" w:rsidRPr="006C2791" w:rsidRDefault="0011435D" w:rsidP="008F031D">
      <w:pPr>
        <w:spacing w:before="0" w:after="0"/>
      </w:pPr>
      <w:r w:rsidRPr="006C2791">
        <w:separator/>
      </w:r>
    </w:p>
  </w:endnote>
  <w:endnote w:type="continuationSeparator" w:id="0">
    <w:p w:rsidR="0011435D" w:rsidRPr="006C2791" w:rsidRDefault="0011435D" w:rsidP="008F031D">
      <w:pPr>
        <w:spacing w:before="0" w:after="0"/>
      </w:pPr>
      <w:r w:rsidRPr="006C2791">
        <w:continuationSeparator/>
      </w:r>
    </w:p>
  </w:endnote>
  <w:endnote w:type="continuationNotice" w:id="1">
    <w:p w:rsidR="0011435D" w:rsidRPr="006C2791" w:rsidRDefault="001143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Footer"/>
      <w:rPr>
        <w:rFonts w:ascii="Arial" w:hAnsi="Arial" w:cs="Arial"/>
        <w:b/>
        <w:sz w:val="48"/>
      </w:rPr>
    </w:pPr>
    <w:r w:rsidRPr="008A2E9F">
      <w:rPr>
        <w:rFonts w:ascii="Arial" w:hAnsi="Arial" w:cs="Arial"/>
        <w:b/>
        <w:sz w:val="48"/>
      </w:rPr>
      <w:t>EN</w:t>
    </w:r>
    <w:r w:rsidRPr="008A2E9F">
      <w:rPr>
        <w:rFonts w:ascii="Arial" w:hAnsi="Arial" w:cs="Arial"/>
        <w:b/>
        <w:sz w:val="48"/>
      </w:rPr>
      <w:tab/>
    </w:r>
    <w:r w:rsidRPr="008A2E9F">
      <w:rPr>
        <w:rFonts w:ascii="Arial" w:hAnsi="Arial" w:cs="Arial"/>
        <w:b/>
        <w:sz w:val="48"/>
      </w:rPr>
      <w:tab/>
    </w:r>
    <w:r w:rsidRPr="008A2E9F">
      <w:tab/>
    </w:r>
    <w:r w:rsidRPr="008A2E9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Footer"/>
      <w:rPr>
        <w:rFonts w:ascii="Arial" w:hAnsi="Arial" w:cs="Arial"/>
        <w:b/>
        <w:sz w:val="48"/>
      </w:rPr>
    </w:pPr>
    <w:r w:rsidRPr="008A2E9F">
      <w:rPr>
        <w:rFonts w:ascii="Arial" w:hAnsi="Arial" w:cs="Arial"/>
        <w:b/>
        <w:sz w:val="48"/>
      </w:rPr>
      <w:t>EN</w:t>
    </w:r>
    <w:r w:rsidRPr="008A2E9F">
      <w:rPr>
        <w:rFonts w:ascii="Arial" w:hAnsi="Arial" w:cs="Arial"/>
        <w:b/>
        <w:sz w:val="48"/>
      </w:rPr>
      <w:tab/>
    </w:r>
    <w:r w:rsidRPr="008A2E9F">
      <w:rPr>
        <w:rFonts w:ascii="Arial" w:hAnsi="Arial" w:cs="Arial"/>
        <w:b/>
        <w:sz w:val="48"/>
      </w:rPr>
      <w:tab/>
    </w:r>
    <w:r w:rsidRPr="008A2E9F">
      <w:tab/>
    </w:r>
    <w:r w:rsidRPr="008A2E9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Default="008A2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Footer"/>
      <w:rPr>
        <w:rFonts w:ascii="Arial" w:hAnsi="Arial" w:cs="Arial"/>
        <w:b/>
        <w:sz w:val="48"/>
      </w:rPr>
    </w:pPr>
    <w:r w:rsidRPr="008A2E9F">
      <w:rPr>
        <w:rFonts w:ascii="Arial" w:hAnsi="Arial" w:cs="Arial"/>
        <w:b/>
        <w:sz w:val="48"/>
      </w:rPr>
      <w:t>EN</w:t>
    </w:r>
    <w:r w:rsidRPr="008A2E9F">
      <w:rPr>
        <w:rFonts w:ascii="Arial" w:hAnsi="Arial" w:cs="Arial"/>
        <w:b/>
        <w:sz w:val="48"/>
      </w:rPr>
      <w:tab/>
    </w:r>
    <w:r>
      <w:fldChar w:fldCharType="begin"/>
    </w:r>
    <w:r>
      <w:instrText xml:space="preserve"> PAGE  \* MERGEFORMAT </w:instrText>
    </w:r>
    <w:r>
      <w:fldChar w:fldCharType="separate"/>
    </w:r>
    <w:r w:rsidR="00150510">
      <w:rPr>
        <w:noProof/>
      </w:rPr>
      <w:t>27</w:t>
    </w:r>
    <w:r>
      <w:fldChar w:fldCharType="end"/>
    </w:r>
    <w:r>
      <w:tab/>
    </w:r>
    <w:r w:rsidRPr="008A2E9F">
      <w:tab/>
    </w:r>
    <w:r w:rsidRPr="008A2E9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Default="008A2E9F" w:rsidP="008A2E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FooterLandscape"/>
      <w:rPr>
        <w:rFonts w:ascii="Arial" w:hAnsi="Arial" w:cs="Arial"/>
        <w:b/>
        <w:sz w:val="48"/>
      </w:rPr>
    </w:pPr>
    <w:r w:rsidRPr="008A2E9F">
      <w:rPr>
        <w:rFonts w:ascii="Arial" w:hAnsi="Arial" w:cs="Arial"/>
        <w:b/>
        <w:sz w:val="48"/>
      </w:rPr>
      <w:t>EN</w:t>
    </w:r>
    <w:r w:rsidRPr="008A2E9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A2E9F">
      <w:tab/>
    </w:r>
    <w:r w:rsidRPr="008A2E9F">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Footer"/>
      <w:rPr>
        <w:rFonts w:ascii="Arial" w:hAnsi="Arial" w:cs="Arial"/>
        <w:b/>
        <w:sz w:val="48"/>
      </w:rPr>
    </w:pPr>
    <w:r w:rsidRPr="008A2E9F">
      <w:rPr>
        <w:rFonts w:ascii="Arial" w:hAnsi="Arial" w:cs="Arial"/>
        <w:b/>
        <w:sz w:val="48"/>
      </w:rPr>
      <w:t>EN</w:t>
    </w:r>
    <w:r w:rsidRPr="008A2E9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A2E9F">
      <w:tab/>
    </w:r>
    <w:r w:rsidRPr="008A2E9F">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5D" w:rsidRPr="006C2791" w:rsidRDefault="0011435D" w:rsidP="008F031D">
      <w:pPr>
        <w:spacing w:before="0" w:after="0"/>
      </w:pPr>
      <w:r w:rsidRPr="006C2791">
        <w:separator/>
      </w:r>
    </w:p>
  </w:footnote>
  <w:footnote w:type="continuationSeparator" w:id="0">
    <w:p w:rsidR="0011435D" w:rsidRPr="006C2791" w:rsidRDefault="0011435D" w:rsidP="008F031D">
      <w:pPr>
        <w:spacing w:before="0" w:after="0"/>
      </w:pPr>
      <w:r w:rsidRPr="006C2791">
        <w:continuationSeparator/>
      </w:r>
    </w:p>
  </w:footnote>
  <w:footnote w:type="continuationNotice" w:id="1">
    <w:p w:rsidR="0011435D" w:rsidRPr="006C2791" w:rsidRDefault="0011435D">
      <w:pPr>
        <w:spacing w:before="0" w:after="0"/>
      </w:pPr>
    </w:p>
  </w:footnote>
  <w:footnote w:id="2">
    <w:p w:rsidR="00943068" w:rsidRPr="006C2791" w:rsidRDefault="00943068" w:rsidP="00943068">
      <w:pPr>
        <w:pStyle w:val="FootnoteText"/>
      </w:pPr>
      <w:r w:rsidRPr="00564821">
        <w:rPr>
          <w:rStyle w:val="FootnoteReference"/>
        </w:rPr>
        <w:footnoteRef/>
      </w:r>
      <w:r w:rsidR="00564821">
        <w:tab/>
      </w:r>
      <w:r w:rsidRPr="006C2791">
        <w:t>Council Regulation (Euratom) 2021/765 of 10</w:t>
      </w:r>
      <w:r w:rsidR="006C2791">
        <w:t> </w:t>
      </w:r>
      <w:r w:rsidRPr="006C2791">
        <w:t>May 2021 establishing the Research and Training Programme of the European Atomic Energy Community for the period 2021-2025 complementing Horizon Europe – the Framework Programme for Research and Innovation and repealing Regulation (Euratom) 2018/1563 (OJ L 167I, 12</w:t>
      </w:r>
      <w:r w:rsidR="002B059F">
        <w:t>.</w:t>
      </w:r>
      <w:r w:rsidRPr="006C2791">
        <w:t>05</w:t>
      </w:r>
      <w:r w:rsidR="002B059F">
        <w:t>.</w:t>
      </w:r>
      <w:r w:rsidRPr="006C2791">
        <w:t>2021, p.</w:t>
      </w:r>
      <w:r w:rsidR="006C2791">
        <w:t> </w:t>
      </w:r>
      <w:r w:rsidRPr="006C2791">
        <w:t>81</w:t>
      </w:r>
      <w:r w:rsidR="009C3410" w:rsidRPr="009C3410">
        <w:t xml:space="preserve">, ELI: </w:t>
      </w:r>
      <w:hyperlink r:id="rId1" w:history="1">
        <w:r w:rsidR="009C3410" w:rsidRPr="007473BA">
          <w:rPr>
            <w:rStyle w:val="Hyperlink"/>
          </w:rPr>
          <w:t>http://data.europa.eu/eli/reg/2021/765/oj</w:t>
        </w:r>
      </w:hyperlink>
      <w:r w:rsidRPr="006C2791">
        <w:t>).</w:t>
      </w:r>
    </w:p>
  </w:footnote>
  <w:footnote w:id="3">
    <w:p w:rsidR="00D608B2" w:rsidRPr="006C2791" w:rsidRDefault="00D608B2" w:rsidP="00D608B2">
      <w:pPr>
        <w:pStyle w:val="FootnoteText"/>
      </w:pPr>
      <w:r w:rsidRPr="00564821">
        <w:rPr>
          <w:rStyle w:val="FootnoteReference"/>
        </w:rPr>
        <w:footnoteRef/>
      </w:r>
      <w:r w:rsidR="00564821">
        <w:tab/>
      </w:r>
      <w:r w:rsidRPr="006C2791">
        <w:t>Euratom Programmes are of a shorter duration than other spending programmes under the TFEU</w:t>
      </w:r>
      <w:r>
        <w:t>,</w:t>
      </w:r>
      <w:r w:rsidRPr="006C2791">
        <w:t xml:space="preserve"> </w:t>
      </w:r>
      <w:r>
        <w:t>as</w:t>
      </w:r>
      <w:r w:rsidRPr="006C2791">
        <w:t xml:space="preserve"> Article</w:t>
      </w:r>
      <w:r>
        <w:t> </w:t>
      </w:r>
      <w:r w:rsidRPr="006C2791">
        <w:t>7 of the Euratom Treaty limit</w:t>
      </w:r>
      <w:r>
        <w:t>s</w:t>
      </w:r>
      <w:r w:rsidRPr="006C2791">
        <w:t xml:space="preserve"> these programmes to </w:t>
      </w:r>
      <w:r>
        <w:t>5</w:t>
      </w:r>
      <w:r w:rsidRPr="006C2791">
        <w:t xml:space="preserve"> years.</w:t>
      </w:r>
    </w:p>
  </w:footnote>
  <w:footnote w:id="4">
    <w:p w:rsidR="00D608B2" w:rsidRPr="00D608B2" w:rsidRDefault="00D608B2">
      <w:pPr>
        <w:pStyle w:val="FootnoteText"/>
      </w:pPr>
      <w:r w:rsidRPr="00564821">
        <w:rPr>
          <w:rStyle w:val="FootnoteReference"/>
        </w:rPr>
        <w:footnoteRef/>
      </w:r>
      <w:r w:rsidR="00564821">
        <w:tab/>
      </w:r>
      <w:r w:rsidRPr="00D608B2">
        <w:t>Council Regulation (EU, Euratom) 2020/2093 of 17 December 2020 laying down the multiannual financial framework for the years 2021 to 2027 (OJ L 433I, 22.12.2020, p. 11</w:t>
      </w:r>
      <w:r w:rsidR="009C3410" w:rsidRPr="009C3410">
        <w:t>, ELI: http://data.europa.eu/eli/reg/2020/2093/oj</w:t>
      </w:r>
      <w:r w:rsidRPr="00D608B2">
        <w:t>).</w:t>
      </w:r>
    </w:p>
  </w:footnote>
  <w:footnote w:id="5">
    <w:p w:rsidR="00896555" w:rsidRPr="006C2791" w:rsidRDefault="00896555" w:rsidP="00896555">
      <w:pPr>
        <w:pStyle w:val="FootnoteText"/>
      </w:pPr>
      <w:r w:rsidRPr="00564821">
        <w:rPr>
          <w:rStyle w:val="FootnoteReference"/>
        </w:rPr>
        <w:footnoteRef/>
      </w:r>
      <w:r w:rsidR="00564821">
        <w:tab/>
      </w:r>
      <w:r w:rsidRPr="006C2791">
        <w:t>These include nuclear safety, security, radioactive waste and spent fuel management, radiation protection and fusion energy</w:t>
      </w:r>
      <w:r w:rsidR="00F56F77" w:rsidRPr="006C2791">
        <w:t>.</w:t>
      </w:r>
    </w:p>
  </w:footnote>
  <w:footnote w:id="6">
    <w:p w:rsidR="002E18C6" w:rsidRPr="006C2791" w:rsidRDefault="002E18C6" w:rsidP="002E18C6">
      <w:pPr>
        <w:pStyle w:val="FootnoteText"/>
      </w:pPr>
      <w:r w:rsidRPr="00564821">
        <w:rPr>
          <w:rStyle w:val="FootnoteReference"/>
        </w:rPr>
        <w:footnoteRef/>
      </w:r>
      <w:r w:rsidR="00564821">
        <w:tab/>
      </w:r>
      <w:r w:rsidRPr="006C2791">
        <w:t>See</w:t>
      </w:r>
      <w:r w:rsidR="00F50620" w:rsidRPr="006C2791">
        <w:t xml:space="preserve"> also</w:t>
      </w:r>
      <w:r w:rsidRPr="006C2791">
        <w:t xml:space="preserve"> </w:t>
      </w:r>
      <w:r w:rsidR="006C2791">
        <w:t>‘</w:t>
      </w:r>
      <w:r w:rsidRPr="006C2791">
        <w:t>Legal basis</w:t>
      </w:r>
      <w:r w:rsidR="006C2791">
        <w:t>’</w:t>
      </w:r>
      <w:r w:rsidRPr="006C2791">
        <w:t xml:space="preserve"> and </w:t>
      </w:r>
      <w:r w:rsidR="006C2791">
        <w:t>‘</w:t>
      </w:r>
      <w:r w:rsidRPr="006C2791">
        <w:t>Choice of instrument</w:t>
      </w:r>
      <w:r w:rsidR="006C2791">
        <w:t>’</w:t>
      </w:r>
      <w:r w:rsidR="001C1AFA">
        <w:t xml:space="preserve"> under Section </w:t>
      </w:r>
      <w:r w:rsidR="001C1AFA" w:rsidRPr="006C2791">
        <w:t>2</w:t>
      </w:r>
      <w:r w:rsidRPr="006C2791">
        <w:t>.</w:t>
      </w:r>
    </w:p>
  </w:footnote>
  <w:footnote w:id="7">
    <w:p w:rsidR="002E18C6" w:rsidRPr="006C2791" w:rsidRDefault="002E18C6" w:rsidP="00F50620">
      <w:pPr>
        <w:pStyle w:val="FootnoteText"/>
      </w:pPr>
      <w:r w:rsidRPr="00564821">
        <w:rPr>
          <w:rStyle w:val="FootnoteReference"/>
        </w:rPr>
        <w:footnoteRef/>
      </w:r>
      <w:r w:rsidR="00564821">
        <w:tab/>
      </w:r>
      <w:bookmarkStart w:id="4" w:name="_Hlk178145258"/>
      <w:r w:rsidR="00F50620" w:rsidRPr="006C2791">
        <w:rPr>
          <w:i/>
          <w:iCs/>
        </w:rPr>
        <w:t>Priorities for European nuclear research &amp; training: An STC Opinion</w:t>
      </w:r>
      <w:r w:rsidR="00F50620" w:rsidRPr="006C2791">
        <w:t xml:space="preserve"> (STC-2023-16 FINAL, 20.10.2023)</w:t>
      </w:r>
      <w:r w:rsidR="00BA4A52" w:rsidRPr="006C2791">
        <w:t>.</w:t>
      </w:r>
      <w:bookmarkEnd w:id="4"/>
      <w:r w:rsidR="00935FE9" w:rsidRPr="006C2791">
        <w:t xml:space="preserve"> https://research-and-innovation.ec.europa.eu/document/download/8908a4d4-ad88-465f-9c9b-bbbf0e7174cc_en?filename=priorities-for%20european-nuclear-research.pdf</w:t>
      </w:r>
      <w:r w:rsidR="006C2791" w:rsidRPr="006C2791">
        <w:t>.</w:t>
      </w:r>
    </w:p>
  </w:footnote>
  <w:footnote w:id="8">
    <w:p w:rsidR="007C17CF" w:rsidRPr="006C2791" w:rsidRDefault="007C17CF">
      <w:pPr>
        <w:pStyle w:val="FootnoteText"/>
      </w:pPr>
      <w:r w:rsidRPr="00564821">
        <w:rPr>
          <w:rStyle w:val="FootnoteReference"/>
        </w:rPr>
        <w:footnoteRef/>
      </w:r>
      <w:r w:rsidR="00564821">
        <w:tab/>
      </w:r>
      <w:r w:rsidRPr="006C2791">
        <w:t>Regulation (EU) 2021/695 of the European Parliament and of the Council of 28</w:t>
      </w:r>
      <w:r w:rsidR="006C2791">
        <w:t> </w:t>
      </w:r>
      <w:r w:rsidRPr="006C2791">
        <w:t>April 2021 establishing Horizon Europe – the Framework Programme for Research and Innovation, laying down its rules for participation and dissemination, and repealing Regulations (EU) No</w:t>
      </w:r>
      <w:r w:rsidR="006C2791">
        <w:t> </w:t>
      </w:r>
      <w:r w:rsidRPr="006C2791">
        <w:t>1290/2013 and (EU) No</w:t>
      </w:r>
      <w:r w:rsidR="006C2791">
        <w:t> </w:t>
      </w:r>
      <w:r w:rsidRPr="006C2791">
        <w:t>1291/2013 (OJ L 170, 12.5.2021, p.</w:t>
      </w:r>
      <w:r w:rsidR="006C2791">
        <w:t> </w:t>
      </w:r>
      <w:r w:rsidRPr="006C2791">
        <w:t>1</w:t>
      </w:r>
      <w:r w:rsidR="00A60155" w:rsidRPr="00A60155">
        <w:t xml:space="preserve">, ELI: </w:t>
      </w:r>
      <w:hyperlink r:id="rId2" w:history="1">
        <w:r w:rsidR="00A60155" w:rsidRPr="007473BA">
          <w:rPr>
            <w:rStyle w:val="Hyperlink"/>
          </w:rPr>
          <w:t>http://data.europa.eu/eli/reg/2021/695/oj</w:t>
        </w:r>
      </w:hyperlink>
      <w:r w:rsidRPr="006C2791">
        <w:t>).</w:t>
      </w:r>
    </w:p>
  </w:footnote>
  <w:footnote w:id="9">
    <w:p w:rsidR="00D777A3" w:rsidRPr="006C2791" w:rsidRDefault="00D777A3">
      <w:pPr>
        <w:pStyle w:val="FootnoteText"/>
      </w:pPr>
      <w:r w:rsidRPr="00564821">
        <w:rPr>
          <w:rStyle w:val="FootnoteReference"/>
        </w:rPr>
        <w:footnoteRef/>
      </w:r>
      <w:r w:rsidR="00564821">
        <w:tab/>
      </w:r>
      <w:r w:rsidRPr="006C2791">
        <w:t>See Articles 9, 7 and 6(3) of this proposal</w:t>
      </w:r>
      <w:r w:rsidR="00A60155">
        <w:t xml:space="preserve"> and </w:t>
      </w:r>
      <w:r w:rsidR="00A60155" w:rsidRPr="00A60155">
        <w:t>Article 10 and Annex III of Regulation (EU) 2021/695</w:t>
      </w:r>
      <w:r w:rsidRPr="006C2791">
        <w:t>.</w:t>
      </w:r>
    </w:p>
  </w:footnote>
  <w:footnote w:id="10">
    <w:p w:rsidR="00D777A3" w:rsidRPr="006C2791" w:rsidRDefault="00D777A3">
      <w:pPr>
        <w:pStyle w:val="FootnoteText"/>
      </w:pPr>
      <w:r w:rsidRPr="00564821">
        <w:rPr>
          <w:rStyle w:val="FootnoteReference"/>
        </w:rPr>
        <w:footnoteRef/>
      </w:r>
      <w:r w:rsidR="00564821">
        <w:tab/>
      </w:r>
      <w:r w:rsidRPr="006C2791">
        <w:t>See Article</w:t>
      </w:r>
      <w:r w:rsidR="006C2791">
        <w:t> </w:t>
      </w:r>
      <w:r w:rsidRPr="006C2791">
        <w:t>10(2) of this proposal</w:t>
      </w:r>
      <w:r w:rsidR="00750AB9">
        <w:t xml:space="preserve"> and Article 15 of </w:t>
      </w:r>
      <w:r w:rsidR="00750AB9" w:rsidRPr="006C2791">
        <w:t>Regulation (EU) 2021/695</w:t>
      </w:r>
      <w:r w:rsidRPr="006C2791">
        <w:t>.</w:t>
      </w:r>
    </w:p>
  </w:footnote>
  <w:footnote w:id="11">
    <w:p w:rsidR="002B42DA" w:rsidRPr="006C2791" w:rsidRDefault="002B42DA">
      <w:pPr>
        <w:pStyle w:val="FootnoteText"/>
      </w:pPr>
      <w:r w:rsidRPr="00564821">
        <w:rPr>
          <w:rStyle w:val="FootnoteReference"/>
        </w:rPr>
        <w:footnoteRef/>
      </w:r>
      <w:r w:rsidR="00564821">
        <w:tab/>
      </w:r>
      <w:r w:rsidRPr="006C2791">
        <w:t>Regulation (EU) 2024/1735 of the European Parliament and of the Council of 13</w:t>
      </w:r>
      <w:r w:rsidR="006C2791">
        <w:t> </w:t>
      </w:r>
      <w:r w:rsidRPr="006C2791">
        <w:t>June 2024 on establishing a framework of measures for strengthening Europe’s net-zero technology manufacturing ecosystem and amending Regulation (EU) 2018/1724 (OJ L, 2024/1735, 28.6.2024</w:t>
      </w:r>
      <w:r w:rsidR="00A60155" w:rsidRPr="00A60155">
        <w:t xml:space="preserve">, ELI: </w:t>
      </w:r>
      <w:hyperlink r:id="rId3" w:history="1">
        <w:r w:rsidR="00A60155" w:rsidRPr="007473BA">
          <w:rPr>
            <w:rStyle w:val="Hyperlink"/>
          </w:rPr>
          <w:t>http://data.europa.eu/eli/reg/2024/1735/oj</w:t>
        </w:r>
      </w:hyperlink>
      <w:r w:rsidRPr="006C2791">
        <w:t>).</w:t>
      </w:r>
    </w:p>
  </w:footnote>
  <w:footnote w:id="12">
    <w:p w:rsidR="00CC723B" w:rsidRPr="000A681F" w:rsidRDefault="00CC723B">
      <w:pPr>
        <w:pStyle w:val="FootnoteText"/>
        <w:rPr>
          <w:lang w:val="mt-MT"/>
        </w:rPr>
      </w:pPr>
      <w:r w:rsidRPr="00564821">
        <w:rPr>
          <w:rStyle w:val="FootnoteReference"/>
        </w:rPr>
        <w:footnoteRef/>
      </w:r>
      <w:r w:rsidR="00564821">
        <w:tab/>
      </w:r>
      <w:r>
        <w:t>References to the Treaty are to the consolidated version.</w:t>
      </w:r>
      <w:r w:rsidR="000A681F">
        <w:t xml:space="preserve"> </w:t>
      </w:r>
      <w:r w:rsidR="000A681F" w:rsidRPr="000A681F">
        <w:t>https://eur-lex.europa.eu/legal-content/EN/TXT/?uri=CELEX:02016A/TXT-20240901</w:t>
      </w:r>
    </w:p>
  </w:footnote>
  <w:footnote w:id="13">
    <w:p w:rsidR="00F06E5A" w:rsidRPr="006C2791" w:rsidRDefault="00F06E5A" w:rsidP="00F06E5A">
      <w:pPr>
        <w:pStyle w:val="FootnoteText"/>
      </w:pPr>
      <w:r w:rsidRPr="00564821">
        <w:rPr>
          <w:rStyle w:val="FootnoteReference"/>
        </w:rPr>
        <w:footnoteRef/>
      </w:r>
      <w:r w:rsidR="00564821">
        <w:tab/>
      </w:r>
      <w:r w:rsidRPr="006C2791">
        <w:t>Council Directive 2009/71/Euratom of 25</w:t>
      </w:r>
      <w:r w:rsidR="006C2791">
        <w:t> </w:t>
      </w:r>
      <w:r w:rsidRPr="006C2791">
        <w:t>June 2009 establishing a Community framework for the nuclear safety of nuclear installations (OJ L 172, 2.7.2009, p.</w:t>
      </w:r>
      <w:r w:rsidR="006C2791">
        <w:t> </w:t>
      </w:r>
      <w:r w:rsidRPr="006C2791">
        <w:t>18</w:t>
      </w:r>
      <w:r w:rsidR="00A60155" w:rsidRPr="00A60155">
        <w:t xml:space="preserve">, ELI: </w:t>
      </w:r>
      <w:hyperlink r:id="rId4" w:history="1">
        <w:r w:rsidR="00A60155" w:rsidRPr="007473BA">
          <w:rPr>
            <w:rStyle w:val="Hyperlink"/>
          </w:rPr>
          <w:t>http://data.europa.eu/eli/dir/2009/71/oj</w:t>
        </w:r>
      </w:hyperlink>
      <w:r w:rsidRPr="006C2791">
        <w:t>).</w:t>
      </w:r>
    </w:p>
  </w:footnote>
  <w:footnote w:id="14">
    <w:p w:rsidR="00F06E5A" w:rsidRPr="006C2791" w:rsidRDefault="00F06E5A" w:rsidP="00F06E5A">
      <w:pPr>
        <w:pStyle w:val="FootnoteText"/>
      </w:pPr>
      <w:r w:rsidRPr="00564821">
        <w:rPr>
          <w:rStyle w:val="FootnoteReference"/>
        </w:rPr>
        <w:footnoteRef/>
      </w:r>
      <w:r w:rsidR="00564821">
        <w:tab/>
      </w:r>
      <w:r w:rsidRPr="006C2791">
        <w:t>Council Directive 2011/70/Euratom of 19</w:t>
      </w:r>
      <w:r w:rsidR="006C2791">
        <w:t> </w:t>
      </w:r>
      <w:r w:rsidRPr="006C2791">
        <w:t>July 2011 establishing a Community framework for the responsible and safe management of spent fuel and radioactive waste (OJ L 199, 2.8.2011, p.</w:t>
      </w:r>
      <w:r w:rsidR="006C2791">
        <w:t> </w:t>
      </w:r>
      <w:r w:rsidRPr="006C2791">
        <w:t>48</w:t>
      </w:r>
      <w:r w:rsidR="00A60155" w:rsidRPr="00A60155">
        <w:t xml:space="preserve">, ELI: </w:t>
      </w:r>
      <w:hyperlink r:id="rId5" w:history="1">
        <w:r w:rsidR="00A60155" w:rsidRPr="007473BA">
          <w:rPr>
            <w:rStyle w:val="Hyperlink"/>
          </w:rPr>
          <w:t>http://data.europa.eu/eli/dir/2011/70/oj</w:t>
        </w:r>
      </w:hyperlink>
      <w:r w:rsidRPr="006C2791">
        <w:t>).</w:t>
      </w:r>
    </w:p>
  </w:footnote>
  <w:footnote w:id="15">
    <w:p w:rsidR="00F06E5A" w:rsidRPr="006C2791" w:rsidRDefault="00F06E5A" w:rsidP="00F06E5A">
      <w:pPr>
        <w:pStyle w:val="FootnoteText"/>
      </w:pPr>
      <w:r w:rsidRPr="00564821">
        <w:rPr>
          <w:rStyle w:val="FootnoteReference"/>
        </w:rPr>
        <w:footnoteRef/>
      </w:r>
      <w:r w:rsidR="00564821">
        <w:tab/>
      </w:r>
      <w:r w:rsidRPr="006C2791">
        <w:t>Council Directive 2013/59/Euratom of 5</w:t>
      </w:r>
      <w:r w:rsidR="006C2791">
        <w:t> </w:t>
      </w:r>
      <w:r w:rsidRPr="006C2791">
        <w:t>December 2013 laying down basic safety standards for protection against the dangers arising from exposure to ionising radiation, and repealing Directives 89/618/Euratom, 90/641/Euratom, 96/29/Euratom, 97/43/Euratom and 2003/122/Euratom (OJ L 13, 17.1.2014, p.</w:t>
      </w:r>
      <w:r w:rsidR="006C2791">
        <w:t> </w:t>
      </w:r>
      <w:r w:rsidRPr="006C2791">
        <w:t>1).</w:t>
      </w:r>
    </w:p>
  </w:footnote>
  <w:footnote w:id="16">
    <w:p w:rsidR="00686BAE" w:rsidRPr="006C2791" w:rsidRDefault="00686BAE" w:rsidP="000E329B">
      <w:pPr>
        <w:pStyle w:val="FootnoteText"/>
      </w:pPr>
      <w:r w:rsidRPr="00564821">
        <w:rPr>
          <w:rStyle w:val="FootnoteReference"/>
        </w:rPr>
        <w:footnoteRef/>
      </w:r>
      <w:r w:rsidR="00564821">
        <w:tab/>
      </w:r>
      <w:r w:rsidR="000E329B" w:rsidRPr="006C2791">
        <w:t>Council Regulation (Euratom) 2021/948 of 27</w:t>
      </w:r>
      <w:r w:rsidR="006C2791">
        <w:t> </w:t>
      </w:r>
      <w:r w:rsidR="000E329B" w:rsidRPr="006C2791">
        <w:t>May 2021 establishing a European Instrument for International Nuclear Safety Cooperation complementing the Neighbourhood, Development and International Cooperation Instrument – Global Europe on the basis of the Treaty establishing the European Atomic Energy Community, and repealing Regulation (Euratom) No</w:t>
      </w:r>
      <w:r w:rsidR="006C2791">
        <w:t> </w:t>
      </w:r>
      <w:r w:rsidR="000E329B" w:rsidRPr="006C2791">
        <w:t>237/2014 (OJ L 209, 14</w:t>
      </w:r>
      <w:r w:rsidR="00813EB7">
        <w:t>.</w:t>
      </w:r>
      <w:r w:rsidR="000E329B" w:rsidRPr="006C2791">
        <w:t>06</w:t>
      </w:r>
      <w:r w:rsidR="00813EB7">
        <w:t>.</w:t>
      </w:r>
      <w:r w:rsidR="000E329B" w:rsidRPr="006C2791">
        <w:t>2021, p.</w:t>
      </w:r>
      <w:r w:rsidR="006C2791">
        <w:t> </w:t>
      </w:r>
      <w:r w:rsidR="000E329B" w:rsidRPr="006C2791">
        <w:t>79</w:t>
      </w:r>
      <w:r w:rsidR="00A60155" w:rsidRPr="00A60155">
        <w:t xml:space="preserve">, ELI: </w:t>
      </w:r>
      <w:hyperlink r:id="rId6" w:history="1">
        <w:r w:rsidR="00A60155" w:rsidRPr="007473BA">
          <w:rPr>
            <w:rStyle w:val="Hyperlink"/>
          </w:rPr>
          <w:t>http://data.europa.eu/eli/dir/2013/59/oj</w:t>
        </w:r>
      </w:hyperlink>
      <w:r w:rsidR="000E329B" w:rsidRPr="006C2791">
        <w:t>).</w:t>
      </w:r>
    </w:p>
  </w:footnote>
  <w:footnote w:id="17">
    <w:p w:rsidR="00686BAE" w:rsidRPr="006C2791" w:rsidRDefault="00686BAE" w:rsidP="000E329B">
      <w:pPr>
        <w:pStyle w:val="FootnoteText"/>
      </w:pPr>
      <w:r w:rsidRPr="00564821">
        <w:rPr>
          <w:rStyle w:val="FootnoteReference"/>
        </w:rPr>
        <w:footnoteRef/>
      </w:r>
      <w:r w:rsidR="00564821">
        <w:tab/>
      </w:r>
      <w:r w:rsidR="00214828" w:rsidRPr="006C2791">
        <w:t>Regulation (EU) 2021/947 of the European Parliament and of the Council of 9</w:t>
      </w:r>
      <w:r w:rsidR="006C2791">
        <w:t> </w:t>
      </w:r>
      <w:r w:rsidR="00214828" w:rsidRPr="006C2791">
        <w:t>June 2021 establishing the</w:t>
      </w:r>
      <w:r w:rsidR="00214828" w:rsidRPr="00192579">
        <w:t xml:space="preserve"> Neighbourhood, Development and International Cooperation Instrument – Global Europe</w:t>
      </w:r>
      <w:r w:rsidR="000E329B" w:rsidRPr="00192579">
        <w:t>, amending and repealing Decision No</w:t>
      </w:r>
      <w:r w:rsidR="006C2791" w:rsidRPr="00192579">
        <w:t> </w:t>
      </w:r>
      <w:r w:rsidR="000E329B" w:rsidRPr="00192579">
        <w:t>466/2014/EU of the European Parliament and of the Council and repealing Regulation (EU) 2017/1601 of the European Parliament and of the Council and Council Regulation (EC, Euratom) No</w:t>
      </w:r>
      <w:r w:rsidR="006C2791" w:rsidRPr="00192579">
        <w:t> </w:t>
      </w:r>
      <w:r w:rsidR="000E329B" w:rsidRPr="00192579">
        <w:t>480/2009 (OJ L 209, 14</w:t>
      </w:r>
      <w:r w:rsidR="00813EB7" w:rsidRPr="00192579">
        <w:t>.</w:t>
      </w:r>
      <w:r w:rsidR="000E329B" w:rsidRPr="00192579">
        <w:t>06</w:t>
      </w:r>
      <w:r w:rsidR="00813EB7" w:rsidRPr="00192579">
        <w:t>.</w:t>
      </w:r>
      <w:r w:rsidR="000E329B" w:rsidRPr="00192579">
        <w:t>2021, p.</w:t>
      </w:r>
      <w:r w:rsidR="006C2791" w:rsidRPr="00192579">
        <w:t> </w:t>
      </w:r>
      <w:r w:rsidR="000E329B" w:rsidRPr="00192579">
        <w:t>1</w:t>
      </w:r>
      <w:r w:rsidR="00A60155" w:rsidRPr="00A60155">
        <w:t xml:space="preserve">, ELI: </w:t>
      </w:r>
      <w:hyperlink r:id="rId7" w:history="1">
        <w:r w:rsidR="00A60155" w:rsidRPr="007473BA">
          <w:rPr>
            <w:rStyle w:val="Hyperlink"/>
          </w:rPr>
          <w:t>http://data.europa.eu/eli/reg/2021/947/oj</w:t>
        </w:r>
      </w:hyperlink>
      <w:r w:rsidR="000E329B" w:rsidRPr="00192579">
        <w:t>).</w:t>
      </w:r>
    </w:p>
  </w:footnote>
  <w:footnote w:id="18">
    <w:p w:rsidR="00750AB9" w:rsidRPr="006C2791" w:rsidRDefault="00750AB9" w:rsidP="00750AB9">
      <w:pPr>
        <w:pStyle w:val="FootnoteText"/>
      </w:pPr>
      <w:r w:rsidRPr="00564821">
        <w:rPr>
          <w:rStyle w:val="FootnoteReference"/>
        </w:rPr>
        <w:footnoteRef/>
      </w:r>
      <w:r w:rsidR="00564821">
        <w:tab/>
      </w:r>
      <w:r w:rsidRPr="00750AB9">
        <w:rPr>
          <w:i/>
          <w:iCs/>
        </w:rPr>
        <w:t>Report from the Commission to the European Parliament, the Council</w:t>
      </w:r>
      <w:r w:rsidR="00DF239E">
        <w:rPr>
          <w:i/>
          <w:iCs/>
        </w:rPr>
        <w:t>,</w:t>
      </w:r>
      <w:r w:rsidRPr="00750AB9">
        <w:rPr>
          <w:i/>
          <w:iCs/>
        </w:rPr>
        <w:t xml:space="preserve"> the European Economic and Social Committee</w:t>
      </w:r>
      <w:r w:rsidR="00DF239E">
        <w:rPr>
          <w:i/>
          <w:iCs/>
        </w:rPr>
        <w:t xml:space="preserve"> and the Committee of the Regions</w:t>
      </w:r>
      <w:r w:rsidRPr="00750AB9">
        <w:rPr>
          <w:i/>
          <w:iCs/>
        </w:rPr>
        <w:t>: Ex-post evaluation of the Euratom Research and Training Programme 2014-2020</w:t>
      </w:r>
      <w:r w:rsidRPr="00750AB9">
        <w:t xml:space="preserve"> (COM(2024) 549 final, 28.11.2024)</w:t>
      </w:r>
      <w:r>
        <w:t>.</w:t>
      </w:r>
    </w:p>
  </w:footnote>
  <w:footnote w:id="19">
    <w:p w:rsidR="00750AB9" w:rsidRPr="00750AB9" w:rsidRDefault="00750AB9" w:rsidP="00750AB9">
      <w:pPr>
        <w:pStyle w:val="FootnoteText"/>
        <w:rPr>
          <w:lang w:val="mt-MT"/>
        </w:rPr>
      </w:pPr>
      <w:r w:rsidRPr="00564821">
        <w:rPr>
          <w:rStyle w:val="FootnoteReference"/>
        </w:rPr>
        <w:footnoteRef/>
      </w:r>
      <w:r w:rsidR="00564821">
        <w:tab/>
      </w:r>
      <w:r>
        <w:rPr>
          <w:lang w:val="mt-MT"/>
        </w:rPr>
        <w:t xml:space="preserve">Established by </w:t>
      </w:r>
      <w:r w:rsidRPr="00750AB9">
        <w:rPr>
          <w:lang w:val="mt-MT"/>
        </w:rPr>
        <w:t>Council Regulation (Euratom) No 1314/2013 of 16 December 2013 on the Research and Training Programme of the European Atomic Energy Community (2014</w:t>
      </w:r>
      <w:r>
        <w:rPr>
          <w:lang w:val="mt-MT"/>
        </w:rPr>
        <w:t>-</w:t>
      </w:r>
      <w:r w:rsidRPr="00750AB9">
        <w:rPr>
          <w:lang w:val="mt-MT"/>
        </w:rPr>
        <w:t>2018) complementing the Horizon 2020 Framework Programme for Research and Innovation</w:t>
      </w:r>
      <w:r>
        <w:rPr>
          <w:lang w:val="mt-MT"/>
        </w:rPr>
        <w:t xml:space="preserve"> (</w:t>
      </w:r>
      <w:r w:rsidRPr="00750AB9">
        <w:rPr>
          <w:lang w:val="mt-MT"/>
        </w:rPr>
        <w:t>OJ L 347, 20.12.2013, p. 948</w:t>
      </w:r>
      <w:r w:rsidR="00A60155" w:rsidRPr="00A60155">
        <w:rPr>
          <w:lang w:val="mt-MT"/>
        </w:rPr>
        <w:t xml:space="preserve">, ELI: </w:t>
      </w:r>
      <w:hyperlink r:id="rId8" w:history="1">
        <w:r w:rsidR="00A60155" w:rsidRPr="007473BA">
          <w:rPr>
            <w:rStyle w:val="Hyperlink"/>
            <w:lang w:val="mt-MT"/>
          </w:rPr>
          <w:t>http://data.europa.eu/eli/reg/2013/1314/oj</w:t>
        </w:r>
      </w:hyperlink>
      <w:r>
        <w:rPr>
          <w:lang w:val="mt-MT"/>
        </w:rPr>
        <w:t xml:space="preserve">) and </w:t>
      </w:r>
      <w:r w:rsidRPr="00750AB9">
        <w:rPr>
          <w:lang w:val="mt-MT"/>
        </w:rPr>
        <w:t>Council</w:t>
      </w:r>
      <w:r>
        <w:rPr>
          <w:lang w:val="mt-MT"/>
        </w:rPr>
        <w:t xml:space="preserve"> </w:t>
      </w:r>
      <w:r w:rsidRPr="00750AB9">
        <w:rPr>
          <w:lang w:val="mt-MT"/>
        </w:rPr>
        <w:t>Regulation</w:t>
      </w:r>
      <w:r>
        <w:rPr>
          <w:lang w:val="mt-MT"/>
        </w:rPr>
        <w:t xml:space="preserve"> </w:t>
      </w:r>
      <w:r w:rsidRPr="00750AB9">
        <w:rPr>
          <w:lang w:val="mt-MT"/>
        </w:rPr>
        <w:t>(Euratom)</w:t>
      </w:r>
      <w:r>
        <w:rPr>
          <w:lang w:val="mt-MT"/>
        </w:rPr>
        <w:t xml:space="preserve"> </w:t>
      </w:r>
      <w:r w:rsidRPr="00750AB9">
        <w:rPr>
          <w:lang w:val="mt-MT"/>
        </w:rPr>
        <w:t>2018/1563</w:t>
      </w:r>
      <w:r>
        <w:rPr>
          <w:lang w:val="mt-MT"/>
        </w:rPr>
        <w:t xml:space="preserve"> </w:t>
      </w:r>
      <w:r w:rsidRPr="00750AB9">
        <w:rPr>
          <w:lang w:val="mt-MT"/>
        </w:rPr>
        <w:t>of</w:t>
      </w:r>
      <w:r>
        <w:rPr>
          <w:lang w:val="mt-MT"/>
        </w:rPr>
        <w:t xml:space="preserve"> </w:t>
      </w:r>
      <w:r w:rsidRPr="00750AB9">
        <w:rPr>
          <w:lang w:val="mt-MT"/>
        </w:rPr>
        <w:t>15</w:t>
      </w:r>
      <w:r>
        <w:rPr>
          <w:lang w:val="mt-MT"/>
        </w:rPr>
        <w:t xml:space="preserve"> </w:t>
      </w:r>
      <w:r w:rsidRPr="00750AB9">
        <w:rPr>
          <w:lang w:val="mt-MT"/>
        </w:rPr>
        <w:t>October</w:t>
      </w:r>
      <w:r>
        <w:rPr>
          <w:lang w:val="mt-MT"/>
        </w:rPr>
        <w:t xml:space="preserve"> </w:t>
      </w:r>
      <w:r w:rsidRPr="00750AB9">
        <w:rPr>
          <w:lang w:val="mt-MT"/>
        </w:rPr>
        <w:t>2018</w:t>
      </w:r>
      <w:r>
        <w:rPr>
          <w:lang w:val="mt-MT"/>
        </w:rPr>
        <w:t xml:space="preserve"> </w:t>
      </w:r>
      <w:r w:rsidRPr="00750AB9">
        <w:rPr>
          <w:lang w:val="mt-MT"/>
        </w:rPr>
        <w:t>on</w:t>
      </w:r>
      <w:r>
        <w:rPr>
          <w:lang w:val="mt-MT"/>
        </w:rPr>
        <w:t xml:space="preserve"> </w:t>
      </w:r>
      <w:r w:rsidRPr="00750AB9">
        <w:rPr>
          <w:lang w:val="mt-MT"/>
        </w:rPr>
        <w:t>the</w:t>
      </w:r>
      <w:r>
        <w:rPr>
          <w:lang w:val="mt-MT"/>
        </w:rPr>
        <w:t xml:space="preserve"> </w:t>
      </w:r>
      <w:r w:rsidRPr="00750AB9">
        <w:rPr>
          <w:lang w:val="mt-MT"/>
        </w:rPr>
        <w:t>Research</w:t>
      </w:r>
      <w:r>
        <w:rPr>
          <w:lang w:val="mt-MT"/>
        </w:rPr>
        <w:t xml:space="preserve"> </w:t>
      </w:r>
      <w:r w:rsidRPr="00750AB9">
        <w:rPr>
          <w:lang w:val="mt-MT"/>
        </w:rPr>
        <w:t>and</w:t>
      </w:r>
      <w:r>
        <w:rPr>
          <w:lang w:val="mt-MT"/>
        </w:rPr>
        <w:t xml:space="preserve"> </w:t>
      </w:r>
      <w:r w:rsidRPr="00750AB9">
        <w:rPr>
          <w:lang w:val="mt-MT"/>
        </w:rPr>
        <w:t>Training</w:t>
      </w:r>
      <w:r>
        <w:rPr>
          <w:lang w:val="mt-MT"/>
        </w:rPr>
        <w:t xml:space="preserve"> </w:t>
      </w:r>
      <w:r w:rsidRPr="00750AB9">
        <w:rPr>
          <w:lang w:val="mt-MT"/>
        </w:rPr>
        <w:t>Programme</w:t>
      </w:r>
      <w:r>
        <w:rPr>
          <w:lang w:val="mt-MT"/>
        </w:rPr>
        <w:t xml:space="preserve"> </w:t>
      </w:r>
      <w:r w:rsidRPr="00750AB9">
        <w:rPr>
          <w:lang w:val="mt-MT"/>
        </w:rPr>
        <w:t>of</w:t>
      </w:r>
      <w:r>
        <w:rPr>
          <w:lang w:val="mt-MT"/>
        </w:rPr>
        <w:t xml:space="preserve"> </w:t>
      </w:r>
      <w:r w:rsidRPr="00750AB9">
        <w:rPr>
          <w:lang w:val="mt-MT"/>
        </w:rPr>
        <w:t>the</w:t>
      </w:r>
      <w:r>
        <w:rPr>
          <w:lang w:val="mt-MT"/>
        </w:rPr>
        <w:t xml:space="preserve"> </w:t>
      </w:r>
      <w:r w:rsidRPr="00750AB9">
        <w:rPr>
          <w:lang w:val="mt-MT"/>
        </w:rPr>
        <w:t>European</w:t>
      </w:r>
      <w:r>
        <w:rPr>
          <w:lang w:val="mt-MT"/>
        </w:rPr>
        <w:t xml:space="preserve"> </w:t>
      </w:r>
      <w:r w:rsidRPr="00750AB9">
        <w:rPr>
          <w:lang w:val="mt-MT"/>
        </w:rPr>
        <w:t>Atomic</w:t>
      </w:r>
      <w:r>
        <w:rPr>
          <w:lang w:val="mt-MT"/>
        </w:rPr>
        <w:t xml:space="preserve"> </w:t>
      </w:r>
      <w:r w:rsidRPr="00750AB9">
        <w:rPr>
          <w:lang w:val="mt-MT"/>
        </w:rPr>
        <w:t>Energy</w:t>
      </w:r>
      <w:r>
        <w:rPr>
          <w:lang w:val="mt-MT"/>
        </w:rPr>
        <w:t xml:space="preserve"> </w:t>
      </w:r>
      <w:r w:rsidRPr="00750AB9">
        <w:rPr>
          <w:lang w:val="mt-MT"/>
        </w:rPr>
        <w:t>Community</w:t>
      </w:r>
      <w:r>
        <w:rPr>
          <w:lang w:val="mt-MT"/>
        </w:rPr>
        <w:t xml:space="preserve"> </w:t>
      </w:r>
      <w:r w:rsidRPr="00750AB9">
        <w:rPr>
          <w:lang w:val="mt-MT"/>
        </w:rPr>
        <w:t>(2019</w:t>
      </w:r>
      <w:r>
        <w:rPr>
          <w:lang w:val="mt-MT"/>
        </w:rPr>
        <w:t>-</w:t>
      </w:r>
      <w:r w:rsidRPr="00750AB9">
        <w:rPr>
          <w:lang w:val="mt-MT"/>
        </w:rPr>
        <w:t>2020)</w:t>
      </w:r>
      <w:r>
        <w:rPr>
          <w:lang w:val="mt-MT"/>
        </w:rPr>
        <w:t xml:space="preserve"> </w:t>
      </w:r>
      <w:r w:rsidRPr="00750AB9">
        <w:rPr>
          <w:lang w:val="mt-MT"/>
        </w:rPr>
        <w:t>complementing</w:t>
      </w:r>
      <w:r>
        <w:rPr>
          <w:lang w:val="mt-MT"/>
        </w:rPr>
        <w:t xml:space="preserve"> </w:t>
      </w:r>
      <w:r w:rsidRPr="00750AB9">
        <w:rPr>
          <w:lang w:val="mt-MT"/>
        </w:rPr>
        <w:t>the</w:t>
      </w:r>
      <w:r>
        <w:rPr>
          <w:lang w:val="mt-MT"/>
        </w:rPr>
        <w:t xml:space="preserve"> </w:t>
      </w:r>
      <w:r w:rsidRPr="00750AB9">
        <w:rPr>
          <w:lang w:val="mt-MT"/>
        </w:rPr>
        <w:t>Horizon</w:t>
      </w:r>
      <w:r>
        <w:rPr>
          <w:lang w:val="mt-MT"/>
        </w:rPr>
        <w:t xml:space="preserve"> </w:t>
      </w:r>
      <w:r w:rsidRPr="00750AB9">
        <w:rPr>
          <w:lang w:val="mt-MT"/>
        </w:rPr>
        <w:t>2020</w:t>
      </w:r>
      <w:r>
        <w:rPr>
          <w:lang w:val="mt-MT"/>
        </w:rPr>
        <w:t xml:space="preserve"> </w:t>
      </w:r>
      <w:r w:rsidRPr="00750AB9">
        <w:rPr>
          <w:lang w:val="mt-MT"/>
        </w:rPr>
        <w:t>Framework</w:t>
      </w:r>
      <w:r>
        <w:rPr>
          <w:lang w:val="mt-MT"/>
        </w:rPr>
        <w:t xml:space="preserve"> </w:t>
      </w:r>
      <w:r w:rsidRPr="00750AB9">
        <w:rPr>
          <w:lang w:val="mt-MT"/>
        </w:rPr>
        <w:t>Programme</w:t>
      </w:r>
      <w:r>
        <w:rPr>
          <w:lang w:val="mt-MT"/>
        </w:rPr>
        <w:t xml:space="preserve"> </w:t>
      </w:r>
      <w:r w:rsidRPr="00750AB9">
        <w:rPr>
          <w:lang w:val="mt-MT"/>
        </w:rPr>
        <w:t>for</w:t>
      </w:r>
      <w:r>
        <w:rPr>
          <w:lang w:val="mt-MT"/>
        </w:rPr>
        <w:t xml:space="preserve"> </w:t>
      </w:r>
      <w:r w:rsidRPr="00750AB9">
        <w:rPr>
          <w:lang w:val="mt-MT"/>
        </w:rPr>
        <w:t>Research</w:t>
      </w:r>
      <w:r>
        <w:rPr>
          <w:lang w:val="mt-MT"/>
        </w:rPr>
        <w:t xml:space="preserve"> </w:t>
      </w:r>
      <w:r w:rsidRPr="00750AB9">
        <w:rPr>
          <w:lang w:val="mt-MT"/>
        </w:rPr>
        <w:t>and</w:t>
      </w:r>
      <w:r>
        <w:rPr>
          <w:lang w:val="mt-MT"/>
        </w:rPr>
        <w:t xml:space="preserve"> </w:t>
      </w:r>
      <w:r w:rsidRPr="00750AB9">
        <w:rPr>
          <w:lang w:val="mt-MT"/>
        </w:rPr>
        <w:t>Innovation,</w:t>
      </w:r>
      <w:r>
        <w:rPr>
          <w:lang w:val="mt-MT"/>
        </w:rPr>
        <w:t xml:space="preserve"> </w:t>
      </w:r>
      <w:r w:rsidRPr="00750AB9">
        <w:rPr>
          <w:lang w:val="mt-MT"/>
        </w:rPr>
        <w:t>and</w:t>
      </w:r>
      <w:r>
        <w:rPr>
          <w:lang w:val="mt-MT"/>
        </w:rPr>
        <w:t xml:space="preserve"> </w:t>
      </w:r>
      <w:r w:rsidRPr="00750AB9">
        <w:rPr>
          <w:lang w:val="mt-MT"/>
        </w:rPr>
        <w:t>repealing</w:t>
      </w:r>
      <w:r>
        <w:rPr>
          <w:lang w:val="mt-MT"/>
        </w:rPr>
        <w:t xml:space="preserve"> </w:t>
      </w:r>
      <w:r w:rsidRPr="00750AB9">
        <w:rPr>
          <w:lang w:val="mt-MT"/>
        </w:rPr>
        <w:t>Regulation</w:t>
      </w:r>
      <w:r>
        <w:rPr>
          <w:lang w:val="mt-MT"/>
        </w:rPr>
        <w:t xml:space="preserve"> </w:t>
      </w:r>
      <w:r w:rsidRPr="00750AB9">
        <w:rPr>
          <w:lang w:val="mt-MT"/>
        </w:rPr>
        <w:t>(Euratom)</w:t>
      </w:r>
      <w:r>
        <w:rPr>
          <w:lang w:val="mt-MT"/>
        </w:rPr>
        <w:t xml:space="preserve"> </w:t>
      </w:r>
      <w:r w:rsidRPr="00750AB9">
        <w:rPr>
          <w:lang w:val="mt-MT"/>
        </w:rPr>
        <w:t>No</w:t>
      </w:r>
      <w:r>
        <w:rPr>
          <w:lang w:val="mt-MT"/>
        </w:rPr>
        <w:t xml:space="preserve"> </w:t>
      </w:r>
      <w:r w:rsidRPr="00750AB9">
        <w:rPr>
          <w:lang w:val="mt-MT"/>
        </w:rPr>
        <w:t>1314/2013</w:t>
      </w:r>
      <w:r>
        <w:rPr>
          <w:lang w:val="mt-MT"/>
        </w:rPr>
        <w:t xml:space="preserve"> (</w:t>
      </w:r>
      <w:r w:rsidRPr="00750AB9">
        <w:rPr>
          <w:lang w:val="mt-MT"/>
        </w:rPr>
        <w:t>OJ</w:t>
      </w:r>
      <w:r>
        <w:rPr>
          <w:lang w:val="mt-MT"/>
        </w:rPr>
        <w:t xml:space="preserve"> </w:t>
      </w:r>
      <w:r w:rsidRPr="00750AB9">
        <w:rPr>
          <w:lang w:val="mt-MT"/>
        </w:rPr>
        <w:t>L</w:t>
      </w:r>
      <w:r>
        <w:rPr>
          <w:lang w:val="mt-MT"/>
        </w:rPr>
        <w:t xml:space="preserve"> </w:t>
      </w:r>
      <w:r w:rsidRPr="00750AB9">
        <w:rPr>
          <w:lang w:val="mt-MT"/>
        </w:rPr>
        <w:t>262,</w:t>
      </w:r>
      <w:r>
        <w:rPr>
          <w:lang w:val="mt-MT"/>
        </w:rPr>
        <w:t xml:space="preserve"> </w:t>
      </w:r>
      <w:r w:rsidRPr="00750AB9">
        <w:rPr>
          <w:lang w:val="mt-MT"/>
        </w:rPr>
        <w:t>19.10.2018,</w:t>
      </w:r>
      <w:r>
        <w:rPr>
          <w:lang w:val="mt-MT"/>
        </w:rPr>
        <w:t xml:space="preserve"> </w:t>
      </w:r>
      <w:r w:rsidRPr="00750AB9">
        <w:rPr>
          <w:lang w:val="mt-MT"/>
        </w:rPr>
        <w:t>p.</w:t>
      </w:r>
      <w:r>
        <w:rPr>
          <w:lang w:val="mt-MT"/>
        </w:rPr>
        <w:t xml:space="preserve"> </w:t>
      </w:r>
      <w:r w:rsidRPr="00750AB9">
        <w:rPr>
          <w:lang w:val="mt-MT"/>
        </w:rPr>
        <w:t>1</w:t>
      </w:r>
      <w:r w:rsidR="00A60155" w:rsidRPr="00A60155">
        <w:rPr>
          <w:lang w:val="mt-MT"/>
        </w:rPr>
        <w:t xml:space="preserve">, ELI: </w:t>
      </w:r>
      <w:hyperlink r:id="rId9" w:history="1">
        <w:r w:rsidR="00A60155" w:rsidRPr="007473BA">
          <w:rPr>
            <w:rStyle w:val="Hyperlink"/>
            <w:lang w:val="mt-MT"/>
          </w:rPr>
          <w:t>http://data.europa.eu/eli/reg/2018/1563/oj</w:t>
        </w:r>
      </w:hyperlink>
      <w:r>
        <w:rPr>
          <w:lang w:val="mt-MT"/>
        </w:rPr>
        <w:t>).</w:t>
      </w:r>
    </w:p>
  </w:footnote>
  <w:footnote w:id="20">
    <w:p w:rsidR="00750AB9" w:rsidRPr="006C2791" w:rsidRDefault="00750AB9" w:rsidP="00750AB9">
      <w:pPr>
        <w:pStyle w:val="FootnoteText"/>
      </w:pPr>
      <w:r w:rsidRPr="00564821">
        <w:rPr>
          <w:rStyle w:val="FootnoteReference"/>
        </w:rPr>
        <w:footnoteRef/>
      </w:r>
      <w:r w:rsidR="00564821">
        <w:tab/>
      </w:r>
      <w:bookmarkStart w:id="6" w:name="_Hlk178926248"/>
      <w:r w:rsidR="00062185" w:rsidRPr="00750AB9">
        <w:rPr>
          <w:i/>
          <w:iCs/>
        </w:rPr>
        <w:t>Report from the Commission to the European Parliament, the Council</w:t>
      </w:r>
      <w:r w:rsidR="004415F1">
        <w:rPr>
          <w:i/>
          <w:iCs/>
        </w:rPr>
        <w:t>,</w:t>
      </w:r>
      <w:r w:rsidR="00062185" w:rsidRPr="00750AB9">
        <w:rPr>
          <w:i/>
          <w:iCs/>
        </w:rPr>
        <w:t xml:space="preserve"> the European Economic and Social Committee</w:t>
      </w:r>
      <w:r w:rsidR="004415F1">
        <w:rPr>
          <w:i/>
          <w:iCs/>
        </w:rPr>
        <w:t xml:space="preserve"> and the Committee of the Regions</w:t>
      </w:r>
      <w:r w:rsidR="00062185" w:rsidRPr="00750AB9">
        <w:rPr>
          <w:i/>
          <w:iCs/>
        </w:rPr>
        <w:t>:</w:t>
      </w:r>
      <w:r w:rsidR="005B581A">
        <w:rPr>
          <w:i/>
          <w:iCs/>
        </w:rPr>
        <w:t xml:space="preserve"> Interim evaluation of the Euratom Research and Training Programme 2021-2025</w:t>
      </w:r>
      <w:r w:rsidR="005B581A">
        <w:t xml:space="preserve"> (</w:t>
      </w:r>
      <w:r w:rsidRPr="006C2791">
        <w:t>COM(202</w:t>
      </w:r>
      <w:r w:rsidR="00262187">
        <w:t>5</w:t>
      </w:r>
      <w:r w:rsidRPr="006C2791">
        <w:t xml:space="preserve">) </w:t>
      </w:r>
      <w:r w:rsidRPr="006C2791">
        <w:rPr>
          <w:highlight w:val="yellow"/>
        </w:rPr>
        <w:t>NN</w:t>
      </w:r>
      <w:r w:rsidR="00262187">
        <w:rPr>
          <w:highlight w:val="yellow"/>
        </w:rPr>
        <w:t>N, DD.MM.2025</w:t>
      </w:r>
      <w:r w:rsidR="005B581A">
        <w:t>)</w:t>
      </w:r>
      <w:r w:rsidRPr="006C2791">
        <w:t>.</w:t>
      </w:r>
      <w:bookmarkEnd w:id="6"/>
    </w:p>
  </w:footnote>
  <w:footnote w:id="21">
    <w:p w:rsidR="00637977" w:rsidRPr="00637977" w:rsidRDefault="00637977">
      <w:pPr>
        <w:pStyle w:val="FootnoteText"/>
        <w:rPr>
          <w:lang w:val="en-IE"/>
        </w:rPr>
      </w:pPr>
      <w:r w:rsidRPr="00564821">
        <w:rPr>
          <w:rStyle w:val="FootnoteReference"/>
        </w:rPr>
        <w:footnoteRef/>
      </w:r>
      <w:r w:rsidR="00564821">
        <w:tab/>
      </w:r>
      <w:r w:rsidRPr="00637977">
        <w:rPr>
          <w:lang w:val="en-IE"/>
        </w:rPr>
        <w:t>Commission Expert Group E03929.</w:t>
      </w:r>
    </w:p>
  </w:footnote>
  <w:footnote w:id="22">
    <w:p w:rsidR="00BC6720" w:rsidRPr="00BC6720" w:rsidRDefault="00BC6720">
      <w:pPr>
        <w:pStyle w:val="FootnoteText"/>
        <w:rPr>
          <w:lang w:val="en-IE"/>
        </w:rPr>
      </w:pPr>
      <w:r w:rsidRPr="00564821">
        <w:rPr>
          <w:rStyle w:val="FootnoteReference"/>
        </w:rPr>
        <w:footnoteRef/>
      </w:r>
      <w:r w:rsidR="00564821">
        <w:tab/>
      </w:r>
      <w:r w:rsidRPr="00BC6720">
        <w:t>Council Decision of 16 December 1980 setting up a Consultative Committee for the Fusion Programme</w:t>
      </w:r>
      <w:r w:rsidR="00637977">
        <w:t xml:space="preserve"> </w:t>
      </w:r>
      <w:r w:rsidR="00637977" w:rsidRPr="00637977">
        <w:t>(not published in the Official Journal)</w:t>
      </w:r>
      <w:r>
        <w:t>.</w:t>
      </w:r>
    </w:p>
  </w:footnote>
  <w:footnote w:id="23">
    <w:p w:rsidR="0048479A" w:rsidRPr="006C2791" w:rsidRDefault="0048479A" w:rsidP="002E263A">
      <w:pPr>
        <w:pStyle w:val="FootnoteText"/>
      </w:pPr>
      <w:r w:rsidRPr="00564821">
        <w:rPr>
          <w:rStyle w:val="FootnoteReference"/>
        </w:rPr>
        <w:footnoteRef/>
      </w:r>
      <w:r w:rsidR="00564821">
        <w:tab/>
      </w:r>
      <w:hyperlink r:id="rId10" w:history="1">
        <w:r w:rsidRPr="006C2791">
          <w:rPr>
            <w:rStyle w:val="Hyperlink"/>
            <w:rFonts w:eastAsia="Arial Unicode MS"/>
            <w:szCs w:val="18"/>
          </w:rPr>
          <w:t>https://ec.europa.eu/info/law/better-regulation/have-your-say/initiatives/14180-Euratom-research-and-training-programme-for-2026-2027_en</w:t>
        </w:r>
      </w:hyperlink>
    </w:p>
  </w:footnote>
  <w:footnote w:id="24">
    <w:p w:rsidR="00DE7DC1" w:rsidRPr="004F1CA7" w:rsidRDefault="00DE7DC1">
      <w:pPr>
        <w:pStyle w:val="FootnoteText"/>
      </w:pPr>
      <w:r w:rsidRPr="00564821">
        <w:rPr>
          <w:rStyle w:val="FootnoteReference"/>
        </w:rPr>
        <w:footnoteRef/>
      </w:r>
      <w:r w:rsidR="00564821">
        <w:tab/>
      </w:r>
      <w:bookmarkStart w:id="8" w:name="_Hlk181965677"/>
      <w:r w:rsidR="00BA4A52" w:rsidRPr="004F1CA7">
        <w:t>STC-2023-16 FINAL, 20.10.2023</w:t>
      </w:r>
      <w:bookmarkEnd w:id="8"/>
      <w:r w:rsidR="006C2791" w:rsidRPr="004F1CA7">
        <w:t>.</w:t>
      </w:r>
    </w:p>
  </w:footnote>
  <w:footnote w:id="25">
    <w:p w:rsidR="00DE7DC1" w:rsidRPr="004F1CA7" w:rsidRDefault="00DE7DC1">
      <w:pPr>
        <w:pStyle w:val="FootnoteText"/>
      </w:pPr>
      <w:r w:rsidRPr="00564821">
        <w:rPr>
          <w:rStyle w:val="FootnoteReference"/>
        </w:rPr>
        <w:footnoteRef/>
      </w:r>
      <w:r w:rsidR="00564821">
        <w:tab/>
      </w:r>
      <w:r w:rsidR="00BA4A52" w:rsidRPr="004F1CA7">
        <w:t>COM(202</w:t>
      </w:r>
      <w:r w:rsidR="00262187">
        <w:t>5</w:t>
      </w:r>
      <w:r w:rsidR="00BA4A52" w:rsidRPr="004F1CA7">
        <w:t xml:space="preserve">) </w:t>
      </w:r>
      <w:r w:rsidR="00BA4A52" w:rsidRPr="004F1CA7">
        <w:rPr>
          <w:highlight w:val="yellow"/>
        </w:rPr>
        <w:t>NNN</w:t>
      </w:r>
      <w:r w:rsidR="00BA4A52" w:rsidRPr="004F1CA7">
        <w:t>.</w:t>
      </w:r>
    </w:p>
  </w:footnote>
  <w:footnote w:id="26">
    <w:p w:rsidR="00B377BF" w:rsidRPr="004F1CA7" w:rsidRDefault="00B377BF">
      <w:pPr>
        <w:pStyle w:val="FootnoteText"/>
      </w:pPr>
      <w:r w:rsidRPr="00564821">
        <w:rPr>
          <w:rStyle w:val="FootnoteReference"/>
        </w:rPr>
        <w:footnoteRef/>
      </w:r>
      <w:r w:rsidR="00564821">
        <w:tab/>
      </w:r>
      <w:r w:rsidRPr="004F1CA7">
        <w:t>Ibid.</w:t>
      </w:r>
    </w:p>
  </w:footnote>
  <w:footnote w:id="27">
    <w:p w:rsidR="00821FBC" w:rsidRPr="006C2791" w:rsidRDefault="00821FBC">
      <w:pPr>
        <w:pStyle w:val="FootnoteText"/>
      </w:pPr>
      <w:r w:rsidRPr="00564821">
        <w:rPr>
          <w:rStyle w:val="FootnoteReference"/>
        </w:rPr>
        <w:footnoteRef/>
      </w:r>
      <w:r w:rsidR="00564821">
        <w:tab/>
      </w:r>
      <w:r w:rsidRPr="006C2791">
        <w:rPr>
          <w:i/>
          <w:iCs/>
        </w:rPr>
        <w:t>Interim evaluation of the implementation of the Council Decision (Euratom) 2021/281 of 22 February 2021 amending Decision 2007/198/Euratom establishing the European Joint Undertaking for ITER and the Development of Fusion Energy and conferring advantages upon it</w:t>
      </w:r>
      <w:r w:rsidRPr="006C2791">
        <w:t xml:space="preserve"> (COM(202</w:t>
      </w:r>
      <w:r w:rsidR="00262187">
        <w:t>5</w:t>
      </w:r>
      <w:r w:rsidRPr="006C2791">
        <w:t>)</w:t>
      </w:r>
      <w:r w:rsidRPr="005B581A">
        <w:rPr>
          <w:highlight w:val="yellow"/>
        </w:rPr>
        <w:t>NNN</w:t>
      </w:r>
      <w:r w:rsidRPr="006C2791">
        <w:t xml:space="preserve">, </w:t>
      </w:r>
      <w:r w:rsidRPr="005B581A">
        <w:rPr>
          <w:highlight w:val="yellow"/>
        </w:rPr>
        <w:t>DD.MM.202</w:t>
      </w:r>
      <w:r w:rsidR="00262187">
        <w:rPr>
          <w:highlight w:val="yellow"/>
        </w:rPr>
        <w:t>5</w:t>
      </w:r>
      <w:r w:rsidRPr="006C2791">
        <w:t>).</w:t>
      </w:r>
    </w:p>
  </w:footnote>
  <w:footnote w:id="28">
    <w:p w:rsidR="00802695" w:rsidRPr="006C2791" w:rsidRDefault="00802695">
      <w:pPr>
        <w:pStyle w:val="FootnoteText"/>
        <w:rPr>
          <w:color w:val="000000" w:themeColor="text1"/>
        </w:rPr>
      </w:pPr>
      <w:r w:rsidRPr="00564821">
        <w:rPr>
          <w:rStyle w:val="FootnoteReference"/>
        </w:rPr>
        <w:footnoteRef/>
      </w:r>
      <w:r w:rsidR="00564821">
        <w:tab/>
      </w:r>
      <w:r w:rsidRPr="006C2791">
        <w:rPr>
          <w:color w:val="000000" w:themeColor="text1"/>
          <w:shd w:val="clear" w:color="auto" w:fill="FFFFFF"/>
        </w:rPr>
        <w:t>European Commission: Directorate-General for Research and Innovation, Capisani, L., Camus, C. and Papadopoulou, M., </w:t>
      </w:r>
      <w:r w:rsidRPr="006C2791">
        <w:rPr>
          <w:i/>
          <w:iCs/>
          <w:color w:val="000000" w:themeColor="text1"/>
          <w:shd w:val="clear" w:color="auto" w:fill="FFFFFF"/>
        </w:rPr>
        <w:t xml:space="preserve">Fostering fusion innovation – High-Level European </w:t>
      </w:r>
      <w:r w:rsidR="00847887">
        <w:rPr>
          <w:i/>
          <w:iCs/>
          <w:color w:val="000000" w:themeColor="text1"/>
          <w:shd w:val="clear" w:color="auto" w:fill="FFFFFF"/>
        </w:rPr>
        <w:t>R</w:t>
      </w:r>
      <w:r w:rsidRPr="006C2791">
        <w:rPr>
          <w:i/>
          <w:iCs/>
          <w:color w:val="000000" w:themeColor="text1"/>
          <w:shd w:val="clear" w:color="auto" w:fill="FFFFFF"/>
        </w:rPr>
        <w:t>ound</w:t>
      </w:r>
      <w:r w:rsidR="00847887">
        <w:rPr>
          <w:i/>
          <w:iCs/>
          <w:color w:val="000000" w:themeColor="text1"/>
          <w:shd w:val="clear" w:color="auto" w:fill="FFFFFF"/>
        </w:rPr>
        <w:t xml:space="preserve"> T</w:t>
      </w:r>
      <w:r w:rsidRPr="006C2791">
        <w:rPr>
          <w:i/>
          <w:iCs/>
          <w:color w:val="000000" w:themeColor="text1"/>
          <w:shd w:val="clear" w:color="auto" w:fill="FFFFFF"/>
        </w:rPr>
        <w:t>able</w:t>
      </w:r>
      <w:r w:rsidRPr="006C2791">
        <w:rPr>
          <w:color w:val="000000" w:themeColor="text1"/>
          <w:shd w:val="clear" w:color="auto" w:fill="FFFFFF"/>
        </w:rPr>
        <w:t>, Capisani, L.(editor), Camus, C.(editor) and Papadopoulou, M.(editor), Publications Office of the European Union, 2024, </w:t>
      </w:r>
      <w:hyperlink r:id="rId11" w:tgtFrame="_blank" w:history="1">
        <w:r w:rsidRPr="006C2791">
          <w:rPr>
            <w:rStyle w:val="Hyperlink"/>
            <w:color w:val="000000" w:themeColor="text1"/>
            <w:u w:val="none"/>
            <w:shd w:val="clear" w:color="auto" w:fill="FFFFFF"/>
          </w:rPr>
          <w:t>https://data.europa.eu/doi/10.2777/621539</w:t>
        </w:r>
      </w:hyperlink>
      <w:r w:rsidR="006C2791" w:rsidRPr="00565BB9">
        <w:rPr>
          <w:rStyle w:val="Hyperlink"/>
          <w:color w:val="auto"/>
          <w:u w:val="none"/>
        </w:rPr>
        <w:t>.</w:t>
      </w:r>
    </w:p>
  </w:footnote>
  <w:footnote w:id="29">
    <w:p w:rsidR="008F4495" w:rsidRPr="00112563" w:rsidRDefault="008F4495" w:rsidP="008F4495">
      <w:pPr>
        <w:pStyle w:val="FootnoteText"/>
      </w:pPr>
      <w:r w:rsidRPr="00564821">
        <w:rPr>
          <w:rStyle w:val="FootnoteReference"/>
        </w:rPr>
        <w:footnoteRef/>
      </w:r>
      <w:r w:rsidR="00564821">
        <w:tab/>
      </w:r>
      <w:r w:rsidRPr="00262187">
        <w:rPr>
          <w:rStyle w:val="Hyperlink"/>
          <w:color w:val="000000" w:themeColor="text1"/>
          <w:u w:val="none"/>
          <w:shd w:val="clear" w:color="auto" w:fill="FFFFFF"/>
        </w:rPr>
        <w:t>The EU blueprint for fusion energy</w:t>
      </w:r>
      <w:r w:rsidR="00262187">
        <w:rPr>
          <w:rStyle w:val="Hyperlink"/>
          <w:color w:val="000000" w:themeColor="text1"/>
          <w:u w:val="none"/>
          <w:shd w:val="clear" w:color="auto" w:fill="FFFFFF"/>
        </w:rPr>
        <w:t xml:space="preserve">: </w:t>
      </w:r>
      <w:hyperlink r:id="rId12" w:history="1">
        <w:r w:rsidR="00262187" w:rsidRPr="00D36879">
          <w:rPr>
            <w:rStyle w:val="Hyperlink"/>
            <w:shd w:val="clear" w:color="auto" w:fill="FFFFFF"/>
          </w:rPr>
          <w:t>https://energy.ec.europa.eu/events/eu-blueprint-fusion-energy-2024-04-23_en</w:t>
        </w:r>
      </w:hyperlink>
    </w:p>
  </w:footnote>
  <w:footnote w:id="30">
    <w:p w:rsidR="00A855AC" w:rsidRPr="006C2791" w:rsidRDefault="00A855AC">
      <w:pPr>
        <w:pStyle w:val="FootnoteText"/>
      </w:pPr>
      <w:r w:rsidRPr="00564821">
        <w:rPr>
          <w:rStyle w:val="FootnoteReference"/>
        </w:rPr>
        <w:footnoteRef/>
      </w:r>
      <w:r w:rsidR="00564821">
        <w:tab/>
      </w:r>
      <w:r w:rsidRPr="006C2791">
        <w:rPr>
          <w:color w:val="000000" w:themeColor="text1"/>
          <w:shd w:val="clear" w:color="auto" w:fill="FFFFFF"/>
        </w:rPr>
        <w:t>European Commission: Directorate-General for Research and Innovation, Rossetti di Valdalbero, D. and Janatkova, K., </w:t>
      </w:r>
      <w:r w:rsidRPr="006C2791">
        <w:rPr>
          <w:i/>
          <w:iCs/>
          <w:color w:val="000000" w:themeColor="text1"/>
          <w:shd w:val="clear" w:color="auto" w:fill="FFFFFF"/>
        </w:rPr>
        <w:t>Euratom research in action and opportunities for Europe – EU strategic autonomy and the future energy systems – EU Small Modular Reactors (SMRs) Declaration</w:t>
      </w:r>
      <w:r w:rsidRPr="006C2791">
        <w:rPr>
          <w:color w:val="000000" w:themeColor="text1"/>
          <w:shd w:val="clear" w:color="auto" w:fill="FFFFFF"/>
        </w:rPr>
        <w:t>, Publications Office of the European Union, 2023,</w:t>
      </w:r>
      <w:r w:rsidR="006D6637" w:rsidRPr="006C2791">
        <w:rPr>
          <w:color w:val="000000" w:themeColor="text1"/>
          <w:shd w:val="clear" w:color="auto" w:fill="FFFFFF"/>
        </w:rPr>
        <w:t xml:space="preserve"> https://data.europa.eu/doi/10.2777/911262</w:t>
      </w:r>
      <w:r w:rsidR="006C2791" w:rsidRPr="006C2791">
        <w:rPr>
          <w:color w:val="000000" w:themeColor="text1"/>
          <w:shd w:val="clear" w:color="auto" w:fill="FFFFFF"/>
        </w:rPr>
        <w:t>.</w:t>
      </w:r>
    </w:p>
  </w:footnote>
  <w:footnote w:id="31">
    <w:p w:rsidR="00896555" w:rsidRPr="006C2791" w:rsidRDefault="00896555" w:rsidP="00896555">
      <w:pPr>
        <w:pStyle w:val="FootnoteText"/>
      </w:pPr>
      <w:r w:rsidRPr="00564821">
        <w:rPr>
          <w:rStyle w:val="FootnoteReference"/>
        </w:rPr>
        <w:footnoteRef/>
      </w:r>
      <w:r w:rsidR="00564821">
        <w:tab/>
      </w:r>
      <w:r w:rsidRPr="006C2791">
        <w:t>SWD(2018) 307 final</w:t>
      </w:r>
      <w:r w:rsidR="006C2791" w:rsidRPr="006C2791">
        <w:t>.</w:t>
      </w:r>
    </w:p>
  </w:footnote>
  <w:footnote w:id="32">
    <w:p w:rsidR="00FC5BFD" w:rsidRPr="006C2791" w:rsidRDefault="00FC5BFD" w:rsidP="00FC5BFD">
      <w:pPr>
        <w:pStyle w:val="FootnoteText"/>
      </w:pPr>
      <w:r w:rsidRPr="00564821">
        <w:rPr>
          <w:rStyle w:val="FootnoteReference"/>
        </w:rPr>
        <w:footnoteRef/>
      </w:r>
      <w:r w:rsidR="00564821">
        <w:tab/>
      </w:r>
      <w:r w:rsidR="009623C8">
        <w:t>T</w:t>
      </w:r>
      <w:r w:rsidR="001261E9" w:rsidRPr="006C2791">
        <w:t>he 2019-2020</w:t>
      </w:r>
      <w:r w:rsidR="009623C8">
        <w:t xml:space="preserve"> </w:t>
      </w:r>
      <w:r w:rsidR="009623C8" w:rsidRPr="006C2791">
        <w:t>Euratom Programme</w:t>
      </w:r>
      <w:r w:rsidR="001261E9" w:rsidRPr="006C2791">
        <w:t xml:space="preserve"> </w:t>
      </w:r>
      <w:r w:rsidR="009623C8">
        <w:t>(</w:t>
      </w:r>
      <w:r w:rsidR="001261E9" w:rsidRPr="006C2791">
        <w:t xml:space="preserve">the </w:t>
      </w:r>
      <w:r w:rsidR="006C2791">
        <w:t>‘</w:t>
      </w:r>
      <w:r w:rsidR="001261E9" w:rsidRPr="006C2791">
        <w:t>extension</w:t>
      </w:r>
      <w:r w:rsidR="006C2791">
        <w:t>’</w:t>
      </w:r>
      <w:r w:rsidR="001261E9" w:rsidRPr="006C2791">
        <w:t xml:space="preserve"> of the 2014-2018 Programme</w:t>
      </w:r>
      <w:r w:rsidR="009623C8">
        <w:t>) included a similar provision</w:t>
      </w:r>
      <w:r w:rsidR="001261E9" w:rsidRPr="006C2791">
        <w:t xml:space="preserve">. </w:t>
      </w:r>
      <w:r w:rsidRPr="006C2791">
        <w:t xml:space="preserve">See </w:t>
      </w:r>
      <w:r w:rsidR="00C265CC">
        <w:t>point (i) ‘</w:t>
      </w:r>
      <w:r w:rsidR="00C265CC" w:rsidRPr="006C2791">
        <w:t>European fusion programme</w:t>
      </w:r>
      <w:r w:rsidR="00C265CC">
        <w:t>’ in the subsection</w:t>
      </w:r>
      <w:r w:rsidRPr="006C2791">
        <w:t xml:space="preserve"> </w:t>
      </w:r>
      <w:r w:rsidR="006C2791">
        <w:t>‘</w:t>
      </w:r>
      <w:r w:rsidRPr="006C2791">
        <w:t>Indirect actions</w:t>
      </w:r>
      <w:r w:rsidR="006C2791">
        <w:t>’</w:t>
      </w:r>
      <w:r w:rsidR="00C265CC">
        <w:t xml:space="preserve"> under the section ‘</w:t>
      </w:r>
      <w:r w:rsidR="00C265CC" w:rsidRPr="006C2791">
        <w:t>Activities necessary to achieve the programme objectives</w:t>
      </w:r>
      <w:r w:rsidR="00C265CC">
        <w:t>’</w:t>
      </w:r>
      <w:r w:rsidRPr="006C2791">
        <w:t xml:space="preserve"> in Annex I </w:t>
      </w:r>
      <w:r w:rsidR="00310A75">
        <w:t>to</w:t>
      </w:r>
      <w:r w:rsidRPr="006C2791">
        <w:t xml:space="preserve"> Council Regulation (Euratom) 2018/1563 of 15</w:t>
      </w:r>
      <w:r w:rsidR="006C2791">
        <w:t> </w:t>
      </w:r>
      <w:r w:rsidRPr="006C2791">
        <w:t>October 2018 on the Research and Training Programme of the European Atomic Energy Community (2019</w:t>
      </w:r>
      <w:r w:rsidR="006C2791">
        <w:t>-</w:t>
      </w:r>
      <w:r w:rsidRPr="006C2791">
        <w:t>2020) complementing the Horizon 2020 Framework Programme for Research and Innovation, and repealing Regulation (Euratom) No</w:t>
      </w:r>
      <w:r w:rsidR="006C2791">
        <w:t> </w:t>
      </w:r>
      <w:r w:rsidRPr="006C2791">
        <w:t>1314/2013 (OJ L 262, 19.10.2018, p.</w:t>
      </w:r>
      <w:r w:rsidR="006C2791">
        <w:t> </w:t>
      </w:r>
      <w:r w:rsidRPr="006C2791">
        <w:t>1</w:t>
      </w:r>
      <w:r w:rsidR="00A60155" w:rsidRPr="00A60155">
        <w:t xml:space="preserve">, ELI: </w:t>
      </w:r>
      <w:hyperlink r:id="rId13" w:history="1">
        <w:r w:rsidR="00A60155" w:rsidRPr="007473BA">
          <w:rPr>
            <w:rStyle w:val="Hyperlink"/>
          </w:rPr>
          <w:t>http://data.europa.eu/eli/reg/2018/1563/oj</w:t>
        </w:r>
      </w:hyperlink>
      <w:r w:rsidRPr="006C2791">
        <w:t>).</w:t>
      </w:r>
    </w:p>
  </w:footnote>
  <w:footnote w:id="33">
    <w:p w:rsidR="00474603" w:rsidRPr="00474603" w:rsidRDefault="00474603">
      <w:pPr>
        <w:pStyle w:val="FootnoteText"/>
        <w:rPr>
          <w:lang w:val="en-IE"/>
        </w:rPr>
      </w:pPr>
      <w:r w:rsidRPr="00564821">
        <w:rPr>
          <w:rStyle w:val="FootnoteReference"/>
        </w:rPr>
        <w:footnoteRef/>
      </w:r>
      <w:r w:rsidR="00564821">
        <w:tab/>
      </w:r>
      <w:r w:rsidRPr="00474603">
        <w:rPr>
          <w:lang w:val="en-IE"/>
        </w:rPr>
        <w:t>Council Regulation (EU, Euratom) 2020/2093 of 17 December 2020 laying down the multiannual financial framework for the years 2021 to 2027 (OJ L 433I, 22.12.2020, p. 11, ELI:</w:t>
      </w:r>
      <w:r>
        <w:rPr>
          <w:lang w:val="en-IE"/>
        </w:rPr>
        <w:t> </w:t>
      </w:r>
      <w:hyperlink r:id="rId14" w:history="1">
        <w:r w:rsidRPr="007473BA">
          <w:rPr>
            <w:rStyle w:val="Hyperlink"/>
            <w:lang w:val="en-IE"/>
          </w:rPr>
          <w:t>http://data.europa.eu/eli/reg/2020/2093/oj</w:t>
        </w:r>
      </w:hyperlink>
      <w:r w:rsidRPr="00474603">
        <w:rPr>
          <w:lang w:val="en-IE"/>
        </w:rPr>
        <w:t>).</w:t>
      </w:r>
    </w:p>
  </w:footnote>
  <w:footnote w:id="34">
    <w:p w:rsidR="00BC6720" w:rsidRPr="006C2791" w:rsidRDefault="00BC6720" w:rsidP="00BC6720">
      <w:pPr>
        <w:pStyle w:val="FootnoteText"/>
      </w:pPr>
      <w:r w:rsidRPr="006C2791">
        <w:rPr>
          <w:rStyle w:val="FootnoteReference"/>
        </w:rPr>
        <w:footnoteRef/>
      </w:r>
      <w:r w:rsidRPr="006C2791">
        <w:tab/>
      </w:r>
      <w:bookmarkStart w:id="10" w:name="_Hlk178145336"/>
      <w:r w:rsidRPr="006C2791">
        <w:rPr>
          <w:i/>
          <w:iCs/>
        </w:rPr>
        <w:t>Report from the Commission to the European Parliament, the Council</w:t>
      </w:r>
      <w:r>
        <w:rPr>
          <w:i/>
          <w:iCs/>
        </w:rPr>
        <w:t>,</w:t>
      </w:r>
      <w:r w:rsidRPr="006C2791">
        <w:rPr>
          <w:i/>
          <w:iCs/>
        </w:rPr>
        <w:t xml:space="preserve"> the European Economic and Social Committee</w:t>
      </w:r>
      <w:r>
        <w:rPr>
          <w:i/>
          <w:iCs/>
        </w:rPr>
        <w:t xml:space="preserve"> and the Committee of the Regions</w:t>
      </w:r>
      <w:r w:rsidRPr="006C2791">
        <w:rPr>
          <w:i/>
          <w:iCs/>
        </w:rPr>
        <w:t>: Interim evaluation of the Euratom Research and Training Programme 2021-2025</w:t>
      </w:r>
      <w:r w:rsidRPr="006C2791">
        <w:t xml:space="preserve"> (COM(202</w:t>
      </w:r>
      <w:r w:rsidR="00262187">
        <w:t>5</w:t>
      </w:r>
      <w:r w:rsidRPr="006C2791">
        <w:t xml:space="preserve">) </w:t>
      </w:r>
      <w:r w:rsidRPr="00AC0ED5">
        <w:rPr>
          <w:highlight w:val="yellow"/>
        </w:rPr>
        <w:t>NNN, DD.MM</w:t>
      </w:r>
      <w:r w:rsidRPr="006C2791">
        <w:t>.202</w:t>
      </w:r>
      <w:r w:rsidR="00262187">
        <w:t>5</w:t>
      </w:r>
      <w:r w:rsidRPr="006C2791">
        <w:t>).</w:t>
      </w:r>
      <w:bookmarkEnd w:id="10"/>
    </w:p>
  </w:footnote>
  <w:footnote w:id="35">
    <w:p w:rsidR="00822AA0" w:rsidRPr="006C2791" w:rsidRDefault="00822AA0">
      <w:pPr>
        <w:pStyle w:val="FootnoteText"/>
      </w:pPr>
      <w:r w:rsidRPr="006C2791">
        <w:rPr>
          <w:rStyle w:val="FootnoteReference"/>
        </w:rPr>
        <w:footnoteRef/>
      </w:r>
      <w:r w:rsidRPr="006C2791">
        <w:tab/>
      </w:r>
      <w:r w:rsidR="00D67932" w:rsidRPr="006C2791">
        <w:t>Council Directive 2011/70/Euratom of 19 July 2011 establishing a Community framework for the responsible and safe management of spent fuel and radioactive waste (OJ L 199, 2.8.2011, p. 48</w:t>
      </w:r>
      <w:r w:rsidR="00A60155" w:rsidRPr="00A60155">
        <w:t xml:space="preserve">, ELI: </w:t>
      </w:r>
      <w:hyperlink r:id="rId15" w:history="1">
        <w:r w:rsidR="00A60155" w:rsidRPr="007473BA">
          <w:rPr>
            <w:rStyle w:val="Hyperlink"/>
          </w:rPr>
          <w:t>http://data.europa.eu/eli/dir/2011/70/oj</w:t>
        </w:r>
      </w:hyperlink>
      <w:r w:rsidR="00D67932" w:rsidRPr="006C2791">
        <w:t>).</w:t>
      </w:r>
    </w:p>
  </w:footnote>
  <w:footnote w:id="36">
    <w:p w:rsidR="00822AA0" w:rsidRPr="006C2791" w:rsidRDefault="00822AA0">
      <w:pPr>
        <w:pStyle w:val="FootnoteText"/>
      </w:pPr>
      <w:r w:rsidRPr="006C2791">
        <w:rPr>
          <w:rStyle w:val="FootnoteReference"/>
        </w:rPr>
        <w:footnoteRef/>
      </w:r>
      <w:r w:rsidRPr="006C2791">
        <w:tab/>
      </w:r>
      <w:r w:rsidR="00D67932" w:rsidRPr="006C2791">
        <w:t>Council Decision 2007/198/Euratom of 27 March 2007 establishing the European Joint Undertaking for ITER and the Development of Fusion Energy and conferring advantages upon it (OJ L 90, 30.3.2007, p. 58</w:t>
      </w:r>
      <w:r w:rsidR="00A60155" w:rsidRPr="00A60155">
        <w:t xml:space="preserve">, ELI: </w:t>
      </w:r>
      <w:hyperlink r:id="rId16" w:history="1">
        <w:r w:rsidR="00A60155" w:rsidRPr="007473BA">
          <w:rPr>
            <w:rStyle w:val="Hyperlink"/>
          </w:rPr>
          <w:t>http://data.europa.eu/eli/dec/2007/198/oj</w:t>
        </w:r>
      </w:hyperlink>
      <w:r w:rsidR="00D67932" w:rsidRPr="006C2791">
        <w:t>).</w:t>
      </w:r>
    </w:p>
  </w:footnote>
  <w:footnote w:id="37">
    <w:p w:rsidR="00822AA0" w:rsidRPr="006C2791" w:rsidRDefault="00822AA0">
      <w:pPr>
        <w:pStyle w:val="FootnoteText"/>
      </w:pPr>
      <w:r w:rsidRPr="006C2791">
        <w:rPr>
          <w:rStyle w:val="FootnoteReference"/>
        </w:rPr>
        <w:footnoteRef/>
      </w:r>
      <w:r w:rsidRPr="006C2791">
        <w:tab/>
      </w:r>
      <w:r w:rsidR="00D67932" w:rsidRPr="006C2791">
        <w:t>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(OJ L 170, 12.5.2021, p. 1</w:t>
      </w:r>
      <w:r w:rsidR="00656012" w:rsidRPr="00656012">
        <w:t xml:space="preserve">, ELI: </w:t>
      </w:r>
      <w:hyperlink r:id="rId17" w:history="1">
        <w:r w:rsidR="00656012" w:rsidRPr="007473BA">
          <w:rPr>
            <w:rStyle w:val="Hyperlink"/>
          </w:rPr>
          <w:t>http://data.europa.eu/eli/reg/2021/695/oj</w:t>
        </w:r>
      </w:hyperlink>
      <w:r w:rsidR="00D67932" w:rsidRPr="006C2791">
        <w:t>)</w:t>
      </w:r>
      <w:r w:rsidRPr="006C2791">
        <w:t>.</w:t>
      </w:r>
    </w:p>
  </w:footnote>
  <w:footnote w:id="38">
    <w:p w:rsidR="00822AA0" w:rsidRPr="006C2791" w:rsidRDefault="00822AA0">
      <w:pPr>
        <w:pStyle w:val="FootnoteText"/>
      </w:pPr>
      <w:r w:rsidRPr="006C2791">
        <w:rPr>
          <w:rStyle w:val="FootnoteReference"/>
        </w:rPr>
        <w:footnoteRef/>
      </w:r>
      <w:r w:rsidRPr="006C2791">
        <w:tab/>
      </w:r>
      <w:r w:rsidR="00987488" w:rsidRPr="006C2791">
        <w:t>OJ L 433I, 22.12.2020, p. 28</w:t>
      </w:r>
      <w:r w:rsidR="00656012" w:rsidRPr="00656012">
        <w:t xml:space="preserve">, ELI: </w:t>
      </w:r>
      <w:hyperlink r:id="rId18" w:history="1">
        <w:r w:rsidR="00656012" w:rsidRPr="007473BA">
          <w:rPr>
            <w:rStyle w:val="Hyperlink"/>
          </w:rPr>
          <w:t>http://data.europa.eu/eli/agree_interinstit/2020/1222/oj</w:t>
        </w:r>
      </w:hyperlink>
      <w:r w:rsidR="00987488" w:rsidRPr="006C2791">
        <w:t>.</w:t>
      </w:r>
    </w:p>
  </w:footnote>
  <w:footnote w:id="39">
    <w:p w:rsidR="00822AA0" w:rsidRPr="006C2791" w:rsidRDefault="00822AA0">
      <w:pPr>
        <w:pStyle w:val="FootnoteText"/>
      </w:pPr>
      <w:r w:rsidRPr="006C2791">
        <w:rPr>
          <w:rStyle w:val="FootnoteReference"/>
        </w:rPr>
        <w:footnoteRef/>
      </w:r>
      <w:r w:rsidRPr="006C2791">
        <w:tab/>
      </w:r>
      <w:r w:rsidR="00987488" w:rsidRPr="006C2791">
        <w:t xml:space="preserve">Regulation (EU, Euratom) </w:t>
      </w:r>
      <w:r w:rsidR="00424CCD" w:rsidRPr="00424CCD">
        <w:t>2024/2509</w:t>
      </w:r>
      <w:r w:rsidR="00987488" w:rsidRPr="006C2791">
        <w:t xml:space="preserve"> of the European Parliament and of the Council of </w:t>
      </w:r>
      <w:r w:rsidR="00424CCD" w:rsidRPr="00424CCD">
        <w:t>23</w:t>
      </w:r>
      <w:r w:rsidR="00424CCD">
        <w:t> </w:t>
      </w:r>
      <w:r w:rsidR="00424CCD" w:rsidRPr="00424CCD">
        <w:t>September 2024</w:t>
      </w:r>
      <w:r w:rsidR="00987488" w:rsidRPr="006C2791">
        <w:t xml:space="preserve"> on the financial rules applicable to the general budget of the Union</w:t>
      </w:r>
      <w:r w:rsidR="00EA313E">
        <w:t xml:space="preserve"> (recast)</w:t>
      </w:r>
      <w:r w:rsidR="00987488" w:rsidRPr="006C2791">
        <w:t xml:space="preserve"> (OJ L, </w:t>
      </w:r>
      <w:r w:rsidR="00424CCD" w:rsidRPr="00424CCD">
        <w:t>2024/2509, 26.9.2024</w:t>
      </w:r>
      <w:r w:rsidR="00B251F3">
        <w:t xml:space="preserve">, ELI: </w:t>
      </w:r>
      <w:hyperlink r:id="rId19" w:history="1">
        <w:r w:rsidR="00B251F3" w:rsidRPr="007473BA">
          <w:rPr>
            <w:rStyle w:val="Hyperlink"/>
          </w:rPr>
          <w:t>https://eur-lex.europa.eu/eli/reg/2024/2509/oj</w:t>
        </w:r>
      </w:hyperlink>
      <w:r w:rsidR="00987488" w:rsidRPr="006C2791">
        <w:t>).</w:t>
      </w:r>
    </w:p>
  </w:footnote>
  <w:footnote w:id="40">
    <w:p w:rsidR="00822AA0" w:rsidRPr="006C2791" w:rsidRDefault="00822AA0">
      <w:pPr>
        <w:pStyle w:val="FootnoteText"/>
      </w:pPr>
      <w:r w:rsidRPr="006C2791">
        <w:rPr>
          <w:rStyle w:val="FootnoteReference"/>
        </w:rPr>
        <w:footnoteRef/>
      </w:r>
      <w:r w:rsidRPr="006C2791">
        <w:tab/>
      </w:r>
      <w:r w:rsidR="00987488" w:rsidRPr="006C2791">
        <w:t>Regulation (EU) No 1291/2013 of the European Parliament and of the Council of 11 December 2013 establishing Horizon 2020 – the Framework Programme for Research and Innovation (2014-2020) and repealing Decision No 1982/2006/EC (OJ L 347, 20.12.2013, p. 104</w:t>
      </w:r>
      <w:r w:rsidR="00B251F3" w:rsidRPr="00B251F3">
        <w:t xml:space="preserve">, ELI: </w:t>
      </w:r>
      <w:hyperlink r:id="rId20" w:history="1">
        <w:r w:rsidR="00B251F3" w:rsidRPr="007473BA">
          <w:rPr>
            <w:rStyle w:val="Hyperlink"/>
          </w:rPr>
          <w:t>http://data.europa.eu/eli/reg/2013/1291/oj</w:t>
        </w:r>
      </w:hyperlink>
      <w:r w:rsidR="00987488" w:rsidRPr="006C2791">
        <w:t>).</w:t>
      </w:r>
    </w:p>
  </w:footnote>
  <w:footnote w:id="41">
    <w:p w:rsidR="00822AA0" w:rsidRPr="006C2791" w:rsidRDefault="00822AA0">
      <w:pPr>
        <w:pStyle w:val="FootnoteText"/>
      </w:pPr>
      <w:r w:rsidRPr="006C2791">
        <w:rPr>
          <w:rStyle w:val="FootnoteReference"/>
        </w:rPr>
        <w:footnoteRef/>
      </w:r>
      <w:r w:rsidRPr="006C2791">
        <w:tab/>
      </w:r>
      <w:r w:rsidR="00987488" w:rsidRPr="006C2791">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r w:rsidR="00B251F3" w:rsidRPr="00B251F3">
        <w:t xml:space="preserve">, ELI: </w:t>
      </w:r>
      <w:hyperlink r:id="rId21" w:history="1">
        <w:r w:rsidR="00B251F3" w:rsidRPr="007473BA">
          <w:rPr>
            <w:rStyle w:val="Hyperlink"/>
          </w:rPr>
          <w:t>http://data.europa.eu/eli/reg/2013/883/oj</w:t>
        </w:r>
      </w:hyperlink>
      <w:r w:rsidR="00987488" w:rsidRPr="006C2791">
        <w:t>).</w:t>
      </w:r>
    </w:p>
  </w:footnote>
  <w:footnote w:id="42">
    <w:p w:rsidR="00157218" w:rsidRPr="006C2791" w:rsidRDefault="00157218">
      <w:pPr>
        <w:pStyle w:val="FootnoteText"/>
      </w:pPr>
      <w:r w:rsidRPr="006C2791">
        <w:rPr>
          <w:rStyle w:val="FootnoteReference"/>
        </w:rPr>
        <w:footnoteRef/>
      </w:r>
      <w:r w:rsidRPr="006C2791">
        <w:tab/>
      </w:r>
      <w:r w:rsidR="00987488" w:rsidRPr="006C2791">
        <w:t>Council Regulation (EC, Euratom) No 2988/95 of 18 December 1995 on the protection of the European Communities financial interests (OJ L 312, 23.12.95, p. 1</w:t>
      </w:r>
      <w:r w:rsidR="00B251F3" w:rsidRPr="00B251F3">
        <w:t xml:space="preserve">, ELI: </w:t>
      </w:r>
      <w:hyperlink r:id="rId22" w:history="1">
        <w:r w:rsidR="00B251F3" w:rsidRPr="007473BA">
          <w:rPr>
            <w:rStyle w:val="Hyperlink"/>
          </w:rPr>
          <w:t>http://data.europa.eu/eli/reg/1995/2988/oj</w:t>
        </w:r>
      </w:hyperlink>
      <w:r w:rsidR="00987488" w:rsidRPr="006C2791">
        <w:t>).</w:t>
      </w:r>
    </w:p>
  </w:footnote>
  <w:footnote w:id="43">
    <w:p w:rsidR="00157218" w:rsidRPr="006C2791" w:rsidRDefault="00157218">
      <w:pPr>
        <w:pStyle w:val="FootnoteText"/>
      </w:pPr>
      <w:r w:rsidRPr="006C2791">
        <w:rPr>
          <w:rStyle w:val="FootnoteReference"/>
        </w:rPr>
        <w:footnoteRef/>
      </w:r>
      <w:r w:rsidRPr="006C2791">
        <w:tab/>
      </w:r>
      <w:r w:rsidR="00987488" w:rsidRPr="006C2791">
        <w:t>Council Regulation (Euratom, EC) No 2185/96 of 11 November 1996 concerning on-the-spot checks and inspections carried out by the Commission in order to protect the European Communities’ financial interests against fraud and other irregularities (OJ L 292, 15.11.1996, p. 2</w:t>
      </w:r>
      <w:r w:rsidR="00B251F3" w:rsidRPr="00B251F3">
        <w:t xml:space="preserve">, ELI: </w:t>
      </w:r>
      <w:hyperlink r:id="rId23" w:history="1">
        <w:r w:rsidR="00B251F3" w:rsidRPr="007473BA">
          <w:rPr>
            <w:rStyle w:val="Hyperlink"/>
          </w:rPr>
          <w:t>http://data.europa.eu/eli/reg/1996/2185/oj</w:t>
        </w:r>
      </w:hyperlink>
      <w:r w:rsidR="00987488" w:rsidRPr="006C2791">
        <w:t>).</w:t>
      </w:r>
    </w:p>
  </w:footnote>
  <w:footnote w:id="44">
    <w:p w:rsidR="00157218" w:rsidRPr="006C2791" w:rsidRDefault="00157218">
      <w:pPr>
        <w:pStyle w:val="FootnoteText"/>
      </w:pPr>
      <w:r w:rsidRPr="006C2791">
        <w:rPr>
          <w:rStyle w:val="FootnoteReference"/>
        </w:rPr>
        <w:footnoteRef/>
      </w:r>
      <w:r w:rsidRPr="006C2791">
        <w:tab/>
      </w:r>
      <w:r w:rsidR="00987488" w:rsidRPr="006C2791">
        <w:t>Council Regulation (EU) 2017/1939 of 12 October 2017 implementing enhanced cooperation on the establishment of the European Public Prosecutor’s Office (‘the EPPO’) (OJ L 283, 31.10.2017, p. 1</w:t>
      </w:r>
      <w:r w:rsidR="00B251F3" w:rsidRPr="00B251F3">
        <w:t xml:space="preserve">, ELI: </w:t>
      </w:r>
      <w:hyperlink r:id="rId24" w:history="1">
        <w:r w:rsidR="00B251F3" w:rsidRPr="007473BA">
          <w:rPr>
            <w:rStyle w:val="Hyperlink"/>
          </w:rPr>
          <w:t>http://data.europa.eu/eli/reg/2017/1939/oj</w:t>
        </w:r>
      </w:hyperlink>
      <w:r w:rsidR="00987488" w:rsidRPr="006C2791">
        <w:t>).</w:t>
      </w:r>
    </w:p>
  </w:footnote>
  <w:footnote w:id="45">
    <w:p w:rsidR="00157218" w:rsidRPr="006C2791" w:rsidRDefault="00157218">
      <w:pPr>
        <w:pStyle w:val="FootnoteText"/>
      </w:pPr>
      <w:r w:rsidRPr="006C2791">
        <w:rPr>
          <w:rStyle w:val="FootnoteReference"/>
        </w:rPr>
        <w:footnoteRef/>
      </w:r>
      <w:r w:rsidRPr="006C2791">
        <w:tab/>
      </w:r>
      <w:r w:rsidR="00987488" w:rsidRPr="006C2791">
        <w:t>Directive (EU) 2017/1371 of the European Parliament and of the Council of 5 July 2017 on the fight against fraud to the Union’s financial interests by means of criminal law (OJ L 198, 28.7.2017, p. 29</w:t>
      </w:r>
      <w:r w:rsidR="00B251F3" w:rsidRPr="00B251F3">
        <w:t xml:space="preserve">, ELI: </w:t>
      </w:r>
      <w:hyperlink r:id="rId25" w:history="1">
        <w:r w:rsidR="00B251F3" w:rsidRPr="007473BA">
          <w:rPr>
            <w:rStyle w:val="Hyperlink"/>
          </w:rPr>
          <w:t>http://data.europa.eu/eli/dir/2017/1371/oj</w:t>
        </w:r>
      </w:hyperlink>
      <w:r w:rsidR="00987488" w:rsidRPr="006C2791">
        <w:t>).</w:t>
      </w:r>
    </w:p>
  </w:footnote>
  <w:footnote w:id="46">
    <w:p w:rsidR="00157218" w:rsidRPr="006C2791" w:rsidRDefault="00157218">
      <w:pPr>
        <w:pStyle w:val="FootnoteText"/>
      </w:pPr>
      <w:r w:rsidRPr="006C2791">
        <w:rPr>
          <w:rStyle w:val="FootnoteReference"/>
        </w:rPr>
        <w:footnoteRef/>
      </w:r>
      <w:r w:rsidRPr="006C2791">
        <w:tab/>
      </w:r>
      <w:r w:rsidR="00987488" w:rsidRPr="006C2791">
        <w:t>Regulation (EU) No 182/2011 of the European Parliament and of the Council of 16 February 2011 laying down the rules and general principles concerning mechanisms for control by the Member States of the Commission’s exercise of implementing powers (OJ L 55, 28.2.2011, p. 13</w:t>
      </w:r>
      <w:r w:rsidR="00B251F3" w:rsidRPr="00B251F3">
        <w:t xml:space="preserve">, ELI: </w:t>
      </w:r>
      <w:hyperlink r:id="rId26" w:history="1">
        <w:r w:rsidR="00B251F3" w:rsidRPr="007473BA">
          <w:rPr>
            <w:rStyle w:val="Hyperlink"/>
          </w:rPr>
          <w:t>http://data.europa.eu/eli/reg/2011/182/oj</w:t>
        </w:r>
      </w:hyperlink>
      <w:r w:rsidR="00987488" w:rsidRPr="006C2791">
        <w:t>).</w:t>
      </w:r>
    </w:p>
  </w:footnote>
  <w:footnote w:id="47">
    <w:p w:rsidR="00157218" w:rsidRPr="006C2791" w:rsidRDefault="00157218">
      <w:pPr>
        <w:pStyle w:val="FootnoteText"/>
      </w:pPr>
      <w:r w:rsidRPr="006C2791">
        <w:rPr>
          <w:rStyle w:val="FootnoteReference"/>
        </w:rPr>
        <w:footnoteRef/>
      </w:r>
      <w:r w:rsidRPr="006C2791">
        <w:tab/>
      </w:r>
      <w:r w:rsidR="00987488" w:rsidRPr="006C2791">
        <w:t>OJ L 123, 12.5.2016, p. 1</w:t>
      </w:r>
      <w:r w:rsidR="00B251F3" w:rsidRPr="00B251F3">
        <w:t xml:space="preserve">, ELI: </w:t>
      </w:r>
      <w:hyperlink r:id="rId27" w:history="1">
        <w:r w:rsidR="00B251F3" w:rsidRPr="007473BA">
          <w:rPr>
            <w:rStyle w:val="Hyperlink"/>
          </w:rPr>
          <w:t>http://data.europa.eu/eli/agree_interinstit/2016/512/oj</w:t>
        </w:r>
      </w:hyperlink>
      <w:r w:rsidR="00987488" w:rsidRPr="006C2791">
        <w:t>.</w:t>
      </w:r>
    </w:p>
  </w:footnote>
  <w:footnote w:id="48">
    <w:p w:rsidR="00157218" w:rsidRPr="006C2791" w:rsidRDefault="00157218">
      <w:pPr>
        <w:pStyle w:val="FootnoteText"/>
      </w:pPr>
      <w:r w:rsidRPr="006C2791">
        <w:rPr>
          <w:rStyle w:val="FootnoteReference"/>
        </w:rPr>
        <w:footnoteRef/>
      </w:r>
      <w:r w:rsidRPr="006C2791">
        <w:tab/>
      </w:r>
      <w:r w:rsidR="00987488" w:rsidRPr="006C2791">
        <w:t>Commission Decision 96/282/Euratom of 10 April 1996 on the reorganization of the Joint Research Centre (OJ L 107, 30.4.1996, p. 12).</w:t>
      </w:r>
    </w:p>
  </w:footnote>
  <w:footnote w:id="49">
    <w:p w:rsidR="00157218" w:rsidRPr="006C2791" w:rsidRDefault="00157218">
      <w:pPr>
        <w:pStyle w:val="FootnoteText"/>
      </w:pPr>
      <w:r w:rsidRPr="006C2791">
        <w:rPr>
          <w:rStyle w:val="FootnoteReference"/>
        </w:rPr>
        <w:footnoteRef/>
      </w:r>
      <w:r w:rsidRPr="006C2791">
        <w:tab/>
      </w:r>
      <w:r w:rsidR="00987488" w:rsidRPr="006C2791">
        <w:t>Opinion of DD.MM.2025 (not yet published in the Official Journal).</w:t>
      </w:r>
    </w:p>
  </w:footnote>
  <w:footnote w:id="50">
    <w:p w:rsidR="00157218" w:rsidRPr="006C2791" w:rsidRDefault="00157218">
      <w:pPr>
        <w:pStyle w:val="FootnoteText"/>
      </w:pPr>
      <w:r w:rsidRPr="006C2791">
        <w:rPr>
          <w:rStyle w:val="FootnoteReference"/>
        </w:rPr>
        <w:footnoteRef/>
      </w:r>
      <w:r w:rsidRPr="006C2791">
        <w:tab/>
      </w:r>
      <w:r w:rsidR="00987488" w:rsidRPr="006C2791">
        <w:t>Opinion of DD.MM.2025 (not yet published in the Official Journal).</w:t>
      </w:r>
    </w:p>
  </w:footnote>
  <w:footnote w:id="51">
    <w:p w:rsidR="006212CF" w:rsidRPr="006C2791" w:rsidRDefault="006212CF">
      <w:pPr>
        <w:pStyle w:val="FootnoteText"/>
      </w:pPr>
      <w:r w:rsidRPr="006C2791">
        <w:rPr>
          <w:rStyle w:val="FootnoteReference"/>
        </w:rPr>
        <w:footnoteRef/>
      </w:r>
      <w:r w:rsidRPr="006C2791">
        <w:tab/>
      </w:r>
      <w:r w:rsidR="00C27064" w:rsidRPr="006C2791">
        <w:t>Council Regulation (Euratom) 2021/765 of 10</w:t>
      </w:r>
      <w:r w:rsidR="006C2791">
        <w:t> </w:t>
      </w:r>
      <w:r w:rsidR="00C27064" w:rsidRPr="006C2791">
        <w:t>May 2021 establishing the Research and Training Programme of the European Atomic Energy Community for the period 2021-2025 complementing the Horizon Europe – the Framework Programme for Research and Innovation, and repealing Regulation (Euratom) 2018/1563 (OJ L 167I, 12.5.2021, p.</w:t>
      </w:r>
      <w:r w:rsidR="006C2791">
        <w:t> </w:t>
      </w:r>
      <w:r w:rsidR="00C27064" w:rsidRPr="006C2791">
        <w:t>81</w:t>
      </w:r>
      <w:r w:rsidR="00CA270F" w:rsidRPr="00CA270F">
        <w:t xml:space="preserve">, ELI: </w:t>
      </w:r>
      <w:hyperlink r:id="rId28" w:history="1">
        <w:r w:rsidR="00CA270F" w:rsidRPr="007473BA">
          <w:rPr>
            <w:rStyle w:val="Hyperlink"/>
          </w:rPr>
          <w:t>http://data.europa.eu/eli/reg/2021/765/oj</w:t>
        </w:r>
      </w:hyperlink>
      <w:r w:rsidR="00C27064" w:rsidRPr="006C2791">
        <w:t>).</w:t>
      </w:r>
    </w:p>
  </w:footnote>
  <w:footnote w:id="52">
    <w:p w:rsidR="00474603" w:rsidRPr="00474603" w:rsidRDefault="00474603">
      <w:pPr>
        <w:pStyle w:val="FootnoteText"/>
        <w:rPr>
          <w:lang w:val="en-IE"/>
        </w:rPr>
      </w:pPr>
      <w:r w:rsidRPr="00564821">
        <w:rPr>
          <w:rStyle w:val="FootnoteReference"/>
        </w:rPr>
        <w:footnoteRef/>
      </w:r>
      <w:r w:rsidR="00564821">
        <w:tab/>
      </w:r>
      <w:r w:rsidRPr="00474603">
        <w:rPr>
          <w:lang w:val="en-IE"/>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 159, ELI: </w:t>
      </w:r>
      <w:hyperlink r:id="rId29" w:history="1">
        <w:r w:rsidRPr="007473BA">
          <w:rPr>
            <w:rStyle w:val="Hyperlink"/>
            <w:lang w:val="en-IE"/>
          </w:rPr>
          <w:t>http://data.europa.eu/eli/reg/2021/1060/oj</w:t>
        </w:r>
      </w:hyperlink>
      <w:r w:rsidRPr="00474603">
        <w:rPr>
          <w:lang w:val="en-IE"/>
        </w:rPr>
        <w:t>).</w:t>
      </w:r>
    </w:p>
  </w:footnote>
  <w:footnote w:id="53">
    <w:p w:rsidR="00C27064" w:rsidRPr="006C2791" w:rsidRDefault="00C27064">
      <w:pPr>
        <w:pStyle w:val="FootnoteText"/>
      </w:pPr>
      <w:r w:rsidRPr="006C2791">
        <w:rPr>
          <w:rStyle w:val="FootnoteReference"/>
        </w:rPr>
        <w:footnoteRef/>
      </w:r>
      <w:r w:rsidRPr="006C2791">
        <w:tab/>
        <w:t>Directive 2006/43/EC of the European Parliament and of the Council of 17 May 2006 on statutory audits of annual accounts and consolidated accounts, amending Council Directives 78/660/EEC and 83/349/EEC and repealing Council Directive 84/253/EEC (OJ L 157, 9.6.2006, p. 87</w:t>
      </w:r>
      <w:r w:rsidR="00CA270F">
        <w:t xml:space="preserve">, </w:t>
      </w:r>
      <w:r w:rsidR="00CA270F" w:rsidRPr="00CA270F">
        <w:t xml:space="preserve">ELI: </w:t>
      </w:r>
      <w:hyperlink r:id="rId30" w:history="1">
        <w:r w:rsidR="00CA270F" w:rsidRPr="007473BA">
          <w:rPr>
            <w:rStyle w:val="Hyperlink"/>
          </w:rPr>
          <w:t>http://data.europa.eu/eli/dir/2006/43/oj</w:t>
        </w:r>
      </w:hyperlink>
      <w:r w:rsidRPr="006C2791">
        <w:t>).</w:t>
      </w:r>
    </w:p>
  </w:footnote>
  <w:footnote w:id="54">
    <w:p w:rsidR="00895F35" w:rsidRPr="006C2791" w:rsidRDefault="00895F35" w:rsidP="00895F35">
      <w:pPr>
        <w:pStyle w:val="FootnoteText"/>
        <w:rPr>
          <w:szCs w:val="24"/>
        </w:rPr>
      </w:pPr>
      <w:r w:rsidRPr="006C2791">
        <w:rPr>
          <w:rStyle w:val="FootnoteReference"/>
        </w:rPr>
        <w:footnoteRef/>
      </w:r>
      <w:r w:rsidRPr="006C2791">
        <w:tab/>
        <w:t>As referred to in Article</w:t>
      </w:r>
      <w:r>
        <w:t> </w:t>
      </w:r>
      <w:r w:rsidRPr="006C2791">
        <w:t>58(2)(a) or (b) of the Financial Regulation.</w:t>
      </w:r>
    </w:p>
  </w:footnote>
  <w:footnote w:id="55">
    <w:p w:rsidR="008F031D" w:rsidRPr="006C2791" w:rsidRDefault="008F031D" w:rsidP="003D5244">
      <w:pPr>
        <w:pStyle w:val="FootnoteText"/>
        <w:jc w:val="left"/>
        <w:rPr>
          <w:szCs w:val="24"/>
        </w:rPr>
      </w:pPr>
      <w:r w:rsidRPr="006C2791">
        <w:rPr>
          <w:rStyle w:val="FootnoteReference"/>
        </w:rPr>
        <w:footnoteRef/>
      </w:r>
      <w:r w:rsidRPr="006C2791">
        <w:tab/>
        <w:t xml:space="preserve">Details of budget implementation methods and references to the Financial Regulation may be found on the BUDGpedia site: </w:t>
      </w:r>
      <w:hyperlink r:id="rId31" w:history="1">
        <w:r w:rsidRPr="006C2791">
          <w:rPr>
            <w:rStyle w:val="Hyperlink"/>
          </w:rPr>
          <w:t>https://myintracomm.ec.europa.eu/corp/budget/financial-rules/budget-implementation/Pages/implementation-methods.aspx</w:t>
        </w:r>
      </w:hyperlink>
      <w:r w:rsidR="006C2791" w:rsidRPr="007E3DB1">
        <w:rPr>
          <w:rStyle w:val="Hyperlink"/>
          <w:color w:val="auto"/>
          <w:u w:val="none"/>
        </w:rPr>
        <w:t>.</w:t>
      </w:r>
    </w:p>
  </w:footnote>
  <w:footnote w:id="56">
    <w:p w:rsidR="008F031D" w:rsidRPr="006C2791" w:rsidRDefault="008F031D" w:rsidP="003D5244">
      <w:pPr>
        <w:pStyle w:val="FootnoteText"/>
        <w:rPr>
          <w:szCs w:val="24"/>
        </w:rPr>
      </w:pPr>
      <w:r w:rsidRPr="006C2791">
        <w:rPr>
          <w:rStyle w:val="FootnoteReference"/>
        </w:rPr>
        <w:footnoteRef/>
      </w:r>
      <w:r w:rsidRPr="006C2791">
        <w:tab/>
        <w:t>Diff. = Differentiated appropriations / Non-diff. = Non-differentiated appropriations.</w:t>
      </w:r>
    </w:p>
  </w:footnote>
  <w:footnote w:id="57">
    <w:p w:rsidR="008F031D" w:rsidRPr="006C2791" w:rsidRDefault="008F031D" w:rsidP="003D5244">
      <w:pPr>
        <w:pStyle w:val="FootnoteText"/>
        <w:rPr>
          <w:szCs w:val="24"/>
        </w:rPr>
      </w:pPr>
      <w:r w:rsidRPr="006C2791">
        <w:rPr>
          <w:rStyle w:val="FootnoteReference"/>
        </w:rPr>
        <w:footnoteRef/>
      </w:r>
      <w:r w:rsidRPr="006C2791">
        <w:tab/>
        <w:t>EFTA: European Free Trade Association.</w:t>
      </w:r>
    </w:p>
  </w:footnote>
  <w:footnote w:id="58">
    <w:p w:rsidR="008F031D" w:rsidRPr="006C2791" w:rsidRDefault="008F031D" w:rsidP="003D5244">
      <w:pPr>
        <w:pStyle w:val="FootnoteText"/>
        <w:rPr>
          <w:szCs w:val="24"/>
        </w:rPr>
      </w:pPr>
      <w:r w:rsidRPr="006C2791">
        <w:rPr>
          <w:rStyle w:val="FootnoteReference"/>
        </w:rPr>
        <w:footnoteRef/>
      </w:r>
      <w:r w:rsidRPr="006C2791">
        <w:tab/>
        <w:t>Candidate countries and, where applicable, potential candidates from the Western Balkans.</w:t>
      </w:r>
    </w:p>
  </w:footnote>
  <w:footnote w:id="59">
    <w:p w:rsidR="006A1E30" w:rsidRDefault="006A1E30" w:rsidP="00B96D6D">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60">
    <w:p w:rsidR="00B96D6D" w:rsidRDefault="00B96D6D" w:rsidP="00B96D6D">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61">
    <w:p w:rsidR="00B96D6D" w:rsidRDefault="00B96D6D" w:rsidP="00B96D6D">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2">
    <w:p w:rsidR="00B96D6D" w:rsidRDefault="00B96D6D" w:rsidP="00B96D6D">
      <w:pPr>
        <w:pStyle w:val="FootnoteText"/>
        <w:rPr>
          <w:szCs w:val="24"/>
        </w:rPr>
      </w:pPr>
      <w:r>
        <w:rPr>
          <w:rStyle w:val="FootnoteReference"/>
        </w:rPr>
        <w:footnoteRef/>
      </w:r>
      <w:r>
        <w:tab/>
        <w:t xml:space="preserve">As described in point 1.4.2. ‘Specific objective(s)…’ </w:t>
      </w:r>
    </w:p>
  </w:footnote>
  <w:footnote w:id="63">
    <w:p w:rsidR="00B96D6D" w:rsidRDefault="00B96D6D" w:rsidP="00B96D6D">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64">
    <w:p w:rsidR="00B96D6D" w:rsidRDefault="00B96D6D" w:rsidP="00B96D6D">
      <w:pPr>
        <w:pStyle w:val="FootnoteText"/>
        <w:rPr>
          <w:szCs w:val="24"/>
        </w:rPr>
      </w:pPr>
      <w:r>
        <w:rPr>
          <w:rStyle w:val="FootnoteReference"/>
        </w:rPr>
        <w:footnoteRef/>
      </w:r>
      <w:r>
        <w:tab/>
        <w:t>Sub-ceiling for external staff covered by operational appropriations (former ‘BA’ lines).</w:t>
      </w:r>
    </w:p>
  </w:footnote>
  <w:footnote w:id="65">
    <w:p w:rsidR="00032451" w:rsidRDefault="00032451" w:rsidP="00032451">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Default="008A2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Default="008A2E9F" w:rsidP="008A2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9F" w:rsidRPr="008A2E9F" w:rsidRDefault="008A2E9F" w:rsidP="008A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20"/>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22"/>
  </w:num>
  <w:num w:numId="30">
    <w:abstractNumId w:val="11"/>
  </w:num>
  <w:num w:numId="31">
    <w:abstractNumId w:val="25"/>
  </w:num>
  <w:num w:numId="32">
    <w:abstractNumId w:val="6"/>
  </w:num>
  <w:num w:numId="33">
    <w:abstractNumId w:val="12"/>
  </w:num>
  <w:num w:numId="34">
    <w:abstractNumId w:val="13"/>
  </w:num>
  <w:num w:numId="35">
    <w:abstractNumId w:val="4"/>
  </w:num>
  <w:num w:numId="36">
    <w:abstractNumId w:val="24"/>
  </w:num>
  <w:num w:numId="37">
    <w:abstractNumId w:val="3"/>
  </w:num>
  <w:num w:numId="38">
    <w:abstractNumId w:val="14"/>
  </w:num>
  <w:num w:numId="39">
    <w:abstractNumId w:val="20"/>
  </w:num>
  <w:num w:numId="40">
    <w:abstractNumId w:val="21"/>
  </w:num>
  <w:num w:numId="41">
    <w:abstractNumId w:val="5"/>
  </w:num>
  <w:num w:numId="42">
    <w:abstractNumId w:val="18"/>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2-27 16:00: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B2D114E-8E60-40F7-A8E5-40611C4167F3"/>
    <w:docVar w:name="LW_COVERPAGE_TYPE" w:val="1"/>
    <w:docVar w:name="LW_CROSSREFERENCE" w:val="&lt;UNUSED&gt;"/>
    <w:docVar w:name="LW_DocType" w:val="COM"/>
    <w:docVar w:name="LW_EMISSION" w:val="28.2.2025"/>
    <w:docVar w:name="LW_EMISSION_ISODATE" w:val="2025-02-28"/>
    <w:docVar w:name="LW_EMISSION_LOCATION" w:val="BRX"/>
    <w:docVar w:name="LW_EMISSION_PREFIX" w:val="Brussels, "/>
    <w:docVar w:name="LW_EMISSION_SUFFIX" w:val=" "/>
    <w:docVar w:name="LW_ID_DOCMODEL" w:val="SJ-042"/>
    <w:docVar w:name="LW_ID_DOCSIGNATURE" w:val="SJ-016"/>
    <w:docVar w:name="LW_ID_DOCSTRUCTURE" w:val="COM/PL/ORG"/>
    <w:docVar w:name="LW_ID_DOCTYPE" w:val="SJ-042"/>
    <w:docVar w:name="LW_ID_STATUT" w:val="SJ-042"/>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5"/>
    <w:docVar w:name="LW_REF.II.NEW.CP_YEAR" w:val="2025"/>
    <w:docVar w:name="LW_REF.INST.NEW" w:val="COM"/>
    <w:docVar w:name="LW_REF.INST.NEW_ADOPTED" w:val="final"/>
    <w:docVar w:name="LW_REF.INST.NEW_TEXT" w:val="(2025) 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Research and Training Programme of the European Atomic Energy Community for the period 2026-2027 complementing Horizon Europe \u8211? the Framework Programme for Research and Innovation and repealing Council Regulation (Euratom) 2021/765"/>
    <w:docVar w:name="LW_TYPE.DOC.CP" w:val="COUNCIL REGULATION"/>
    <w:docVar w:name="LwApiVersions" w:val="LW4CoDe 1.24.5.0; LW 9.0, Build 20240221"/>
    <w:docVar w:name="Stamp" w:val="\\dossiers.dgt.cec.eu.int\dossiers\RTD\RTD-2024-00359\RTD-2024-00359-00-00-EN-EDT-00.202411190933495884901.DOCX"/>
  </w:docVars>
  <w:rsids>
    <w:rsidRoot w:val="008F031D"/>
    <w:rsid w:val="000023B5"/>
    <w:rsid w:val="00002F77"/>
    <w:rsid w:val="00004101"/>
    <w:rsid w:val="00004E63"/>
    <w:rsid w:val="00007519"/>
    <w:rsid w:val="00012059"/>
    <w:rsid w:val="00015020"/>
    <w:rsid w:val="00016CB6"/>
    <w:rsid w:val="0002083B"/>
    <w:rsid w:val="00023299"/>
    <w:rsid w:val="000279F4"/>
    <w:rsid w:val="00027CF1"/>
    <w:rsid w:val="000306CA"/>
    <w:rsid w:val="00031B1B"/>
    <w:rsid w:val="00031D0F"/>
    <w:rsid w:val="00032451"/>
    <w:rsid w:val="00032541"/>
    <w:rsid w:val="000327CB"/>
    <w:rsid w:val="000350FD"/>
    <w:rsid w:val="0003554B"/>
    <w:rsid w:val="00036F13"/>
    <w:rsid w:val="000374C4"/>
    <w:rsid w:val="000404F4"/>
    <w:rsid w:val="000413E0"/>
    <w:rsid w:val="000500A5"/>
    <w:rsid w:val="00052156"/>
    <w:rsid w:val="00055D8B"/>
    <w:rsid w:val="00056B37"/>
    <w:rsid w:val="00057513"/>
    <w:rsid w:val="000619B7"/>
    <w:rsid w:val="00062185"/>
    <w:rsid w:val="00063543"/>
    <w:rsid w:val="000641F4"/>
    <w:rsid w:val="00067072"/>
    <w:rsid w:val="00071003"/>
    <w:rsid w:val="000718DE"/>
    <w:rsid w:val="00073958"/>
    <w:rsid w:val="0007584F"/>
    <w:rsid w:val="00076601"/>
    <w:rsid w:val="000810F5"/>
    <w:rsid w:val="000828E3"/>
    <w:rsid w:val="00092692"/>
    <w:rsid w:val="00095487"/>
    <w:rsid w:val="000967F8"/>
    <w:rsid w:val="000A048E"/>
    <w:rsid w:val="000A2E3B"/>
    <w:rsid w:val="000A681F"/>
    <w:rsid w:val="000A6AA7"/>
    <w:rsid w:val="000B223E"/>
    <w:rsid w:val="000B75AC"/>
    <w:rsid w:val="000C304B"/>
    <w:rsid w:val="000D0B65"/>
    <w:rsid w:val="000D1A1F"/>
    <w:rsid w:val="000D1C12"/>
    <w:rsid w:val="000D696B"/>
    <w:rsid w:val="000D719B"/>
    <w:rsid w:val="000D7A86"/>
    <w:rsid w:val="000E0222"/>
    <w:rsid w:val="000E10DF"/>
    <w:rsid w:val="000E329B"/>
    <w:rsid w:val="000F321A"/>
    <w:rsid w:val="000F3C06"/>
    <w:rsid w:val="000F742F"/>
    <w:rsid w:val="001025F7"/>
    <w:rsid w:val="00102642"/>
    <w:rsid w:val="00104A09"/>
    <w:rsid w:val="001065F5"/>
    <w:rsid w:val="001136D3"/>
    <w:rsid w:val="00113896"/>
    <w:rsid w:val="0011416C"/>
    <w:rsid w:val="0011435D"/>
    <w:rsid w:val="00114C9A"/>
    <w:rsid w:val="00117943"/>
    <w:rsid w:val="00120FED"/>
    <w:rsid w:val="00122695"/>
    <w:rsid w:val="00122D82"/>
    <w:rsid w:val="001238EF"/>
    <w:rsid w:val="00123F79"/>
    <w:rsid w:val="001261E9"/>
    <w:rsid w:val="001261F6"/>
    <w:rsid w:val="0012626A"/>
    <w:rsid w:val="00126DFE"/>
    <w:rsid w:val="001334F9"/>
    <w:rsid w:val="00134ECB"/>
    <w:rsid w:val="001353F1"/>
    <w:rsid w:val="0014004B"/>
    <w:rsid w:val="00140974"/>
    <w:rsid w:val="00140FD2"/>
    <w:rsid w:val="001428B4"/>
    <w:rsid w:val="00143E0D"/>
    <w:rsid w:val="00147B8B"/>
    <w:rsid w:val="00150510"/>
    <w:rsid w:val="00152020"/>
    <w:rsid w:val="00154F8B"/>
    <w:rsid w:val="0015516B"/>
    <w:rsid w:val="0015700C"/>
    <w:rsid w:val="00157218"/>
    <w:rsid w:val="001624BF"/>
    <w:rsid w:val="00175361"/>
    <w:rsid w:val="001819F4"/>
    <w:rsid w:val="001836DB"/>
    <w:rsid w:val="001914F4"/>
    <w:rsid w:val="00192578"/>
    <w:rsid w:val="00192579"/>
    <w:rsid w:val="00197613"/>
    <w:rsid w:val="001A1CB7"/>
    <w:rsid w:val="001A551E"/>
    <w:rsid w:val="001B1882"/>
    <w:rsid w:val="001B3197"/>
    <w:rsid w:val="001C15F8"/>
    <w:rsid w:val="001C1AFA"/>
    <w:rsid w:val="001C2186"/>
    <w:rsid w:val="001D0A50"/>
    <w:rsid w:val="001D5587"/>
    <w:rsid w:val="001D78BA"/>
    <w:rsid w:val="001E0854"/>
    <w:rsid w:val="001E37DF"/>
    <w:rsid w:val="001E6D0A"/>
    <w:rsid w:val="001F2E48"/>
    <w:rsid w:val="001F5449"/>
    <w:rsid w:val="001F5EF3"/>
    <w:rsid w:val="00200FED"/>
    <w:rsid w:val="00207366"/>
    <w:rsid w:val="002121C4"/>
    <w:rsid w:val="002140B6"/>
    <w:rsid w:val="00214828"/>
    <w:rsid w:val="00215E2B"/>
    <w:rsid w:val="00216AB5"/>
    <w:rsid w:val="0021794B"/>
    <w:rsid w:val="00220344"/>
    <w:rsid w:val="002205C6"/>
    <w:rsid w:val="0022308F"/>
    <w:rsid w:val="00223134"/>
    <w:rsid w:val="0022523C"/>
    <w:rsid w:val="002317E9"/>
    <w:rsid w:val="002317EF"/>
    <w:rsid w:val="002322AA"/>
    <w:rsid w:val="00233DC7"/>
    <w:rsid w:val="002341FA"/>
    <w:rsid w:val="002401F0"/>
    <w:rsid w:val="00243836"/>
    <w:rsid w:val="00243A3C"/>
    <w:rsid w:val="002475C7"/>
    <w:rsid w:val="00247779"/>
    <w:rsid w:val="002521EC"/>
    <w:rsid w:val="002526F5"/>
    <w:rsid w:val="00255383"/>
    <w:rsid w:val="00256DBC"/>
    <w:rsid w:val="00257289"/>
    <w:rsid w:val="00261532"/>
    <w:rsid w:val="00262187"/>
    <w:rsid w:val="00263692"/>
    <w:rsid w:val="00266EC7"/>
    <w:rsid w:val="00267592"/>
    <w:rsid w:val="00270673"/>
    <w:rsid w:val="00270877"/>
    <w:rsid w:val="00270CCA"/>
    <w:rsid w:val="00274370"/>
    <w:rsid w:val="00276601"/>
    <w:rsid w:val="00277596"/>
    <w:rsid w:val="00277A79"/>
    <w:rsid w:val="00281D82"/>
    <w:rsid w:val="00281DF1"/>
    <w:rsid w:val="00283595"/>
    <w:rsid w:val="00283BF3"/>
    <w:rsid w:val="0028517A"/>
    <w:rsid w:val="00285BEE"/>
    <w:rsid w:val="00287D8A"/>
    <w:rsid w:val="00293668"/>
    <w:rsid w:val="0029405C"/>
    <w:rsid w:val="00294C17"/>
    <w:rsid w:val="0029533F"/>
    <w:rsid w:val="00297CAA"/>
    <w:rsid w:val="00297E24"/>
    <w:rsid w:val="002A0559"/>
    <w:rsid w:val="002B059F"/>
    <w:rsid w:val="002B180A"/>
    <w:rsid w:val="002B21FD"/>
    <w:rsid w:val="002B30AF"/>
    <w:rsid w:val="002B3690"/>
    <w:rsid w:val="002B42DA"/>
    <w:rsid w:val="002B49B4"/>
    <w:rsid w:val="002B64CB"/>
    <w:rsid w:val="002C0090"/>
    <w:rsid w:val="002C6598"/>
    <w:rsid w:val="002C6A7F"/>
    <w:rsid w:val="002D1E60"/>
    <w:rsid w:val="002D374A"/>
    <w:rsid w:val="002D4105"/>
    <w:rsid w:val="002D4EF3"/>
    <w:rsid w:val="002D589B"/>
    <w:rsid w:val="002D7B23"/>
    <w:rsid w:val="002E05FB"/>
    <w:rsid w:val="002E0E8A"/>
    <w:rsid w:val="002E18C6"/>
    <w:rsid w:val="002E263A"/>
    <w:rsid w:val="002E5F17"/>
    <w:rsid w:val="002E6F2C"/>
    <w:rsid w:val="002E7289"/>
    <w:rsid w:val="002F2DC5"/>
    <w:rsid w:val="002F3881"/>
    <w:rsid w:val="003006BD"/>
    <w:rsid w:val="00310A75"/>
    <w:rsid w:val="00312828"/>
    <w:rsid w:val="00312CA7"/>
    <w:rsid w:val="00314277"/>
    <w:rsid w:val="003165BF"/>
    <w:rsid w:val="00316C5D"/>
    <w:rsid w:val="00320B8F"/>
    <w:rsid w:val="00320DE7"/>
    <w:rsid w:val="003222FA"/>
    <w:rsid w:val="00331799"/>
    <w:rsid w:val="0033344A"/>
    <w:rsid w:val="00341361"/>
    <w:rsid w:val="00342562"/>
    <w:rsid w:val="00346D74"/>
    <w:rsid w:val="00347AE2"/>
    <w:rsid w:val="00353646"/>
    <w:rsid w:val="003579DD"/>
    <w:rsid w:val="0036024B"/>
    <w:rsid w:val="00362F28"/>
    <w:rsid w:val="00363F33"/>
    <w:rsid w:val="00367D62"/>
    <w:rsid w:val="00371056"/>
    <w:rsid w:val="00371D82"/>
    <w:rsid w:val="0037361F"/>
    <w:rsid w:val="003802D5"/>
    <w:rsid w:val="00381E32"/>
    <w:rsid w:val="00384262"/>
    <w:rsid w:val="00384F30"/>
    <w:rsid w:val="00385A78"/>
    <w:rsid w:val="00386BC7"/>
    <w:rsid w:val="0038787D"/>
    <w:rsid w:val="00387DA9"/>
    <w:rsid w:val="003914A6"/>
    <w:rsid w:val="0039197E"/>
    <w:rsid w:val="00392412"/>
    <w:rsid w:val="00394F78"/>
    <w:rsid w:val="0039691F"/>
    <w:rsid w:val="003969EE"/>
    <w:rsid w:val="00396A36"/>
    <w:rsid w:val="00397E8D"/>
    <w:rsid w:val="003A04C0"/>
    <w:rsid w:val="003A14DC"/>
    <w:rsid w:val="003A5FE5"/>
    <w:rsid w:val="003B1A59"/>
    <w:rsid w:val="003B2FE8"/>
    <w:rsid w:val="003B4153"/>
    <w:rsid w:val="003B5ACA"/>
    <w:rsid w:val="003B6294"/>
    <w:rsid w:val="003B702E"/>
    <w:rsid w:val="003C4BC6"/>
    <w:rsid w:val="003C4BD5"/>
    <w:rsid w:val="003C695E"/>
    <w:rsid w:val="003C7D36"/>
    <w:rsid w:val="003D0605"/>
    <w:rsid w:val="003D1147"/>
    <w:rsid w:val="003D3430"/>
    <w:rsid w:val="003D48A4"/>
    <w:rsid w:val="003E3F25"/>
    <w:rsid w:val="003E6EB5"/>
    <w:rsid w:val="003F017C"/>
    <w:rsid w:val="003F73AA"/>
    <w:rsid w:val="003F78CC"/>
    <w:rsid w:val="0040087A"/>
    <w:rsid w:val="00401695"/>
    <w:rsid w:val="00403E42"/>
    <w:rsid w:val="00407574"/>
    <w:rsid w:val="00407DEC"/>
    <w:rsid w:val="00410C4C"/>
    <w:rsid w:val="00414A4B"/>
    <w:rsid w:val="00417CD4"/>
    <w:rsid w:val="00417E68"/>
    <w:rsid w:val="00421582"/>
    <w:rsid w:val="00421DC3"/>
    <w:rsid w:val="004240BC"/>
    <w:rsid w:val="00424CCD"/>
    <w:rsid w:val="004255EC"/>
    <w:rsid w:val="0042648E"/>
    <w:rsid w:val="00432A6F"/>
    <w:rsid w:val="00436B97"/>
    <w:rsid w:val="004415F1"/>
    <w:rsid w:val="00445BC6"/>
    <w:rsid w:val="004472BC"/>
    <w:rsid w:val="00447BE1"/>
    <w:rsid w:val="00460F34"/>
    <w:rsid w:val="0046282E"/>
    <w:rsid w:val="00466961"/>
    <w:rsid w:val="00471A6E"/>
    <w:rsid w:val="004726A6"/>
    <w:rsid w:val="00474603"/>
    <w:rsid w:val="004760CD"/>
    <w:rsid w:val="004772AD"/>
    <w:rsid w:val="00480E2D"/>
    <w:rsid w:val="00483653"/>
    <w:rsid w:val="0048479A"/>
    <w:rsid w:val="0048488E"/>
    <w:rsid w:val="004853DE"/>
    <w:rsid w:val="00486EBB"/>
    <w:rsid w:val="004924D3"/>
    <w:rsid w:val="004936D2"/>
    <w:rsid w:val="00496AE8"/>
    <w:rsid w:val="004A1268"/>
    <w:rsid w:val="004A3599"/>
    <w:rsid w:val="004A3D12"/>
    <w:rsid w:val="004B09E8"/>
    <w:rsid w:val="004B1797"/>
    <w:rsid w:val="004C6A84"/>
    <w:rsid w:val="004C77B7"/>
    <w:rsid w:val="004D5FF6"/>
    <w:rsid w:val="004E02B5"/>
    <w:rsid w:val="004E163B"/>
    <w:rsid w:val="004F1CA7"/>
    <w:rsid w:val="004F2935"/>
    <w:rsid w:val="004F31E0"/>
    <w:rsid w:val="005005F5"/>
    <w:rsid w:val="00502C55"/>
    <w:rsid w:val="00503D13"/>
    <w:rsid w:val="005044DC"/>
    <w:rsid w:val="00504563"/>
    <w:rsid w:val="005047B5"/>
    <w:rsid w:val="00505EE8"/>
    <w:rsid w:val="005063A4"/>
    <w:rsid w:val="005103A3"/>
    <w:rsid w:val="00513392"/>
    <w:rsid w:val="005139B0"/>
    <w:rsid w:val="00517A77"/>
    <w:rsid w:val="00520AAD"/>
    <w:rsid w:val="00521EB0"/>
    <w:rsid w:val="0052244C"/>
    <w:rsid w:val="0052384C"/>
    <w:rsid w:val="005249CA"/>
    <w:rsid w:val="00526623"/>
    <w:rsid w:val="00527328"/>
    <w:rsid w:val="00532F0E"/>
    <w:rsid w:val="0053519F"/>
    <w:rsid w:val="00535FCB"/>
    <w:rsid w:val="005377E1"/>
    <w:rsid w:val="00541964"/>
    <w:rsid w:val="00542A50"/>
    <w:rsid w:val="00542FDD"/>
    <w:rsid w:val="00547583"/>
    <w:rsid w:val="00550D33"/>
    <w:rsid w:val="005512E5"/>
    <w:rsid w:val="005517CA"/>
    <w:rsid w:val="00551802"/>
    <w:rsid w:val="00551BDD"/>
    <w:rsid w:val="005546C5"/>
    <w:rsid w:val="005548F8"/>
    <w:rsid w:val="00554B21"/>
    <w:rsid w:val="005614E4"/>
    <w:rsid w:val="00564821"/>
    <w:rsid w:val="00565BB9"/>
    <w:rsid w:val="005736A3"/>
    <w:rsid w:val="00580371"/>
    <w:rsid w:val="00582985"/>
    <w:rsid w:val="00584691"/>
    <w:rsid w:val="00585DF4"/>
    <w:rsid w:val="00585EBD"/>
    <w:rsid w:val="0059281B"/>
    <w:rsid w:val="0059664F"/>
    <w:rsid w:val="00597277"/>
    <w:rsid w:val="005A2115"/>
    <w:rsid w:val="005A22A8"/>
    <w:rsid w:val="005A39BB"/>
    <w:rsid w:val="005A40A0"/>
    <w:rsid w:val="005A53ED"/>
    <w:rsid w:val="005B0F74"/>
    <w:rsid w:val="005B1EB6"/>
    <w:rsid w:val="005B282B"/>
    <w:rsid w:val="005B301B"/>
    <w:rsid w:val="005B315A"/>
    <w:rsid w:val="005B3D59"/>
    <w:rsid w:val="005B3DCE"/>
    <w:rsid w:val="005B4BAD"/>
    <w:rsid w:val="005B508A"/>
    <w:rsid w:val="005B581A"/>
    <w:rsid w:val="005B68BA"/>
    <w:rsid w:val="005B6E30"/>
    <w:rsid w:val="005C3F10"/>
    <w:rsid w:val="005C59D7"/>
    <w:rsid w:val="005C740A"/>
    <w:rsid w:val="005C7A59"/>
    <w:rsid w:val="005D4C00"/>
    <w:rsid w:val="005D5974"/>
    <w:rsid w:val="005D5D33"/>
    <w:rsid w:val="005D5E60"/>
    <w:rsid w:val="005F11A4"/>
    <w:rsid w:val="005F1490"/>
    <w:rsid w:val="005F1FAE"/>
    <w:rsid w:val="005F320A"/>
    <w:rsid w:val="00602B8A"/>
    <w:rsid w:val="00603713"/>
    <w:rsid w:val="00607257"/>
    <w:rsid w:val="006112CC"/>
    <w:rsid w:val="006126A9"/>
    <w:rsid w:val="0061507F"/>
    <w:rsid w:val="006151C2"/>
    <w:rsid w:val="0061785C"/>
    <w:rsid w:val="00620827"/>
    <w:rsid w:val="006212CF"/>
    <w:rsid w:val="00621634"/>
    <w:rsid w:val="0062262C"/>
    <w:rsid w:val="00624039"/>
    <w:rsid w:val="006244F8"/>
    <w:rsid w:val="00633828"/>
    <w:rsid w:val="00636647"/>
    <w:rsid w:val="00637564"/>
    <w:rsid w:val="00637977"/>
    <w:rsid w:val="00642F58"/>
    <w:rsid w:val="006435C5"/>
    <w:rsid w:val="006461AF"/>
    <w:rsid w:val="00650599"/>
    <w:rsid w:val="00656012"/>
    <w:rsid w:val="00657970"/>
    <w:rsid w:val="00662132"/>
    <w:rsid w:val="006624FC"/>
    <w:rsid w:val="006643DE"/>
    <w:rsid w:val="006648A9"/>
    <w:rsid w:val="00664E29"/>
    <w:rsid w:val="00665D27"/>
    <w:rsid w:val="006677AF"/>
    <w:rsid w:val="00672039"/>
    <w:rsid w:val="006724E4"/>
    <w:rsid w:val="00672B83"/>
    <w:rsid w:val="00673397"/>
    <w:rsid w:val="00683FEA"/>
    <w:rsid w:val="00684C87"/>
    <w:rsid w:val="006860EE"/>
    <w:rsid w:val="00686BAE"/>
    <w:rsid w:val="00687515"/>
    <w:rsid w:val="00687E34"/>
    <w:rsid w:val="00690BA3"/>
    <w:rsid w:val="00691616"/>
    <w:rsid w:val="00691FC1"/>
    <w:rsid w:val="00692920"/>
    <w:rsid w:val="00695146"/>
    <w:rsid w:val="00696567"/>
    <w:rsid w:val="0069744E"/>
    <w:rsid w:val="006A06BA"/>
    <w:rsid w:val="006A1E30"/>
    <w:rsid w:val="006A2ADD"/>
    <w:rsid w:val="006A33AA"/>
    <w:rsid w:val="006B4979"/>
    <w:rsid w:val="006B4990"/>
    <w:rsid w:val="006B52B0"/>
    <w:rsid w:val="006C0198"/>
    <w:rsid w:val="006C0D59"/>
    <w:rsid w:val="006C1A58"/>
    <w:rsid w:val="006C2791"/>
    <w:rsid w:val="006C2B4B"/>
    <w:rsid w:val="006C3A89"/>
    <w:rsid w:val="006C4C0A"/>
    <w:rsid w:val="006C5A21"/>
    <w:rsid w:val="006D1312"/>
    <w:rsid w:val="006D382C"/>
    <w:rsid w:val="006D3856"/>
    <w:rsid w:val="006D54A0"/>
    <w:rsid w:val="006D5EB6"/>
    <w:rsid w:val="006D6637"/>
    <w:rsid w:val="006E33DA"/>
    <w:rsid w:val="006E5161"/>
    <w:rsid w:val="006F0738"/>
    <w:rsid w:val="006F471C"/>
    <w:rsid w:val="006F4D2A"/>
    <w:rsid w:val="006F52B7"/>
    <w:rsid w:val="00701B60"/>
    <w:rsid w:val="007072AD"/>
    <w:rsid w:val="00710850"/>
    <w:rsid w:val="00717664"/>
    <w:rsid w:val="00717F0B"/>
    <w:rsid w:val="0072345B"/>
    <w:rsid w:val="00727BA3"/>
    <w:rsid w:val="00731450"/>
    <w:rsid w:val="00732FFC"/>
    <w:rsid w:val="007332F4"/>
    <w:rsid w:val="0073383B"/>
    <w:rsid w:val="00734720"/>
    <w:rsid w:val="007376AE"/>
    <w:rsid w:val="00741ADE"/>
    <w:rsid w:val="00741FED"/>
    <w:rsid w:val="007453CA"/>
    <w:rsid w:val="007503FE"/>
    <w:rsid w:val="0075076F"/>
    <w:rsid w:val="00750AB9"/>
    <w:rsid w:val="00751F49"/>
    <w:rsid w:val="00753608"/>
    <w:rsid w:val="00755A4E"/>
    <w:rsid w:val="007562E8"/>
    <w:rsid w:val="00761D77"/>
    <w:rsid w:val="00764AB9"/>
    <w:rsid w:val="007656F0"/>
    <w:rsid w:val="00765D7D"/>
    <w:rsid w:val="00766E21"/>
    <w:rsid w:val="007731BD"/>
    <w:rsid w:val="00773331"/>
    <w:rsid w:val="007739BE"/>
    <w:rsid w:val="00774AB4"/>
    <w:rsid w:val="007770C4"/>
    <w:rsid w:val="00777181"/>
    <w:rsid w:val="007814C9"/>
    <w:rsid w:val="00785AF6"/>
    <w:rsid w:val="0078675F"/>
    <w:rsid w:val="00786D64"/>
    <w:rsid w:val="00792CE2"/>
    <w:rsid w:val="007932EF"/>
    <w:rsid w:val="007A328D"/>
    <w:rsid w:val="007A4358"/>
    <w:rsid w:val="007A5637"/>
    <w:rsid w:val="007A5F4C"/>
    <w:rsid w:val="007A6857"/>
    <w:rsid w:val="007A73F7"/>
    <w:rsid w:val="007B3EE3"/>
    <w:rsid w:val="007B4CFF"/>
    <w:rsid w:val="007C17CF"/>
    <w:rsid w:val="007C5109"/>
    <w:rsid w:val="007D44DB"/>
    <w:rsid w:val="007E05B0"/>
    <w:rsid w:val="007E3DB1"/>
    <w:rsid w:val="007F5663"/>
    <w:rsid w:val="00801ED2"/>
    <w:rsid w:val="00802695"/>
    <w:rsid w:val="00803D03"/>
    <w:rsid w:val="0080411C"/>
    <w:rsid w:val="008102C9"/>
    <w:rsid w:val="00813EB7"/>
    <w:rsid w:val="0081758F"/>
    <w:rsid w:val="00820D96"/>
    <w:rsid w:val="00821B55"/>
    <w:rsid w:val="00821FBC"/>
    <w:rsid w:val="00822AA0"/>
    <w:rsid w:val="0083177C"/>
    <w:rsid w:val="00832A56"/>
    <w:rsid w:val="00833F2F"/>
    <w:rsid w:val="0083474F"/>
    <w:rsid w:val="00835251"/>
    <w:rsid w:val="0083529E"/>
    <w:rsid w:val="00835795"/>
    <w:rsid w:val="00835A3B"/>
    <w:rsid w:val="00835F86"/>
    <w:rsid w:val="0083693F"/>
    <w:rsid w:val="0083764E"/>
    <w:rsid w:val="008423FA"/>
    <w:rsid w:val="00843DBC"/>
    <w:rsid w:val="00844ECB"/>
    <w:rsid w:val="00845D8A"/>
    <w:rsid w:val="00847887"/>
    <w:rsid w:val="00852062"/>
    <w:rsid w:val="008535D7"/>
    <w:rsid w:val="008542A7"/>
    <w:rsid w:val="00854981"/>
    <w:rsid w:val="00861E8A"/>
    <w:rsid w:val="00864276"/>
    <w:rsid w:val="00866352"/>
    <w:rsid w:val="0087150F"/>
    <w:rsid w:val="00871A84"/>
    <w:rsid w:val="00871E8C"/>
    <w:rsid w:val="00874D22"/>
    <w:rsid w:val="00875F31"/>
    <w:rsid w:val="00890DA3"/>
    <w:rsid w:val="008940CC"/>
    <w:rsid w:val="00895B68"/>
    <w:rsid w:val="00895F35"/>
    <w:rsid w:val="00896555"/>
    <w:rsid w:val="00896F39"/>
    <w:rsid w:val="008970D9"/>
    <w:rsid w:val="00897543"/>
    <w:rsid w:val="008A0D24"/>
    <w:rsid w:val="008A0E80"/>
    <w:rsid w:val="008A27F4"/>
    <w:rsid w:val="008A2914"/>
    <w:rsid w:val="008A2E9F"/>
    <w:rsid w:val="008A367F"/>
    <w:rsid w:val="008A5560"/>
    <w:rsid w:val="008B03EC"/>
    <w:rsid w:val="008B0AF1"/>
    <w:rsid w:val="008B4711"/>
    <w:rsid w:val="008C3200"/>
    <w:rsid w:val="008C364E"/>
    <w:rsid w:val="008C3997"/>
    <w:rsid w:val="008C6567"/>
    <w:rsid w:val="008C6F27"/>
    <w:rsid w:val="008D196E"/>
    <w:rsid w:val="008D6223"/>
    <w:rsid w:val="008D79B9"/>
    <w:rsid w:val="008E2C36"/>
    <w:rsid w:val="008E467D"/>
    <w:rsid w:val="008E4D8E"/>
    <w:rsid w:val="008E521E"/>
    <w:rsid w:val="008E6734"/>
    <w:rsid w:val="008F031D"/>
    <w:rsid w:val="008F27BE"/>
    <w:rsid w:val="008F340F"/>
    <w:rsid w:val="008F3B4E"/>
    <w:rsid w:val="008F4495"/>
    <w:rsid w:val="00901132"/>
    <w:rsid w:val="009026B1"/>
    <w:rsid w:val="00903466"/>
    <w:rsid w:val="00905D1B"/>
    <w:rsid w:val="00906350"/>
    <w:rsid w:val="009071B1"/>
    <w:rsid w:val="00913620"/>
    <w:rsid w:val="00922F24"/>
    <w:rsid w:val="009233C6"/>
    <w:rsid w:val="00925DE5"/>
    <w:rsid w:val="00925FE1"/>
    <w:rsid w:val="00926702"/>
    <w:rsid w:val="00931C88"/>
    <w:rsid w:val="00934E15"/>
    <w:rsid w:val="00935FE9"/>
    <w:rsid w:val="00936433"/>
    <w:rsid w:val="00936BAA"/>
    <w:rsid w:val="009376AB"/>
    <w:rsid w:val="00943068"/>
    <w:rsid w:val="00946825"/>
    <w:rsid w:val="0095128E"/>
    <w:rsid w:val="00952EF7"/>
    <w:rsid w:val="009623C8"/>
    <w:rsid w:val="0096486C"/>
    <w:rsid w:val="00964DA2"/>
    <w:rsid w:val="00966E2B"/>
    <w:rsid w:val="00967E8C"/>
    <w:rsid w:val="00971DA8"/>
    <w:rsid w:val="00972AF3"/>
    <w:rsid w:val="00973ED5"/>
    <w:rsid w:val="00974270"/>
    <w:rsid w:val="009766B2"/>
    <w:rsid w:val="009808D3"/>
    <w:rsid w:val="009833CB"/>
    <w:rsid w:val="009835E0"/>
    <w:rsid w:val="00987488"/>
    <w:rsid w:val="009878BE"/>
    <w:rsid w:val="00994C71"/>
    <w:rsid w:val="00997547"/>
    <w:rsid w:val="00997573"/>
    <w:rsid w:val="009A0BA7"/>
    <w:rsid w:val="009A1383"/>
    <w:rsid w:val="009A3C42"/>
    <w:rsid w:val="009A5327"/>
    <w:rsid w:val="009A678E"/>
    <w:rsid w:val="009A77A8"/>
    <w:rsid w:val="009B2C8A"/>
    <w:rsid w:val="009B3156"/>
    <w:rsid w:val="009B363C"/>
    <w:rsid w:val="009B3D4F"/>
    <w:rsid w:val="009B45E3"/>
    <w:rsid w:val="009B6F89"/>
    <w:rsid w:val="009C08F8"/>
    <w:rsid w:val="009C18F8"/>
    <w:rsid w:val="009C3410"/>
    <w:rsid w:val="009C6EFA"/>
    <w:rsid w:val="009C74E2"/>
    <w:rsid w:val="009C7BF0"/>
    <w:rsid w:val="009D7BDB"/>
    <w:rsid w:val="009F05F9"/>
    <w:rsid w:val="009F158E"/>
    <w:rsid w:val="009F27D2"/>
    <w:rsid w:val="00A01586"/>
    <w:rsid w:val="00A01E5E"/>
    <w:rsid w:val="00A1196E"/>
    <w:rsid w:val="00A13A30"/>
    <w:rsid w:val="00A17705"/>
    <w:rsid w:val="00A219C2"/>
    <w:rsid w:val="00A22169"/>
    <w:rsid w:val="00A22576"/>
    <w:rsid w:val="00A2528A"/>
    <w:rsid w:val="00A25544"/>
    <w:rsid w:val="00A26D3A"/>
    <w:rsid w:val="00A34CE6"/>
    <w:rsid w:val="00A363A5"/>
    <w:rsid w:val="00A46514"/>
    <w:rsid w:val="00A46692"/>
    <w:rsid w:val="00A46EB8"/>
    <w:rsid w:val="00A502BD"/>
    <w:rsid w:val="00A51622"/>
    <w:rsid w:val="00A52143"/>
    <w:rsid w:val="00A60155"/>
    <w:rsid w:val="00A604A4"/>
    <w:rsid w:val="00A64E0D"/>
    <w:rsid w:val="00A67BEA"/>
    <w:rsid w:val="00A7110A"/>
    <w:rsid w:val="00A73323"/>
    <w:rsid w:val="00A75062"/>
    <w:rsid w:val="00A811FB"/>
    <w:rsid w:val="00A81748"/>
    <w:rsid w:val="00A855AC"/>
    <w:rsid w:val="00A87A78"/>
    <w:rsid w:val="00A9048D"/>
    <w:rsid w:val="00A921B0"/>
    <w:rsid w:val="00A955B2"/>
    <w:rsid w:val="00AA045B"/>
    <w:rsid w:val="00AA0E6F"/>
    <w:rsid w:val="00AA2466"/>
    <w:rsid w:val="00AA283D"/>
    <w:rsid w:val="00AB3140"/>
    <w:rsid w:val="00AB345F"/>
    <w:rsid w:val="00AB4AE7"/>
    <w:rsid w:val="00AB6FFD"/>
    <w:rsid w:val="00AC0ED5"/>
    <w:rsid w:val="00AC2894"/>
    <w:rsid w:val="00AC5CE3"/>
    <w:rsid w:val="00AC647D"/>
    <w:rsid w:val="00AC659C"/>
    <w:rsid w:val="00AC6E96"/>
    <w:rsid w:val="00AC7064"/>
    <w:rsid w:val="00AD263D"/>
    <w:rsid w:val="00AD42F9"/>
    <w:rsid w:val="00AE2453"/>
    <w:rsid w:val="00AE2BD7"/>
    <w:rsid w:val="00AE40A0"/>
    <w:rsid w:val="00AF02AF"/>
    <w:rsid w:val="00AF455E"/>
    <w:rsid w:val="00B0284F"/>
    <w:rsid w:val="00B0620A"/>
    <w:rsid w:val="00B0657A"/>
    <w:rsid w:val="00B16AC0"/>
    <w:rsid w:val="00B20BAE"/>
    <w:rsid w:val="00B21335"/>
    <w:rsid w:val="00B251F3"/>
    <w:rsid w:val="00B25280"/>
    <w:rsid w:val="00B32D83"/>
    <w:rsid w:val="00B36E08"/>
    <w:rsid w:val="00B377BF"/>
    <w:rsid w:val="00B41858"/>
    <w:rsid w:val="00B434BE"/>
    <w:rsid w:val="00B43554"/>
    <w:rsid w:val="00B444D0"/>
    <w:rsid w:val="00B44C83"/>
    <w:rsid w:val="00B468FA"/>
    <w:rsid w:val="00B517BB"/>
    <w:rsid w:val="00B53AAC"/>
    <w:rsid w:val="00B55C4C"/>
    <w:rsid w:val="00B56572"/>
    <w:rsid w:val="00B61151"/>
    <w:rsid w:val="00B616A5"/>
    <w:rsid w:val="00B6189A"/>
    <w:rsid w:val="00B62DB3"/>
    <w:rsid w:val="00B70D62"/>
    <w:rsid w:val="00B80E55"/>
    <w:rsid w:val="00B824D5"/>
    <w:rsid w:val="00B84841"/>
    <w:rsid w:val="00B8509A"/>
    <w:rsid w:val="00B92248"/>
    <w:rsid w:val="00B92772"/>
    <w:rsid w:val="00B939A7"/>
    <w:rsid w:val="00B94542"/>
    <w:rsid w:val="00B9629B"/>
    <w:rsid w:val="00B96D6D"/>
    <w:rsid w:val="00B971C3"/>
    <w:rsid w:val="00BA0D0A"/>
    <w:rsid w:val="00BA1080"/>
    <w:rsid w:val="00BA297D"/>
    <w:rsid w:val="00BA4A52"/>
    <w:rsid w:val="00BA7624"/>
    <w:rsid w:val="00BA790F"/>
    <w:rsid w:val="00BB0615"/>
    <w:rsid w:val="00BB2D51"/>
    <w:rsid w:val="00BB3BBA"/>
    <w:rsid w:val="00BB3C84"/>
    <w:rsid w:val="00BB3E3B"/>
    <w:rsid w:val="00BB3FB3"/>
    <w:rsid w:val="00BB4520"/>
    <w:rsid w:val="00BC1685"/>
    <w:rsid w:val="00BC4DC8"/>
    <w:rsid w:val="00BC6720"/>
    <w:rsid w:val="00BD51F2"/>
    <w:rsid w:val="00BD59EA"/>
    <w:rsid w:val="00BD7590"/>
    <w:rsid w:val="00BE2C50"/>
    <w:rsid w:val="00BE5BCF"/>
    <w:rsid w:val="00BF199F"/>
    <w:rsid w:val="00BF3E0A"/>
    <w:rsid w:val="00C01DE8"/>
    <w:rsid w:val="00C058BF"/>
    <w:rsid w:val="00C10DDC"/>
    <w:rsid w:val="00C11ABE"/>
    <w:rsid w:val="00C12301"/>
    <w:rsid w:val="00C12E3B"/>
    <w:rsid w:val="00C171D7"/>
    <w:rsid w:val="00C23011"/>
    <w:rsid w:val="00C265CC"/>
    <w:rsid w:val="00C27064"/>
    <w:rsid w:val="00C33541"/>
    <w:rsid w:val="00C35AEB"/>
    <w:rsid w:val="00C37AE4"/>
    <w:rsid w:val="00C43DEA"/>
    <w:rsid w:val="00C44424"/>
    <w:rsid w:val="00C45217"/>
    <w:rsid w:val="00C52A21"/>
    <w:rsid w:val="00C52B3A"/>
    <w:rsid w:val="00C56616"/>
    <w:rsid w:val="00C621A9"/>
    <w:rsid w:val="00C62BE2"/>
    <w:rsid w:val="00C634AF"/>
    <w:rsid w:val="00C670F0"/>
    <w:rsid w:val="00C726C9"/>
    <w:rsid w:val="00C74364"/>
    <w:rsid w:val="00C7662A"/>
    <w:rsid w:val="00C82DDA"/>
    <w:rsid w:val="00C84882"/>
    <w:rsid w:val="00C86299"/>
    <w:rsid w:val="00C875B5"/>
    <w:rsid w:val="00C93BAD"/>
    <w:rsid w:val="00C94011"/>
    <w:rsid w:val="00C95A3B"/>
    <w:rsid w:val="00C95DB3"/>
    <w:rsid w:val="00C97ACD"/>
    <w:rsid w:val="00CA0829"/>
    <w:rsid w:val="00CA1AF4"/>
    <w:rsid w:val="00CA270F"/>
    <w:rsid w:val="00CA28F6"/>
    <w:rsid w:val="00CA3D89"/>
    <w:rsid w:val="00CB15DB"/>
    <w:rsid w:val="00CB3DCD"/>
    <w:rsid w:val="00CC0A6D"/>
    <w:rsid w:val="00CC115A"/>
    <w:rsid w:val="00CC599F"/>
    <w:rsid w:val="00CC68CD"/>
    <w:rsid w:val="00CC6938"/>
    <w:rsid w:val="00CC723B"/>
    <w:rsid w:val="00CC736D"/>
    <w:rsid w:val="00CD25A6"/>
    <w:rsid w:val="00CD45E6"/>
    <w:rsid w:val="00CD663F"/>
    <w:rsid w:val="00CD6FC2"/>
    <w:rsid w:val="00CE0408"/>
    <w:rsid w:val="00CE0646"/>
    <w:rsid w:val="00CE3160"/>
    <w:rsid w:val="00CE7807"/>
    <w:rsid w:val="00CE780B"/>
    <w:rsid w:val="00CF0AFF"/>
    <w:rsid w:val="00CF102E"/>
    <w:rsid w:val="00CF12CB"/>
    <w:rsid w:val="00CF1C0A"/>
    <w:rsid w:val="00CF2A94"/>
    <w:rsid w:val="00CF3D4B"/>
    <w:rsid w:val="00CF6015"/>
    <w:rsid w:val="00CF6F73"/>
    <w:rsid w:val="00CF7DCB"/>
    <w:rsid w:val="00D00ED9"/>
    <w:rsid w:val="00D010C4"/>
    <w:rsid w:val="00D01BD6"/>
    <w:rsid w:val="00D02124"/>
    <w:rsid w:val="00D02367"/>
    <w:rsid w:val="00D04E30"/>
    <w:rsid w:val="00D06071"/>
    <w:rsid w:val="00D1206C"/>
    <w:rsid w:val="00D125C2"/>
    <w:rsid w:val="00D148E2"/>
    <w:rsid w:val="00D14B2E"/>
    <w:rsid w:val="00D20381"/>
    <w:rsid w:val="00D227B7"/>
    <w:rsid w:val="00D22F54"/>
    <w:rsid w:val="00D2392F"/>
    <w:rsid w:val="00D25A9F"/>
    <w:rsid w:val="00D331C3"/>
    <w:rsid w:val="00D337DB"/>
    <w:rsid w:val="00D36599"/>
    <w:rsid w:val="00D3686A"/>
    <w:rsid w:val="00D36E64"/>
    <w:rsid w:val="00D408E4"/>
    <w:rsid w:val="00D43D8F"/>
    <w:rsid w:val="00D4723F"/>
    <w:rsid w:val="00D47665"/>
    <w:rsid w:val="00D523BB"/>
    <w:rsid w:val="00D523F1"/>
    <w:rsid w:val="00D54284"/>
    <w:rsid w:val="00D608B2"/>
    <w:rsid w:val="00D62CD6"/>
    <w:rsid w:val="00D62E19"/>
    <w:rsid w:val="00D63903"/>
    <w:rsid w:val="00D64224"/>
    <w:rsid w:val="00D6505E"/>
    <w:rsid w:val="00D67932"/>
    <w:rsid w:val="00D67ABE"/>
    <w:rsid w:val="00D71ABF"/>
    <w:rsid w:val="00D72048"/>
    <w:rsid w:val="00D72ABF"/>
    <w:rsid w:val="00D74819"/>
    <w:rsid w:val="00D777A3"/>
    <w:rsid w:val="00D82241"/>
    <w:rsid w:val="00D84401"/>
    <w:rsid w:val="00D848CD"/>
    <w:rsid w:val="00D84C75"/>
    <w:rsid w:val="00D876DC"/>
    <w:rsid w:val="00D90C50"/>
    <w:rsid w:val="00DA692C"/>
    <w:rsid w:val="00DA6E01"/>
    <w:rsid w:val="00DA7FE3"/>
    <w:rsid w:val="00DB00C3"/>
    <w:rsid w:val="00DB0CCC"/>
    <w:rsid w:val="00DB1A66"/>
    <w:rsid w:val="00DB5EAD"/>
    <w:rsid w:val="00DC0380"/>
    <w:rsid w:val="00DC37F3"/>
    <w:rsid w:val="00DC69A3"/>
    <w:rsid w:val="00DC7A10"/>
    <w:rsid w:val="00DC7EF0"/>
    <w:rsid w:val="00DD01B2"/>
    <w:rsid w:val="00DD295E"/>
    <w:rsid w:val="00DD50B1"/>
    <w:rsid w:val="00DD5767"/>
    <w:rsid w:val="00DE047A"/>
    <w:rsid w:val="00DE1806"/>
    <w:rsid w:val="00DE3DFD"/>
    <w:rsid w:val="00DE43CA"/>
    <w:rsid w:val="00DE50DE"/>
    <w:rsid w:val="00DE7DC1"/>
    <w:rsid w:val="00DF239E"/>
    <w:rsid w:val="00DF4BA7"/>
    <w:rsid w:val="00E045EA"/>
    <w:rsid w:val="00E04E6C"/>
    <w:rsid w:val="00E12E7B"/>
    <w:rsid w:val="00E12EDF"/>
    <w:rsid w:val="00E138A7"/>
    <w:rsid w:val="00E14ED7"/>
    <w:rsid w:val="00E16876"/>
    <w:rsid w:val="00E228D4"/>
    <w:rsid w:val="00E22B31"/>
    <w:rsid w:val="00E23726"/>
    <w:rsid w:val="00E278EB"/>
    <w:rsid w:val="00E30434"/>
    <w:rsid w:val="00E329D5"/>
    <w:rsid w:val="00E32CC1"/>
    <w:rsid w:val="00E33191"/>
    <w:rsid w:val="00E34A2E"/>
    <w:rsid w:val="00E376C0"/>
    <w:rsid w:val="00E42B9B"/>
    <w:rsid w:val="00E4460E"/>
    <w:rsid w:val="00E452EC"/>
    <w:rsid w:val="00E47C54"/>
    <w:rsid w:val="00E5226B"/>
    <w:rsid w:val="00E54140"/>
    <w:rsid w:val="00E54807"/>
    <w:rsid w:val="00E54C31"/>
    <w:rsid w:val="00E574C4"/>
    <w:rsid w:val="00E616BE"/>
    <w:rsid w:val="00E63CCD"/>
    <w:rsid w:val="00E657F6"/>
    <w:rsid w:val="00E65EEC"/>
    <w:rsid w:val="00E74297"/>
    <w:rsid w:val="00E85977"/>
    <w:rsid w:val="00E96B12"/>
    <w:rsid w:val="00EA094F"/>
    <w:rsid w:val="00EA313E"/>
    <w:rsid w:val="00EA326D"/>
    <w:rsid w:val="00EA4919"/>
    <w:rsid w:val="00EA5610"/>
    <w:rsid w:val="00EA58C1"/>
    <w:rsid w:val="00EA5C0C"/>
    <w:rsid w:val="00EA6E26"/>
    <w:rsid w:val="00EA72C0"/>
    <w:rsid w:val="00EB0E05"/>
    <w:rsid w:val="00EB2182"/>
    <w:rsid w:val="00EB2B99"/>
    <w:rsid w:val="00EB2D73"/>
    <w:rsid w:val="00EB4901"/>
    <w:rsid w:val="00EB5A36"/>
    <w:rsid w:val="00EB5B12"/>
    <w:rsid w:val="00EB729A"/>
    <w:rsid w:val="00EB7C79"/>
    <w:rsid w:val="00EC340D"/>
    <w:rsid w:val="00ED1232"/>
    <w:rsid w:val="00ED3127"/>
    <w:rsid w:val="00ED5BDC"/>
    <w:rsid w:val="00ED662B"/>
    <w:rsid w:val="00ED728B"/>
    <w:rsid w:val="00ED7A64"/>
    <w:rsid w:val="00EF1FF6"/>
    <w:rsid w:val="00EF2410"/>
    <w:rsid w:val="00EF253E"/>
    <w:rsid w:val="00EF2A57"/>
    <w:rsid w:val="00EF3762"/>
    <w:rsid w:val="00F05CE5"/>
    <w:rsid w:val="00F06E5A"/>
    <w:rsid w:val="00F07762"/>
    <w:rsid w:val="00F12EC5"/>
    <w:rsid w:val="00F13F43"/>
    <w:rsid w:val="00F14A5F"/>
    <w:rsid w:val="00F166E7"/>
    <w:rsid w:val="00F16E91"/>
    <w:rsid w:val="00F177EE"/>
    <w:rsid w:val="00F219AC"/>
    <w:rsid w:val="00F24C1B"/>
    <w:rsid w:val="00F26BAD"/>
    <w:rsid w:val="00F3108F"/>
    <w:rsid w:val="00F32486"/>
    <w:rsid w:val="00F37653"/>
    <w:rsid w:val="00F4024E"/>
    <w:rsid w:val="00F44926"/>
    <w:rsid w:val="00F50620"/>
    <w:rsid w:val="00F50DDF"/>
    <w:rsid w:val="00F50E64"/>
    <w:rsid w:val="00F528EF"/>
    <w:rsid w:val="00F53E0C"/>
    <w:rsid w:val="00F56DD3"/>
    <w:rsid w:val="00F56F77"/>
    <w:rsid w:val="00F6190C"/>
    <w:rsid w:val="00F61D1A"/>
    <w:rsid w:val="00F62F9E"/>
    <w:rsid w:val="00F71D9D"/>
    <w:rsid w:val="00F74EA4"/>
    <w:rsid w:val="00F82F20"/>
    <w:rsid w:val="00F85B1F"/>
    <w:rsid w:val="00F8791C"/>
    <w:rsid w:val="00F90432"/>
    <w:rsid w:val="00F964E4"/>
    <w:rsid w:val="00F9700D"/>
    <w:rsid w:val="00F9703C"/>
    <w:rsid w:val="00F9789C"/>
    <w:rsid w:val="00FA11C7"/>
    <w:rsid w:val="00FA1D87"/>
    <w:rsid w:val="00FA38D5"/>
    <w:rsid w:val="00FA7ABC"/>
    <w:rsid w:val="00FB3887"/>
    <w:rsid w:val="00FB58AA"/>
    <w:rsid w:val="00FB6549"/>
    <w:rsid w:val="00FC1650"/>
    <w:rsid w:val="00FC2388"/>
    <w:rsid w:val="00FC38F8"/>
    <w:rsid w:val="00FC586E"/>
    <w:rsid w:val="00FC5BFD"/>
    <w:rsid w:val="00FD26B9"/>
    <w:rsid w:val="00FD42FC"/>
    <w:rsid w:val="00FD5482"/>
    <w:rsid w:val="00FE311E"/>
    <w:rsid w:val="00FE4122"/>
    <w:rsid w:val="00FE4850"/>
    <w:rsid w:val="00FE6061"/>
    <w:rsid w:val="00FE7EFF"/>
    <w:rsid w:val="00FF69B4"/>
    <w:rsid w:val="041B2E78"/>
    <w:rsid w:val="06108FCB"/>
    <w:rsid w:val="070ED0F8"/>
    <w:rsid w:val="0C7BB8C6"/>
    <w:rsid w:val="0EAD9B41"/>
    <w:rsid w:val="10D962D9"/>
    <w:rsid w:val="114C85F5"/>
    <w:rsid w:val="1160BC2A"/>
    <w:rsid w:val="16316771"/>
    <w:rsid w:val="19D3874E"/>
    <w:rsid w:val="1B5EEDEF"/>
    <w:rsid w:val="1ED4BCA1"/>
    <w:rsid w:val="25B8238C"/>
    <w:rsid w:val="275FF0C1"/>
    <w:rsid w:val="2FA40103"/>
    <w:rsid w:val="32018018"/>
    <w:rsid w:val="3773223E"/>
    <w:rsid w:val="38151822"/>
    <w:rsid w:val="3935BE2D"/>
    <w:rsid w:val="44F08779"/>
    <w:rsid w:val="44F97B67"/>
    <w:rsid w:val="45B8B23E"/>
    <w:rsid w:val="47501B55"/>
    <w:rsid w:val="48F8AB44"/>
    <w:rsid w:val="4A3B1376"/>
    <w:rsid w:val="4E00CA46"/>
    <w:rsid w:val="4EF5444D"/>
    <w:rsid w:val="50515B05"/>
    <w:rsid w:val="50B532B1"/>
    <w:rsid w:val="5571A9D3"/>
    <w:rsid w:val="578F303F"/>
    <w:rsid w:val="58E9BA92"/>
    <w:rsid w:val="6429CC49"/>
    <w:rsid w:val="652C14D6"/>
    <w:rsid w:val="68609577"/>
    <w:rsid w:val="6890201E"/>
    <w:rsid w:val="69B14522"/>
    <w:rsid w:val="6A361525"/>
    <w:rsid w:val="6C3166DF"/>
    <w:rsid w:val="6F0CC155"/>
    <w:rsid w:val="6F4942D0"/>
    <w:rsid w:val="7150DBA1"/>
    <w:rsid w:val="72FE1448"/>
    <w:rsid w:val="7454ACD8"/>
    <w:rsid w:val="7FBDF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D6B8ADBD-3467-45E4-9564-B5254550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8F031D"/>
    <w:pPr>
      <w:numPr>
        <w:numId w:val="2"/>
      </w:numPr>
    </w:pPr>
    <w:rPr>
      <w:rFonts w:eastAsia="Times New Roman"/>
      <w:lang w:eastAsia="de-DE"/>
    </w:rPr>
  </w:style>
  <w:style w:type="paragraph" w:styleId="ListNumber">
    <w:name w:val="List Number"/>
    <w:basedOn w:val="Normal"/>
    <w:rsid w:val="008F031D"/>
    <w:pPr>
      <w:numPr>
        <w:numId w:val="6"/>
      </w:numPr>
    </w:pPr>
    <w:rPr>
      <w:rFonts w:eastAsia="Times New Roman"/>
      <w:lang w:eastAsia="de-DE"/>
    </w:rPr>
  </w:style>
  <w:style w:type="paragraph" w:customStyle="1" w:styleId="ListBullet1">
    <w:name w:val="List Bullet 1"/>
    <w:basedOn w:val="Normal"/>
    <w:rsid w:val="008F031D"/>
    <w:pPr>
      <w:numPr>
        <w:numId w:val="1"/>
      </w:numPr>
    </w:pPr>
    <w:rPr>
      <w:rFonts w:eastAsia="Times New Roman"/>
      <w:lang w:eastAsia="de-DE"/>
    </w:rPr>
  </w:style>
  <w:style w:type="paragraph" w:customStyle="1" w:styleId="ListDash">
    <w:name w:val="List Dash"/>
    <w:basedOn w:val="Normal"/>
    <w:rsid w:val="008F031D"/>
    <w:pPr>
      <w:numPr>
        <w:numId w:val="3"/>
      </w:numPr>
    </w:pPr>
    <w:rPr>
      <w:rFonts w:eastAsia="Times New Roman"/>
      <w:lang w:eastAsia="de-DE"/>
    </w:rPr>
  </w:style>
  <w:style w:type="paragraph" w:customStyle="1" w:styleId="ListDash1">
    <w:name w:val="List Dash 1"/>
    <w:basedOn w:val="Normal"/>
    <w:rsid w:val="008F031D"/>
    <w:pPr>
      <w:numPr>
        <w:numId w:val="4"/>
      </w:numPr>
    </w:pPr>
    <w:rPr>
      <w:rFonts w:eastAsia="Times New Roman"/>
      <w:lang w:eastAsia="de-DE"/>
    </w:rPr>
  </w:style>
  <w:style w:type="paragraph" w:customStyle="1" w:styleId="ListDash2">
    <w:name w:val="List Dash 2"/>
    <w:basedOn w:val="Normal"/>
    <w:rsid w:val="008F031D"/>
    <w:pPr>
      <w:numPr>
        <w:numId w:val="5"/>
      </w:numPr>
    </w:pPr>
    <w:rPr>
      <w:rFonts w:eastAsia="Times New Roman"/>
      <w:lang w:eastAsia="de-DE"/>
    </w:rPr>
  </w:style>
  <w:style w:type="paragraph" w:customStyle="1" w:styleId="ListNumberLevel2">
    <w:name w:val="List Number (Level 2)"/>
    <w:basedOn w:val="Normal"/>
    <w:rsid w:val="008F031D"/>
    <w:pPr>
      <w:tabs>
        <w:tab w:val="num" w:pos="1417"/>
      </w:tabs>
      <w:ind w:left="1417" w:hanging="708"/>
    </w:pPr>
    <w:rPr>
      <w:rFonts w:eastAsia="Times New Roman"/>
      <w:lang w:eastAsia="de-DE"/>
    </w:rPr>
  </w:style>
  <w:style w:type="paragraph" w:customStyle="1" w:styleId="ListNumberLevel3">
    <w:name w:val="List Number (Level 3)"/>
    <w:basedOn w:val="Normal"/>
    <w:rsid w:val="008F031D"/>
    <w:pPr>
      <w:tabs>
        <w:tab w:val="num" w:pos="2126"/>
      </w:tabs>
      <w:ind w:left="2126" w:hanging="709"/>
    </w:pPr>
    <w:rPr>
      <w:rFonts w:eastAsia="Times New Roman"/>
      <w:lang w:eastAsia="de-DE"/>
    </w:rPr>
  </w:style>
  <w:style w:type="paragraph" w:customStyle="1" w:styleId="ListNumberLevel4">
    <w:name w:val="List Number (Level 4)"/>
    <w:basedOn w:val="Normal"/>
    <w:rsid w:val="008F031D"/>
    <w:pPr>
      <w:numPr>
        <w:ilvl w:val="3"/>
        <w:numId w:val="6"/>
      </w:numPr>
    </w:pPr>
    <w:rPr>
      <w:rFonts w:eastAsia="Times New Roman"/>
      <w:lang w:eastAsia="de-DE"/>
    </w:rPr>
  </w:style>
  <w:style w:type="table" w:styleId="TableGrid">
    <w:name w:val="Table Grid"/>
    <w:basedOn w:val="TableNormal"/>
    <w:rsid w:val="008F031D"/>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031D"/>
    <w:rPr>
      <w:color w:val="0000FF"/>
      <w:u w:val="single"/>
    </w:rPr>
  </w:style>
  <w:style w:type="paragraph" w:styleId="ListBullet">
    <w:name w:val="List Bullet"/>
    <w:basedOn w:val="Normal"/>
    <w:rsid w:val="008F031D"/>
    <w:pPr>
      <w:numPr>
        <w:numId w:val="7"/>
      </w:numPr>
    </w:pPr>
    <w:rPr>
      <w:rFonts w:eastAsia="Times New Roman"/>
      <w:lang w:val="fr-FR" w:eastAsia="en-GB"/>
    </w:rPr>
  </w:style>
  <w:style w:type="paragraph" w:styleId="ListBullet2">
    <w:name w:val="List Bullet 2"/>
    <w:basedOn w:val="Normal"/>
    <w:rsid w:val="008F031D"/>
    <w:pPr>
      <w:numPr>
        <w:numId w:val="8"/>
      </w:numPr>
    </w:pPr>
    <w:rPr>
      <w:rFonts w:eastAsia="Times New Roman"/>
      <w:lang w:val="fr-FR" w:eastAsia="en-GB"/>
    </w:rPr>
  </w:style>
  <w:style w:type="paragraph" w:styleId="ListBullet3">
    <w:name w:val="List Bullet 3"/>
    <w:basedOn w:val="Normal"/>
    <w:rsid w:val="008F031D"/>
    <w:pPr>
      <w:numPr>
        <w:numId w:val="9"/>
      </w:numPr>
    </w:pPr>
    <w:rPr>
      <w:rFonts w:eastAsia="Times New Roman"/>
      <w:lang w:val="fr-FR" w:eastAsia="en-GB"/>
    </w:rPr>
  </w:style>
  <w:style w:type="paragraph" w:styleId="ListNumber2">
    <w:name w:val="List Number 2"/>
    <w:basedOn w:val="Normal"/>
    <w:rsid w:val="008F031D"/>
    <w:pPr>
      <w:numPr>
        <w:numId w:val="13"/>
      </w:numPr>
    </w:pPr>
    <w:rPr>
      <w:rFonts w:eastAsia="Times New Roman"/>
      <w:lang w:val="fr-FR" w:eastAsia="en-GB"/>
    </w:rPr>
  </w:style>
  <w:style w:type="paragraph" w:styleId="ListNumber3">
    <w:name w:val="List Number 3"/>
    <w:basedOn w:val="Normal"/>
    <w:rsid w:val="008F031D"/>
    <w:pPr>
      <w:numPr>
        <w:numId w:val="14"/>
      </w:numPr>
    </w:pPr>
    <w:rPr>
      <w:rFonts w:eastAsia="Times New Roman"/>
      <w:lang w:val="fr-FR" w:eastAsia="en-GB"/>
    </w:rPr>
  </w:style>
  <w:style w:type="paragraph" w:styleId="ListNumber4">
    <w:name w:val="List Number 4"/>
    <w:basedOn w:val="Normal"/>
    <w:rsid w:val="008F031D"/>
    <w:pPr>
      <w:numPr>
        <w:numId w:val="15"/>
      </w:numPr>
    </w:pPr>
    <w:rPr>
      <w:rFonts w:eastAsia="Times New Roman"/>
      <w:lang w:val="fr-FR" w:eastAsia="en-GB"/>
    </w:rPr>
  </w:style>
  <w:style w:type="paragraph" w:customStyle="1" w:styleId="ListDash3">
    <w:name w:val="List Dash 3"/>
    <w:basedOn w:val="Normal"/>
    <w:rsid w:val="008F031D"/>
    <w:pPr>
      <w:numPr>
        <w:numId w:val="10"/>
      </w:numPr>
    </w:pPr>
    <w:rPr>
      <w:rFonts w:eastAsia="Times New Roman"/>
      <w:lang w:val="fr-FR" w:eastAsia="en-GB"/>
    </w:rPr>
  </w:style>
  <w:style w:type="paragraph" w:customStyle="1" w:styleId="ListDash4">
    <w:name w:val="List Dash 4"/>
    <w:basedOn w:val="Normal"/>
    <w:rsid w:val="008F031D"/>
    <w:pPr>
      <w:numPr>
        <w:numId w:val="11"/>
      </w:numPr>
    </w:pPr>
    <w:rPr>
      <w:rFonts w:eastAsia="Times New Roman"/>
      <w:lang w:val="fr-FR" w:eastAsia="en-GB"/>
    </w:rPr>
  </w:style>
  <w:style w:type="paragraph" w:customStyle="1" w:styleId="ListNumber1">
    <w:name w:val="List Number 1"/>
    <w:basedOn w:val="Text1"/>
    <w:rsid w:val="008F031D"/>
    <w:pPr>
      <w:numPr>
        <w:numId w:val="12"/>
      </w:numPr>
    </w:pPr>
    <w:rPr>
      <w:rFonts w:eastAsia="Times New Roman"/>
      <w:lang w:val="fr-FR" w:eastAsia="en-GB"/>
    </w:rPr>
  </w:style>
  <w:style w:type="paragraph" w:customStyle="1" w:styleId="ListNumber1Level2">
    <w:name w:val="List Number 1 (Level 2)"/>
    <w:basedOn w:val="Text1"/>
    <w:rsid w:val="008F031D"/>
    <w:pPr>
      <w:numPr>
        <w:ilvl w:val="1"/>
        <w:numId w:val="12"/>
      </w:numPr>
    </w:pPr>
    <w:rPr>
      <w:rFonts w:eastAsia="Times New Roman"/>
      <w:lang w:val="fr-FR" w:eastAsia="en-GB"/>
    </w:rPr>
  </w:style>
  <w:style w:type="paragraph" w:customStyle="1" w:styleId="ListNumber2Level2">
    <w:name w:val="List Number 2 (Level 2)"/>
    <w:basedOn w:val="Text2"/>
    <w:rsid w:val="008F031D"/>
    <w:pPr>
      <w:numPr>
        <w:ilvl w:val="1"/>
        <w:numId w:val="13"/>
      </w:numPr>
    </w:pPr>
    <w:rPr>
      <w:rFonts w:eastAsia="Times New Roman"/>
      <w:lang w:val="fr-FR" w:eastAsia="en-GB"/>
    </w:rPr>
  </w:style>
  <w:style w:type="paragraph" w:customStyle="1" w:styleId="ListNumber3Level2">
    <w:name w:val="List Number 3 (Level 2)"/>
    <w:basedOn w:val="Text3"/>
    <w:rsid w:val="008F031D"/>
    <w:pPr>
      <w:numPr>
        <w:ilvl w:val="1"/>
        <w:numId w:val="14"/>
      </w:numPr>
    </w:pPr>
    <w:rPr>
      <w:rFonts w:eastAsia="Times New Roman"/>
      <w:lang w:val="fr-FR" w:eastAsia="en-GB"/>
    </w:rPr>
  </w:style>
  <w:style w:type="paragraph" w:customStyle="1" w:styleId="ListNumber4Level2">
    <w:name w:val="List Number 4 (Level 2)"/>
    <w:basedOn w:val="Text4"/>
    <w:rsid w:val="008F031D"/>
    <w:pPr>
      <w:numPr>
        <w:ilvl w:val="1"/>
        <w:numId w:val="15"/>
      </w:numPr>
    </w:pPr>
    <w:rPr>
      <w:rFonts w:eastAsia="Times New Roman"/>
      <w:lang w:val="fr-FR" w:eastAsia="en-GB"/>
    </w:rPr>
  </w:style>
  <w:style w:type="paragraph" w:customStyle="1" w:styleId="ListNumber1Level3">
    <w:name w:val="List Number 1 (Level 3)"/>
    <w:basedOn w:val="Text1"/>
    <w:rsid w:val="008F031D"/>
    <w:pPr>
      <w:numPr>
        <w:ilvl w:val="2"/>
        <w:numId w:val="12"/>
      </w:numPr>
    </w:pPr>
    <w:rPr>
      <w:rFonts w:eastAsia="Times New Roman"/>
      <w:lang w:val="fr-FR" w:eastAsia="en-GB"/>
    </w:rPr>
  </w:style>
  <w:style w:type="paragraph" w:customStyle="1" w:styleId="ListNumber2Level3">
    <w:name w:val="List Number 2 (Level 3)"/>
    <w:basedOn w:val="Text2"/>
    <w:rsid w:val="008F031D"/>
    <w:pPr>
      <w:numPr>
        <w:ilvl w:val="2"/>
        <w:numId w:val="13"/>
      </w:numPr>
    </w:pPr>
    <w:rPr>
      <w:rFonts w:eastAsia="Times New Roman"/>
      <w:lang w:val="fr-FR" w:eastAsia="en-GB"/>
    </w:rPr>
  </w:style>
  <w:style w:type="paragraph" w:customStyle="1" w:styleId="ListNumber3Level3">
    <w:name w:val="List Number 3 (Level 3)"/>
    <w:basedOn w:val="Text3"/>
    <w:rsid w:val="008F031D"/>
    <w:pPr>
      <w:numPr>
        <w:ilvl w:val="2"/>
        <w:numId w:val="14"/>
      </w:numPr>
    </w:pPr>
    <w:rPr>
      <w:rFonts w:eastAsia="Times New Roman"/>
      <w:lang w:val="fr-FR" w:eastAsia="en-GB"/>
    </w:rPr>
  </w:style>
  <w:style w:type="paragraph" w:customStyle="1" w:styleId="ListNumber4Level3">
    <w:name w:val="List Number 4 (Level 3)"/>
    <w:basedOn w:val="Text4"/>
    <w:rsid w:val="008F031D"/>
    <w:pPr>
      <w:numPr>
        <w:ilvl w:val="2"/>
        <w:numId w:val="15"/>
      </w:numPr>
    </w:pPr>
    <w:rPr>
      <w:rFonts w:eastAsia="Times New Roman"/>
      <w:lang w:val="fr-FR" w:eastAsia="en-GB"/>
    </w:rPr>
  </w:style>
  <w:style w:type="paragraph" w:customStyle="1" w:styleId="ListNumber1Level4">
    <w:name w:val="List Number 1 (Level 4)"/>
    <w:basedOn w:val="Text1"/>
    <w:rsid w:val="008F031D"/>
    <w:pPr>
      <w:numPr>
        <w:ilvl w:val="3"/>
        <w:numId w:val="12"/>
      </w:numPr>
    </w:pPr>
    <w:rPr>
      <w:rFonts w:eastAsia="Times New Roman"/>
      <w:lang w:val="fr-FR" w:eastAsia="en-GB"/>
    </w:rPr>
  </w:style>
  <w:style w:type="paragraph" w:customStyle="1" w:styleId="ListNumber2Level4">
    <w:name w:val="List Number 2 (Level 4)"/>
    <w:basedOn w:val="Text2"/>
    <w:rsid w:val="008F031D"/>
    <w:pPr>
      <w:numPr>
        <w:ilvl w:val="3"/>
        <w:numId w:val="13"/>
      </w:numPr>
    </w:pPr>
    <w:rPr>
      <w:rFonts w:eastAsia="Times New Roman"/>
      <w:lang w:val="fr-FR" w:eastAsia="en-GB"/>
    </w:rPr>
  </w:style>
  <w:style w:type="paragraph" w:customStyle="1" w:styleId="ListNumber3Level4">
    <w:name w:val="List Number 3 (Level 4)"/>
    <w:basedOn w:val="Text3"/>
    <w:rsid w:val="008F031D"/>
    <w:pPr>
      <w:numPr>
        <w:ilvl w:val="3"/>
        <w:numId w:val="14"/>
      </w:numPr>
    </w:pPr>
    <w:rPr>
      <w:rFonts w:eastAsia="Times New Roman"/>
      <w:lang w:val="fr-FR" w:eastAsia="en-GB"/>
    </w:rPr>
  </w:style>
  <w:style w:type="paragraph" w:customStyle="1" w:styleId="ListNumber4Level4">
    <w:name w:val="List Number 4 (Level 4)"/>
    <w:basedOn w:val="Text4"/>
    <w:rsid w:val="008F031D"/>
    <w:pPr>
      <w:numPr>
        <w:ilvl w:val="3"/>
        <w:numId w:val="15"/>
      </w:numPr>
    </w:pPr>
    <w:rPr>
      <w:rFonts w:eastAsia="Times New Roman"/>
      <w:lang w:val="fr-FR" w:eastAsia="en-GB"/>
    </w:rPr>
  </w:style>
  <w:style w:type="paragraph" w:customStyle="1" w:styleId="Annexetitreacte">
    <w:name w:val="Annexe titre (acte)"/>
    <w:basedOn w:val="Normal"/>
    <w:next w:val="Normal"/>
    <w:rsid w:val="008F031D"/>
    <w:pPr>
      <w:jc w:val="center"/>
    </w:pPr>
    <w:rPr>
      <w:rFonts w:eastAsia="Times New Roman"/>
      <w:b/>
      <w:u w:val="single"/>
      <w:lang w:val="fr-FR" w:eastAsia="en-GB"/>
    </w:rPr>
  </w:style>
  <w:style w:type="paragraph" w:customStyle="1" w:styleId="Annexetitreexposglobal">
    <w:name w:val="Annexe titre (exposé global)"/>
    <w:basedOn w:val="Normal"/>
    <w:next w:val="Normal"/>
    <w:rsid w:val="008F031D"/>
    <w:pPr>
      <w:jc w:val="center"/>
    </w:pPr>
    <w:rPr>
      <w:rFonts w:eastAsia="Times New Roman"/>
      <w:b/>
      <w:u w:val="single"/>
      <w:lang w:val="fr-FR" w:eastAsia="en-GB"/>
    </w:rPr>
  </w:style>
  <w:style w:type="paragraph" w:customStyle="1" w:styleId="Annexetitrefichefinacte">
    <w:name w:val="Annexe titre (fiche fin. acte)"/>
    <w:basedOn w:val="Normal"/>
    <w:next w:val="Normal"/>
    <w:rsid w:val="008F031D"/>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8F031D"/>
    <w:pPr>
      <w:jc w:val="center"/>
    </w:pPr>
    <w:rPr>
      <w:rFonts w:eastAsia="Times New Roman"/>
      <w:b/>
      <w:u w:val="single"/>
      <w:lang w:val="fr-FR" w:eastAsia="en-GB"/>
    </w:rPr>
  </w:style>
  <w:style w:type="paragraph" w:customStyle="1" w:styleId="Annexetitreglobale">
    <w:name w:val="Annexe titre (globale)"/>
    <w:basedOn w:val="Normal"/>
    <w:next w:val="Normal"/>
    <w:rsid w:val="008F031D"/>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8F031D"/>
    <w:pPr>
      <w:jc w:val="center"/>
    </w:pPr>
    <w:rPr>
      <w:rFonts w:eastAsia="Times New Roman"/>
      <w:b/>
      <w:u w:val="single"/>
      <w:lang w:val="fr-FR" w:eastAsia="en-GB"/>
    </w:rPr>
  </w:style>
  <w:style w:type="paragraph" w:customStyle="1" w:styleId="Langueoriginale">
    <w:name w:val="Langue originale"/>
    <w:basedOn w:val="Normal"/>
    <w:rsid w:val="008F031D"/>
    <w:pPr>
      <w:spacing w:before="360"/>
      <w:jc w:val="center"/>
    </w:pPr>
    <w:rPr>
      <w:rFonts w:eastAsia="Times New Roman"/>
      <w:caps/>
      <w:lang w:val="fr-FR" w:eastAsia="en-GB"/>
    </w:rPr>
  </w:style>
  <w:style w:type="paragraph" w:customStyle="1" w:styleId="Phrasefinale">
    <w:name w:val="Phrase finale"/>
    <w:basedOn w:val="Normal"/>
    <w:next w:val="Normal"/>
    <w:rsid w:val="008F031D"/>
    <w:pPr>
      <w:spacing w:before="360" w:after="0"/>
      <w:jc w:val="center"/>
    </w:pPr>
    <w:rPr>
      <w:rFonts w:eastAsia="Times New Roman"/>
      <w:lang w:val="fr-FR" w:eastAsia="en-GB"/>
    </w:rPr>
  </w:style>
  <w:style w:type="paragraph" w:customStyle="1" w:styleId="Prliminairetitre">
    <w:name w:val="Préliminaire titre"/>
    <w:basedOn w:val="Normal"/>
    <w:next w:val="Normal"/>
    <w:rsid w:val="008F031D"/>
    <w:pPr>
      <w:spacing w:before="360" w:after="360"/>
      <w:jc w:val="center"/>
    </w:pPr>
    <w:rPr>
      <w:rFonts w:eastAsia="Times New Roman"/>
      <w:b/>
      <w:lang w:val="fr-FR" w:eastAsia="en-GB"/>
    </w:rPr>
  </w:style>
  <w:style w:type="paragraph" w:customStyle="1" w:styleId="Prliminairetype">
    <w:name w:val="Préliminaire type"/>
    <w:basedOn w:val="Normal"/>
    <w:next w:val="Normal"/>
    <w:rsid w:val="008F031D"/>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8F031D"/>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8F031D"/>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8F031D"/>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8F031D"/>
    <w:pPr>
      <w:spacing w:before="0" w:after="0"/>
      <w:jc w:val="center"/>
    </w:pPr>
    <w:rPr>
      <w:rFonts w:eastAsia="Times New Roman"/>
      <w:b/>
      <w:lang w:val="fr-FR" w:eastAsia="en-GB"/>
    </w:rPr>
  </w:style>
  <w:style w:type="paragraph" w:customStyle="1" w:styleId="Statutprliminaire">
    <w:name w:val="Statut (préliminaire)"/>
    <w:basedOn w:val="Normal"/>
    <w:next w:val="Normal"/>
    <w:rsid w:val="008F031D"/>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8F031D"/>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8F031D"/>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8F031D"/>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F031D"/>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F031D"/>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F031D"/>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F031D"/>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F031D"/>
    <w:pPr>
      <w:jc w:val="center"/>
    </w:pPr>
    <w:rPr>
      <w:rFonts w:eastAsia="Times New Roman"/>
      <w:b/>
      <w:u w:val="single"/>
      <w:lang w:val="fr-FR" w:eastAsia="en-GB"/>
    </w:rPr>
  </w:style>
  <w:style w:type="character" w:styleId="CommentReference">
    <w:name w:val="annotation reference"/>
    <w:uiPriority w:val="99"/>
    <w:rsid w:val="008F031D"/>
    <w:rPr>
      <w:rFonts w:cs="Times New Roman"/>
      <w:sz w:val="16"/>
      <w:szCs w:val="16"/>
    </w:rPr>
  </w:style>
  <w:style w:type="paragraph" w:styleId="CommentText">
    <w:name w:val="annotation text"/>
    <w:basedOn w:val="Normal"/>
    <w:link w:val="CommentTextChar"/>
    <w:uiPriority w:val="99"/>
    <w:rsid w:val="008F031D"/>
    <w:rPr>
      <w:rFonts w:eastAsia="Times New Roman"/>
      <w:sz w:val="20"/>
      <w:szCs w:val="20"/>
      <w:lang w:val="fr-FR" w:eastAsia="en-GB"/>
    </w:rPr>
  </w:style>
  <w:style w:type="character" w:customStyle="1" w:styleId="CommentTextChar">
    <w:name w:val="Comment Text Char"/>
    <w:basedOn w:val="DefaultParagraphFont"/>
    <w:link w:val="CommentText"/>
    <w:uiPriority w:val="99"/>
    <w:rsid w:val="008F031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8F031D"/>
    <w:rPr>
      <w:b/>
      <w:bCs/>
    </w:rPr>
  </w:style>
  <w:style w:type="character" w:customStyle="1" w:styleId="CommentSubjectChar">
    <w:name w:val="Comment Subject Char"/>
    <w:basedOn w:val="CommentTextChar"/>
    <w:link w:val="CommentSubject"/>
    <w:rsid w:val="008F031D"/>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8F031D"/>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8F031D"/>
    <w:rPr>
      <w:rFonts w:ascii="Tahoma" w:eastAsia="Times New Roman" w:hAnsi="Tahoma" w:cs="Tahoma"/>
      <w:sz w:val="16"/>
      <w:szCs w:val="16"/>
      <w:lang w:val="fr-FR" w:eastAsia="en-GB"/>
    </w:rPr>
  </w:style>
  <w:style w:type="paragraph" w:styleId="Caption">
    <w:name w:val="caption"/>
    <w:basedOn w:val="Normal"/>
    <w:next w:val="Normal"/>
    <w:qFormat/>
    <w:rsid w:val="008F031D"/>
    <w:rPr>
      <w:rFonts w:eastAsia="Times New Roman"/>
      <w:b/>
      <w:bCs/>
      <w:sz w:val="20"/>
      <w:szCs w:val="20"/>
      <w:lang w:val="fr-FR" w:eastAsia="en-GB"/>
    </w:rPr>
  </w:style>
  <w:style w:type="paragraph" w:styleId="TableofFigures">
    <w:name w:val="table of figures"/>
    <w:basedOn w:val="Normal"/>
    <w:next w:val="Normal"/>
    <w:rsid w:val="008F031D"/>
    <w:rPr>
      <w:rFonts w:eastAsia="Times New Roman"/>
      <w:lang w:val="fr-FR" w:eastAsia="en-GB"/>
    </w:rPr>
  </w:style>
  <w:style w:type="character" w:styleId="PageNumber">
    <w:name w:val="page number"/>
    <w:rsid w:val="008F031D"/>
  </w:style>
  <w:style w:type="character" w:customStyle="1" w:styleId="tw4winMark">
    <w:name w:val="tw4winMark"/>
    <w:rsid w:val="008F031D"/>
    <w:rPr>
      <w:vanish/>
      <w:color w:val="800080"/>
      <w:vertAlign w:val="subscript"/>
    </w:rPr>
  </w:style>
  <w:style w:type="character" w:styleId="FollowedHyperlink">
    <w:name w:val="FollowedHyperlink"/>
    <w:rsid w:val="008F031D"/>
    <w:rPr>
      <w:color w:val="800080"/>
      <w:u w:val="single"/>
    </w:rPr>
  </w:style>
  <w:style w:type="paragraph" w:customStyle="1" w:styleId="Sous-titreobjet">
    <w:name w:val="Sous-titre objet"/>
    <w:basedOn w:val="Normal"/>
    <w:rsid w:val="008F031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F031D"/>
  </w:style>
  <w:style w:type="paragraph" w:styleId="Revision">
    <w:name w:val="Revision"/>
    <w:hidden/>
    <w:uiPriority w:val="99"/>
    <w:semiHidden/>
    <w:rsid w:val="008F031D"/>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8F031D"/>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F031D"/>
    <w:rPr>
      <w:rFonts w:ascii="Times New Roman" w:hAnsi="Times New Roman" w:cs="Times New Roman"/>
      <w:b/>
      <w:sz w:val="28"/>
      <w:lang w:val="en-GB"/>
    </w:rPr>
  </w:style>
  <w:style w:type="character" w:customStyle="1" w:styleId="FooterCoverPageChar">
    <w:name w:val="Footer Cover Page Char"/>
    <w:link w:val="FooterCoverPage"/>
    <w:rsid w:val="008F031D"/>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F031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F031D"/>
    <w:rPr>
      <w:rFonts w:ascii="Times New Roman" w:eastAsia="Calibri" w:hAnsi="Times New Roman" w:cs="Times New Roman"/>
      <w:sz w:val="24"/>
      <w:lang w:val="en-GB" w:eastAsia="en-GB"/>
    </w:rPr>
  </w:style>
  <w:style w:type="character" w:customStyle="1" w:styleId="FooterSensitivityChar">
    <w:name w:val="Footer Sensitivity Char"/>
    <w:rsid w:val="008F031D"/>
    <w:rPr>
      <w:rFonts w:ascii="Times New Roman" w:hAnsi="Times New Roman" w:cs="Times New Roman"/>
      <w:b/>
      <w:sz w:val="32"/>
      <w:lang w:val="en-GB"/>
    </w:rPr>
  </w:style>
  <w:style w:type="character" w:customStyle="1" w:styleId="HeaderSensitivityChar">
    <w:name w:val="Header Sensitivity Char"/>
    <w:rsid w:val="008F031D"/>
    <w:rPr>
      <w:rFonts w:ascii="Times New Roman" w:hAnsi="Times New Roman" w:cs="Times New Roman"/>
      <w:b/>
      <w:sz w:val="32"/>
      <w:lang w:val="en-GB"/>
    </w:rPr>
  </w:style>
  <w:style w:type="character" w:customStyle="1" w:styleId="HeaderSensitivityRightChar">
    <w:name w:val="Header Sensitivity Right Char"/>
    <w:rsid w:val="008F031D"/>
    <w:rPr>
      <w:rFonts w:ascii="Times New Roman" w:hAnsi="Times New Roman" w:cs="Times New Roman"/>
      <w:sz w:val="28"/>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EC"/>
    <w:basedOn w:val="Normal"/>
    <w:link w:val="ListParagraphChar"/>
    <w:uiPriority w:val="34"/>
    <w:qFormat/>
    <w:rsid w:val="00BA297D"/>
    <w:pPr>
      <w:ind w:left="720"/>
      <w:contextualSpacing/>
    </w:pPr>
  </w:style>
  <w:style w:type="character" w:customStyle="1" w:styleId="UnresolvedMention">
    <w:name w:val="Unresolved Mention"/>
    <w:basedOn w:val="DefaultParagraphFont"/>
    <w:uiPriority w:val="99"/>
    <w:semiHidden/>
    <w:unhideWhenUsed/>
    <w:rsid w:val="00686BAE"/>
    <w:rPr>
      <w:color w:val="605E5C"/>
      <w:shd w:val="clear" w:color="auto" w:fill="E1DFDD"/>
    </w:rPr>
  </w:style>
  <w:style w:type="paragraph" w:customStyle="1" w:styleId="Listle">
    <w:name w:val="List le"/>
    <w:basedOn w:val="Point0letter"/>
    <w:rsid w:val="00277A79"/>
  </w:style>
  <w:style w:type="paragraph" w:styleId="NormalWeb">
    <w:name w:val="Normal (Web)"/>
    <w:basedOn w:val="Normal"/>
    <w:uiPriority w:val="99"/>
    <w:unhideWhenUsed/>
    <w:rsid w:val="004F31E0"/>
    <w:pPr>
      <w:spacing w:before="100" w:beforeAutospacing="1" w:after="100" w:afterAutospacing="1"/>
      <w:jc w:val="left"/>
    </w:pPr>
    <w:rPr>
      <w:rFonts w:eastAsia="Times New Roman"/>
      <w:szCs w:val="24"/>
      <w:lang w:val="en-IE" w:eastAsia="en-IE"/>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qFormat/>
    <w:rsid w:val="005C7A59"/>
    <w:rPr>
      <w:rFonts w:ascii="Times New Roman" w:hAnsi="Times New Roman" w:cs="Times New Roman"/>
      <w:sz w:val="24"/>
      <w:lang w:val="en-GB"/>
    </w:rPr>
  </w:style>
  <w:style w:type="paragraph" w:customStyle="1" w:styleId="Manialnum">
    <w:name w:val="Manialnum"/>
    <w:basedOn w:val="Point0number"/>
    <w:rsid w:val="00D62CD6"/>
    <w:pPr>
      <w:numPr>
        <w:numId w:val="0"/>
      </w:numPr>
      <w:ind w:left="850" w:hanging="850"/>
    </w:pPr>
  </w:style>
  <w:style w:type="character" w:customStyle="1" w:styleId="HeaderChar">
    <w:name w:val="Header Char"/>
    <w:basedOn w:val="DefaultParagraphFont"/>
    <w:link w:val="Header"/>
    <w:uiPriority w:val="99"/>
    <w:rsid w:val="008A2E9F"/>
    <w:rPr>
      <w:rFonts w:ascii="Times New Roman" w:hAnsi="Times New Roman" w:cs="Times New Roman"/>
      <w:sz w:val="24"/>
      <w:lang w:val="en-GB"/>
    </w:rPr>
  </w:style>
  <w:style w:type="character" w:customStyle="1" w:styleId="FooterChar">
    <w:name w:val="Footer Char"/>
    <w:basedOn w:val="DefaultParagraphFont"/>
    <w:link w:val="Footer"/>
    <w:uiPriority w:val="99"/>
    <w:rsid w:val="008A2E9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A2E9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A2E9F"/>
    <w:pPr>
      <w:spacing w:before="0"/>
      <w:jc w:val="right"/>
    </w:pPr>
    <w:rPr>
      <w:sz w:val="28"/>
    </w:rPr>
  </w:style>
  <w:style w:type="paragraph" w:customStyle="1" w:styleId="FooterSensitivity">
    <w:name w:val="Footer Sensitivity"/>
    <w:basedOn w:val="Normal"/>
    <w:rsid w:val="008A2E9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A2E9F"/>
    <w:pPr>
      <w:tabs>
        <w:tab w:val="center" w:pos="4535"/>
        <w:tab w:val="right" w:pos="9071"/>
      </w:tabs>
      <w:spacing w:before="0"/>
    </w:pPr>
  </w:style>
  <w:style w:type="paragraph" w:customStyle="1" w:styleId="HeaderLandscape">
    <w:name w:val="HeaderLandscape"/>
    <w:basedOn w:val="Normal"/>
    <w:rsid w:val="008A2E9F"/>
    <w:pPr>
      <w:tabs>
        <w:tab w:val="center" w:pos="7285"/>
        <w:tab w:val="right" w:pos="14003"/>
      </w:tabs>
      <w:spacing w:before="0"/>
    </w:pPr>
  </w:style>
  <w:style w:type="paragraph" w:styleId="Footer">
    <w:name w:val="footer"/>
    <w:basedOn w:val="Normal"/>
    <w:link w:val="FooterChar"/>
    <w:uiPriority w:val="99"/>
    <w:unhideWhenUsed/>
    <w:rsid w:val="008A2E9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A2E9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3/1314/oj" TargetMode="External"/><Relationship Id="rId13" Type="http://schemas.openxmlformats.org/officeDocument/2006/relationships/hyperlink" Target="http://data.europa.eu/eli/reg/2018/1563/oj" TargetMode="External"/><Relationship Id="rId18" Type="http://schemas.openxmlformats.org/officeDocument/2006/relationships/hyperlink" Target="http://data.europa.eu/eli/agree_interinstit/2020/1222/oj" TargetMode="External"/><Relationship Id="rId26" Type="http://schemas.openxmlformats.org/officeDocument/2006/relationships/hyperlink" Target="http://data.europa.eu/eli/reg/2011/182/oj" TargetMode="External"/><Relationship Id="rId3" Type="http://schemas.openxmlformats.org/officeDocument/2006/relationships/hyperlink" Target="http://data.europa.eu/eli/reg/2024/1735/oj" TargetMode="External"/><Relationship Id="rId21" Type="http://schemas.openxmlformats.org/officeDocument/2006/relationships/hyperlink" Target="http://data.europa.eu/eli/reg/2013/883/oj" TargetMode="External"/><Relationship Id="rId7" Type="http://schemas.openxmlformats.org/officeDocument/2006/relationships/hyperlink" Target="http://data.europa.eu/eli/reg/2021/947/oj" TargetMode="External"/><Relationship Id="rId12" Type="http://schemas.openxmlformats.org/officeDocument/2006/relationships/hyperlink" Target="https://energy.ec.europa.eu/events/eu-blueprint-fusion-energy-2024-04-23_en" TargetMode="External"/><Relationship Id="rId17" Type="http://schemas.openxmlformats.org/officeDocument/2006/relationships/hyperlink" Target="http://data.europa.eu/eli/reg/2021/695/oj" TargetMode="External"/><Relationship Id="rId25" Type="http://schemas.openxmlformats.org/officeDocument/2006/relationships/hyperlink" Target="http://data.europa.eu/eli/dir/2017/1371/oj" TargetMode="External"/><Relationship Id="rId2" Type="http://schemas.openxmlformats.org/officeDocument/2006/relationships/hyperlink" Target="http://data.europa.eu/eli/reg/2021/695/oj" TargetMode="External"/><Relationship Id="rId16" Type="http://schemas.openxmlformats.org/officeDocument/2006/relationships/hyperlink" Target="http://data.europa.eu/eli/dec/2007/198/oj" TargetMode="External"/><Relationship Id="rId20" Type="http://schemas.openxmlformats.org/officeDocument/2006/relationships/hyperlink" Target="http://data.europa.eu/eli/reg/2013/1291/oj" TargetMode="External"/><Relationship Id="rId29" Type="http://schemas.openxmlformats.org/officeDocument/2006/relationships/hyperlink" Target="http://data.europa.eu/eli/reg/2021/1060/oj" TargetMode="External"/><Relationship Id="rId1" Type="http://schemas.openxmlformats.org/officeDocument/2006/relationships/hyperlink" Target="http://data.europa.eu/eli/reg/2021/765/oj" TargetMode="External"/><Relationship Id="rId6" Type="http://schemas.openxmlformats.org/officeDocument/2006/relationships/hyperlink" Target="http://data.europa.eu/eli/dir/2013/59/oj" TargetMode="External"/><Relationship Id="rId11" Type="http://schemas.openxmlformats.org/officeDocument/2006/relationships/hyperlink" Target="https://data.europa.eu/doi/10.2777/621539" TargetMode="External"/><Relationship Id="rId24" Type="http://schemas.openxmlformats.org/officeDocument/2006/relationships/hyperlink" Target="http://data.europa.eu/eli/reg/2017/1939/oj" TargetMode="External"/><Relationship Id="rId5" Type="http://schemas.openxmlformats.org/officeDocument/2006/relationships/hyperlink" Target="http://data.europa.eu/eli/dir/2011/70/oj" TargetMode="External"/><Relationship Id="rId15" Type="http://schemas.openxmlformats.org/officeDocument/2006/relationships/hyperlink" Target="http://data.europa.eu/eli/dir/2011/70/oj" TargetMode="External"/><Relationship Id="rId23" Type="http://schemas.openxmlformats.org/officeDocument/2006/relationships/hyperlink" Target="http://data.europa.eu/eli/reg/1996/2185/oj" TargetMode="External"/><Relationship Id="rId28" Type="http://schemas.openxmlformats.org/officeDocument/2006/relationships/hyperlink" Target="http://data.europa.eu/eli/reg/2021/765/oj" TargetMode="External"/><Relationship Id="rId10" Type="http://schemas.openxmlformats.org/officeDocument/2006/relationships/hyperlink" Target="https://ec.europa.eu/info/law/better-regulation/have-your-say/initiatives/14180-Euratom-research-and-training-programme-for-2026-2027_en" TargetMode="External"/><Relationship Id="rId19" Type="http://schemas.openxmlformats.org/officeDocument/2006/relationships/hyperlink" Target="https://eur-lex.europa.eu/eli/reg/2024/2509/oj" TargetMode="External"/><Relationship Id="rId31" Type="http://schemas.openxmlformats.org/officeDocument/2006/relationships/hyperlink" Target="https://myintracomm.ec.europa.eu/corp/budget/financial-rules/budget-implementation/Pages/implementation-methods.aspx" TargetMode="External"/><Relationship Id="rId4" Type="http://schemas.openxmlformats.org/officeDocument/2006/relationships/hyperlink" Target="http://data.europa.eu/eli/dir/2009/71/oj" TargetMode="External"/><Relationship Id="rId9" Type="http://schemas.openxmlformats.org/officeDocument/2006/relationships/hyperlink" Target="http://data.europa.eu/eli/reg/2018/1563/oj" TargetMode="External"/><Relationship Id="rId14" Type="http://schemas.openxmlformats.org/officeDocument/2006/relationships/hyperlink" Target="http://data.europa.eu/eli/reg/2020/2093/oj" TargetMode="External"/><Relationship Id="rId22" Type="http://schemas.openxmlformats.org/officeDocument/2006/relationships/hyperlink" Target="http://data.europa.eu/eli/reg/1995/2988/oj" TargetMode="External"/><Relationship Id="rId27" Type="http://schemas.openxmlformats.org/officeDocument/2006/relationships/hyperlink" Target="http://data.europa.eu/eli/agree_interinstit/2016/512/oj" TargetMode="External"/><Relationship Id="rId30" Type="http://schemas.openxmlformats.org/officeDocument/2006/relationships/hyperlink" Target="http://data.europa.eu/eli/dir/2006/4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6CF4-C769-44BC-8742-F1A2B816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97</TotalTime>
  <Pages>14</Pages>
  <Words>15466</Words>
  <Characters>88157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103417</CharactersWithSpaces>
  <SharedDoc>false</SharedDoc>
  <HLinks>
    <vt:vector size="12" baseType="variant">
      <vt:variant>
        <vt:i4>6815844</vt:i4>
      </vt:variant>
      <vt:variant>
        <vt:i4>0</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262150</vt:i4>
      </vt:variant>
      <vt:variant>
        <vt:i4>0</vt:i4>
      </vt:variant>
      <vt:variant>
        <vt:i4>0</vt:i4>
      </vt:variant>
      <vt:variant>
        <vt:i4>5</vt:i4>
      </vt:variant>
      <vt:variant>
        <vt:lpwstr>https://myintracomm.ec.europa.eu/corp/budget/financial-rules/budget-implementation/Pages/implementation-methods.aspx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65</cp:revision>
  <dcterms:created xsi:type="dcterms:W3CDTF">2025-02-14T17:23:00Z</dcterms:created>
  <dcterms:modified xsi:type="dcterms:W3CDTF">2025-02-27T15:00:00Z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2025-02-13T17:19:01Z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13c85500-5529-4cd0-a990-6def4539b167</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SJ-042</vt:lpwstr>
  </property>
  <property fmtid="{D5CDD505-2E9C-101B-9397-08002B2CF9AE}" pid="15" name="DQCStatus">
    <vt:lpwstr>Green (DQC version 03)</vt:lpwstr>
  </property>
</Properties>
</file>