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D3" w:rsidRPr="00D3304A" w:rsidRDefault="00740C8C" w:rsidP="00740C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A63F531-623E-4F08-92AC-B76B395EC569" style="width:455.25pt;height:385.5pt">
            <v:imagedata r:id="rId8" o:title=""/>
          </v:shape>
        </w:pict>
      </w:r>
    </w:p>
    <w:p w:rsidR="00A314D3" w:rsidRPr="00D3304A" w:rsidRDefault="00A314D3" w:rsidP="00A314D3">
      <w:pPr>
        <w:rPr>
          <w:noProof/>
        </w:rPr>
        <w:sectPr w:rsidR="00A314D3" w:rsidRPr="00D3304A" w:rsidSect="00740C8C">
          <w:footerReference w:type="even" r:id="rId9"/>
          <w:footerReference w:type="default" r:id="rId10"/>
          <w:pgSz w:w="11907" w:h="16839"/>
          <w:pgMar w:top="1134" w:right="1417" w:bottom="1134" w:left="1417" w:header="709" w:footer="709" w:gutter="0"/>
          <w:pgNumType w:start="0"/>
          <w:cols w:space="720"/>
          <w:docGrid w:linePitch="360"/>
        </w:sectPr>
      </w:pPr>
    </w:p>
    <w:p w:rsidR="00A314D3" w:rsidRPr="00D3304A" w:rsidRDefault="00A314D3" w:rsidP="00A314D3">
      <w:pPr>
        <w:pStyle w:val="Exposdesmotifstitre"/>
        <w:rPr>
          <w:noProof/>
        </w:rPr>
      </w:pPr>
      <w:bookmarkStart w:id="0" w:name="_GoBack"/>
      <w:bookmarkEnd w:id="0"/>
      <w:r w:rsidRPr="00D3304A">
        <w:rPr>
          <w:noProof/>
        </w:rPr>
        <w:lastRenderedPageBreak/>
        <w:t>BEGRÜNDUNG</w:t>
      </w:r>
    </w:p>
    <w:p w:rsidR="00F278A5" w:rsidRPr="00D3304A" w:rsidRDefault="00A314D3" w:rsidP="00A314D3">
      <w:pPr>
        <w:pStyle w:val="ManualNumPar1"/>
        <w:rPr>
          <w:noProof/>
        </w:rPr>
      </w:pPr>
      <w:r w:rsidRPr="00C24C00">
        <w:rPr>
          <w:noProof/>
        </w:rPr>
        <w:t>1</w:t>
      </w:r>
      <w:r w:rsidRPr="00D3304A">
        <w:rPr>
          <w:noProof/>
        </w:rPr>
        <w:t>.</w:t>
      </w:r>
      <w:r w:rsidRPr="00D3304A">
        <w:rPr>
          <w:noProof/>
        </w:rPr>
        <w:tab/>
        <w:t>KONTEXT DES VORSCHLAGS</w:t>
      </w:r>
    </w:p>
    <w:p w:rsidR="00A314D3" w:rsidRPr="00D3304A" w:rsidRDefault="00A314D3" w:rsidP="00A314D3">
      <w:pPr>
        <w:pStyle w:val="ManualHeading2"/>
        <w:rPr>
          <w:noProof/>
        </w:rPr>
      </w:pPr>
      <w:r w:rsidRPr="00D3304A">
        <w:rPr>
          <w:noProof/>
        </w:rPr>
        <w:t>Gründe und Ziele des Vorschlags</w:t>
      </w:r>
    </w:p>
    <w:p w:rsidR="00C05848" w:rsidRPr="00D3304A" w:rsidRDefault="00C05848" w:rsidP="00A314D3">
      <w:pPr>
        <w:pBdr>
          <w:top w:val="nil"/>
          <w:left w:val="nil"/>
          <w:bottom w:val="nil"/>
          <w:right w:val="nil"/>
          <w:between w:val="nil"/>
          <w:bar w:val="nil"/>
        </w:pBdr>
        <w:spacing w:before="0" w:after="240"/>
        <w:rPr>
          <w:noProof/>
        </w:rPr>
      </w:pPr>
      <w:bookmarkStart w:id="1" w:name="_Hlk132290650"/>
      <w:r w:rsidRPr="00D3304A">
        <w:rPr>
          <w:noProof/>
        </w:rPr>
        <w:t xml:space="preserve">Die vergangenen Finanzkrisen haben gezeigt, dass Entwicklungen auf den Immobilienmärkten schwerwiegende Auswirkungen auf die Stabilität des Finanzsystems und die Wirtschaft insgesamt haben können. Der Europäische Ausschuss für Systemrisiken (ESRB), dessen Aufgabe es ist, die Finanzaufsicht der Europäischen Union auf Makroebene zu erbringen sowie Systemrisiken abzuwenden und einzudämmen, hat erhebliche Lücken in Bezug auf die Verfügbarkeit vergleichbarer Informationen über Preise, Mieten und neu begonnene Bauten im Gewerbeimmobiliensektor festgestellt. Dadurch wird seine Fähigkeit beeinträchtigt, eine fundierte Analyse durchzuführen und mögliche länderübergreifende Risiken zu ermitteln. In seinen Empfehlungen vom </w:t>
      </w:r>
      <w:r w:rsidRPr="00C24C00">
        <w:rPr>
          <w:noProof/>
        </w:rPr>
        <w:t>31</w:t>
      </w:r>
      <w:r w:rsidRPr="00D3304A">
        <w:rPr>
          <w:noProof/>
        </w:rPr>
        <w:t xml:space="preserve">. Oktober </w:t>
      </w:r>
      <w:r w:rsidRPr="00C24C00">
        <w:rPr>
          <w:noProof/>
        </w:rPr>
        <w:t>2016</w:t>
      </w:r>
      <w:r w:rsidRPr="00D3304A">
        <w:rPr>
          <w:noProof/>
        </w:rPr>
        <w:t xml:space="preserve"> (ESRB/</w:t>
      </w:r>
      <w:r w:rsidRPr="00C24C00">
        <w:rPr>
          <w:noProof/>
        </w:rPr>
        <w:t>2016</w:t>
      </w:r>
      <w:r w:rsidRPr="00D3304A">
        <w:rPr>
          <w:noProof/>
        </w:rPr>
        <w:t>/</w:t>
      </w:r>
      <w:r w:rsidRPr="00C24C00">
        <w:rPr>
          <w:noProof/>
        </w:rPr>
        <w:t>14</w:t>
      </w:r>
      <w:r w:rsidRPr="00D3304A">
        <w:rPr>
          <w:noProof/>
        </w:rPr>
        <w:t>)</w:t>
      </w:r>
      <w:r w:rsidR="00266E4D" w:rsidRPr="00D3304A">
        <w:rPr>
          <w:rStyle w:val="FootnoteReference"/>
          <w:noProof/>
        </w:rPr>
        <w:footnoteReference w:id="1"/>
      </w:r>
      <w:r w:rsidRPr="00D3304A">
        <w:rPr>
          <w:noProof/>
        </w:rPr>
        <w:t xml:space="preserve"> und vom </w:t>
      </w:r>
      <w:r w:rsidRPr="00C24C00">
        <w:rPr>
          <w:noProof/>
        </w:rPr>
        <w:t>21</w:t>
      </w:r>
      <w:r w:rsidRPr="00D3304A">
        <w:rPr>
          <w:noProof/>
        </w:rPr>
        <w:t xml:space="preserve">. März </w:t>
      </w:r>
      <w:r w:rsidRPr="00C24C00">
        <w:rPr>
          <w:noProof/>
        </w:rPr>
        <w:t>2019</w:t>
      </w:r>
      <w:r w:rsidRPr="00D3304A">
        <w:rPr>
          <w:noProof/>
        </w:rPr>
        <w:t xml:space="preserve"> (ESRB/</w:t>
      </w:r>
      <w:r w:rsidRPr="00C24C00">
        <w:rPr>
          <w:noProof/>
        </w:rPr>
        <w:t>2019</w:t>
      </w:r>
      <w:r w:rsidRPr="00D3304A">
        <w:rPr>
          <w:noProof/>
        </w:rPr>
        <w:t>/</w:t>
      </w:r>
      <w:r w:rsidRPr="00C24C00">
        <w:rPr>
          <w:noProof/>
        </w:rPr>
        <w:t>3</w:t>
      </w:r>
      <w:r w:rsidRPr="00D3304A">
        <w:rPr>
          <w:noProof/>
        </w:rPr>
        <w:t>)</w:t>
      </w:r>
      <w:r w:rsidR="00266E4D" w:rsidRPr="00D3304A">
        <w:rPr>
          <w:rStyle w:val="FootnoteReference"/>
          <w:noProof/>
        </w:rPr>
        <w:footnoteReference w:id="2"/>
      </w:r>
      <w:r w:rsidRPr="00D3304A">
        <w:rPr>
          <w:noProof/>
        </w:rPr>
        <w:t xml:space="preserve"> zur Schließung von Lücken bei Immobiliendaten forderte der ESRB die Kommission ausdrücklich auf, Rechtsvorschriften vorzuschlagen, um die Datenlücke in Bezug auf physische Gewerbeimmobilien zu schließen. Der Rat hat in den letzten Jahren in seinen Schlussfolgerungen zu Statistiken ebenso die Entwicklung von Statistiken zu Gewerbeimmobilien angeregt.</w:t>
      </w:r>
    </w:p>
    <w:p w:rsidR="00A314D3" w:rsidRPr="00D3304A" w:rsidRDefault="001C4605" w:rsidP="00A314D3">
      <w:pPr>
        <w:pBdr>
          <w:top w:val="nil"/>
          <w:left w:val="nil"/>
          <w:bottom w:val="nil"/>
          <w:right w:val="nil"/>
          <w:between w:val="nil"/>
          <w:bar w:val="nil"/>
        </w:pBdr>
        <w:spacing w:before="0" w:after="240"/>
        <w:rPr>
          <w:noProof/>
        </w:rPr>
      </w:pPr>
      <w:r w:rsidRPr="00D3304A">
        <w:rPr>
          <w:noProof/>
        </w:rPr>
        <w:t>Während finanzielle Statistiken zu Risikopositionen des Finanzsystems gegenüber Gewerbeimmobilienkrediten in den Zuständigkeitsbereich der Europäischen Zentralbank und des Europäischen Systems der Zentralbanken fallen, liegen nichtfinanzielle Statistiken zum physischen Gewerbeimmobilienmarkt in die Zuständigkeit der Kommission (Eurostat) und des Europäischen Statistischen Systems. Daher liegt der Schwerpunkt dieses Vorschlags, mit dem erhebliche Lücken bei der Verfügbarkeit solcher für makroprudenzielle Zwecke benötigter statistischer Informationen geschlossen würden, auf nichtfinanziellen Statistiken zu Gewerbeimmobilien außerhalb des Finanzsektors. Derzeit gibt es nur wenige amtliche Quellen für nichtfinanzielle Statistiken zu Gewerbeimmobilien; die Verfügbarkeit weiterer Statistiken wäre für die politischen Entscheidungsträger von entscheidender Bedeutung, um potenzielle Risiken für die Finanzstabilität zu bewerten. Der Großteil der Informationen, auf die politische Entscheidungsträger zurückgreifen, wird derzeit bei privaten Organisationen erworben.</w:t>
      </w:r>
    </w:p>
    <w:p w:rsidR="00A314D3" w:rsidRPr="00D3304A" w:rsidRDefault="00A314D3" w:rsidP="00A314D3">
      <w:pPr>
        <w:pBdr>
          <w:top w:val="nil"/>
          <w:left w:val="nil"/>
          <w:bottom w:val="nil"/>
          <w:right w:val="nil"/>
          <w:between w:val="nil"/>
          <w:bar w:val="nil"/>
        </w:pBdr>
        <w:spacing w:before="0" w:after="240"/>
        <w:rPr>
          <w:noProof/>
        </w:rPr>
      </w:pPr>
      <w:r w:rsidRPr="00D3304A">
        <w:rPr>
          <w:noProof/>
        </w:rPr>
        <w:t>In den letzten Jahren haben die Kommission (Eurostat) und die Mitgliedstaaten gemeinsam die Durchführbarkeit der Entwicklung von nichtfinanziellen Statistiken zu Gewerbeimmobilien eruiert. Insbesondere im Hinblick auf Preise, Mieten und neu begonnene Bauten haben sie deutliche Fortschritte erzielt, auch wenn weiterhin beträchtliche praktische und methodische Herausforderungen bestehen. Mit dem Vorschlag würde sichergestellt werden, dass diese Statistiken in allen EU-Mitgliedstaaten vergleichbar und kohärent sind Ohne diese Initiative könnten die Statistiken auf freiwilliger Basis bereitgestellt werden, die Erfassung auf Ebene der Mitgliedstaaten bliebe jedoch begrenzt, wenn einige Länder keine Daten übermitteln, und die Vergleichbarkeit der Statistiken der Mitgliedstaaten wäre nicht sichergestellt.</w:t>
      </w:r>
      <w:bookmarkEnd w:id="1"/>
    </w:p>
    <w:p w:rsidR="007E0DA5" w:rsidRPr="00D3304A" w:rsidRDefault="007E0DA5" w:rsidP="007E0DA5">
      <w:pPr>
        <w:rPr>
          <w:rFonts w:eastAsia="Arial Unicode MS"/>
          <w:noProof/>
        </w:rPr>
      </w:pPr>
      <w:r w:rsidRPr="00D3304A">
        <w:rPr>
          <w:noProof/>
        </w:rPr>
        <w:t>Die Anstrengungen von Eurostat und der Mitgliedstaaten zur Entwicklung nichtfinanzieller Statistiken im Bereich Gewerbeimmobilienstatistik wurden in der Arbeitsunterlage der Kommissionsdienststellen „Final progress report on commercial estate statistics“ (Abschlussbericht über den Stand der Statistiken zu Gewerbeimmobilien) (SWD(</w:t>
      </w:r>
      <w:r w:rsidRPr="00C24C00">
        <w:rPr>
          <w:noProof/>
        </w:rPr>
        <w:t>2023</w:t>
      </w:r>
      <w:r w:rsidRPr="00D3304A">
        <w:rPr>
          <w:noProof/>
        </w:rPr>
        <w:t>) </w:t>
      </w:r>
      <w:r w:rsidRPr="00C24C00">
        <w:rPr>
          <w:noProof/>
        </w:rPr>
        <w:t>434</w:t>
      </w:r>
      <w:r w:rsidRPr="00D3304A">
        <w:rPr>
          <w:noProof/>
        </w:rPr>
        <w:t xml:space="preserve"> final)</w:t>
      </w:r>
      <w:r w:rsidRPr="00D3304A">
        <w:rPr>
          <w:rStyle w:val="FootnoteReference"/>
          <w:noProof/>
        </w:rPr>
        <w:footnoteReference w:id="3"/>
      </w:r>
      <w:r w:rsidRPr="00D3304A">
        <w:rPr>
          <w:noProof/>
        </w:rPr>
        <w:t xml:space="preserve"> dokumentiert. Die Fortschritte waren indessen nicht über alle Indikatoren oder Mitgliedstaaten hinweg gleichmäßig, insbesondere in Bezug auf freiwillige Maßnahmen. Darüber hinaus bestehen nach wie vor methodische Herausforderungen, da sich die Datenquellen und die Größe der Gewerbeimmobilienmärkte von Land zu Land unterscheiden. Aufgrund der begrenzten Verfügbarkeit von Datenquellen und der unzureichenden Qualität der Statistiken sind die vom ESRB empfohlenen Indikatoren zu Mietrenditenindizes und Leerstandsquoten nicht Teil dieser Verordnung. Es ist notwendig, weiterhin in methodische Verbesserungen und den Aufbau von Kapazitäten für solche Statistiken zu investieren.</w:t>
      </w:r>
    </w:p>
    <w:p w:rsidR="00A314D3" w:rsidRPr="00D3304A" w:rsidRDefault="00A314D3" w:rsidP="00A314D3">
      <w:pPr>
        <w:pStyle w:val="ManualHeading2"/>
        <w:rPr>
          <w:noProof/>
        </w:rPr>
      </w:pPr>
      <w:r w:rsidRPr="00D3304A">
        <w:rPr>
          <w:noProof/>
        </w:rPr>
        <w:t>Kohärenz mit den bestehenden Vorschriften in diesem Bereich</w:t>
      </w:r>
    </w:p>
    <w:p w:rsidR="00A314D3" w:rsidRPr="00D3304A" w:rsidRDefault="00A314D3" w:rsidP="00A314D3">
      <w:pPr>
        <w:pBdr>
          <w:top w:val="nil"/>
          <w:left w:val="nil"/>
          <w:bottom w:val="nil"/>
          <w:right w:val="nil"/>
          <w:between w:val="nil"/>
          <w:bar w:val="nil"/>
        </w:pBdr>
        <w:spacing w:before="0" w:after="240"/>
        <w:rPr>
          <w:noProof/>
        </w:rPr>
      </w:pPr>
      <w:r w:rsidRPr="00D3304A">
        <w:rPr>
          <w:noProof/>
        </w:rPr>
        <w:t>Der Vorschlag steht voll und ganz im Einklang mit den geltenden Bestimmungen der Rechtsvorschriften der Union über Statistiken, insbesondere mit der Verordnung (EG) Nr. </w:t>
      </w:r>
      <w:r w:rsidRPr="00C24C00">
        <w:rPr>
          <w:noProof/>
        </w:rPr>
        <w:t>223</w:t>
      </w:r>
      <w:r w:rsidRPr="00D3304A">
        <w:rPr>
          <w:noProof/>
        </w:rPr>
        <w:t>/</w:t>
      </w:r>
      <w:r w:rsidRPr="00C24C00">
        <w:rPr>
          <w:noProof/>
        </w:rPr>
        <w:t>2009</w:t>
      </w:r>
      <w:r w:rsidRPr="00D3304A">
        <w:rPr>
          <w:noProof/>
        </w:rPr>
        <w:t xml:space="preserve"> des Europäischen Parlaments und des Rates</w:t>
      </w:r>
      <w:r w:rsidR="004747D4" w:rsidRPr="00D3304A">
        <w:rPr>
          <w:rStyle w:val="FootnoteReference"/>
          <w:noProof/>
        </w:rPr>
        <w:footnoteReference w:id="4"/>
      </w:r>
      <w:r w:rsidRPr="00D3304A">
        <w:rPr>
          <w:noProof/>
        </w:rPr>
        <w:t>.</w:t>
      </w:r>
    </w:p>
    <w:p w:rsidR="00C15395" w:rsidRPr="00D3304A" w:rsidRDefault="00C15395" w:rsidP="00A314D3">
      <w:pPr>
        <w:pBdr>
          <w:top w:val="nil"/>
          <w:left w:val="nil"/>
          <w:bottom w:val="nil"/>
          <w:right w:val="nil"/>
          <w:between w:val="nil"/>
          <w:bar w:val="nil"/>
        </w:pBdr>
        <w:spacing w:before="0" w:after="240"/>
        <w:rPr>
          <w:rFonts w:eastAsia="Arial Unicode MS"/>
          <w:noProof/>
        </w:rPr>
      </w:pPr>
    </w:p>
    <w:p w:rsidR="00A314D3" w:rsidRPr="00D3304A" w:rsidRDefault="00A314D3" w:rsidP="00A314D3">
      <w:pPr>
        <w:pStyle w:val="ManualNumPar1"/>
        <w:rPr>
          <w:noProof/>
        </w:rPr>
      </w:pPr>
      <w:r w:rsidRPr="00C24C00">
        <w:rPr>
          <w:noProof/>
        </w:rPr>
        <w:t>2</w:t>
      </w:r>
      <w:r w:rsidRPr="00D3304A">
        <w:rPr>
          <w:noProof/>
        </w:rPr>
        <w:t>.</w:t>
      </w:r>
      <w:r w:rsidRPr="00D3304A">
        <w:rPr>
          <w:noProof/>
        </w:rPr>
        <w:tab/>
        <w:t>RECHTSGRUNDLAGE, SUBSIDIARITÄT UND VERHÄLTNISMÄẞIGKEIT</w:t>
      </w:r>
    </w:p>
    <w:p w:rsidR="00A314D3" w:rsidRPr="00D3304A" w:rsidRDefault="00A314D3" w:rsidP="00A314D3">
      <w:pPr>
        <w:pStyle w:val="ManualHeading2"/>
        <w:rPr>
          <w:noProof/>
        </w:rPr>
      </w:pPr>
      <w:r w:rsidRPr="00D3304A">
        <w:rPr>
          <w:noProof/>
        </w:rPr>
        <w:t>Rechtsgrundlage</w:t>
      </w:r>
    </w:p>
    <w:p w:rsidR="00A314D3" w:rsidRPr="00D3304A" w:rsidRDefault="00A314D3" w:rsidP="00A314D3">
      <w:pPr>
        <w:pBdr>
          <w:top w:val="nil"/>
          <w:left w:val="nil"/>
          <w:bottom w:val="nil"/>
          <w:right w:val="nil"/>
          <w:between w:val="nil"/>
          <w:bar w:val="nil"/>
        </w:pBdr>
        <w:spacing w:before="0" w:after="240"/>
        <w:rPr>
          <w:noProof/>
        </w:rPr>
      </w:pPr>
      <w:r w:rsidRPr="00D3304A">
        <w:rPr>
          <w:noProof/>
        </w:rPr>
        <w:t>Rechtsgrundlage dieses Vorschlags ist Artikel </w:t>
      </w:r>
      <w:r w:rsidRPr="00C24C00">
        <w:rPr>
          <w:noProof/>
        </w:rPr>
        <w:t>338</w:t>
      </w:r>
      <w:r w:rsidRPr="00D3304A">
        <w:rPr>
          <w:noProof/>
        </w:rPr>
        <w:t xml:space="preserve"> Absatz </w:t>
      </w:r>
      <w:r w:rsidRPr="00C24C00">
        <w:rPr>
          <w:noProof/>
        </w:rPr>
        <w:t>1</w:t>
      </w:r>
      <w:r w:rsidRPr="00D3304A">
        <w:rPr>
          <w:noProof/>
        </w:rPr>
        <w:t xml:space="preserve"> des Vertrags über die Arbeitsweise der Europäischen Union (AEUV). In dieser Bestimmung ist festgelegt, dass das Europäische Parlament und der Rat gemäß dem ordentlichen Gesetzgebungsverfahren Maßnahmen für die Erstellung von Statistiken beschließen müssen, wenn dies für die Durchführung der Tätigkeiten der EU erforderlich ist.</w:t>
      </w:r>
    </w:p>
    <w:p w:rsidR="00A314D3" w:rsidRPr="00D3304A" w:rsidRDefault="00A314D3" w:rsidP="00A314D3">
      <w:pPr>
        <w:pBdr>
          <w:top w:val="nil"/>
          <w:left w:val="nil"/>
          <w:bottom w:val="nil"/>
          <w:right w:val="nil"/>
          <w:between w:val="nil"/>
          <w:bar w:val="nil"/>
        </w:pBdr>
        <w:spacing w:before="0" w:after="240"/>
        <w:rPr>
          <w:rFonts w:eastAsia="Arial Unicode MS"/>
          <w:noProof/>
        </w:rPr>
      </w:pPr>
      <w:r w:rsidRPr="00D3304A">
        <w:rPr>
          <w:noProof/>
        </w:rPr>
        <w:t>Des Weiteren sind in Artikel </w:t>
      </w:r>
      <w:r w:rsidRPr="00C24C00">
        <w:rPr>
          <w:noProof/>
        </w:rPr>
        <w:t>338</w:t>
      </w:r>
      <w:r w:rsidRPr="00D3304A">
        <w:rPr>
          <w:noProof/>
        </w:rPr>
        <w:t xml:space="preserve"> Absatz </w:t>
      </w:r>
      <w:r w:rsidRPr="00C24C00">
        <w:rPr>
          <w:noProof/>
        </w:rPr>
        <w:t>2</w:t>
      </w:r>
      <w:r w:rsidRPr="00D3304A">
        <w:rPr>
          <w:noProof/>
        </w:rPr>
        <w:t xml:space="preserve"> AEUV die Anforderungen an die Erstellung von EU-Statistiken festgelegt, wonach diese den Grundsätzen der Unparteilichkeit, Zuverlässigkeit, Objektivität, wissenschaftlichen Unabhängigkeit, Kostenwirksamkeit und statistischen Geheimhaltung entsprechen müssen und den Unternehmen („der Wirtschaft“) durch sie keine übermäßigen Belastungen entstehen dürfen.</w:t>
      </w:r>
    </w:p>
    <w:p w:rsidR="00A314D3" w:rsidRPr="00D3304A" w:rsidRDefault="00A314D3" w:rsidP="00A314D3">
      <w:pPr>
        <w:pStyle w:val="ManualHeading2"/>
        <w:rPr>
          <w:rFonts w:eastAsia="Arial Unicode MS"/>
          <w:noProof/>
          <w:u w:color="000000"/>
          <w:bdr w:val="nil"/>
        </w:rPr>
      </w:pPr>
      <w:r w:rsidRPr="00D3304A">
        <w:rPr>
          <w:noProof/>
          <w:u w:color="000000"/>
          <w:bdr w:val="nil"/>
        </w:rPr>
        <w:t xml:space="preserve">Subsidiarität (bei nicht ausschließlicher Zuständigkeit) </w:t>
      </w:r>
    </w:p>
    <w:p w:rsidR="00A314D3" w:rsidRPr="00D3304A" w:rsidRDefault="00A314D3" w:rsidP="00A314D3">
      <w:pPr>
        <w:pBdr>
          <w:top w:val="nil"/>
          <w:left w:val="nil"/>
          <w:bottom w:val="nil"/>
          <w:right w:val="nil"/>
          <w:between w:val="nil"/>
          <w:bar w:val="nil"/>
        </w:pBdr>
        <w:spacing w:before="0" w:after="240"/>
        <w:rPr>
          <w:noProof/>
        </w:rPr>
      </w:pPr>
      <w:r w:rsidRPr="00D3304A">
        <w:rPr>
          <w:noProof/>
        </w:rPr>
        <w:t>Jeder Mitgliedstaat der EU ist für die Erstellung und Veröffentlichung amtlicher Statistiken für sein Hoheitsgebiet zuständig. Damit die Vergleichbarkeit dieser Statistiken zwischen den Mitgliedstaaten gewährleistet werden kann, bedarf es einer Koordinierung auf EU-Ebene in Form von Rechtsvorschriften und Leitlinien zu den verwendeten Definitionen, Quellen und Methoden. Vergleichbare Statistiken sind für die politischen Entscheidungsträger in den Mitgliedstaaten und auf EU-Ebene von wesentlicher Bedeutung.</w:t>
      </w:r>
    </w:p>
    <w:p w:rsidR="00A314D3" w:rsidRPr="00D3304A" w:rsidRDefault="00A314D3" w:rsidP="00A314D3">
      <w:pPr>
        <w:pBdr>
          <w:top w:val="nil"/>
          <w:left w:val="nil"/>
          <w:bottom w:val="nil"/>
          <w:right w:val="nil"/>
          <w:between w:val="nil"/>
          <w:bar w:val="nil"/>
        </w:pBdr>
        <w:spacing w:before="0" w:after="240"/>
        <w:rPr>
          <w:noProof/>
        </w:rPr>
      </w:pPr>
      <w:r w:rsidRPr="00D3304A">
        <w:rPr>
          <w:noProof/>
        </w:rPr>
        <w:t xml:space="preserve">Die Ziele der vorgeschlagenen Verordnung können von den Mitgliedstaaten allein nicht vollständig erreicht werden. Die Maßnahmen wären wirksamer, wenn sie auf EU-Ebene auf der Grundlage eines Rechtsakts ergriffen würden, der die Vergleichbarkeit der statistischen Informationen in dem Statistikbereich gewährleistet, der unter den vorgeschlagenen Rechtsakt fällt. Die Datenerhebung selbst sollte hingegen am besten von den Mitgliedstaaten durchgeführt werden. </w:t>
      </w:r>
    </w:p>
    <w:p w:rsidR="00A314D3" w:rsidRPr="00D3304A" w:rsidRDefault="00A314D3" w:rsidP="00A314D3">
      <w:pPr>
        <w:pStyle w:val="ManualHeading2"/>
        <w:rPr>
          <w:noProof/>
        </w:rPr>
      </w:pPr>
      <w:r w:rsidRPr="00D3304A">
        <w:rPr>
          <w:noProof/>
        </w:rPr>
        <w:t>Verhältnismäßigkeit</w:t>
      </w:r>
    </w:p>
    <w:p w:rsidR="00A314D3" w:rsidRPr="00D3304A" w:rsidRDefault="00A314D3" w:rsidP="00A314D3">
      <w:pPr>
        <w:pBdr>
          <w:top w:val="nil"/>
          <w:left w:val="nil"/>
          <w:bottom w:val="nil"/>
          <w:right w:val="nil"/>
          <w:between w:val="nil"/>
          <w:bar w:val="nil"/>
        </w:pBdr>
        <w:spacing w:before="0" w:after="240"/>
        <w:rPr>
          <w:noProof/>
        </w:rPr>
      </w:pPr>
      <w:r w:rsidRPr="00D3304A">
        <w:rPr>
          <w:noProof/>
        </w:rPr>
        <w:t>Allgemeines Ziel dieses Vorschlags ist es, erhebliche Lücken in Bezug auf für makroprudenzielle Zwecke auf EU- und nationaler Ebene erforderliche nichtfinanzielle Statistiken zu Gewerbeimmobilien zu schließen. Diese Statistiken werden bei der Überwachung der Finanzstabilität genutzt. Ferner werden sie für die Gestaltung der Haushalts-, Währungs- und makroprudenziellen Politik sowie bei der Forschung zu Immobilienmärkten genutzt. Sie werden Nutzern kostenfrei zur Verfügung gestellt werden.</w:t>
      </w:r>
    </w:p>
    <w:p w:rsidR="00A314D3" w:rsidRPr="00D3304A" w:rsidRDefault="00A314D3" w:rsidP="00A314D3">
      <w:pPr>
        <w:pBdr>
          <w:top w:val="nil"/>
          <w:left w:val="nil"/>
          <w:bottom w:val="nil"/>
          <w:right w:val="nil"/>
          <w:between w:val="nil"/>
          <w:bar w:val="nil"/>
        </w:pBdr>
        <w:spacing w:before="0" w:after="240"/>
        <w:rPr>
          <w:noProof/>
        </w:rPr>
      </w:pPr>
      <w:r w:rsidRPr="00D3304A">
        <w:rPr>
          <w:noProof/>
        </w:rPr>
        <w:t>Was den Verwaltungsaufwand anbelangt, so werden nationale statistische Ämter die größte Last tragen. Sie werden in die Entwicklung und Erstellung der nichtfinanziellen Statistiken zu Gewerbeimmobilien investieren müssen. Die für die Statistiken verwendeten Daten werden von bestehenden Verwaltungsdatenbanken und Immobilienorganisationen bezogen, die relevante Daten sammeln, oder auf statistischen Daten gründen, die bereits von Unternehmen erhoben werden. Daher werden Haushalte oder Unternehmen kaum einen oder gar keinen Mehraufwand haben. Der Vorschlag würde weder mit spürbaren direkten wirtschaftlichen, ökologischen oder sozialen Auswirkungen noch mit erheblichen Ausgaben einhergehen.</w:t>
      </w:r>
    </w:p>
    <w:p w:rsidR="00A314D3" w:rsidRPr="00D3304A" w:rsidRDefault="00A314D3" w:rsidP="00A314D3">
      <w:pPr>
        <w:pBdr>
          <w:top w:val="nil"/>
          <w:left w:val="nil"/>
          <w:bottom w:val="nil"/>
          <w:right w:val="nil"/>
          <w:between w:val="nil"/>
          <w:bar w:val="nil"/>
        </w:pBdr>
        <w:spacing w:before="0" w:after="240"/>
        <w:rPr>
          <w:rFonts w:eastAsia="Arial Unicode MS"/>
          <w:noProof/>
        </w:rPr>
      </w:pPr>
      <w:r w:rsidRPr="00D3304A">
        <w:rPr>
          <w:noProof/>
        </w:rPr>
        <w:t xml:space="preserve">Entsprechend dem Grundsatz der Verhältnismäßigkeit beschränkt sich die vorgeschlagene Verordnung auf die zur Erreichung ihres Ziels erforderlichen Mindestvorschriften und geht nicht über das zur Erreichung dieses Ziels erforderliche Maß hinaus. </w:t>
      </w:r>
    </w:p>
    <w:p w:rsidR="00A314D3" w:rsidRPr="00D3304A" w:rsidRDefault="00A314D3" w:rsidP="00A314D3">
      <w:pPr>
        <w:pStyle w:val="ManualHeading2"/>
        <w:rPr>
          <w:noProof/>
        </w:rPr>
      </w:pPr>
      <w:r w:rsidRPr="00D3304A">
        <w:rPr>
          <w:noProof/>
        </w:rPr>
        <w:t>Wahl des Instruments</w:t>
      </w:r>
    </w:p>
    <w:p w:rsidR="00A314D3" w:rsidRPr="00D3304A" w:rsidRDefault="00175488" w:rsidP="00A314D3">
      <w:pPr>
        <w:rPr>
          <w:noProof/>
        </w:rPr>
      </w:pPr>
      <w:r w:rsidRPr="00D3304A">
        <w:rPr>
          <w:noProof/>
        </w:rPr>
        <w:t>Da nichtfinanzielle Statistiken zu Gewerbeimmobilien noch nicht unter die bestehenden EU-Rechtsvorschriften fallen, muss ein neuer Rechtsakt vorgeschlagen werden.</w:t>
      </w:r>
    </w:p>
    <w:p w:rsidR="00A314D3" w:rsidRPr="00D3304A" w:rsidRDefault="00A314D3" w:rsidP="00A314D3">
      <w:pPr>
        <w:rPr>
          <w:noProof/>
        </w:rPr>
      </w:pPr>
      <w:r w:rsidRPr="00D3304A">
        <w:rPr>
          <w:noProof/>
        </w:rPr>
        <w:t>Auch politische und unternehmerische Entscheidungen hängen von vergleichbaren, harmonisierten und hochwertigen nichtfinanziellen Statistiken zu Gewerbeimmobilien auf europäischer Ebene ab. Der beste Weg zur Gewährleistung solcher Statistiken ist eine Verordnung, die unmittelbar in jedem Mitgliedstaat gilt.</w:t>
      </w:r>
    </w:p>
    <w:p w:rsidR="00A314D3" w:rsidRPr="00D3304A" w:rsidRDefault="00A314D3" w:rsidP="00A314D3">
      <w:pPr>
        <w:pStyle w:val="ManualHeading1"/>
        <w:rPr>
          <w:noProof/>
        </w:rPr>
      </w:pPr>
      <w:r w:rsidRPr="00C24C00">
        <w:rPr>
          <w:noProof/>
        </w:rPr>
        <w:t>3</w:t>
      </w:r>
      <w:r w:rsidRPr="00D3304A">
        <w:rPr>
          <w:noProof/>
        </w:rPr>
        <w:t>.</w:t>
      </w:r>
      <w:r w:rsidRPr="00D3304A">
        <w:rPr>
          <w:noProof/>
        </w:rPr>
        <w:tab/>
        <w:t>ERGEBNISSE DER EX-POST-BEWERTUNG, DER KONSULTATION DER INTERESSENTRÄGER UND DER FOLGENABSCHÄTZUNG</w:t>
      </w:r>
    </w:p>
    <w:p w:rsidR="00A314D3" w:rsidRPr="00D3304A" w:rsidRDefault="00A314D3" w:rsidP="00A314D3">
      <w:pPr>
        <w:pStyle w:val="ManualHeading2"/>
        <w:rPr>
          <w:noProof/>
        </w:rPr>
      </w:pPr>
      <w:r w:rsidRPr="00D3304A">
        <w:rPr>
          <w:noProof/>
        </w:rPr>
        <w:t>Konsultation der Interessenträger</w:t>
      </w:r>
    </w:p>
    <w:p w:rsidR="00A314D3" w:rsidRPr="00D3304A" w:rsidRDefault="00A314D3" w:rsidP="00A314D3">
      <w:pPr>
        <w:rPr>
          <w:noProof/>
        </w:rPr>
      </w:pPr>
      <w:r w:rsidRPr="00D3304A">
        <w:rPr>
          <w:noProof/>
        </w:rPr>
        <w:t xml:space="preserve">Am </w:t>
      </w:r>
      <w:r w:rsidRPr="00C24C00">
        <w:rPr>
          <w:noProof/>
        </w:rPr>
        <w:t>27</w:t>
      </w:r>
      <w:r w:rsidRPr="00D3304A">
        <w:rPr>
          <w:noProof/>
        </w:rPr>
        <w:t xml:space="preserve">. November </w:t>
      </w:r>
      <w:r w:rsidRPr="00C24C00">
        <w:rPr>
          <w:noProof/>
        </w:rPr>
        <w:t>2023</w:t>
      </w:r>
      <w:r w:rsidRPr="00D3304A">
        <w:rPr>
          <w:noProof/>
        </w:rPr>
        <w:t xml:space="preserve"> veröffentlichte die Kommission auf dem Portal „Ihre Meinung zählt“ eine Aufforderung zur Stellungnahme</w:t>
      </w:r>
      <w:r w:rsidR="004747D4" w:rsidRPr="00D3304A">
        <w:rPr>
          <w:rStyle w:val="FootnoteReference"/>
          <w:noProof/>
        </w:rPr>
        <w:footnoteReference w:id="5"/>
      </w:r>
      <w:r w:rsidRPr="00D3304A">
        <w:rPr>
          <w:noProof/>
        </w:rPr>
        <w:t xml:space="preserve"> zu der Initiative, Rechtsvorschriften zu Statistiken zu Gewerbeimmobilien vorzuschlagen. Fünf europäische Immobilienverbände gaben Rückmeldungen zu der Initiative und betonten im Allgemeinen die dringende Notwendigkeit besserer Statistiken zu Gewerbeimmobilien.</w:t>
      </w:r>
    </w:p>
    <w:p w:rsidR="00A314D3" w:rsidRPr="00D3304A" w:rsidRDefault="00A314D3" w:rsidP="00A314D3">
      <w:pPr>
        <w:rPr>
          <w:noProof/>
        </w:rPr>
      </w:pPr>
      <w:r w:rsidRPr="00D3304A">
        <w:rPr>
          <w:noProof/>
        </w:rPr>
        <w:t xml:space="preserve">Der Ausschuss für das Europäische Statistische System (AESS) wurde in seiner Sitzung im Februar </w:t>
      </w:r>
      <w:r w:rsidRPr="00C24C00">
        <w:rPr>
          <w:noProof/>
        </w:rPr>
        <w:t>2024</w:t>
      </w:r>
      <w:r w:rsidRPr="00D3304A">
        <w:rPr>
          <w:noProof/>
        </w:rPr>
        <w:t xml:space="preserve"> zu dem Vorschlagsentwurf konsultiert. Der AESS erkannte die steigende Nachfrage der Nutzer nach neuen vergleichbaren Statistiken an, die auch für die Überwachung der Finanzstabilität, die Aufsicht auf Makroebene und die Gestaltung der Haushalts- und Geldpolitik in der EU von erheblicher Bedeutung sind. Der Ausschuss brachte seine Unterstützung für eine Verordnung des Europäischen Parlaments und des Rates über nichtfinanzielle Statistiken zu Gewerbeimmobilien zum Ausdruck. Der Ausschuss begrüßte, dass die Kommission in dem Entwurf ihres Vorschlags den Bedarf der Nutzer mit den Faktoren Durchführbarkeit sowie Kosten und Aufwand im Zusammenhang mit der Erstellung der Statistiken in Einklang bringen möchte.</w:t>
      </w:r>
    </w:p>
    <w:p w:rsidR="007E0DA5" w:rsidRPr="00D3304A" w:rsidRDefault="007E0DA5" w:rsidP="00A314D3">
      <w:pPr>
        <w:rPr>
          <w:noProof/>
        </w:rPr>
      </w:pPr>
      <w:r w:rsidRPr="00D3304A">
        <w:rPr>
          <w:noProof/>
        </w:rPr>
        <w:t>Diese Konsultationen waren von erheblicher Bedeutung, da hinsichtlich des Verwaltungsaufwands die nationalen statistischen Ämter (NSÄ) die größte Last tragen werden. Sie werden in die Entwicklung und Erstellung der geplanten Statistiken investieren müssen. Die für die Statistiken verwendeten Daten werden von bestehenden Verwaltungsdatenbanken und Immobilienorganisationen bezogen, die relevante Daten sammeln, oder auf statistischen Daten gründen, die bereits von Unternehmen erhoben werden. Daher werden Haushalte oder Unternehmen kaum einen oder gar keinen Mehraufwand haben.</w:t>
      </w:r>
    </w:p>
    <w:p w:rsidR="00A314D3" w:rsidRPr="00D3304A" w:rsidRDefault="00A314D3" w:rsidP="00A314D3">
      <w:pPr>
        <w:pStyle w:val="ManualHeading2"/>
        <w:rPr>
          <w:noProof/>
        </w:rPr>
      </w:pPr>
      <w:r w:rsidRPr="00D3304A">
        <w:rPr>
          <w:noProof/>
        </w:rPr>
        <w:t>Einholung und Nutzung von Expertenwissen</w:t>
      </w:r>
    </w:p>
    <w:p w:rsidR="00A314D3" w:rsidRPr="00D3304A" w:rsidRDefault="00A314D3" w:rsidP="00A314D3">
      <w:pPr>
        <w:rPr>
          <w:noProof/>
        </w:rPr>
      </w:pPr>
      <w:r w:rsidRPr="00D3304A">
        <w:rPr>
          <w:noProof/>
        </w:rPr>
        <w:t xml:space="preserve">Für den Vorschlag herangezogen wurden Beiträge von Sachverständigen der nationalen statistischen Ämter (im Rahmen der Sachverständigengruppen „Immobilienpreisstatistik“ und „Konjunkturstatistik“ der Kommission); der Generaldirektion Wirtschaft und Finanzen und der Generaldirektion Finanzstabilität, Finanzdienstleistungen und Kapitalmarktunion der Kommission; der Europäischen Zentralbank und des Europäischen Ausschusses für Systemrisiken sowie anderer internationaler Organisationen wie dem Internationalen Währungsfonds und der Bank für Internationalen Zahlungsausgleich. </w:t>
      </w:r>
    </w:p>
    <w:p w:rsidR="00A314D3" w:rsidRPr="00D3304A" w:rsidRDefault="00A314D3" w:rsidP="00A314D3">
      <w:pPr>
        <w:pStyle w:val="ManualHeading2"/>
        <w:rPr>
          <w:noProof/>
        </w:rPr>
      </w:pPr>
      <w:r w:rsidRPr="00D3304A">
        <w:rPr>
          <w:noProof/>
        </w:rPr>
        <w:t>Folgenabschätzung</w:t>
      </w:r>
    </w:p>
    <w:p w:rsidR="005C03ED" w:rsidRPr="00D3304A" w:rsidRDefault="000C08DE" w:rsidP="005C03ED">
      <w:pPr>
        <w:rPr>
          <w:noProof/>
        </w:rPr>
      </w:pPr>
      <w:r w:rsidRPr="00D3304A">
        <w:rPr>
          <w:noProof/>
        </w:rPr>
        <w:t xml:space="preserve">Eine vollständige Folgenabschätzung wurde als unnötig erachtet, da der ESRB die Kommission in seiner Empfehlung aus dem Jahr </w:t>
      </w:r>
      <w:r w:rsidRPr="00C24C00">
        <w:rPr>
          <w:noProof/>
        </w:rPr>
        <w:t>2019</w:t>
      </w:r>
      <w:r w:rsidRPr="00D3304A">
        <w:rPr>
          <w:noProof/>
        </w:rPr>
        <w:t xml:space="preserve"> ausdrücklich beauftragt hat, Rechtsvorschriften vorzuschlagen, um die bestehende Datenlücke im Bereich der nichtfinanziellen Statistiken über Immobilien zu schließen, und ihr so kein politischer Entscheidungsspielraum zuteilwurde. Darüber hinaus werden durch den neuen Vorschlag (insbesondere für Unternehmen) nur minimale Kosten entstehen, da er sich weitgehend auf </w:t>
      </w:r>
      <w:r w:rsidR="00E61D74">
        <w:rPr>
          <w:noProof/>
        </w:rPr>
        <w:t xml:space="preserve">die Weiterverwendung </w:t>
      </w:r>
      <w:r w:rsidRPr="00D3304A">
        <w:rPr>
          <w:noProof/>
        </w:rPr>
        <w:t>vorhandene</w:t>
      </w:r>
      <w:r w:rsidR="00E61D74">
        <w:rPr>
          <w:noProof/>
        </w:rPr>
        <w:t>r</w:t>
      </w:r>
      <w:r w:rsidRPr="00D3304A">
        <w:rPr>
          <w:noProof/>
        </w:rPr>
        <w:t xml:space="preserve"> Quelldaten in Verwaltungsdatenbanken oder privaten Datenbanken stützen wird. </w:t>
      </w:r>
    </w:p>
    <w:p w:rsidR="00A314D3" w:rsidRPr="00D3304A" w:rsidRDefault="00A314D3" w:rsidP="005C03ED">
      <w:pPr>
        <w:rPr>
          <w:noProof/>
        </w:rPr>
      </w:pPr>
      <w:r w:rsidRPr="00C24C00">
        <w:rPr>
          <w:noProof/>
        </w:rPr>
        <w:t>2023</w:t>
      </w:r>
      <w:r w:rsidRPr="00D3304A">
        <w:rPr>
          <w:noProof/>
        </w:rPr>
        <w:t xml:space="preserve"> führte Eurostat eine Erhebung unter den Mitgliedstaaten durch, um die Fortschritte bei der Entwicklung von Preis- und Mietindizes für Gewerbeimmobilien abzuschätzen. In Bezug auf Preisindizes berichteten </w:t>
      </w:r>
      <w:r w:rsidRPr="00C24C00">
        <w:rPr>
          <w:noProof/>
        </w:rPr>
        <w:t>15</w:t>
      </w:r>
      <w:r w:rsidRPr="00D3304A">
        <w:rPr>
          <w:noProof/>
        </w:rPr>
        <w:t xml:space="preserve"> der </w:t>
      </w:r>
      <w:r w:rsidRPr="00C24C00">
        <w:rPr>
          <w:noProof/>
        </w:rPr>
        <w:t>16</w:t>
      </w:r>
      <w:r w:rsidRPr="00D3304A">
        <w:rPr>
          <w:noProof/>
        </w:rPr>
        <w:t xml:space="preserve"> Länder, die die verfügbaren Datenquellen ausgewertet hatten, dass sie administrative Datenquellen wie Register für Immobilientransaktionen oder Schätzwerte verwenden bzw. verwenden würden. Ein Land hatte eine dementsprechende Erhebung durchgeführt. </w:t>
      </w:r>
    </w:p>
    <w:p w:rsidR="00A314D3" w:rsidRPr="00D3304A" w:rsidRDefault="00A314D3" w:rsidP="00A314D3">
      <w:pPr>
        <w:rPr>
          <w:noProof/>
        </w:rPr>
      </w:pPr>
      <w:r w:rsidRPr="00D3304A">
        <w:rPr>
          <w:noProof/>
        </w:rPr>
        <w:t xml:space="preserve">Zu Mietindizes legten zwölf Mitgliedstaaten Informationen vor: Fünf griffen dabei auf administrative Datenquellen zurück, zwei auf private Datenquellen (z. B. Daten von Immobilienorganisationen), zwei stützten sich auf Daten zu Mieten, die bereits für konjunkturelle Statistiken erhoben worden waren und drei auf eine Kombination dieser Arten von Datenquellen. </w:t>
      </w:r>
    </w:p>
    <w:p w:rsidR="00A314D3" w:rsidRPr="00D3304A" w:rsidRDefault="00A314D3" w:rsidP="00A314D3">
      <w:pPr>
        <w:rPr>
          <w:noProof/>
        </w:rPr>
      </w:pPr>
      <w:bookmarkStart w:id="2" w:name="_Hlk169877573"/>
      <w:r w:rsidRPr="00D3304A">
        <w:rPr>
          <w:noProof/>
        </w:rPr>
        <w:t>Darüber hinaus trug Eurostat im Jahr </w:t>
      </w:r>
      <w:r w:rsidRPr="00C24C00">
        <w:rPr>
          <w:noProof/>
        </w:rPr>
        <w:t>2022</w:t>
      </w:r>
      <w:r w:rsidRPr="00D3304A">
        <w:rPr>
          <w:noProof/>
        </w:rPr>
        <w:t xml:space="preserve"> Schätzungen der Kosten, die für die Mitgliedstaaten für die Erhebung von Daten zu neu begonnenen Bauten und zur Fertigstellung der Bauarbeiten anfallen würden, zusammen. Die Datenerhebung zu diesen Variablen wird auf den bereits zu Baugenehmigungen erhobenen Daten aufbauen und sich vollständig auf Verwaltungsdaten stützen. Den Unternehmen und Haushalten entstehen so keine zusätzlichen Kosten bzw. kein zusätzlicher Mehraufwand. Allein (lokale) Gebäudeverwaltungen werden davon betroffen sein.</w:t>
      </w:r>
    </w:p>
    <w:bookmarkEnd w:id="2"/>
    <w:p w:rsidR="00C969BE" w:rsidRPr="00D3304A" w:rsidRDefault="00C969BE" w:rsidP="00C969BE">
      <w:pPr>
        <w:rPr>
          <w:noProof/>
        </w:rPr>
      </w:pPr>
      <w:r w:rsidRPr="00D3304A">
        <w:rPr>
          <w:noProof/>
        </w:rPr>
        <w:t xml:space="preserve">Als Rückmeldung zur Aufforderung zur Stellungnahme begrüßten fünf Verbände im November und Dezember </w:t>
      </w:r>
      <w:r w:rsidRPr="00C24C00">
        <w:rPr>
          <w:noProof/>
        </w:rPr>
        <w:t>2023</w:t>
      </w:r>
      <w:r w:rsidRPr="00D3304A">
        <w:rPr>
          <w:noProof/>
        </w:rPr>
        <w:t xml:space="preserve"> die Initiative der Kommission und die Gelegenheit, gemeinsame Definitionen festzulegen und die Verfügbarkeit von Daten über Gewerbeimmobilien zu verbessern. Ein Verband äußerte Zweifel hinsichtlich der geschätzten minimalen Auswirkungen auf Unternehmen. Der Hauptgrund dafür war die Unzulänglichkeit der zugrunde liegenden Datenbanken, die nicht ausreichend digitalisiert sein und Gewerbeimmobilien nicht so gut wie Wohnimmobilien erfassen könnten. Der Verband gab jedoch an, dass dies möglicherweise auf das Fehlen harmonisierter Definitionen für Gewerbeimmobilien zurückzuführen sei.</w:t>
      </w:r>
    </w:p>
    <w:p w:rsidR="00A314D3" w:rsidRPr="00D3304A" w:rsidRDefault="00A314D3" w:rsidP="00A314D3">
      <w:pPr>
        <w:rPr>
          <w:noProof/>
        </w:rPr>
      </w:pPr>
      <w:r w:rsidRPr="00D3304A">
        <w:rPr>
          <w:noProof/>
        </w:rPr>
        <w:t>Die vorgeschlagene Verordnung würde daher weder mit spürbaren direkten wirtschaftlichen, ökologischen oder sozialen Auswirkungen noch mit erheblichen Ausgaben einhergehen. Sie dürfte minimale, wenn nicht sogar keinerlei Auswirkungen auf kleine, mittlere und große Unternehmen haben. Außerdem dürfte sie politischen Entscheidungsträgern und anderen Nutzern eine verbesserte faktengesicherte Grundlage bieten.</w:t>
      </w:r>
    </w:p>
    <w:p w:rsidR="00A314D3" w:rsidRPr="00D3304A" w:rsidRDefault="00A314D3" w:rsidP="00A314D3">
      <w:pPr>
        <w:pStyle w:val="ManualHeading2"/>
        <w:rPr>
          <w:noProof/>
        </w:rPr>
      </w:pPr>
      <w:r w:rsidRPr="00D3304A">
        <w:rPr>
          <w:noProof/>
        </w:rPr>
        <w:t>Grundrechte</w:t>
      </w:r>
    </w:p>
    <w:p w:rsidR="00A314D3" w:rsidRPr="00D3304A" w:rsidRDefault="00A314D3" w:rsidP="00A314D3">
      <w:pPr>
        <w:rPr>
          <w:noProof/>
        </w:rPr>
      </w:pPr>
      <w:r w:rsidRPr="00D3304A">
        <w:rPr>
          <w:noProof/>
        </w:rPr>
        <w:t>Der Vorschlag hat keine Auswirkungen auf den Schutz der Grundrechte.</w:t>
      </w:r>
    </w:p>
    <w:p w:rsidR="00A314D3" w:rsidRPr="00D3304A" w:rsidRDefault="00A314D3" w:rsidP="00A314D3">
      <w:pPr>
        <w:pStyle w:val="ManualHeading1"/>
        <w:rPr>
          <w:noProof/>
        </w:rPr>
      </w:pPr>
      <w:r w:rsidRPr="00C24C00">
        <w:rPr>
          <w:noProof/>
        </w:rPr>
        <w:t>4</w:t>
      </w:r>
      <w:r w:rsidRPr="00D3304A">
        <w:rPr>
          <w:noProof/>
        </w:rPr>
        <w:t>.</w:t>
      </w:r>
      <w:r w:rsidRPr="00D3304A">
        <w:rPr>
          <w:noProof/>
        </w:rPr>
        <w:tab/>
        <w:t>AUSWIRKUNGEN AUF DEN HAUSHALT</w:t>
      </w:r>
    </w:p>
    <w:p w:rsidR="00A314D3" w:rsidRPr="00D3304A" w:rsidRDefault="00A314D3" w:rsidP="00A314D3">
      <w:pPr>
        <w:rPr>
          <w:noProof/>
        </w:rPr>
      </w:pPr>
      <w:r w:rsidRPr="00D3304A">
        <w:rPr>
          <w:noProof/>
        </w:rPr>
        <w:t xml:space="preserve">Die finanziellen Auswirkungen des Vorschlag haben eine unbefristete Dauer, mit einer Anlaufphase von drei Jahren, von </w:t>
      </w:r>
      <w:r w:rsidRPr="00C24C00">
        <w:rPr>
          <w:noProof/>
        </w:rPr>
        <w:t>2026</w:t>
      </w:r>
      <w:r w:rsidRPr="00D3304A">
        <w:rPr>
          <w:noProof/>
        </w:rPr>
        <w:t xml:space="preserve"> bis </w:t>
      </w:r>
      <w:r w:rsidRPr="00C24C00">
        <w:rPr>
          <w:noProof/>
        </w:rPr>
        <w:t>2028</w:t>
      </w:r>
      <w:r w:rsidRPr="00D3304A">
        <w:rPr>
          <w:noProof/>
        </w:rPr>
        <w:t xml:space="preserve">. </w:t>
      </w:r>
      <w:r w:rsidR="002E1DA8" w:rsidRPr="002E1DA8">
        <w:rPr>
          <w:noProof/>
        </w:rPr>
        <w:t>Der Finanz- und Digitalbogen</w:t>
      </w:r>
      <w:r w:rsidR="002E1DA8">
        <w:rPr>
          <w:noProof/>
        </w:rPr>
        <w:t xml:space="preserve"> </w:t>
      </w:r>
      <w:r w:rsidRPr="00D3304A">
        <w:rPr>
          <w:noProof/>
        </w:rPr>
        <w:t>deckt nur die verbleibende Laufzeit des derzeitigen Mehrjährigen Finanzrahmen (MFR)</w:t>
      </w:r>
      <w:r w:rsidR="00266E4D" w:rsidRPr="00D3304A">
        <w:rPr>
          <w:rStyle w:val="FootnoteReference"/>
          <w:noProof/>
        </w:rPr>
        <w:footnoteReference w:id="6"/>
      </w:r>
      <w:r w:rsidRPr="00D3304A">
        <w:rPr>
          <w:noProof/>
        </w:rPr>
        <w:t xml:space="preserve"> ab. Daher wird die Finanzierung weiterhin von den für den nächsten MFR getroffenen Vereinbarungen abhängen. </w:t>
      </w:r>
    </w:p>
    <w:p w:rsidR="00A314D3" w:rsidRPr="00D3304A" w:rsidRDefault="00A314D3" w:rsidP="00A314D3">
      <w:pPr>
        <w:rPr>
          <w:noProof/>
        </w:rPr>
      </w:pPr>
      <w:r w:rsidRPr="00D3304A">
        <w:rPr>
          <w:noProof/>
        </w:rPr>
        <w:t>Die Finanzierung für die Jahre </w:t>
      </w:r>
      <w:r w:rsidRPr="00C24C00">
        <w:rPr>
          <w:noProof/>
        </w:rPr>
        <w:t>2026</w:t>
      </w:r>
      <w:r w:rsidRPr="00D3304A">
        <w:rPr>
          <w:noProof/>
        </w:rPr>
        <w:t xml:space="preserve"> und </w:t>
      </w:r>
      <w:r w:rsidRPr="00C24C00">
        <w:rPr>
          <w:noProof/>
        </w:rPr>
        <w:t>2027</w:t>
      </w:r>
      <w:r w:rsidRPr="00D3304A">
        <w:rPr>
          <w:noProof/>
        </w:rPr>
        <w:t xml:space="preserve"> entstammt den Mittelzuweisungen für bestehende Programme und es ist keine zusätzliche Finanzierung erforderlich. </w:t>
      </w:r>
    </w:p>
    <w:p w:rsidR="00A314D3" w:rsidRPr="00D3304A" w:rsidRDefault="00A314D3" w:rsidP="00A314D3">
      <w:pPr>
        <w:rPr>
          <w:noProof/>
        </w:rPr>
      </w:pPr>
      <w:r w:rsidRPr="00D3304A">
        <w:rPr>
          <w:noProof/>
        </w:rPr>
        <w:t xml:space="preserve">Die Gesamtmittel für </w:t>
      </w:r>
      <w:r w:rsidRPr="00C24C00">
        <w:rPr>
          <w:noProof/>
        </w:rPr>
        <w:t>2026</w:t>
      </w:r>
      <w:r w:rsidRPr="00D3304A">
        <w:rPr>
          <w:noProof/>
        </w:rPr>
        <w:t xml:space="preserve"> und </w:t>
      </w:r>
      <w:r w:rsidRPr="00C24C00">
        <w:rPr>
          <w:noProof/>
        </w:rPr>
        <w:t>2027</w:t>
      </w:r>
      <w:r w:rsidRPr="00D3304A">
        <w:rPr>
          <w:noProof/>
        </w:rPr>
        <w:t xml:space="preserve"> werden auf </w:t>
      </w:r>
      <w:r w:rsidRPr="00C24C00">
        <w:rPr>
          <w:noProof/>
        </w:rPr>
        <w:t>3</w:t>
      </w:r>
      <w:r w:rsidRPr="00D3304A">
        <w:rPr>
          <w:noProof/>
        </w:rPr>
        <w:t>,</w:t>
      </w:r>
      <w:r w:rsidRPr="00C24C00">
        <w:rPr>
          <w:noProof/>
        </w:rPr>
        <w:t>6</w:t>
      </w:r>
      <w:r w:rsidRPr="00D3304A">
        <w:rPr>
          <w:noProof/>
        </w:rPr>
        <w:t xml:space="preserve"> Mio. EUR geschätzt. Näheres zu den Auswirkungen auf den Haushalt ist dem </w:t>
      </w:r>
      <w:r w:rsidR="002E1DA8" w:rsidRPr="002E1DA8">
        <w:rPr>
          <w:noProof/>
        </w:rPr>
        <w:t>Finanz- und Digitalbogen</w:t>
      </w:r>
      <w:r w:rsidRPr="00D3304A">
        <w:rPr>
          <w:noProof/>
        </w:rPr>
        <w:t xml:space="preserve"> zu entnehmen.</w:t>
      </w:r>
    </w:p>
    <w:p w:rsidR="00A314D3" w:rsidRPr="00D3304A" w:rsidRDefault="00A314D3" w:rsidP="00A314D3">
      <w:pPr>
        <w:pStyle w:val="ManualHeading1"/>
        <w:rPr>
          <w:noProof/>
        </w:rPr>
      </w:pPr>
      <w:r w:rsidRPr="00C24C00">
        <w:rPr>
          <w:noProof/>
        </w:rPr>
        <w:t>5</w:t>
      </w:r>
      <w:r w:rsidRPr="00D3304A">
        <w:rPr>
          <w:noProof/>
        </w:rPr>
        <w:t>.</w:t>
      </w:r>
      <w:r w:rsidRPr="00D3304A">
        <w:rPr>
          <w:noProof/>
        </w:rPr>
        <w:tab/>
        <w:t>WEITERE ANGABEN</w:t>
      </w:r>
    </w:p>
    <w:p w:rsidR="00A314D3" w:rsidRPr="00D3304A" w:rsidRDefault="00A314D3" w:rsidP="00522805">
      <w:pPr>
        <w:pStyle w:val="ManualHeading2"/>
        <w:rPr>
          <w:noProof/>
        </w:rPr>
      </w:pPr>
      <w:r w:rsidRPr="00D3304A">
        <w:rPr>
          <w:noProof/>
        </w:rPr>
        <w:t>Durchführungspläne sowie Monitoring-, Bewertungs- und Berichterstattungsmodalitäten</w:t>
      </w:r>
    </w:p>
    <w:p w:rsidR="00A314D3" w:rsidRPr="00D3304A" w:rsidRDefault="00A314D3" w:rsidP="00522805">
      <w:pPr>
        <w:rPr>
          <w:noProof/>
        </w:rPr>
      </w:pPr>
      <w:r w:rsidRPr="00D3304A">
        <w:rPr>
          <w:noProof/>
        </w:rPr>
        <w:t xml:space="preserve">Die vorgeschlagene Verordnung wird voraussichtlich im Jahr </w:t>
      </w:r>
      <w:r w:rsidRPr="00C24C00">
        <w:rPr>
          <w:noProof/>
        </w:rPr>
        <w:t>2025</w:t>
      </w:r>
      <w:r w:rsidRPr="00D3304A">
        <w:rPr>
          <w:noProof/>
        </w:rPr>
        <w:t xml:space="preserve"> vom Europäischen Parlament und vom Rat angenommen, und die Durchführungsmaßnahmen der Kommission werden kurz danach verabschiedet. Sie gilt voraussichtlich ab dem </w:t>
      </w:r>
      <w:r w:rsidRPr="00C24C00">
        <w:rPr>
          <w:noProof/>
        </w:rPr>
        <w:t>1</w:t>
      </w:r>
      <w:r w:rsidRPr="00D3304A">
        <w:rPr>
          <w:noProof/>
        </w:rPr>
        <w:t xml:space="preserve">. Januar </w:t>
      </w:r>
      <w:r w:rsidRPr="00C24C00">
        <w:rPr>
          <w:noProof/>
        </w:rPr>
        <w:t>2026</w:t>
      </w:r>
      <w:r w:rsidRPr="00D3304A">
        <w:rPr>
          <w:noProof/>
        </w:rPr>
        <w:t xml:space="preserve">. </w:t>
      </w:r>
    </w:p>
    <w:p w:rsidR="00A314D3" w:rsidRPr="00D3304A" w:rsidRDefault="00A314D3" w:rsidP="00522805">
      <w:pPr>
        <w:rPr>
          <w:noProof/>
        </w:rPr>
      </w:pPr>
      <w:r w:rsidRPr="00D3304A">
        <w:rPr>
          <w:noProof/>
        </w:rPr>
        <w:t>Die Kommission (Eurostat) wird die Umsetzung der vorgeschlagenen Verordnung durch die Mitgliedstaaten überwachen. Der Qualität der Statistiken im Hinblick auf ihre Vollständigkeit, Zuverlässigkeit, Aktualität und Vergleichbarkeit wird besondere Aufmerksamkeit geschenkt. Die Kommission (Eurostat) wird auch die Kosten überwachen, die den nationalen statistischen Ämtern im Zuge der Entwicklung und Erstellung der Statistiken entstehen.</w:t>
      </w:r>
    </w:p>
    <w:p w:rsidR="00A314D3" w:rsidRPr="00D3304A" w:rsidRDefault="00B43C28" w:rsidP="00522805">
      <w:pPr>
        <w:rPr>
          <w:noProof/>
        </w:rPr>
      </w:pPr>
      <w:r w:rsidRPr="00D3304A">
        <w:rPr>
          <w:noProof/>
        </w:rPr>
        <w:t>Die Kommission (Eurostat) wird bestehende Überwachungs- und Bewertungsinstrumente einsetzen, die für alle statistischen Produkte von Eurostat gelten. Diese Instrumente erlauben bereits eine zufriedenstellende Analyse aller Veränderungen im Bereich der Wirksamkeit und Effizienz der neuen statistischen Initiative und der Qualität der erstellten Daten.</w:t>
      </w:r>
    </w:p>
    <w:p w:rsidR="00A314D3" w:rsidRPr="00D3304A" w:rsidRDefault="00A314D3" w:rsidP="00522805">
      <w:pPr>
        <w:pStyle w:val="ManualHeading2"/>
        <w:rPr>
          <w:noProof/>
        </w:rPr>
      </w:pPr>
      <w:r w:rsidRPr="00D3304A">
        <w:rPr>
          <w:noProof/>
        </w:rPr>
        <w:t>Ausführliche Erläuterung einzelner Bestimmungen des Vorschlags</w:t>
      </w:r>
    </w:p>
    <w:p w:rsidR="00A314D3" w:rsidRPr="00D3304A" w:rsidRDefault="00A314D3" w:rsidP="00522805">
      <w:pPr>
        <w:rPr>
          <w:noProof/>
        </w:rPr>
      </w:pPr>
      <w:bookmarkStart w:id="3" w:name="_Hlk169009438"/>
      <w:r w:rsidRPr="00D3304A">
        <w:rPr>
          <w:noProof/>
        </w:rPr>
        <w:t>In Artikel </w:t>
      </w:r>
      <w:r w:rsidRPr="00C24C00">
        <w:rPr>
          <w:noProof/>
        </w:rPr>
        <w:t>1</w:t>
      </w:r>
      <w:r w:rsidRPr="00D3304A">
        <w:rPr>
          <w:noProof/>
        </w:rPr>
        <w:t xml:space="preserve"> des Vorschlags ist das Ziel der Verordnung festgelegt, das sich am Wortlaut der Empfehlung F des ESRB – Schaffung eines gemeinsamen Mindestrahmens für den physischen Gewerbeimmobilienmarkt (ESRB/</w:t>
      </w:r>
      <w:r w:rsidRPr="00C24C00">
        <w:rPr>
          <w:noProof/>
        </w:rPr>
        <w:t>2019</w:t>
      </w:r>
      <w:r w:rsidRPr="00D3304A">
        <w:rPr>
          <w:noProof/>
        </w:rPr>
        <w:t>/</w:t>
      </w:r>
      <w:r w:rsidRPr="00C24C00">
        <w:rPr>
          <w:noProof/>
        </w:rPr>
        <w:t>3</w:t>
      </w:r>
      <w:r w:rsidRPr="00D3304A">
        <w:rPr>
          <w:noProof/>
        </w:rPr>
        <w:t>) orientiert. Ferner wird in diesem Artikel präzisiert, dass die Verordnung nur nichtfinanzielle Statistiken zu Gewerbeimmobilien (vom ESRB als „Indikatoren des physischen Gewerbeimmobilienmarkts“ bezeichnet) betrifft.</w:t>
      </w:r>
    </w:p>
    <w:p w:rsidR="00A314D3" w:rsidRPr="00D3304A" w:rsidRDefault="00A314D3" w:rsidP="00522805">
      <w:pPr>
        <w:rPr>
          <w:noProof/>
        </w:rPr>
      </w:pPr>
      <w:r w:rsidRPr="00D3304A">
        <w:rPr>
          <w:noProof/>
        </w:rPr>
        <w:t>Artikel </w:t>
      </w:r>
      <w:r w:rsidRPr="00C24C00">
        <w:rPr>
          <w:noProof/>
        </w:rPr>
        <w:t>2</w:t>
      </w:r>
      <w:r w:rsidRPr="00D3304A">
        <w:rPr>
          <w:noProof/>
        </w:rPr>
        <w:t xml:space="preserve"> enthält Begriffsbestimmungen. Die im Vorschlag enthaltenen Begriffsbestimmungen zu Gewerbeimmobilien entsprechen den Begriffsbestimmungen aus der Empfehlung des ESRB. </w:t>
      </w:r>
    </w:p>
    <w:p w:rsidR="00A314D3" w:rsidRPr="00D3304A" w:rsidRDefault="00A314D3" w:rsidP="00522805">
      <w:pPr>
        <w:rPr>
          <w:noProof/>
        </w:rPr>
      </w:pPr>
      <w:r w:rsidRPr="00D3304A">
        <w:rPr>
          <w:noProof/>
        </w:rPr>
        <w:t>Artikel </w:t>
      </w:r>
      <w:r w:rsidRPr="00C24C00">
        <w:rPr>
          <w:noProof/>
        </w:rPr>
        <w:t>3</w:t>
      </w:r>
      <w:r w:rsidRPr="00D3304A">
        <w:rPr>
          <w:noProof/>
        </w:rPr>
        <w:t xml:space="preserve"> sieht vor, dass die verwendeten Quellen und Methoden den für diese Statistiken festgelegten Qualitätsanforderungen entsprechen.</w:t>
      </w:r>
    </w:p>
    <w:p w:rsidR="00A314D3" w:rsidRPr="00D3304A" w:rsidRDefault="00A314D3" w:rsidP="00522805">
      <w:pPr>
        <w:rPr>
          <w:noProof/>
        </w:rPr>
      </w:pPr>
      <w:r w:rsidRPr="00D3304A">
        <w:rPr>
          <w:noProof/>
        </w:rPr>
        <w:t>In Artikel </w:t>
      </w:r>
      <w:r w:rsidRPr="00C24C00">
        <w:rPr>
          <w:noProof/>
        </w:rPr>
        <w:t>4</w:t>
      </w:r>
      <w:r w:rsidRPr="00D3304A">
        <w:rPr>
          <w:noProof/>
        </w:rPr>
        <w:t xml:space="preserve"> werden die Rechte und Pflichten der Mitgliedstaaten und Dateninhaber im Hinblick auf den Zugang zu Daten unter Bezugnahme auf die Verordnung (EG) Nr. </w:t>
      </w:r>
      <w:r w:rsidRPr="00C24C00">
        <w:rPr>
          <w:noProof/>
        </w:rPr>
        <w:t>223</w:t>
      </w:r>
      <w:r w:rsidRPr="00D3304A">
        <w:rPr>
          <w:noProof/>
        </w:rPr>
        <w:t>/</w:t>
      </w:r>
      <w:r w:rsidRPr="00C24C00">
        <w:rPr>
          <w:noProof/>
        </w:rPr>
        <w:t>2009</w:t>
      </w:r>
      <w:r w:rsidRPr="00D3304A">
        <w:rPr>
          <w:noProof/>
        </w:rPr>
        <w:t xml:space="preserve"> aufgeführt. </w:t>
      </w:r>
    </w:p>
    <w:p w:rsidR="00A314D3" w:rsidRPr="00D3304A" w:rsidRDefault="00A314D3" w:rsidP="00522805">
      <w:pPr>
        <w:rPr>
          <w:noProof/>
        </w:rPr>
      </w:pPr>
      <w:r w:rsidRPr="00D3304A">
        <w:rPr>
          <w:noProof/>
        </w:rPr>
        <w:t>Artikel </w:t>
      </w:r>
      <w:r w:rsidRPr="00C24C00">
        <w:rPr>
          <w:noProof/>
        </w:rPr>
        <w:t>5</w:t>
      </w:r>
      <w:r w:rsidRPr="00D3304A">
        <w:rPr>
          <w:noProof/>
        </w:rPr>
        <w:t xml:space="preserve"> Absatz </w:t>
      </w:r>
      <w:r w:rsidRPr="00C24C00">
        <w:rPr>
          <w:noProof/>
        </w:rPr>
        <w:t>1</w:t>
      </w:r>
      <w:r w:rsidRPr="00D3304A">
        <w:rPr>
          <w:noProof/>
        </w:rPr>
        <w:t xml:space="preserve"> bezieht sich auf den Anhang des Basisrechtsakts, in dem die Liste der erforderlichen Variablen enthalten ist. Diese Variablen sind:</w:t>
      </w:r>
    </w:p>
    <w:p w:rsidR="00A314D3" w:rsidRPr="00D3304A" w:rsidRDefault="00AB5BAF" w:rsidP="00D0279C">
      <w:pPr>
        <w:pStyle w:val="Bullet0"/>
        <w:numPr>
          <w:ilvl w:val="0"/>
          <w:numId w:val="16"/>
        </w:numPr>
        <w:rPr>
          <w:noProof/>
        </w:rPr>
      </w:pPr>
      <w:r w:rsidRPr="00D3304A">
        <w:rPr>
          <w:noProof/>
        </w:rPr>
        <w:t>Baugenehmigungen (Anzahl der Wohnungen, nutzbare Grundfläche)</w:t>
      </w:r>
    </w:p>
    <w:p w:rsidR="00A314D3" w:rsidRPr="00D3304A" w:rsidRDefault="00AB5BAF" w:rsidP="00522805">
      <w:pPr>
        <w:pStyle w:val="Bullet0"/>
        <w:rPr>
          <w:noProof/>
        </w:rPr>
      </w:pPr>
      <w:r w:rsidRPr="00D3304A">
        <w:rPr>
          <w:noProof/>
        </w:rPr>
        <w:t>Neu begonnene Bauten und Fertigstellung der Bauarbeiten (Nutzfläche)</w:t>
      </w:r>
    </w:p>
    <w:p w:rsidR="00A314D3" w:rsidRPr="00D3304A" w:rsidRDefault="00AB5BAF" w:rsidP="00522805">
      <w:pPr>
        <w:pStyle w:val="Bullet0"/>
        <w:rPr>
          <w:noProof/>
        </w:rPr>
      </w:pPr>
      <w:r w:rsidRPr="00D3304A">
        <w:rPr>
          <w:noProof/>
        </w:rPr>
        <w:t>Preisindizes zu Gewerbeimmobilien</w:t>
      </w:r>
    </w:p>
    <w:p w:rsidR="00A314D3" w:rsidRPr="00D3304A" w:rsidRDefault="00AB5BAF" w:rsidP="00522805">
      <w:pPr>
        <w:pStyle w:val="Bullet0"/>
        <w:rPr>
          <w:noProof/>
        </w:rPr>
      </w:pPr>
      <w:r w:rsidRPr="00D3304A">
        <w:rPr>
          <w:noProof/>
        </w:rPr>
        <w:t>Mietindizes zu Gewerbeimmobilien</w:t>
      </w:r>
    </w:p>
    <w:p w:rsidR="00A314D3" w:rsidRPr="00D3304A" w:rsidRDefault="00AB5BAF" w:rsidP="00522805">
      <w:pPr>
        <w:pStyle w:val="Bullet0"/>
        <w:rPr>
          <w:noProof/>
        </w:rPr>
      </w:pPr>
      <w:r w:rsidRPr="00D3304A">
        <w:rPr>
          <w:noProof/>
        </w:rPr>
        <w:t>Wert der Transaktionen von Gewerbeimmobilien</w:t>
      </w:r>
    </w:p>
    <w:p w:rsidR="00A314D3" w:rsidRPr="00D3304A" w:rsidRDefault="00A314D3" w:rsidP="00522805">
      <w:pPr>
        <w:rPr>
          <w:noProof/>
        </w:rPr>
      </w:pPr>
      <w:r w:rsidRPr="00D3304A">
        <w:rPr>
          <w:noProof/>
        </w:rPr>
        <w:t>In Artikel </w:t>
      </w:r>
      <w:r w:rsidRPr="00C24C00">
        <w:rPr>
          <w:noProof/>
        </w:rPr>
        <w:t>5</w:t>
      </w:r>
      <w:r w:rsidRPr="00D3304A">
        <w:rPr>
          <w:noProof/>
        </w:rPr>
        <w:t xml:space="preserve"> Absatz </w:t>
      </w:r>
      <w:r w:rsidRPr="00C24C00">
        <w:rPr>
          <w:noProof/>
        </w:rPr>
        <w:t>3</w:t>
      </w:r>
      <w:r w:rsidRPr="00D3304A">
        <w:rPr>
          <w:noProof/>
        </w:rPr>
        <w:t xml:space="preserve"> wird festgelegt, dass diese Liste durch delegierte Rechtsakte gemäß dem Verfahren nach Artikel </w:t>
      </w:r>
      <w:r w:rsidRPr="00C24C00">
        <w:rPr>
          <w:noProof/>
        </w:rPr>
        <w:t>9</w:t>
      </w:r>
      <w:r w:rsidRPr="00D3304A">
        <w:rPr>
          <w:noProof/>
        </w:rPr>
        <w:t xml:space="preserve"> geändert werden kann.</w:t>
      </w:r>
    </w:p>
    <w:p w:rsidR="00A314D3" w:rsidRPr="00D3304A" w:rsidRDefault="00A314D3" w:rsidP="00522805">
      <w:pPr>
        <w:rPr>
          <w:noProof/>
        </w:rPr>
      </w:pPr>
      <w:r w:rsidRPr="00D3304A">
        <w:rPr>
          <w:noProof/>
        </w:rPr>
        <w:t>In Artikel </w:t>
      </w:r>
      <w:r w:rsidRPr="00C24C00">
        <w:rPr>
          <w:noProof/>
        </w:rPr>
        <w:t>5</w:t>
      </w:r>
      <w:r w:rsidRPr="00D3304A">
        <w:rPr>
          <w:noProof/>
        </w:rPr>
        <w:t xml:space="preserve"> Absatz </w:t>
      </w:r>
      <w:r w:rsidRPr="00C24C00">
        <w:rPr>
          <w:noProof/>
        </w:rPr>
        <w:t>4</w:t>
      </w:r>
      <w:r w:rsidRPr="00D3304A">
        <w:rPr>
          <w:noProof/>
        </w:rPr>
        <w:t xml:space="preserve"> werden die Datenmerkmale, einschließlich der Aufgliederungen der Variablen, die die Kommission von den Mitgliedstaaten mittels (nach dem Verfahren gemäß Artikel </w:t>
      </w:r>
      <w:r w:rsidRPr="00C24C00">
        <w:rPr>
          <w:noProof/>
        </w:rPr>
        <w:t>10</w:t>
      </w:r>
      <w:r w:rsidRPr="00D3304A">
        <w:rPr>
          <w:noProof/>
        </w:rPr>
        <w:t xml:space="preserve"> erlassenen) Durchführungsrechtsakten verlangen kann, aufgeführt. Ferner ist festgelegt, dass die Kommission Vereinfachungsmaßnahmen ergreifen kann, die der Größe der Gewerbeimmobilienmärkte in verschiedenen Ländern Rechnung tragen sollten. Derartige Maßnahmen können genutzt werden, um bestimmte Datenanforderungen für Länder mit kleinen Gewerbeimmobilienmärkten zu lockern.</w:t>
      </w:r>
    </w:p>
    <w:p w:rsidR="00A314D3" w:rsidRPr="00D3304A" w:rsidRDefault="00A314D3" w:rsidP="00522805">
      <w:pPr>
        <w:rPr>
          <w:noProof/>
        </w:rPr>
      </w:pPr>
      <w:r w:rsidRPr="00D3304A">
        <w:rPr>
          <w:noProof/>
        </w:rPr>
        <w:t>Mit Artikel </w:t>
      </w:r>
      <w:r w:rsidRPr="00C24C00">
        <w:rPr>
          <w:noProof/>
        </w:rPr>
        <w:t>6</w:t>
      </w:r>
      <w:r w:rsidRPr="00D3304A">
        <w:rPr>
          <w:noProof/>
        </w:rPr>
        <w:t xml:space="preserve"> werden die Qualitätskriterien und die Anforderungen an die Qualitätsberichterstattung festgelegt. Demnach sind die Mitgliedstaaten verpflichtet, der Kommission (Eurostat) jährlich Metadaten, Qualitätsberichte und Verzeichnisse zu übermitteln.</w:t>
      </w:r>
    </w:p>
    <w:p w:rsidR="00A314D3" w:rsidRPr="00D3304A" w:rsidRDefault="00A314D3" w:rsidP="00522805">
      <w:pPr>
        <w:rPr>
          <w:noProof/>
        </w:rPr>
      </w:pPr>
      <w:r w:rsidRPr="00D3304A">
        <w:rPr>
          <w:noProof/>
        </w:rPr>
        <w:t>Nach Artikel </w:t>
      </w:r>
      <w:r w:rsidRPr="00C24C00">
        <w:rPr>
          <w:noProof/>
        </w:rPr>
        <w:t>7</w:t>
      </w:r>
      <w:r w:rsidRPr="00D3304A">
        <w:rPr>
          <w:noProof/>
        </w:rPr>
        <w:t xml:space="preserve"> ist vorgesehen, dass Pilotstudien durchgeführt werden können, bevor in Zukunft neue Datenanforderungen festgelegt werden.</w:t>
      </w:r>
    </w:p>
    <w:p w:rsidR="00A314D3" w:rsidRPr="00D3304A" w:rsidRDefault="00A314D3" w:rsidP="00522805">
      <w:pPr>
        <w:rPr>
          <w:noProof/>
        </w:rPr>
      </w:pPr>
      <w:r w:rsidRPr="00D3304A">
        <w:rPr>
          <w:noProof/>
        </w:rPr>
        <w:t>In Artikel </w:t>
      </w:r>
      <w:r w:rsidRPr="00C24C00">
        <w:rPr>
          <w:noProof/>
        </w:rPr>
        <w:t>8</w:t>
      </w:r>
      <w:r w:rsidRPr="00D3304A">
        <w:rPr>
          <w:noProof/>
        </w:rPr>
        <w:t xml:space="preserve"> ist die Möglichkeit vorgesehen, für die Entwicklung der in dieser Verordnung vorgeschriebenen Statistiken zu Gewerbeimmobilien sowie der Pilotstudien den EU-Haushalt in Form von Finanzhilfen heranzuziehen.</w:t>
      </w:r>
    </w:p>
    <w:p w:rsidR="00A314D3" w:rsidRPr="00D3304A" w:rsidRDefault="00A314D3" w:rsidP="00522805">
      <w:pPr>
        <w:rPr>
          <w:noProof/>
        </w:rPr>
      </w:pPr>
      <w:r w:rsidRPr="00D3304A">
        <w:rPr>
          <w:noProof/>
        </w:rPr>
        <w:t>In Artikel </w:t>
      </w:r>
      <w:r w:rsidRPr="00C24C00">
        <w:rPr>
          <w:noProof/>
        </w:rPr>
        <w:t>9</w:t>
      </w:r>
      <w:r w:rsidRPr="00D3304A">
        <w:rPr>
          <w:noProof/>
        </w:rPr>
        <w:t xml:space="preserve"> wird das Verfahren für den Erlass delegierter Rechtsakte und in Artikel </w:t>
      </w:r>
      <w:r w:rsidRPr="00C24C00">
        <w:rPr>
          <w:noProof/>
        </w:rPr>
        <w:t>10</w:t>
      </w:r>
      <w:r w:rsidRPr="00D3304A">
        <w:rPr>
          <w:noProof/>
        </w:rPr>
        <w:t xml:space="preserve"> für den Erlass von Durchführungsrechtsakten festgelegt. </w:t>
      </w:r>
    </w:p>
    <w:p w:rsidR="00A314D3" w:rsidRPr="00D3304A" w:rsidRDefault="00A314D3" w:rsidP="00522805">
      <w:pPr>
        <w:rPr>
          <w:noProof/>
        </w:rPr>
      </w:pPr>
      <w:r w:rsidRPr="00D3304A">
        <w:rPr>
          <w:noProof/>
        </w:rPr>
        <w:t>Nach Artikel </w:t>
      </w:r>
      <w:r w:rsidRPr="00C24C00">
        <w:rPr>
          <w:noProof/>
        </w:rPr>
        <w:t>11</w:t>
      </w:r>
      <w:r w:rsidRPr="00D3304A">
        <w:rPr>
          <w:noProof/>
        </w:rPr>
        <w:t xml:space="preserve"> besteht für Mitgliedstaaten die Möglichkeit, einen Antrag auf Ausnahme von manchen Anforderungen des Basisrechtsakts oder eines Durchführungsrechtsakts zu stellen. Ausnahmen können für einen Zeitraum von höchstens drei Jahren gewährt werden und sollten innerhalb von drei Monaten nach Erlass des betreffenden Rechtsakts beantragt werden.</w:t>
      </w:r>
    </w:p>
    <w:p w:rsidR="00A314D3" w:rsidRPr="00D3304A" w:rsidRDefault="00A314D3" w:rsidP="00522805">
      <w:pPr>
        <w:rPr>
          <w:noProof/>
        </w:rPr>
      </w:pPr>
      <w:r w:rsidRPr="00D3304A">
        <w:rPr>
          <w:noProof/>
        </w:rPr>
        <w:t>Durch Artikel </w:t>
      </w:r>
      <w:r w:rsidRPr="00C24C00">
        <w:rPr>
          <w:noProof/>
        </w:rPr>
        <w:t>12</w:t>
      </w:r>
      <w:r w:rsidRPr="00D3304A">
        <w:rPr>
          <w:noProof/>
        </w:rPr>
        <w:t xml:space="preserve"> wird die Verordnung (EU) </w:t>
      </w:r>
      <w:r w:rsidRPr="00C24C00">
        <w:rPr>
          <w:noProof/>
        </w:rPr>
        <w:t>2019</w:t>
      </w:r>
      <w:r w:rsidRPr="00D3304A">
        <w:rPr>
          <w:noProof/>
        </w:rPr>
        <w:t>/</w:t>
      </w:r>
      <w:r w:rsidRPr="00C24C00">
        <w:rPr>
          <w:noProof/>
        </w:rPr>
        <w:t>2152</w:t>
      </w:r>
      <w:r w:rsidRPr="00D3304A">
        <w:rPr>
          <w:noProof/>
        </w:rPr>
        <w:t xml:space="preserve"> über europäische Unternehmensstatistiken</w:t>
      </w:r>
      <w:r w:rsidR="004747D4" w:rsidRPr="00D3304A">
        <w:rPr>
          <w:rStyle w:val="FootnoteReference"/>
          <w:noProof/>
        </w:rPr>
        <w:footnoteReference w:id="7"/>
      </w:r>
      <w:r w:rsidRPr="00D3304A">
        <w:rPr>
          <w:noProof/>
        </w:rPr>
        <w:t xml:space="preserve"> geändert, um die Variable zu Baugenehmigungen zu streichen.</w:t>
      </w:r>
    </w:p>
    <w:p w:rsidR="00AF617A" w:rsidRPr="00D3304A" w:rsidRDefault="00A314D3" w:rsidP="00522805">
      <w:pPr>
        <w:rPr>
          <w:noProof/>
        </w:rPr>
      </w:pPr>
      <w:r w:rsidRPr="00D3304A">
        <w:rPr>
          <w:noProof/>
        </w:rPr>
        <w:t>In Artikel </w:t>
      </w:r>
      <w:r w:rsidRPr="00C24C00">
        <w:rPr>
          <w:noProof/>
        </w:rPr>
        <w:t>13</w:t>
      </w:r>
      <w:r w:rsidRPr="00D3304A">
        <w:rPr>
          <w:noProof/>
        </w:rPr>
        <w:t xml:space="preserve"> wird das Datum des Inkrafttretens der Verordnung festgelegt. Als Datum wird der </w:t>
      </w:r>
      <w:r w:rsidRPr="00C24C00">
        <w:rPr>
          <w:noProof/>
        </w:rPr>
        <w:t>1</w:t>
      </w:r>
      <w:r w:rsidRPr="00D3304A">
        <w:rPr>
          <w:noProof/>
        </w:rPr>
        <w:t xml:space="preserve">. Januar </w:t>
      </w:r>
      <w:r w:rsidRPr="00C24C00">
        <w:rPr>
          <w:noProof/>
        </w:rPr>
        <w:t>2026</w:t>
      </w:r>
      <w:r w:rsidRPr="00D3304A">
        <w:rPr>
          <w:noProof/>
        </w:rPr>
        <w:t xml:space="preserve"> vorgeschlagen.</w:t>
      </w:r>
    </w:p>
    <w:p w:rsidR="00CD78CC" w:rsidRPr="00D3304A" w:rsidRDefault="00CD78CC" w:rsidP="00522805">
      <w:pPr>
        <w:rPr>
          <w:noProof/>
        </w:rPr>
        <w:sectPr w:rsidR="00CD78CC" w:rsidRPr="00D3304A" w:rsidSect="00740C8C">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20"/>
          <w:docGrid w:linePitch="360"/>
        </w:sectPr>
      </w:pPr>
    </w:p>
    <w:bookmarkEnd w:id="3"/>
    <w:p w:rsidR="00AA3A89" w:rsidRPr="00D3304A" w:rsidRDefault="00AA3A89" w:rsidP="00522805">
      <w:pPr>
        <w:rPr>
          <w:noProof/>
        </w:rPr>
      </w:pPr>
    </w:p>
    <w:p w:rsidR="001E5A43" w:rsidRDefault="00E8236B">
      <w:pPr>
        <w:pStyle w:val="Rfrenceinterinstitutionnelle"/>
        <w:rPr>
          <w:noProof/>
        </w:rPr>
      </w:pPr>
      <w:r>
        <w:rPr>
          <w:noProof/>
        </w:rPr>
        <w:t>2025/0052 (COD)</w:t>
      </w:r>
    </w:p>
    <w:p w:rsidR="00AA3A89" w:rsidRPr="00D3304A" w:rsidRDefault="00B51875" w:rsidP="00B51875">
      <w:pPr>
        <w:pStyle w:val="Statut"/>
        <w:rPr>
          <w:noProof/>
        </w:rPr>
      </w:pPr>
      <w:r w:rsidRPr="00B51875">
        <w:rPr>
          <w:noProof/>
        </w:rPr>
        <w:t>Vorschlag für eine</w:t>
      </w:r>
    </w:p>
    <w:p w:rsidR="00AA3A89" w:rsidRPr="00D3304A" w:rsidRDefault="00B51875" w:rsidP="00B51875">
      <w:pPr>
        <w:pStyle w:val="Typedudocument"/>
        <w:rPr>
          <w:noProof/>
        </w:rPr>
      </w:pPr>
      <w:r w:rsidRPr="00B51875">
        <w:rPr>
          <w:noProof/>
        </w:rPr>
        <w:t>VERORDNUNG DES EUROPÄISCHEN PARLAMENTS UND DES RATES</w:t>
      </w:r>
    </w:p>
    <w:p w:rsidR="00AA3A89" w:rsidRPr="00D3304A" w:rsidRDefault="00B51875" w:rsidP="00B51875">
      <w:pPr>
        <w:pStyle w:val="Titreobjet"/>
        <w:rPr>
          <w:noProof/>
        </w:rPr>
      </w:pPr>
      <w:r w:rsidRPr="00B51875">
        <w:rPr>
          <w:noProof/>
        </w:rPr>
        <w:t>über nichtfinanzielle Statistiken zu Gewerbeimmobilien</w:t>
      </w:r>
    </w:p>
    <w:p w:rsidR="00AA3A89" w:rsidRPr="00D3304A" w:rsidRDefault="00B51875" w:rsidP="00B51875">
      <w:pPr>
        <w:pStyle w:val="IntrtEEE"/>
        <w:rPr>
          <w:noProof/>
        </w:rPr>
      </w:pPr>
      <w:r w:rsidRPr="00B51875">
        <w:rPr>
          <w:noProof/>
        </w:rPr>
        <w:t>(Text von Bedeutung für den EWR)</w:t>
      </w:r>
    </w:p>
    <w:p w:rsidR="00AA3A89" w:rsidRPr="00D3304A" w:rsidRDefault="00AA3A89" w:rsidP="00AA3A89">
      <w:pPr>
        <w:pStyle w:val="Institutionquiagit"/>
        <w:rPr>
          <w:noProof/>
        </w:rPr>
      </w:pPr>
      <w:r w:rsidRPr="00D3304A">
        <w:rPr>
          <w:noProof/>
        </w:rPr>
        <w:t>DAS EUROPÄISCHE PARLAMENT UND DER RAT DER EUROPÄISCHEN UNION —</w:t>
      </w:r>
    </w:p>
    <w:p w:rsidR="00AA3A89" w:rsidRPr="00D3304A" w:rsidRDefault="00AA3A89" w:rsidP="00AA3A89">
      <w:pPr>
        <w:rPr>
          <w:noProof/>
        </w:rPr>
      </w:pPr>
      <w:r w:rsidRPr="00D3304A">
        <w:rPr>
          <w:noProof/>
        </w:rPr>
        <w:t>gestützt auf den Vertrag über die Arbeitsweise der Europäischen Union, insbesondere auf Artikel </w:t>
      </w:r>
      <w:r w:rsidRPr="00C24C00">
        <w:rPr>
          <w:noProof/>
        </w:rPr>
        <w:t>338</w:t>
      </w:r>
      <w:r w:rsidRPr="00D3304A">
        <w:rPr>
          <w:noProof/>
        </w:rPr>
        <w:t xml:space="preserve"> Absatz </w:t>
      </w:r>
      <w:r w:rsidRPr="00C24C00">
        <w:rPr>
          <w:noProof/>
        </w:rPr>
        <w:t>1</w:t>
      </w:r>
      <w:r w:rsidRPr="00D3304A">
        <w:rPr>
          <w:noProof/>
        </w:rPr>
        <w:t>,</w:t>
      </w:r>
    </w:p>
    <w:p w:rsidR="00AA3A89" w:rsidRPr="00D3304A" w:rsidRDefault="00AA3A89" w:rsidP="00AA3A89">
      <w:pPr>
        <w:rPr>
          <w:noProof/>
        </w:rPr>
      </w:pPr>
      <w:r w:rsidRPr="00D3304A">
        <w:rPr>
          <w:noProof/>
        </w:rPr>
        <w:t>auf Vorschlag der Europäischen Kommission,</w:t>
      </w:r>
    </w:p>
    <w:p w:rsidR="00AA3A89" w:rsidRPr="00D3304A" w:rsidRDefault="00AA3A89" w:rsidP="00AA3A89">
      <w:pPr>
        <w:rPr>
          <w:noProof/>
        </w:rPr>
      </w:pPr>
      <w:r w:rsidRPr="00D3304A">
        <w:rPr>
          <w:noProof/>
        </w:rPr>
        <w:t>nach Zuleitung des Entwurfs des Gesetzgebungsakts an die nationalen Parlamente,</w:t>
      </w:r>
    </w:p>
    <w:p w:rsidR="00AA3A89" w:rsidRPr="00D3304A" w:rsidRDefault="00AA3A89" w:rsidP="00AA3A89">
      <w:pPr>
        <w:rPr>
          <w:noProof/>
        </w:rPr>
      </w:pPr>
      <w:r w:rsidRPr="00D3304A">
        <w:rPr>
          <w:noProof/>
        </w:rPr>
        <w:t>gemäß dem ordentlichen Gesetzgebungsverfahren,</w:t>
      </w:r>
    </w:p>
    <w:p w:rsidR="00AA3A89" w:rsidRPr="00D3304A" w:rsidRDefault="00AA3A89" w:rsidP="00AA3A89">
      <w:pPr>
        <w:rPr>
          <w:noProof/>
        </w:rPr>
      </w:pPr>
      <w:r w:rsidRPr="00D3304A">
        <w:rPr>
          <w:noProof/>
        </w:rPr>
        <w:t>in Erwägung nachstehender Gründe:</w:t>
      </w:r>
    </w:p>
    <w:p w:rsidR="00AA3A89" w:rsidRPr="00D3304A" w:rsidRDefault="00944685" w:rsidP="00944685">
      <w:pPr>
        <w:pStyle w:val="ManualConsidrant"/>
        <w:rPr>
          <w:noProof/>
        </w:rPr>
      </w:pPr>
      <w:r w:rsidRPr="00944685">
        <w:rPr>
          <w:noProof/>
        </w:rPr>
        <w:t>(1)</w:t>
      </w:r>
      <w:r w:rsidRPr="00944685">
        <w:rPr>
          <w:noProof/>
        </w:rPr>
        <w:tab/>
      </w:r>
      <w:r w:rsidR="00AA3A89" w:rsidRPr="00D3304A">
        <w:rPr>
          <w:noProof/>
        </w:rPr>
        <w:t xml:space="preserve">Statistiken zu den Entwicklungen auf den Immobilienmärkten sind von wesentlicher Bedeutung für die Gestaltung der Wirtschafts- und Geldpolitik, die Überwachung von Systemrisiken und die makroprudenzielle Politikgestaltung. </w:t>
      </w:r>
    </w:p>
    <w:p w:rsidR="006462A3" w:rsidRPr="00D3304A" w:rsidRDefault="00944685" w:rsidP="00944685">
      <w:pPr>
        <w:pStyle w:val="ManualConsidrant"/>
        <w:rPr>
          <w:noProof/>
        </w:rPr>
      </w:pPr>
      <w:r w:rsidRPr="00944685">
        <w:rPr>
          <w:noProof/>
        </w:rPr>
        <w:t>(2)</w:t>
      </w:r>
      <w:r w:rsidRPr="00944685">
        <w:rPr>
          <w:noProof/>
        </w:rPr>
        <w:tab/>
      </w:r>
      <w:r w:rsidR="00AA3A89" w:rsidRPr="00D3304A">
        <w:rPr>
          <w:noProof/>
        </w:rPr>
        <w:t xml:space="preserve">Der Europäische Ausschuss für Systemrisiken (ESRB) hat in seiner Empfehlung vom </w:t>
      </w:r>
      <w:r w:rsidR="00AA3A89" w:rsidRPr="00C24C00">
        <w:rPr>
          <w:noProof/>
        </w:rPr>
        <w:t>31</w:t>
      </w:r>
      <w:r w:rsidR="00AA3A89" w:rsidRPr="00D3304A">
        <w:rPr>
          <w:noProof/>
        </w:rPr>
        <w:t xml:space="preserve">. Oktober </w:t>
      </w:r>
      <w:r w:rsidR="00AA3A89" w:rsidRPr="00C24C00">
        <w:rPr>
          <w:noProof/>
        </w:rPr>
        <w:t>2016</w:t>
      </w:r>
      <w:r w:rsidR="00AA3A89" w:rsidRPr="00D3304A">
        <w:rPr>
          <w:rStyle w:val="FootnoteReference"/>
          <w:noProof/>
        </w:rPr>
        <w:footnoteReference w:id="8"/>
      </w:r>
      <w:r w:rsidR="00AA3A89" w:rsidRPr="00D3304A">
        <w:rPr>
          <w:noProof/>
        </w:rPr>
        <w:t xml:space="preserve"> Datenlücken in Bezug auf finanzielle und nichtfinanzielle Statistiken zu Wohn- und Gewerbeimmobilien festgestellt. Diese Datenlücken behindern das Mandat des ESRB.</w:t>
      </w:r>
    </w:p>
    <w:p w:rsidR="00AA3A89" w:rsidRPr="00D3304A" w:rsidRDefault="00944685" w:rsidP="00944685">
      <w:pPr>
        <w:pStyle w:val="ManualConsidrant"/>
        <w:rPr>
          <w:noProof/>
        </w:rPr>
      </w:pPr>
      <w:r w:rsidRPr="00944685">
        <w:rPr>
          <w:noProof/>
        </w:rPr>
        <w:t>(3)</w:t>
      </w:r>
      <w:r w:rsidRPr="00944685">
        <w:rPr>
          <w:noProof/>
        </w:rPr>
        <w:tab/>
      </w:r>
      <w:r w:rsidR="006462A3" w:rsidRPr="00D3304A">
        <w:rPr>
          <w:noProof/>
        </w:rPr>
        <w:t>Während finanzielle Statistiken zu Immobilienmärkten von der Europäischen Zentralbank und dem Europäischen System der Zentralbanken entwickelt werden, fallen nichtfinanzielle Statistiken in die Zuständigkeit der Kommission (Eurostat) und des Europäischen Statistischen Systems.</w:t>
      </w:r>
    </w:p>
    <w:p w:rsidR="00F54DA7" w:rsidRPr="00D3304A" w:rsidRDefault="00944685" w:rsidP="00944685">
      <w:pPr>
        <w:pStyle w:val="ManualConsidrant"/>
        <w:rPr>
          <w:noProof/>
        </w:rPr>
      </w:pPr>
      <w:bookmarkStart w:id="4" w:name="_Hlk170218237"/>
      <w:r w:rsidRPr="00944685">
        <w:rPr>
          <w:noProof/>
        </w:rPr>
        <w:t>(4)</w:t>
      </w:r>
      <w:r w:rsidRPr="00944685">
        <w:rPr>
          <w:noProof/>
        </w:rPr>
        <w:tab/>
      </w:r>
      <w:r w:rsidR="000211E5" w:rsidRPr="00D3304A">
        <w:rPr>
          <w:noProof/>
        </w:rPr>
        <w:t xml:space="preserve">Aus makroprudenzieller Sicht bezeichnet der Begriff „Wohnimmobilie“ jede bestehende oder im Bau befindliche Immobilie, die zu Wohnzwecken vorgesehen ist oder genutzt wird und von einer natürlichen Person erworben wurde oder im Eigentum einer natürlichen Person steht. Die Kommission (Eurostat) veröffentlicht bereits Statistiken im Zusammenhang mit Wohnimmobilien. Gemäß der Verordnung (EU) </w:t>
      </w:r>
      <w:r w:rsidR="000211E5" w:rsidRPr="00C24C00">
        <w:rPr>
          <w:noProof/>
        </w:rPr>
        <w:t>2016</w:t>
      </w:r>
      <w:r w:rsidR="000211E5" w:rsidRPr="00D3304A">
        <w:rPr>
          <w:noProof/>
        </w:rPr>
        <w:t>/</w:t>
      </w:r>
      <w:r w:rsidR="000211E5" w:rsidRPr="00C24C00">
        <w:rPr>
          <w:noProof/>
        </w:rPr>
        <w:t>792</w:t>
      </w:r>
      <w:r w:rsidR="000211E5" w:rsidRPr="00D3304A">
        <w:rPr>
          <w:noProof/>
        </w:rPr>
        <w:t xml:space="preserve"> werden harmonisierte Häuserpreisindizes erstellt und veröffentlicht und gemäß der Verordnung (EG) Nr. </w:t>
      </w:r>
      <w:r w:rsidR="000211E5" w:rsidRPr="00C24C00">
        <w:rPr>
          <w:noProof/>
        </w:rPr>
        <w:t>763</w:t>
      </w:r>
      <w:r w:rsidR="000211E5" w:rsidRPr="00D3304A">
        <w:rPr>
          <w:noProof/>
        </w:rPr>
        <w:t>/</w:t>
      </w:r>
      <w:r w:rsidR="000211E5" w:rsidRPr="00C24C00">
        <w:rPr>
          <w:noProof/>
        </w:rPr>
        <w:t>2008</w:t>
      </w:r>
      <w:r w:rsidR="00DF3E06" w:rsidRPr="00D3304A">
        <w:rPr>
          <w:rStyle w:val="FootnoteReference"/>
          <w:noProof/>
        </w:rPr>
        <w:footnoteReference w:id="9"/>
      </w:r>
      <w:r w:rsidR="000211E5" w:rsidRPr="00D3304A">
        <w:rPr>
          <w:noProof/>
        </w:rPr>
        <w:t xml:space="preserve"> werden alle zehn Jahre die Ergebnisse der Wohnungszählungen verbreitet. Zudem stehen gemäß der Verordnung (EU) </w:t>
      </w:r>
      <w:r w:rsidR="000211E5" w:rsidRPr="00C24C00">
        <w:rPr>
          <w:noProof/>
        </w:rPr>
        <w:t>2019</w:t>
      </w:r>
      <w:r w:rsidR="000211E5" w:rsidRPr="00D3304A">
        <w:rPr>
          <w:noProof/>
        </w:rPr>
        <w:t>/</w:t>
      </w:r>
      <w:r w:rsidR="000211E5" w:rsidRPr="00C24C00">
        <w:rPr>
          <w:noProof/>
        </w:rPr>
        <w:t>2152</w:t>
      </w:r>
      <w:r w:rsidR="000211E5" w:rsidRPr="00D3304A">
        <w:rPr>
          <w:noProof/>
        </w:rPr>
        <w:t xml:space="preserve"> konjunkturelle Unternehmensstatistiken zu Immobilien zur Verfügung</w:t>
      </w:r>
    </w:p>
    <w:bookmarkEnd w:id="4"/>
    <w:p w:rsidR="00A875BD" w:rsidRPr="00D3304A" w:rsidRDefault="00944685" w:rsidP="00944685">
      <w:pPr>
        <w:pStyle w:val="ManualConsidrant"/>
        <w:rPr>
          <w:noProof/>
        </w:rPr>
      </w:pPr>
      <w:r w:rsidRPr="00944685">
        <w:rPr>
          <w:noProof/>
        </w:rPr>
        <w:t>(5)</w:t>
      </w:r>
      <w:r w:rsidRPr="00944685">
        <w:rPr>
          <w:noProof/>
        </w:rPr>
        <w:tab/>
      </w:r>
      <w:r w:rsidR="00952E74" w:rsidRPr="00D3304A">
        <w:rPr>
          <w:noProof/>
        </w:rPr>
        <w:t xml:space="preserve">In seiner Empfehlung vom </w:t>
      </w:r>
      <w:r w:rsidR="00952E74" w:rsidRPr="00C24C00">
        <w:rPr>
          <w:noProof/>
        </w:rPr>
        <w:t>21</w:t>
      </w:r>
      <w:r w:rsidR="00952E74" w:rsidRPr="00D3304A">
        <w:rPr>
          <w:noProof/>
        </w:rPr>
        <w:t xml:space="preserve">. März </w:t>
      </w:r>
      <w:r w:rsidR="00952E74" w:rsidRPr="00C24C00">
        <w:rPr>
          <w:noProof/>
        </w:rPr>
        <w:t>2019</w:t>
      </w:r>
      <w:r w:rsidR="00681037" w:rsidRPr="00D3304A">
        <w:rPr>
          <w:rStyle w:val="FootnoteReference"/>
          <w:noProof/>
        </w:rPr>
        <w:footnoteReference w:id="10"/>
      </w:r>
      <w:r w:rsidR="00952E74" w:rsidRPr="00D3304A">
        <w:rPr>
          <w:noProof/>
        </w:rPr>
        <w:t xml:space="preserve"> zur Änderung seiner Empfehlung vom </w:t>
      </w:r>
      <w:r w:rsidR="00952E74" w:rsidRPr="00C24C00">
        <w:rPr>
          <w:noProof/>
        </w:rPr>
        <w:t>31</w:t>
      </w:r>
      <w:r w:rsidR="00952E74" w:rsidRPr="00D3304A">
        <w:rPr>
          <w:noProof/>
        </w:rPr>
        <w:t xml:space="preserve">. Oktober </w:t>
      </w:r>
      <w:r w:rsidR="00952E74" w:rsidRPr="00C24C00">
        <w:rPr>
          <w:noProof/>
        </w:rPr>
        <w:t>2016</w:t>
      </w:r>
      <w:r w:rsidR="00952E74" w:rsidRPr="00D3304A">
        <w:rPr>
          <w:noProof/>
        </w:rPr>
        <w:t xml:space="preserve"> forderte der ESRB ausdrücklich Rechtsvorschriften der Union zur Schaffung eines gemeinsamen Mindestrahmens für die Festlegung, Erstellung und Verbreitung einer Datenbank über Indikatoren des physischen Gewerbeimmobilienmarkts. Deren Entwicklung ist erforderlich, um die Lücke in Bezug auf nichtfinanzielle Statistiken zu Gewerbeimmobilien zu schließen.</w:t>
      </w:r>
    </w:p>
    <w:p w:rsidR="001D5A1C" w:rsidRPr="00D3304A" w:rsidRDefault="00944685" w:rsidP="00944685">
      <w:pPr>
        <w:pStyle w:val="ManualConsidrant"/>
        <w:rPr>
          <w:noProof/>
        </w:rPr>
      </w:pPr>
      <w:r w:rsidRPr="00944685">
        <w:rPr>
          <w:noProof/>
        </w:rPr>
        <w:t>(6)</w:t>
      </w:r>
      <w:r w:rsidRPr="00944685">
        <w:rPr>
          <w:noProof/>
        </w:rPr>
        <w:tab/>
      </w:r>
      <w:r w:rsidR="00A875BD" w:rsidRPr="00D3304A">
        <w:rPr>
          <w:noProof/>
        </w:rPr>
        <w:t xml:space="preserve">In ebendieser Empfehlung aus dem Jahr </w:t>
      </w:r>
      <w:r w:rsidR="00A875BD" w:rsidRPr="00C24C00">
        <w:rPr>
          <w:noProof/>
        </w:rPr>
        <w:t>2019</w:t>
      </w:r>
      <w:r w:rsidR="00A875BD" w:rsidRPr="00D3304A">
        <w:rPr>
          <w:noProof/>
        </w:rPr>
        <w:t xml:space="preserve"> definierte der ESRB auch „physische Gewebeimmobilie“ als i) bestehende oder in Entwicklung befindliche Renditeobjekte einschließlich Mietobjekten oder ii) bestehende oder im Bau befindliche Immobilien, die von den Eigentümern zum Zweck der Ausübung ihres Geschäfts, Geschäftsgegenstands oder ihrer Tätigkeit genutzt werden, jeweils einschließlich Sozialwohnungen, aber unter Ausschluss als Wohneigentum eingestufter Immobilien. Die Begriffsbestimmungen der vorliegenden Verordnung stehen mit jenen, die vom ESRB im Jahr </w:t>
      </w:r>
      <w:r w:rsidR="00A875BD" w:rsidRPr="00C24C00">
        <w:rPr>
          <w:noProof/>
        </w:rPr>
        <w:t>2019</w:t>
      </w:r>
      <w:r w:rsidR="00A875BD" w:rsidRPr="00D3304A">
        <w:rPr>
          <w:noProof/>
        </w:rPr>
        <w:t xml:space="preserve"> empfohlen wurden, im Einklang.</w:t>
      </w:r>
    </w:p>
    <w:p w:rsidR="00276217" w:rsidRPr="00D3304A" w:rsidRDefault="00944685" w:rsidP="00944685">
      <w:pPr>
        <w:pStyle w:val="ManualConsidrant"/>
        <w:rPr>
          <w:noProof/>
        </w:rPr>
      </w:pPr>
      <w:r w:rsidRPr="00944685">
        <w:rPr>
          <w:noProof/>
        </w:rPr>
        <w:t>(7)</w:t>
      </w:r>
      <w:r w:rsidRPr="00944685">
        <w:rPr>
          <w:noProof/>
        </w:rPr>
        <w:tab/>
      </w:r>
      <w:r w:rsidR="00A875BD" w:rsidRPr="00D3304A">
        <w:rPr>
          <w:noProof/>
        </w:rPr>
        <w:t>Die Kommission (Eurostat) und die nationalen statistischen Ämter (NSÄ) bewerteten in enger Zusammenarbeit mit dem ESRB die Einsetzbarkeit der vom ESRB empfohlenen Indikatoren zu Gewerbeimmobilien, d. h. Preisindex, Mietindex, Mietrenditenindex, Leerstandsquoten und neu begonnene Bauten. Die Durchführbarkeit der Erstellung des Preisindex, des Mietindex, sowie der Indikatoren zu neu begonnenen Bauten und der Fertigstellung der Bauarbeiten wurde bestätigt. Aufgrund der begrenzten Verfügbarkeit von Datenquellen und unzureichender Qualität können die Indikatoren zu Mietrenditenindizes und Leerstandsquoten nicht in diese Verordnung mitaufgenommen werden und sollten weiterhin entwickelt werden. Indessen wurde ein weiterer wichtiger Indikator für den Wert der Transaktionen von Gewerbeimmobilien hinzugefügt.</w:t>
      </w:r>
    </w:p>
    <w:p w:rsidR="00AD1930" w:rsidRPr="00D3304A" w:rsidRDefault="00944685" w:rsidP="00944685">
      <w:pPr>
        <w:pStyle w:val="ManualConsidrant"/>
        <w:rPr>
          <w:noProof/>
        </w:rPr>
      </w:pPr>
      <w:r w:rsidRPr="00944685">
        <w:rPr>
          <w:noProof/>
        </w:rPr>
        <w:t>(8)</w:t>
      </w:r>
      <w:r w:rsidRPr="00944685">
        <w:rPr>
          <w:noProof/>
        </w:rPr>
        <w:tab/>
      </w:r>
      <w:r w:rsidR="00AD1930" w:rsidRPr="00D3304A">
        <w:rPr>
          <w:noProof/>
        </w:rPr>
        <w:t>Den NSÄ, anderen nationalen statistischen Stellen und der Kommission (Eurostat) sollten die für die Erstellung der Statistiken im Rahmen dieser Verordnung erforderlichen Datenquellen zeitnah zur Verfügung stehen. Einschlägige Datenquellen für nichtfinanzielle Statistiken zu Gewerbeimmobilien können Erhebungen, Verwaltungsunterlagen, Transaktionsdaten oder andere Quellen sowie eine Kombination dieser sein.</w:t>
      </w:r>
    </w:p>
    <w:p w:rsidR="00AA3A89" w:rsidRPr="00D3304A" w:rsidRDefault="00944685" w:rsidP="00944685">
      <w:pPr>
        <w:pStyle w:val="ManualConsidrant"/>
        <w:rPr>
          <w:noProof/>
        </w:rPr>
      </w:pPr>
      <w:r w:rsidRPr="00944685">
        <w:rPr>
          <w:noProof/>
        </w:rPr>
        <w:t>(9)</w:t>
      </w:r>
      <w:r w:rsidRPr="00944685">
        <w:rPr>
          <w:noProof/>
        </w:rPr>
        <w:tab/>
      </w:r>
      <w:r w:rsidR="00AA3A89" w:rsidRPr="00D3304A">
        <w:rPr>
          <w:noProof/>
        </w:rPr>
        <w:t>Zur Erhöhung der Effizienz der statistischen Produktionsverfahren des Europäischen Statistischen Systems (ESS) und zur Verringerung des statistischen Aufwands für die Auskunftgebenden wird in der Verordnung (EG) Nr. </w:t>
      </w:r>
      <w:r w:rsidR="00AA3A89" w:rsidRPr="00C24C00">
        <w:rPr>
          <w:noProof/>
        </w:rPr>
        <w:t>223</w:t>
      </w:r>
      <w:r w:rsidR="00AA3A89" w:rsidRPr="00D3304A">
        <w:rPr>
          <w:noProof/>
        </w:rPr>
        <w:t>/</w:t>
      </w:r>
      <w:r w:rsidR="00AA3A89" w:rsidRPr="00C24C00">
        <w:rPr>
          <w:noProof/>
        </w:rPr>
        <w:t>2009</w:t>
      </w:r>
      <w:r w:rsidR="00AA3A89" w:rsidRPr="00D3304A">
        <w:rPr>
          <w:noProof/>
        </w:rPr>
        <w:t xml:space="preserve"> des Europäischen Parlaments und des Rates über europäische Statistiken</w:t>
      </w:r>
      <w:r w:rsidR="00C05848" w:rsidRPr="00D3304A">
        <w:rPr>
          <w:rStyle w:val="FootnoteReference"/>
          <w:noProof/>
        </w:rPr>
        <w:footnoteReference w:id="11"/>
      </w:r>
      <w:r w:rsidR="00AA3A89" w:rsidRPr="00D3304A">
        <w:rPr>
          <w:noProof/>
        </w:rPr>
        <w:t xml:space="preserve"> eine Reihe von zu statistischen Zwecken zu verwendenden Quellen festgelegt. Insbesondere sollte den NSÄ und anderen nationalen statistische Stellen gemäß Artikel </w:t>
      </w:r>
      <w:r w:rsidR="00AA3A89" w:rsidRPr="00C24C00">
        <w:rPr>
          <w:noProof/>
        </w:rPr>
        <w:t>17</w:t>
      </w:r>
      <w:r w:rsidR="00AA3A89" w:rsidRPr="00D3304A">
        <w:rPr>
          <w:noProof/>
        </w:rPr>
        <w:t>a der Verordnung (EG) Nr. </w:t>
      </w:r>
      <w:r w:rsidR="00AA3A89" w:rsidRPr="00C24C00">
        <w:rPr>
          <w:noProof/>
        </w:rPr>
        <w:t>223</w:t>
      </w:r>
      <w:r w:rsidR="00AA3A89" w:rsidRPr="00D3304A">
        <w:rPr>
          <w:noProof/>
        </w:rPr>
        <w:t>/</w:t>
      </w:r>
      <w:r w:rsidR="00AA3A89" w:rsidRPr="00C24C00">
        <w:rPr>
          <w:noProof/>
        </w:rPr>
        <w:t>2009</w:t>
      </w:r>
      <w:r w:rsidR="00AA3A89" w:rsidRPr="00D3304A">
        <w:rPr>
          <w:noProof/>
        </w:rPr>
        <w:t xml:space="preserve"> in der durch die</w:t>
      </w:r>
      <w:bookmarkStart w:id="5" w:name="_Hlk169105510"/>
      <w:r w:rsidR="00AA3A89" w:rsidRPr="00D3304A">
        <w:rPr>
          <w:noProof/>
        </w:rPr>
        <w:t xml:space="preserve"> Verordnung (EU) </w:t>
      </w:r>
      <w:r w:rsidR="00AA3A89" w:rsidRPr="00C24C00">
        <w:rPr>
          <w:noProof/>
        </w:rPr>
        <w:t>2024</w:t>
      </w:r>
      <w:r w:rsidR="00AA3A89" w:rsidRPr="00D3304A">
        <w:rPr>
          <w:noProof/>
        </w:rPr>
        <w:t>/</w:t>
      </w:r>
      <w:r w:rsidR="00AA3A89" w:rsidRPr="00C24C00">
        <w:rPr>
          <w:noProof/>
        </w:rPr>
        <w:t>3018</w:t>
      </w:r>
      <w:r w:rsidR="00B3322D" w:rsidRPr="00D3304A">
        <w:rPr>
          <w:rStyle w:val="FootnoteReference"/>
          <w:noProof/>
        </w:rPr>
        <w:footnoteReference w:id="12"/>
      </w:r>
      <w:r w:rsidR="00AA3A89" w:rsidRPr="00D3304A">
        <w:rPr>
          <w:noProof/>
        </w:rPr>
        <w:t xml:space="preserve"> geänderten Fassung</w:t>
      </w:r>
      <w:bookmarkEnd w:id="5"/>
      <w:r w:rsidR="00AA3A89" w:rsidRPr="00D3304A">
        <w:rPr>
          <w:noProof/>
        </w:rPr>
        <w:t xml:space="preserve"> gestattet werden, kostenlos auf diese Daten und die entsprechenden Metadaten zuzugreifen, sie zu verwenden und zu integrieren, um europäische nichtfinanzielle Statistiken zu Gewerbeimmobilien zu entwickeln, zu erstellen und zu verbreiten.</w:t>
      </w:r>
    </w:p>
    <w:p w:rsidR="00AA3A89" w:rsidRPr="00D3304A" w:rsidRDefault="00944685" w:rsidP="00944685">
      <w:pPr>
        <w:pStyle w:val="ManualConsidrant"/>
        <w:rPr>
          <w:noProof/>
        </w:rPr>
      </w:pPr>
      <w:r w:rsidRPr="00944685">
        <w:rPr>
          <w:noProof/>
        </w:rPr>
        <w:t>(10)</w:t>
      </w:r>
      <w:r w:rsidRPr="00944685">
        <w:rPr>
          <w:noProof/>
        </w:rPr>
        <w:tab/>
      </w:r>
      <w:r w:rsidR="007E0DA5" w:rsidRPr="00D3304A">
        <w:rPr>
          <w:noProof/>
        </w:rPr>
        <w:t>Ferner sollten die NSÄ und die Kommission (Eurostat) das Recht erhalten, gemäß Artikel </w:t>
      </w:r>
      <w:r w:rsidR="007E0DA5" w:rsidRPr="00C24C00">
        <w:rPr>
          <w:noProof/>
        </w:rPr>
        <w:t>17</w:t>
      </w:r>
      <w:r w:rsidR="007E0DA5" w:rsidRPr="00D3304A">
        <w:rPr>
          <w:noProof/>
        </w:rPr>
        <w:t>b der Verordnung (EG) Nr. </w:t>
      </w:r>
      <w:r w:rsidR="007E0DA5" w:rsidRPr="00C24C00">
        <w:rPr>
          <w:noProof/>
        </w:rPr>
        <w:t>223</w:t>
      </w:r>
      <w:r w:rsidR="007E0DA5" w:rsidRPr="00D3304A">
        <w:rPr>
          <w:noProof/>
        </w:rPr>
        <w:t>/</w:t>
      </w:r>
      <w:r w:rsidR="007E0DA5" w:rsidRPr="00C24C00">
        <w:rPr>
          <w:noProof/>
        </w:rPr>
        <w:t>2009</w:t>
      </w:r>
      <w:r w:rsidR="007E0DA5" w:rsidRPr="00D3304A">
        <w:rPr>
          <w:noProof/>
        </w:rPr>
        <w:t xml:space="preserve"> in der durch die Verordnung (EU) </w:t>
      </w:r>
      <w:r w:rsidR="007E0DA5" w:rsidRPr="00C24C00">
        <w:rPr>
          <w:noProof/>
        </w:rPr>
        <w:t>2024</w:t>
      </w:r>
      <w:r w:rsidR="007E0DA5" w:rsidRPr="00D3304A">
        <w:rPr>
          <w:noProof/>
        </w:rPr>
        <w:t>/</w:t>
      </w:r>
      <w:r w:rsidR="007E0DA5" w:rsidRPr="00C24C00">
        <w:rPr>
          <w:noProof/>
        </w:rPr>
        <w:t>3018</w:t>
      </w:r>
      <w:r w:rsidR="007E0DA5" w:rsidRPr="00D3304A">
        <w:rPr>
          <w:noProof/>
        </w:rPr>
        <w:t xml:space="preserve"> geänderten Fassung für statistische Zwecke auf neue Datenquellen, darunter auch auf in privatem Besitz befindliche Daten, zuzugreifen und diese zu verwenden. Auf Anfrage sollte ein privater Dateninhaber den NSÄ oder der Kommission (Eurostat) die Daten und die entsprechenden Metadaten kostenlos zur Verfügung stellen, wenn die angeforderten Daten für die Entwicklung, Erstellung und Verbreitung europäische nichtfinanzielle Statistiken zu Gewerbeimmobilien unbedingt erforderlich sind und nicht ohne Weiteres auf anderem Wege beschafft werden können oder ihre Weiterverwendung eine erhebliche Verringerung des Beantwortungsaufwands der Dateninhaber und anderer Unternehmen zur Folge hat </w:t>
      </w:r>
    </w:p>
    <w:p w:rsidR="00AA3A89" w:rsidRPr="00D3304A" w:rsidRDefault="00944685" w:rsidP="00944685">
      <w:pPr>
        <w:pStyle w:val="ManualConsidrant"/>
        <w:rPr>
          <w:noProof/>
        </w:rPr>
      </w:pPr>
      <w:r w:rsidRPr="00944685">
        <w:rPr>
          <w:noProof/>
        </w:rPr>
        <w:t>(11)</w:t>
      </w:r>
      <w:r w:rsidRPr="00944685">
        <w:rPr>
          <w:noProof/>
        </w:rPr>
        <w:tab/>
      </w:r>
      <w:r w:rsidR="00AA3A89" w:rsidRPr="00D3304A">
        <w:rPr>
          <w:noProof/>
        </w:rPr>
        <w:t>Zwar sollten die Statistiken nach wie vor grundsätzlich den gesamten Gewerbeimmobilienmarkt abdecken, die Datenanforderungen sollten aber, in Einklang mit dem Grundsatz der Verhältnismäßigkeit, so weit wie möglich zur Verringerung der Belastung vergleichsweise kleiner Mitgliedstaaten vereinfacht werden. Den Auskunftgebenden und den NSÄ sollte durch zusätzliche Anforderungen kein unverhältnismäßig hoher administrativer Aufwand entstehen.</w:t>
      </w:r>
    </w:p>
    <w:p w:rsidR="00AA3A89" w:rsidRPr="00D3304A" w:rsidRDefault="00944685" w:rsidP="00944685">
      <w:pPr>
        <w:pStyle w:val="ManualConsidrant"/>
        <w:rPr>
          <w:noProof/>
        </w:rPr>
      </w:pPr>
      <w:r w:rsidRPr="00944685">
        <w:rPr>
          <w:noProof/>
        </w:rPr>
        <w:t>(12)</w:t>
      </w:r>
      <w:r w:rsidRPr="00944685">
        <w:rPr>
          <w:noProof/>
        </w:rPr>
        <w:tab/>
      </w:r>
      <w:r w:rsidR="000C4413" w:rsidRPr="00D3304A">
        <w:rPr>
          <w:noProof/>
        </w:rPr>
        <w:t>Verzeichnisse der Quellen und Methoden sowie Qualitätsberichte sind für die Bewertung, Verbesserung und Kommunikation der Qualität europäischer Statistiken von wesentlicher Bedeutung. Hierzu hat der Ausschuss für das Europäische Statistische System (AESS) die einheitliche integrierte Metadatenstruktur (SIMS)</w:t>
      </w:r>
      <w:r w:rsidR="00AA3A89" w:rsidRPr="00D3304A">
        <w:rPr>
          <w:rStyle w:val="FootnoteReference"/>
          <w:noProof/>
        </w:rPr>
        <w:footnoteReference w:id="13"/>
      </w:r>
      <w:r w:rsidR="000C4413" w:rsidRPr="00D3304A">
        <w:rPr>
          <w:noProof/>
        </w:rPr>
        <w:t xml:space="preserve"> als ESS-Standard für Metadaten die Qualitätsberichterstattung gebilligt und so zur Erfüllung der in Artikel </w:t>
      </w:r>
      <w:r w:rsidR="000C4413" w:rsidRPr="00C24C00">
        <w:rPr>
          <w:noProof/>
        </w:rPr>
        <w:t>12</w:t>
      </w:r>
      <w:r w:rsidR="000C4413" w:rsidRPr="00D3304A">
        <w:rPr>
          <w:noProof/>
        </w:rPr>
        <w:t xml:space="preserve"> Absatz </w:t>
      </w:r>
      <w:r w:rsidR="000C4413" w:rsidRPr="00C24C00">
        <w:rPr>
          <w:noProof/>
        </w:rPr>
        <w:t>1</w:t>
      </w:r>
      <w:r w:rsidR="000C4413" w:rsidRPr="00D3304A">
        <w:rPr>
          <w:noProof/>
        </w:rPr>
        <w:t xml:space="preserve"> der Verordnung (EG) Nr. </w:t>
      </w:r>
      <w:r w:rsidR="000C4413" w:rsidRPr="00C24C00">
        <w:rPr>
          <w:noProof/>
        </w:rPr>
        <w:t>223</w:t>
      </w:r>
      <w:r w:rsidR="000C4413" w:rsidRPr="00D3304A">
        <w:rPr>
          <w:noProof/>
        </w:rPr>
        <w:t>/</w:t>
      </w:r>
      <w:r w:rsidR="000C4413" w:rsidRPr="00C24C00">
        <w:rPr>
          <w:noProof/>
        </w:rPr>
        <w:t>2009</w:t>
      </w:r>
      <w:r w:rsidR="000C4413" w:rsidRPr="00D3304A">
        <w:rPr>
          <w:noProof/>
        </w:rPr>
        <w:t xml:space="preserve"> festgelegten Anforderungen an die Qualität der Statistik durch einheitliche Standards und harmonisierte Methoden beigetragen. Artikel </w:t>
      </w:r>
      <w:r w:rsidR="000C4413" w:rsidRPr="00C24C00">
        <w:rPr>
          <w:noProof/>
        </w:rPr>
        <w:t>12</w:t>
      </w:r>
      <w:r w:rsidR="000C4413" w:rsidRPr="00D3304A">
        <w:rPr>
          <w:noProof/>
        </w:rPr>
        <w:t xml:space="preserve"> Absatz </w:t>
      </w:r>
      <w:r w:rsidR="000C4413" w:rsidRPr="00C24C00">
        <w:rPr>
          <w:noProof/>
        </w:rPr>
        <w:t>1</w:t>
      </w:r>
      <w:r w:rsidR="000C4413" w:rsidRPr="00D3304A">
        <w:rPr>
          <w:noProof/>
        </w:rPr>
        <w:t xml:space="preserve"> der Verordnung (EG) Nr. </w:t>
      </w:r>
      <w:r w:rsidR="000C4413" w:rsidRPr="00C24C00">
        <w:rPr>
          <w:noProof/>
        </w:rPr>
        <w:t>223</w:t>
      </w:r>
      <w:r w:rsidR="000C4413" w:rsidRPr="00D3304A">
        <w:rPr>
          <w:noProof/>
        </w:rPr>
        <w:t>/</w:t>
      </w:r>
      <w:r w:rsidR="000C4413" w:rsidRPr="00C24C00">
        <w:rPr>
          <w:noProof/>
        </w:rPr>
        <w:t>2009</w:t>
      </w:r>
      <w:r w:rsidR="000C4413" w:rsidRPr="00D3304A">
        <w:rPr>
          <w:noProof/>
        </w:rPr>
        <w:t xml:space="preserve"> sollte daher für nichtfinanzielle Statistiken zu Gewerbeimmobilien gelten.</w:t>
      </w:r>
    </w:p>
    <w:p w:rsidR="00AA3A89" w:rsidRPr="00D3304A" w:rsidRDefault="00944685" w:rsidP="00944685">
      <w:pPr>
        <w:pStyle w:val="ManualConsidrant"/>
        <w:rPr>
          <w:noProof/>
        </w:rPr>
      </w:pPr>
      <w:r w:rsidRPr="00944685">
        <w:rPr>
          <w:noProof/>
        </w:rPr>
        <w:t>(13)</w:t>
      </w:r>
      <w:r w:rsidRPr="00944685">
        <w:rPr>
          <w:noProof/>
        </w:rPr>
        <w:tab/>
      </w:r>
      <w:r w:rsidR="00AA3A89" w:rsidRPr="00D3304A">
        <w:rPr>
          <w:noProof/>
        </w:rPr>
        <w:t xml:space="preserve">Ferner werden in der Empfehlung (EU) </w:t>
      </w:r>
      <w:r w:rsidR="00AA3A89" w:rsidRPr="00C24C00">
        <w:rPr>
          <w:noProof/>
        </w:rPr>
        <w:t>2023</w:t>
      </w:r>
      <w:r w:rsidR="00AA3A89" w:rsidRPr="00D3304A">
        <w:rPr>
          <w:noProof/>
        </w:rPr>
        <w:t>/</w:t>
      </w:r>
      <w:r w:rsidR="00AA3A89" w:rsidRPr="00C24C00">
        <w:rPr>
          <w:noProof/>
        </w:rPr>
        <w:t>397</w:t>
      </w:r>
      <w:r w:rsidR="00AA3A89" w:rsidRPr="00D3304A">
        <w:rPr>
          <w:noProof/>
        </w:rPr>
        <w:t xml:space="preserve"> der Kommission vom </w:t>
      </w:r>
      <w:r w:rsidR="00AA3A89" w:rsidRPr="00C24C00">
        <w:rPr>
          <w:noProof/>
        </w:rPr>
        <w:t>17</w:t>
      </w:r>
      <w:r w:rsidR="00AA3A89" w:rsidRPr="00D3304A">
        <w:rPr>
          <w:noProof/>
        </w:rPr>
        <w:t xml:space="preserve">. Februar </w:t>
      </w:r>
      <w:r w:rsidR="00AA3A89" w:rsidRPr="00C24C00">
        <w:rPr>
          <w:noProof/>
        </w:rPr>
        <w:t>2023</w:t>
      </w:r>
      <w:r w:rsidR="00AA3A89" w:rsidRPr="00D3304A">
        <w:rPr>
          <w:noProof/>
        </w:rPr>
        <w:t xml:space="preserve"> über Referenz-Metadaten und Qualitätsberichte für das Europäische Statistische System</w:t>
      </w:r>
      <w:r w:rsidR="00AA3A89" w:rsidRPr="00D3304A">
        <w:rPr>
          <w:rStyle w:val="FootnoteReference"/>
          <w:noProof/>
        </w:rPr>
        <w:footnoteReference w:id="14"/>
      </w:r>
      <w:r w:rsidR="00AA3A89" w:rsidRPr="00D3304A">
        <w:rPr>
          <w:noProof/>
        </w:rPr>
        <w:t xml:space="preserve"> die Mitgliedstaaten aufgerufen, dafür zu sorgen, dass ihre jeweiligen NSÄ bei der Erstellung von Referenz-Metadaten und Qualitätsberichten in den verschiedenen statistischen Bereichen und beim Austausch von Referenz-Metadaten und Qualitätsberichten im ESS die statistischen Konzepte anwenden, die in der neuesten Fassung der vom Ausschuss für das Europäische Statistische System genehmigten SIMS aufgeführt sind. Daher sollte die Empfehlung (EU) </w:t>
      </w:r>
      <w:r w:rsidR="00AA3A89" w:rsidRPr="00C24C00">
        <w:rPr>
          <w:noProof/>
        </w:rPr>
        <w:t>2023</w:t>
      </w:r>
      <w:r w:rsidR="00AA3A89" w:rsidRPr="00D3304A">
        <w:rPr>
          <w:noProof/>
        </w:rPr>
        <w:t>/</w:t>
      </w:r>
      <w:r w:rsidR="00AA3A89" w:rsidRPr="00C24C00">
        <w:rPr>
          <w:noProof/>
        </w:rPr>
        <w:t>397</w:t>
      </w:r>
      <w:r w:rsidR="00AA3A89" w:rsidRPr="00D3304A">
        <w:rPr>
          <w:noProof/>
        </w:rPr>
        <w:t xml:space="preserve"> der Kommission, soweit relevant, auch in Bezug auf nichtfinanzielle Statistiken zu Gewerbeimmobilien beachtet werden. </w:t>
      </w:r>
    </w:p>
    <w:p w:rsidR="00C72D19" w:rsidRPr="00D3304A" w:rsidRDefault="00944685" w:rsidP="00944685">
      <w:pPr>
        <w:pStyle w:val="ManualConsidrant"/>
        <w:rPr>
          <w:noProof/>
        </w:rPr>
      </w:pPr>
      <w:r w:rsidRPr="00944685">
        <w:rPr>
          <w:noProof/>
        </w:rPr>
        <w:t>(14)</w:t>
      </w:r>
      <w:r w:rsidRPr="00944685">
        <w:rPr>
          <w:noProof/>
        </w:rPr>
        <w:tab/>
      </w:r>
      <w:r w:rsidR="00C72D19" w:rsidRPr="00D3304A">
        <w:rPr>
          <w:noProof/>
        </w:rPr>
        <w:t>Sind neue Datenanforderungen oder Verbesserungen an Datensätzen im Anwendungsbereich dieser Verordnung erforderlich, so sollten Pilotstudien durchgeführt werden. Die Mitgliedstaaten sollten in der Lage sein, diese Pilotstudien auf freiwilliger Basis durchzuführen und gleichzeitig die Repräsentativität der Länder auf EU-Ebene zu gewährleisten.</w:t>
      </w:r>
    </w:p>
    <w:p w:rsidR="00AA3A89" w:rsidRPr="00D3304A" w:rsidRDefault="00944685" w:rsidP="00944685">
      <w:pPr>
        <w:pStyle w:val="ManualConsidrant"/>
        <w:rPr>
          <w:noProof/>
        </w:rPr>
      </w:pPr>
      <w:r w:rsidRPr="00944685">
        <w:rPr>
          <w:noProof/>
        </w:rPr>
        <w:t>(15)</w:t>
      </w:r>
      <w:r w:rsidRPr="00944685">
        <w:rPr>
          <w:noProof/>
        </w:rPr>
        <w:tab/>
      </w:r>
      <w:r w:rsidR="00AA3A89" w:rsidRPr="00D3304A">
        <w:rPr>
          <w:noProof/>
        </w:rPr>
        <w:t xml:space="preserve">Internationale Standards, wie die SDMX-Initiative (Statistical Data and Metadata Exchange), und innerhalb des ESS ausgearbeitete statistische oder technische Standards, sollten im erforderlichen Ausmaß auch für nichtfinanzielle Statistiken zu Gewerbeimmobilien herangezogen werden. </w:t>
      </w:r>
    </w:p>
    <w:p w:rsidR="00AA3A89" w:rsidRPr="00D3304A" w:rsidRDefault="00944685" w:rsidP="00944685">
      <w:pPr>
        <w:pStyle w:val="ManualConsidrant"/>
        <w:rPr>
          <w:noProof/>
        </w:rPr>
      </w:pPr>
      <w:r w:rsidRPr="00944685">
        <w:rPr>
          <w:noProof/>
        </w:rPr>
        <w:t>(16)</w:t>
      </w:r>
      <w:r w:rsidRPr="00944685">
        <w:rPr>
          <w:noProof/>
        </w:rPr>
        <w:tab/>
      </w:r>
      <w:r w:rsidR="00AA3A89" w:rsidRPr="00D3304A">
        <w:rPr>
          <w:noProof/>
        </w:rPr>
        <w:t>Um wirtschaftliche und technische Entwicklungen zu berücksichtigen, sollte der Kommission die Befugnis übertragen werden, gemäß Artikel </w:t>
      </w:r>
      <w:r w:rsidR="00AA3A89" w:rsidRPr="00C24C00">
        <w:rPr>
          <w:noProof/>
        </w:rPr>
        <w:t>290</w:t>
      </w:r>
      <w:r w:rsidR="00AA3A89" w:rsidRPr="00D3304A">
        <w:rPr>
          <w:noProof/>
        </w:rPr>
        <w:t xml:space="preserve"> des Vertrags über die Arbeitsweise der Europäischen Union Rechtsakte zur Änderung der Liste der Variablen in Anhang I zu erlassen. Es ist von besonderer Bedeutung, dass die Kommission im Zuge ihrer Vorbereitungsarbeit angemessene Konsultationen, auch auf der Ebene von Sachverständigen, durchführt, die mit den Grundsätzen in Einklang stehen, die in der Interinstitutionellen Vereinbarung vom </w:t>
      </w:r>
      <w:r w:rsidR="00AA3A89" w:rsidRPr="00C24C00">
        <w:rPr>
          <w:noProof/>
        </w:rPr>
        <w:t>13</w:t>
      </w:r>
      <w:r w:rsidR="00AA3A89" w:rsidRPr="00D3304A">
        <w:rPr>
          <w:noProof/>
        </w:rPr>
        <w:t xml:space="preserve">. April </w:t>
      </w:r>
      <w:r w:rsidR="00AA3A89" w:rsidRPr="00C24C00">
        <w:rPr>
          <w:noProof/>
        </w:rPr>
        <w:t>2016</w:t>
      </w:r>
      <w:r w:rsidR="00AA3A89" w:rsidRPr="00D3304A">
        <w:rPr>
          <w:noProof/>
        </w:rPr>
        <w:t xml:space="preserve"> über bessere Rechtsetzung</w:t>
      </w:r>
      <w:r w:rsidR="00AA3A89" w:rsidRPr="00D3304A">
        <w:rPr>
          <w:rStyle w:val="FootnoteReference"/>
          <w:noProof/>
        </w:rPr>
        <w:footnoteReference w:id="15"/>
      </w:r>
      <w:r w:rsidR="00AA3A89" w:rsidRPr="00D3304A">
        <w:rPr>
          <w:noProof/>
        </w:rPr>
        <w:t xml:space="preserve"> niedergelegt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rsidR="00AA3A89" w:rsidRPr="00D3304A" w:rsidRDefault="00944685" w:rsidP="00944685">
      <w:pPr>
        <w:pStyle w:val="ManualConsidrant"/>
        <w:rPr>
          <w:noProof/>
        </w:rPr>
      </w:pPr>
      <w:r w:rsidRPr="00944685">
        <w:rPr>
          <w:noProof/>
        </w:rPr>
        <w:t>(17)</w:t>
      </w:r>
      <w:r w:rsidRPr="00944685">
        <w:rPr>
          <w:noProof/>
        </w:rPr>
        <w:tab/>
      </w:r>
      <w:r w:rsidR="00AA3A89" w:rsidRPr="00D3304A">
        <w:rPr>
          <w:noProof/>
        </w:rPr>
        <w:t>Zur Gewährleistung einheitlicher Bedingungen für die Durchführung dieser Verordnung bezüglich der Einzelheiten der Variablen sowie des Formats, der Maßnahmen im Hinblick auf Sicherheit und Vertraulichkeit und des Verfahrens für den Austausch vertraulicher Daten, der praktischen Modalitäten hinsichtlich der Übermittlung, des Inhalts der Metadaten- und Qualitätsberichte sowie der Fristen für deren Übermittlung, der Standards für die Übermittlung von Daten und Metadaten und der Ausnahmen von den Anforderungen dieser Verordnung oder der auf ihrer Grundlage erlassenen Durchführungsrechtsakte, sollten der Kommission Durchführungsbefugnisse übertragen werden. Diese Befugnisse sollten im Einklang mit der Verordnung (EU) Nr. </w:t>
      </w:r>
      <w:r w:rsidR="00AA3A89" w:rsidRPr="00C24C00">
        <w:rPr>
          <w:noProof/>
        </w:rPr>
        <w:t>182</w:t>
      </w:r>
      <w:r w:rsidR="00AA3A89" w:rsidRPr="00D3304A">
        <w:rPr>
          <w:noProof/>
        </w:rPr>
        <w:t>/</w:t>
      </w:r>
      <w:r w:rsidR="00AA3A89" w:rsidRPr="00C24C00">
        <w:rPr>
          <w:noProof/>
        </w:rPr>
        <w:t>2011</w:t>
      </w:r>
      <w:r w:rsidR="00AA3A89" w:rsidRPr="00D3304A">
        <w:rPr>
          <w:noProof/>
        </w:rPr>
        <w:t xml:space="preserve"> des Europäischen Parlaments und des Rates</w:t>
      </w:r>
      <w:r w:rsidR="00AA3A89" w:rsidRPr="00D3304A">
        <w:rPr>
          <w:rStyle w:val="FootnoteReference"/>
          <w:noProof/>
        </w:rPr>
        <w:footnoteReference w:id="16"/>
      </w:r>
      <w:r w:rsidR="00AA3A89" w:rsidRPr="00D3304A">
        <w:rPr>
          <w:noProof/>
        </w:rPr>
        <w:t xml:space="preserve"> ausgeübt werden.</w:t>
      </w:r>
    </w:p>
    <w:p w:rsidR="00AA3A89" w:rsidRPr="00D3304A" w:rsidRDefault="00944685" w:rsidP="00944685">
      <w:pPr>
        <w:pStyle w:val="ManualConsidrant"/>
        <w:rPr>
          <w:noProof/>
        </w:rPr>
      </w:pPr>
      <w:r w:rsidRPr="00944685">
        <w:rPr>
          <w:noProof/>
        </w:rPr>
        <w:t>(18)</w:t>
      </w:r>
      <w:r w:rsidRPr="00944685">
        <w:rPr>
          <w:noProof/>
        </w:rPr>
        <w:tab/>
      </w:r>
      <w:r w:rsidR="002F52D4" w:rsidRPr="00D3304A">
        <w:rPr>
          <w:noProof/>
        </w:rPr>
        <w:t>Erfordert die Anwendung dieser Verordnung oder der auf ihrer Grundlage erlassenen Durchführungsrechtsakte größere Anpassungen des nationalen statistischen Systems eines Mitgliedstaats, so sollte die Kommission dem betreffenden Mitgliedstaat in hinreichend begründeten Fällen Ausnahmeregelungen gewähren können. Diese Ausnahmeregelungen sollten befristet sein und für eine Höchstdauer von drei Jahren gewährt werden. Die Kommission sollte die betreffenden Mitgliedstaaten bei ihren Bemühungen, die erforderlichen Anpassungen ihrer statistischen Systeme vorzunehmen, unterstützen, damit die Ausnahmeregelungen so rasch wie möglich aufgehoben werden können.</w:t>
      </w:r>
    </w:p>
    <w:p w:rsidR="00AA3A89" w:rsidRPr="00D3304A" w:rsidRDefault="00944685" w:rsidP="00944685">
      <w:pPr>
        <w:pStyle w:val="ManualConsidrant"/>
        <w:rPr>
          <w:noProof/>
        </w:rPr>
      </w:pPr>
      <w:r w:rsidRPr="00944685">
        <w:rPr>
          <w:noProof/>
        </w:rPr>
        <w:t>(19)</w:t>
      </w:r>
      <w:r w:rsidRPr="00944685">
        <w:rPr>
          <w:noProof/>
        </w:rPr>
        <w:tab/>
      </w:r>
      <w:r w:rsidR="00AA3A89" w:rsidRPr="00D3304A">
        <w:rPr>
          <w:noProof/>
        </w:rPr>
        <w:t>Da das Ziel der Verordnung, nämlich die Schaffung eines gemeinsamen Rahmens für nichtfinanzielle Statistiken zu Gewerbeimmobilien, von den Mitgliedstaaten nicht ausreichend verwirklicht werden kann, sondern vielmehr aus Gründen der Harmonisierung und Vergleichbarkeit auf Unionsebene besser zu verwirklichen ist, kann die Union im Einklang mit dem in Artikel </w:t>
      </w:r>
      <w:r w:rsidR="00AA3A89" w:rsidRPr="00C24C00">
        <w:rPr>
          <w:noProof/>
        </w:rPr>
        <w:t>5</w:t>
      </w:r>
      <w:r w:rsidR="00AA3A89" w:rsidRPr="00D3304A">
        <w:rPr>
          <w:noProof/>
        </w:rPr>
        <w:t xml:space="preserve"> des Vertrags über die Europäische Union verankerten Subsidiaritätsprinzip tätig werden. Entsprechend dem in demselben Artikel genannten Grundsatz der Verhältnismäßigkeit geht diese Verordnung nicht über das für die Verwirklichung dieses Ziels erforderliche Maß hinaus.</w:t>
      </w:r>
    </w:p>
    <w:p w:rsidR="0067402C" w:rsidRPr="00D3304A" w:rsidRDefault="00944685" w:rsidP="00944685">
      <w:pPr>
        <w:pStyle w:val="ManualConsidrant"/>
        <w:rPr>
          <w:noProof/>
        </w:rPr>
      </w:pPr>
      <w:r w:rsidRPr="00944685">
        <w:rPr>
          <w:noProof/>
        </w:rPr>
        <w:t>(20)</w:t>
      </w:r>
      <w:r w:rsidRPr="00944685">
        <w:rPr>
          <w:noProof/>
        </w:rPr>
        <w:tab/>
      </w:r>
      <w:r w:rsidR="00276217" w:rsidRPr="00D3304A">
        <w:rPr>
          <w:noProof/>
        </w:rPr>
        <w:t xml:space="preserve">Zur Gewährleistung der fortwährenden Kohärenz aller Gewerbeimmobilienindikatoren sollten die in den Anhängen I und II der Verordnung (EU) </w:t>
      </w:r>
      <w:r w:rsidR="00276217" w:rsidRPr="00C24C00">
        <w:rPr>
          <w:noProof/>
        </w:rPr>
        <w:t>2019</w:t>
      </w:r>
      <w:r w:rsidR="00276217" w:rsidRPr="00D3304A">
        <w:rPr>
          <w:noProof/>
        </w:rPr>
        <w:t>/</w:t>
      </w:r>
      <w:r w:rsidR="00276217" w:rsidRPr="00C24C00">
        <w:rPr>
          <w:noProof/>
        </w:rPr>
        <w:t>2152</w:t>
      </w:r>
      <w:r w:rsidR="00276217" w:rsidRPr="00D3304A">
        <w:rPr>
          <w:noProof/>
        </w:rPr>
        <w:t xml:space="preserve"> aufgeführten Indikatoren in diese Verordnung aufgenommen werden. Die Verordnung (EU) </w:t>
      </w:r>
      <w:r w:rsidR="00276217" w:rsidRPr="00C24C00">
        <w:rPr>
          <w:noProof/>
        </w:rPr>
        <w:t>2019</w:t>
      </w:r>
      <w:r w:rsidR="00276217" w:rsidRPr="00D3304A">
        <w:rPr>
          <w:noProof/>
        </w:rPr>
        <w:t>/</w:t>
      </w:r>
      <w:r w:rsidR="00276217" w:rsidRPr="00C24C00">
        <w:rPr>
          <w:noProof/>
        </w:rPr>
        <w:t>2152</w:t>
      </w:r>
      <w:r w:rsidR="00276217" w:rsidRPr="00D3304A">
        <w:rPr>
          <w:noProof/>
        </w:rPr>
        <w:t xml:space="preserve"> sollte daher geändert werden.</w:t>
      </w:r>
    </w:p>
    <w:p w:rsidR="00AA3A89" w:rsidRPr="00D3304A" w:rsidRDefault="00944685" w:rsidP="00944685">
      <w:pPr>
        <w:pStyle w:val="ManualConsidrant"/>
        <w:rPr>
          <w:noProof/>
        </w:rPr>
      </w:pPr>
      <w:r w:rsidRPr="00944685">
        <w:rPr>
          <w:noProof/>
        </w:rPr>
        <w:t>(21)</w:t>
      </w:r>
      <w:r w:rsidRPr="00944685">
        <w:rPr>
          <w:noProof/>
        </w:rPr>
        <w:tab/>
      </w:r>
      <w:r w:rsidR="0067402C" w:rsidRPr="00D3304A">
        <w:rPr>
          <w:noProof/>
        </w:rPr>
        <w:t>Der Ausschuss für das Europäische Statistische System ist angehört worden —</w:t>
      </w:r>
    </w:p>
    <w:p w:rsidR="00AA3A89" w:rsidRPr="00D3304A" w:rsidRDefault="00AA3A89" w:rsidP="00AA3A89">
      <w:pPr>
        <w:pStyle w:val="Formuledadoption"/>
        <w:rPr>
          <w:noProof/>
        </w:rPr>
      </w:pPr>
      <w:r w:rsidRPr="00D3304A">
        <w:rPr>
          <w:noProof/>
        </w:rPr>
        <w:t>HABEN FOLGENDE VERORDNUNG ERLASSEN:</w:t>
      </w:r>
    </w:p>
    <w:p w:rsidR="00AA3A89" w:rsidRPr="00D3304A" w:rsidRDefault="00AA3A89" w:rsidP="007E471F">
      <w:pPr>
        <w:pStyle w:val="Titrearticle"/>
        <w:rPr>
          <w:i w:val="0"/>
          <w:iCs/>
          <w:noProof/>
        </w:rPr>
      </w:pPr>
      <w:r w:rsidRPr="00D3304A">
        <w:rPr>
          <w:noProof/>
        </w:rPr>
        <w:t>Artikel </w:t>
      </w:r>
      <w:r w:rsidRPr="00C24C00">
        <w:rPr>
          <w:noProof/>
        </w:rPr>
        <w:t>1</w:t>
      </w:r>
      <w:r w:rsidRPr="00D3304A">
        <w:rPr>
          <w:noProof/>
        </w:rPr>
        <w:br/>
        <w:t>Gegenstand</w:t>
      </w:r>
    </w:p>
    <w:p w:rsidR="000748F6" w:rsidRPr="00D3304A" w:rsidRDefault="00AA3A89" w:rsidP="007E471F">
      <w:pPr>
        <w:rPr>
          <w:noProof/>
        </w:rPr>
      </w:pPr>
      <w:r w:rsidRPr="00D3304A">
        <w:rPr>
          <w:noProof/>
        </w:rPr>
        <w:t>Mit der vorgeschlagenen Verordnung wird ein gemeinsamer Rahmen für die Entwicklung, Erstellung und Verbreitung nichtfinanzieller Statistiken zu Gewerbeimmobilien geschaffen.</w:t>
      </w:r>
    </w:p>
    <w:p w:rsidR="00AA3A89" w:rsidRPr="00D3304A" w:rsidRDefault="00AA3A89" w:rsidP="00AA3A89">
      <w:pPr>
        <w:pStyle w:val="Titrearticle"/>
        <w:rPr>
          <w:noProof/>
        </w:rPr>
      </w:pPr>
      <w:r w:rsidRPr="00D3304A">
        <w:rPr>
          <w:noProof/>
        </w:rPr>
        <w:t>Artikel </w:t>
      </w:r>
      <w:r w:rsidRPr="00C24C00">
        <w:rPr>
          <w:noProof/>
        </w:rPr>
        <w:t>2</w:t>
      </w:r>
    </w:p>
    <w:p w:rsidR="00AA3A89" w:rsidRPr="00D3304A" w:rsidRDefault="00AA3A89" w:rsidP="00AA3A89">
      <w:pPr>
        <w:jc w:val="center"/>
        <w:rPr>
          <w:noProof/>
        </w:rPr>
      </w:pPr>
      <w:r w:rsidRPr="00D3304A">
        <w:rPr>
          <w:i/>
          <w:noProof/>
        </w:rPr>
        <w:t>Begriffsbestimmungen</w:t>
      </w:r>
    </w:p>
    <w:p w:rsidR="00AA3A89" w:rsidRPr="00D3304A" w:rsidRDefault="00AA3A89" w:rsidP="00AA3A89">
      <w:pPr>
        <w:rPr>
          <w:noProof/>
        </w:rPr>
      </w:pPr>
      <w:r w:rsidRPr="00D3304A">
        <w:rPr>
          <w:noProof/>
        </w:rPr>
        <w:t>Für die Zwecke dieser Verordnung bezeichnet der Ausdruck</w:t>
      </w:r>
    </w:p>
    <w:p w:rsidR="00FF7819" w:rsidRPr="00D3304A" w:rsidRDefault="003C2496" w:rsidP="003C2496">
      <w:pPr>
        <w:pStyle w:val="Point0"/>
        <w:rPr>
          <w:noProof/>
        </w:rPr>
      </w:pPr>
      <w:r w:rsidRPr="00C24C00">
        <w:rPr>
          <w:noProof/>
        </w:rPr>
        <w:t>1</w:t>
      </w:r>
      <w:r w:rsidRPr="00D3304A">
        <w:rPr>
          <w:noProof/>
        </w:rPr>
        <w:t>.</w:t>
      </w:r>
      <w:r w:rsidRPr="00D3304A">
        <w:rPr>
          <w:noProof/>
        </w:rPr>
        <w:tab/>
      </w:r>
      <w:r w:rsidR="00FF7819" w:rsidRPr="00D3304A">
        <w:rPr>
          <w:noProof/>
        </w:rPr>
        <w:t>„nichtfinanzielle Statistiken“ statistische Daten, die sich auf Vermögensgüter gemäß der Klassifikation in Anhang A Kapitel </w:t>
      </w:r>
      <w:r w:rsidR="00FF7819" w:rsidRPr="00C24C00">
        <w:rPr>
          <w:noProof/>
        </w:rPr>
        <w:t>7</w:t>
      </w:r>
      <w:r w:rsidR="00FF7819" w:rsidRPr="00D3304A">
        <w:rPr>
          <w:noProof/>
        </w:rPr>
        <w:t xml:space="preserve"> Nummer </w:t>
      </w:r>
      <w:r w:rsidR="00FF7819" w:rsidRPr="00C24C00">
        <w:rPr>
          <w:noProof/>
        </w:rPr>
        <w:t>7</w:t>
      </w:r>
      <w:r w:rsidR="00FF7819" w:rsidRPr="00D3304A">
        <w:rPr>
          <w:noProof/>
        </w:rPr>
        <w:t>.</w:t>
      </w:r>
      <w:r w:rsidR="00FF7819" w:rsidRPr="00C24C00">
        <w:rPr>
          <w:noProof/>
        </w:rPr>
        <w:t>20</w:t>
      </w:r>
      <w:r w:rsidR="00FF7819" w:rsidRPr="00D3304A">
        <w:rPr>
          <w:noProof/>
        </w:rPr>
        <w:t xml:space="preserve"> der Verordnungen (EU) </w:t>
      </w:r>
      <w:r w:rsidR="00FF7819" w:rsidRPr="00C24C00">
        <w:rPr>
          <w:noProof/>
        </w:rPr>
        <w:t>549</w:t>
      </w:r>
      <w:r w:rsidR="00FF7819" w:rsidRPr="00D3304A">
        <w:rPr>
          <w:noProof/>
        </w:rPr>
        <w:t>/</w:t>
      </w:r>
      <w:r w:rsidR="00FF7819" w:rsidRPr="00C24C00">
        <w:rPr>
          <w:noProof/>
        </w:rPr>
        <w:t>2013</w:t>
      </w:r>
      <w:r w:rsidR="00FF7819" w:rsidRPr="00D3304A">
        <w:rPr>
          <w:rStyle w:val="FootnoteReference"/>
          <w:noProof/>
        </w:rPr>
        <w:footnoteReference w:id="17"/>
      </w:r>
      <w:r w:rsidR="00FF7819" w:rsidRPr="00D3304A">
        <w:rPr>
          <w:noProof/>
        </w:rPr>
        <w:t xml:space="preserve"> beziehen.</w:t>
      </w:r>
    </w:p>
    <w:p w:rsidR="00AA3A89" w:rsidRPr="00D3304A" w:rsidRDefault="003C2496" w:rsidP="003C2496">
      <w:pPr>
        <w:pStyle w:val="Point0"/>
        <w:rPr>
          <w:noProof/>
        </w:rPr>
      </w:pPr>
      <w:r w:rsidRPr="00C24C00">
        <w:rPr>
          <w:noProof/>
        </w:rPr>
        <w:t>2</w:t>
      </w:r>
      <w:r w:rsidRPr="00D3304A">
        <w:rPr>
          <w:noProof/>
        </w:rPr>
        <w:t>.</w:t>
      </w:r>
      <w:r w:rsidRPr="00D3304A">
        <w:rPr>
          <w:noProof/>
        </w:rPr>
        <w:tab/>
      </w:r>
      <w:r w:rsidR="00AA3A89" w:rsidRPr="00D3304A">
        <w:rPr>
          <w:noProof/>
        </w:rPr>
        <w:t>„Gewerbeimmobilie“ alle Wohnimmobilien, die von einer juristischen Person erworben wurden oder im Eigentum einer juristischen Person stehen, oder alle sonstigen Immobilien, die von einer natürlichen oder juristischen Person erworben wurden oder im Eigentum einer natürlichen oder juristischen Person stehen, und folgendes darstellen:</w:t>
      </w:r>
    </w:p>
    <w:p w:rsidR="00AA3A89" w:rsidRPr="00D3304A" w:rsidRDefault="003C2496" w:rsidP="003C2496">
      <w:pPr>
        <w:pStyle w:val="Point1"/>
        <w:rPr>
          <w:noProof/>
        </w:rPr>
      </w:pPr>
      <w:r w:rsidRPr="00D3304A">
        <w:rPr>
          <w:noProof/>
        </w:rPr>
        <w:t>a)</w:t>
      </w:r>
      <w:r w:rsidRPr="00D3304A">
        <w:rPr>
          <w:noProof/>
        </w:rPr>
        <w:tab/>
      </w:r>
      <w:r w:rsidR="00AA3A89" w:rsidRPr="00D3304A">
        <w:rPr>
          <w:noProof/>
        </w:rPr>
        <w:t>bestehende oder im Bau befindliche Renditeobjekte, einschließlich Mietobjekte;</w:t>
      </w:r>
    </w:p>
    <w:p w:rsidR="00AA3A89" w:rsidRPr="00D3304A" w:rsidRDefault="003C2496" w:rsidP="003C2496">
      <w:pPr>
        <w:pStyle w:val="Point1"/>
        <w:rPr>
          <w:noProof/>
        </w:rPr>
      </w:pPr>
      <w:r w:rsidRPr="00D3304A">
        <w:rPr>
          <w:noProof/>
        </w:rPr>
        <w:t>b)</w:t>
      </w:r>
      <w:r w:rsidRPr="00D3304A">
        <w:rPr>
          <w:noProof/>
        </w:rPr>
        <w:tab/>
      </w:r>
      <w:r w:rsidR="00BD416C" w:rsidRPr="00D3304A">
        <w:rPr>
          <w:noProof/>
        </w:rPr>
        <w:t xml:space="preserve">sonstige bestehende oder im Bau befindliche Immobilien, die von den Eigentümern zum Zweck der Ausübung ihres Geschäfts, Geschäftsgegenstands oder ihrer Tätigkeit genutzt werden, oder </w:t>
      </w:r>
    </w:p>
    <w:p w:rsidR="00AA3A89" w:rsidRPr="00D3304A" w:rsidRDefault="003C2496" w:rsidP="003C2496">
      <w:pPr>
        <w:pStyle w:val="Point1"/>
        <w:rPr>
          <w:noProof/>
        </w:rPr>
      </w:pPr>
      <w:r w:rsidRPr="00D3304A">
        <w:rPr>
          <w:noProof/>
        </w:rPr>
        <w:t>c)</w:t>
      </w:r>
      <w:r w:rsidRPr="00D3304A">
        <w:rPr>
          <w:noProof/>
        </w:rPr>
        <w:tab/>
      </w:r>
      <w:r w:rsidR="00AA3A89" w:rsidRPr="00D3304A">
        <w:rPr>
          <w:noProof/>
        </w:rPr>
        <w:t>Sozialwohnungen;</w:t>
      </w:r>
    </w:p>
    <w:p w:rsidR="0057260A" w:rsidRPr="00D3304A" w:rsidRDefault="003C2496" w:rsidP="003C2496">
      <w:pPr>
        <w:pStyle w:val="Point0"/>
        <w:rPr>
          <w:noProof/>
        </w:rPr>
      </w:pPr>
      <w:r w:rsidRPr="00C24C00">
        <w:rPr>
          <w:noProof/>
        </w:rPr>
        <w:t>3</w:t>
      </w:r>
      <w:r w:rsidRPr="00D3304A">
        <w:rPr>
          <w:noProof/>
        </w:rPr>
        <w:t>.</w:t>
      </w:r>
      <w:r w:rsidRPr="00D3304A">
        <w:rPr>
          <w:noProof/>
        </w:rPr>
        <w:tab/>
      </w:r>
      <w:r w:rsidR="0057260A" w:rsidRPr="00D3304A">
        <w:rPr>
          <w:noProof/>
        </w:rPr>
        <w:t>„juristische Person“ eine juristische Person im Sinne der Klassifizierung im Anhang Abschnitt II Buchstabe A der Verordnung (EWG) Nr. </w:t>
      </w:r>
      <w:r w:rsidR="0057260A" w:rsidRPr="00C24C00">
        <w:rPr>
          <w:noProof/>
        </w:rPr>
        <w:t>696</w:t>
      </w:r>
      <w:r w:rsidR="0057260A" w:rsidRPr="00D3304A">
        <w:rPr>
          <w:noProof/>
        </w:rPr>
        <w:t>/</w:t>
      </w:r>
      <w:r w:rsidR="0057260A" w:rsidRPr="00C24C00">
        <w:rPr>
          <w:noProof/>
        </w:rPr>
        <w:t>93</w:t>
      </w:r>
      <w:r w:rsidR="0057260A" w:rsidRPr="00D3304A">
        <w:rPr>
          <w:noProof/>
        </w:rPr>
        <w:t xml:space="preserve"> des Rates</w:t>
      </w:r>
      <w:r w:rsidR="00953674" w:rsidRPr="00D3304A">
        <w:rPr>
          <w:rStyle w:val="FootnoteReference"/>
          <w:noProof/>
        </w:rPr>
        <w:footnoteReference w:id="18"/>
      </w:r>
      <w:r w:rsidR="0057260A" w:rsidRPr="00D3304A">
        <w:rPr>
          <w:noProof/>
        </w:rPr>
        <w:t xml:space="preserve">; </w:t>
      </w:r>
    </w:p>
    <w:p w:rsidR="006F6664" w:rsidRPr="00D3304A" w:rsidRDefault="003C2496" w:rsidP="003C2496">
      <w:pPr>
        <w:pStyle w:val="Point0"/>
        <w:rPr>
          <w:noProof/>
        </w:rPr>
      </w:pPr>
      <w:r w:rsidRPr="00C24C00">
        <w:rPr>
          <w:noProof/>
        </w:rPr>
        <w:t>4</w:t>
      </w:r>
      <w:r w:rsidRPr="00D3304A">
        <w:rPr>
          <w:noProof/>
        </w:rPr>
        <w:t>.</w:t>
      </w:r>
      <w:r w:rsidRPr="00D3304A">
        <w:rPr>
          <w:noProof/>
        </w:rPr>
        <w:tab/>
      </w:r>
      <w:r w:rsidR="006F6664" w:rsidRPr="00D3304A">
        <w:rPr>
          <w:noProof/>
        </w:rPr>
        <w:t>„Immobilie“ ein Gebäude zusammen mit dem Grund und Boden, auf dem es steht;</w:t>
      </w:r>
    </w:p>
    <w:p w:rsidR="006F6664" w:rsidRPr="00D3304A" w:rsidRDefault="003C2496" w:rsidP="003C2496">
      <w:pPr>
        <w:pStyle w:val="Point0"/>
        <w:rPr>
          <w:noProof/>
        </w:rPr>
      </w:pPr>
      <w:r w:rsidRPr="00C24C00">
        <w:rPr>
          <w:noProof/>
        </w:rPr>
        <w:t>5</w:t>
      </w:r>
      <w:r w:rsidRPr="00D3304A">
        <w:rPr>
          <w:noProof/>
        </w:rPr>
        <w:t>.</w:t>
      </w:r>
      <w:r w:rsidRPr="00D3304A">
        <w:rPr>
          <w:noProof/>
        </w:rPr>
        <w:tab/>
      </w:r>
      <w:r w:rsidR="006F6664" w:rsidRPr="00D3304A">
        <w:rPr>
          <w:noProof/>
        </w:rPr>
        <w:t>„Wohnimmobilie“ Immobilien, die für Wohnzwecke bestimmt sind und genutzt werden;</w:t>
      </w:r>
    </w:p>
    <w:p w:rsidR="006F6664" w:rsidRPr="00D3304A" w:rsidRDefault="003C2496" w:rsidP="003C2496">
      <w:pPr>
        <w:pStyle w:val="Point0"/>
        <w:rPr>
          <w:noProof/>
        </w:rPr>
      </w:pPr>
      <w:r w:rsidRPr="00C24C00">
        <w:rPr>
          <w:noProof/>
        </w:rPr>
        <w:t>6</w:t>
      </w:r>
      <w:r w:rsidRPr="00D3304A">
        <w:rPr>
          <w:noProof/>
        </w:rPr>
        <w:t>.</w:t>
      </w:r>
      <w:r w:rsidRPr="00D3304A">
        <w:rPr>
          <w:noProof/>
        </w:rPr>
        <w:tab/>
      </w:r>
      <w:r w:rsidR="006F6664" w:rsidRPr="00D3304A">
        <w:rPr>
          <w:noProof/>
        </w:rPr>
        <w:t>„sonstige Immobilie“ Immobilien, die für andere Zwecke als Wohnzwecke bestimmt sind und genutzt werden;</w:t>
      </w:r>
    </w:p>
    <w:p w:rsidR="00AA3A89" w:rsidRPr="00D3304A" w:rsidRDefault="003C2496" w:rsidP="003C2496">
      <w:pPr>
        <w:pStyle w:val="Point0"/>
        <w:rPr>
          <w:noProof/>
        </w:rPr>
      </w:pPr>
      <w:r w:rsidRPr="00C24C00">
        <w:rPr>
          <w:noProof/>
        </w:rPr>
        <w:t>7</w:t>
      </w:r>
      <w:r w:rsidRPr="00D3304A">
        <w:rPr>
          <w:noProof/>
        </w:rPr>
        <w:t>.</w:t>
      </w:r>
      <w:r w:rsidRPr="00D3304A">
        <w:rPr>
          <w:noProof/>
        </w:rPr>
        <w:tab/>
      </w:r>
      <w:r w:rsidR="00AA3A89" w:rsidRPr="00D3304A">
        <w:rPr>
          <w:noProof/>
        </w:rPr>
        <w:t>„Renditeobjekt“ alle Immobilien, mit denen durch Mieteinnahmen oder Gewinn aus dem Verkauf Einkünfte erzielt werden;</w:t>
      </w:r>
    </w:p>
    <w:p w:rsidR="00AA3A89" w:rsidRPr="00D3304A" w:rsidRDefault="003C2496" w:rsidP="003C2496">
      <w:pPr>
        <w:pStyle w:val="Point0"/>
        <w:rPr>
          <w:noProof/>
        </w:rPr>
      </w:pPr>
      <w:r w:rsidRPr="00C24C00">
        <w:rPr>
          <w:noProof/>
        </w:rPr>
        <w:t>8</w:t>
      </w:r>
      <w:r w:rsidRPr="00D3304A">
        <w:rPr>
          <w:noProof/>
        </w:rPr>
        <w:t>.</w:t>
      </w:r>
      <w:r w:rsidRPr="00D3304A">
        <w:rPr>
          <w:noProof/>
        </w:rPr>
        <w:tab/>
      </w:r>
      <w:r w:rsidR="00AA3A89" w:rsidRPr="00D3304A">
        <w:rPr>
          <w:noProof/>
        </w:rPr>
        <w:t>„Renditeobjekt im Bau“ alle noch im Bau befindlichen Immobilien, mit denen ihr Eigentümer nach Fertigstellung Einkünfte erzielen will, entweder in Form von Mieteinnahmen oder in Form von Gewinn aus dem Verkauf, ausgenommen Gebäude, die abgerissen werden, sowie Bauplätze, die für eine mögliche zukünftige Bebauung geräumt werden;</w:t>
      </w:r>
    </w:p>
    <w:p w:rsidR="00AA3A89" w:rsidRPr="00D3304A" w:rsidRDefault="003C2496" w:rsidP="003C2496">
      <w:pPr>
        <w:pStyle w:val="Point0"/>
        <w:rPr>
          <w:noProof/>
        </w:rPr>
      </w:pPr>
      <w:r w:rsidRPr="00C24C00">
        <w:rPr>
          <w:noProof/>
        </w:rPr>
        <w:t>9</w:t>
      </w:r>
      <w:r w:rsidRPr="00D3304A">
        <w:rPr>
          <w:noProof/>
        </w:rPr>
        <w:t>.</w:t>
      </w:r>
      <w:r w:rsidRPr="00D3304A">
        <w:rPr>
          <w:noProof/>
        </w:rPr>
        <w:tab/>
      </w:r>
      <w:r w:rsidR="00AA3A89" w:rsidRPr="00D3304A">
        <w:rPr>
          <w:noProof/>
        </w:rPr>
        <w:t>„Mietobjekt“ alle Wohnimmobilien, die von einer juristischen Person erworben wurden oder im Eigentum einer juristischen Person stehen und deren Hauptzweck die Vermietung ist;</w:t>
      </w:r>
    </w:p>
    <w:p w:rsidR="00AA3A89" w:rsidRPr="00D3304A" w:rsidRDefault="003C2496" w:rsidP="003C2496">
      <w:pPr>
        <w:pStyle w:val="Point0"/>
        <w:rPr>
          <w:noProof/>
        </w:rPr>
      </w:pPr>
      <w:r w:rsidRPr="00C24C00">
        <w:rPr>
          <w:noProof/>
        </w:rPr>
        <w:t>10</w:t>
      </w:r>
      <w:r w:rsidRPr="00D3304A">
        <w:rPr>
          <w:noProof/>
        </w:rPr>
        <w:t>.</w:t>
      </w:r>
      <w:r w:rsidRPr="00D3304A">
        <w:rPr>
          <w:noProof/>
        </w:rPr>
        <w:tab/>
      </w:r>
      <w:r w:rsidR="00AA3A89" w:rsidRPr="00D3304A">
        <w:rPr>
          <w:noProof/>
        </w:rPr>
        <w:t>„Sozialwohnung“ alle Wohnimmobilien, die von einer juristischen Person erworben wurden, im Eigentum einer juristischen Person stehen oder von einer juristischen Person verwaltet werden und deren Hauptzweck die Vermietung im Einklang mit spezifischen Regelungen anstelle von Marktmechanismen an Mieter, insbesondere an benachteiligte Personen oder sozial schwächere Gruppen, unterhalb der marktüblichen Mietpreise ist.</w:t>
      </w:r>
    </w:p>
    <w:p w:rsidR="00AA3A89" w:rsidRPr="00D3304A" w:rsidRDefault="00AA3A89" w:rsidP="007E471F">
      <w:pPr>
        <w:pStyle w:val="Titrearticle"/>
        <w:rPr>
          <w:noProof/>
        </w:rPr>
      </w:pPr>
      <w:r w:rsidRPr="00D3304A">
        <w:rPr>
          <w:noProof/>
        </w:rPr>
        <w:t xml:space="preserve"> Artikel </w:t>
      </w:r>
      <w:r w:rsidRPr="00C24C00">
        <w:rPr>
          <w:noProof/>
        </w:rPr>
        <w:t>3</w:t>
      </w:r>
      <w:r w:rsidRPr="00D3304A">
        <w:rPr>
          <w:noProof/>
        </w:rPr>
        <w:br/>
        <w:t>Datenquellen und Methodik</w:t>
      </w:r>
    </w:p>
    <w:p w:rsidR="00ED2520" w:rsidRPr="00D3304A" w:rsidRDefault="00092FD1" w:rsidP="00AA3A89">
      <w:pPr>
        <w:rPr>
          <w:noProof/>
        </w:rPr>
      </w:pPr>
      <w:bookmarkStart w:id="6" w:name="_Hlk169882409"/>
      <w:r w:rsidRPr="00D3304A">
        <w:rPr>
          <w:noProof/>
        </w:rPr>
        <w:t xml:space="preserve">Für die Erstellung der nach dieser Verordnung erforderlichen Statistiken bemühen sich die Mitgliedstaaten so weit wie möglich Verwaltungsdaten zu verwenden, um den Beantwortungsaufwand zu verringern. </w:t>
      </w:r>
    </w:p>
    <w:p w:rsidR="006D1821" w:rsidRPr="00D3304A" w:rsidRDefault="00092FD1" w:rsidP="00AA3A89">
      <w:pPr>
        <w:rPr>
          <w:noProof/>
        </w:rPr>
      </w:pPr>
      <w:r w:rsidRPr="00D3304A">
        <w:rPr>
          <w:noProof/>
        </w:rPr>
        <w:t>Ist eine Erstellung von Statistiken, die den in Artikel </w:t>
      </w:r>
      <w:r w:rsidRPr="00C24C00">
        <w:rPr>
          <w:noProof/>
        </w:rPr>
        <w:t>6</w:t>
      </w:r>
      <w:r w:rsidRPr="00D3304A">
        <w:rPr>
          <w:noProof/>
        </w:rPr>
        <w:t xml:space="preserve"> dieser Verordnung festgelegten Qualitätsanforderungen entsprechen, auf der Grundlage von Verwaltungsdaten nicht möglich, so können die Mitgliedstaaten zusätzlich andere einschlägige Datenquellen, einschließlich Erhebungen und Daten privater Dateninhaber, sowie wissenschaftlich fundierte, gut dokumentierte und öffentlich zugängliche Methoden oder innovative Ansätze verwenden, wobei ein übermäßiger Aufwand für die Auskunftgebenden zu vermeiden ist.</w:t>
      </w:r>
    </w:p>
    <w:bookmarkEnd w:id="6"/>
    <w:p w:rsidR="00AA3A89" w:rsidRPr="00D3304A" w:rsidRDefault="00AA3A89" w:rsidP="007E471F">
      <w:pPr>
        <w:pStyle w:val="Titrearticle"/>
        <w:rPr>
          <w:noProof/>
        </w:rPr>
      </w:pPr>
      <w:r w:rsidRPr="00D3304A">
        <w:rPr>
          <w:noProof/>
        </w:rPr>
        <w:t>Artikel </w:t>
      </w:r>
      <w:r w:rsidRPr="00C24C00">
        <w:rPr>
          <w:noProof/>
        </w:rPr>
        <w:t>4</w:t>
      </w:r>
      <w:r w:rsidRPr="00D3304A">
        <w:rPr>
          <w:noProof/>
        </w:rPr>
        <w:br/>
        <w:t>Zugang zu Daten</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Die für die Erstellung nichtfinanzieller Statistiken zu Gewerbeimmobilien erforderlichen Informationen werden bei statistischen Einheiten gemäß der Verordnung (EWG) Nr. </w:t>
      </w:r>
      <w:r w:rsidR="00AA3A89" w:rsidRPr="00C24C00">
        <w:rPr>
          <w:noProof/>
        </w:rPr>
        <w:t>696</w:t>
      </w:r>
      <w:r w:rsidR="00AA3A89" w:rsidRPr="00D3304A">
        <w:rPr>
          <w:noProof/>
        </w:rPr>
        <w:t>/</w:t>
      </w:r>
      <w:r w:rsidR="00AA3A89" w:rsidRPr="00C24C00">
        <w:rPr>
          <w:noProof/>
        </w:rPr>
        <w:t>93</w:t>
      </w:r>
      <w:r w:rsidR="00AA3A89" w:rsidRPr="00D3304A">
        <w:rPr>
          <w:noProof/>
        </w:rPr>
        <w:t xml:space="preserve"> des Rates, den Inhabern von Verwaltungsunterlagen, privaten Dateninhabern oder anderen Quellen eingeholt, sofern die Ergebnisse den Qualitätskriterien des Artikels </w:t>
      </w:r>
      <w:r w:rsidR="00AA3A89" w:rsidRPr="00C24C00">
        <w:rPr>
          <w:noProof/>
        </w:rPr>
        <w:t>6</w:t>
      </w:r>
      <w:r w:rsidR="00AA3A89" w:rsidRPr="00D3304A">
        <w:rPr>
          <w:noProof/>
        </w:rPr>
        <w:t xml:space="preserve"> der vorliegenden Verordnung entsprechen.</w:t>
      </w:r>
    </w:p>
    <w:p w:rsidR="00AA3A89" w:rsidRPr="00D3304A" w:rsidRDefault="00944685" w:rsidP="00944685">
      <w:pPr>
        <w:pStyle w:val="Point1"/>
        <w:rPr>
          <w:noProof/>
        </w:rPr>
      </w:pPr>
      <w:r w:rsidRPr="00944685">
        <w:rPr>
          <w:noProof/>
        </w:rPr>
        <w:t>(2)</w:t>
      </w:r>
      <w:r w:rsidRPr="00944685">
        <w:rPr>
          <w:noProof/>
        </w:rPr>
        <w:tab/>
      </w:r>
      <w:r w:rsidR="00AA3A89" w:rsidRPr="00D3304A">
        <w:rPr>
          <w:noProof/>
        </w:rPr>
        <w:t>Die statistischen Einheiten, die Informationen über Gewerbeimmobilien bereitstellen, arbeiten bedarfsgerecht an der Erhebung oder Bereitstellung von Informationen mit. Die statistischen Einheiten stellen die für die Erstellung der in der vorliegenden Verordnung vorgesehenen Statistiken erforderlichen Informationen rechtzeitig, wahrheitsgemäß und vollständig zur Verfügung. Die statistischen Einheiten übermitteln diese Informationen den nationalen statistischen Ämtern, die für die Erstellung nichtfinanzieller Statistiken zu Gewerbeimmobilien zuständig sind.</w:t>
      </w:r>
    </w:p>
    <w:p w:rsidR="00AA3A89" w:rsidRPr="00D3304A" w:rsidRDefault="00944685" w:rsidP="00944685">
      <w:pPr>
        <w:pStyle w:val="Point1"/>
        <w:rPr>
          <w:noProof/>
        </w:rPr>
      </w:pPr>
      <w:r w:rsidRPr="00944685">
        <w:rPr>
          <w:noProof/>
        </w:rPr>
        <w:t>(3)</w:t>
      </w:r>
      <w:r w:rsidRPr="00944685">
        <w:rPr>
          <w:noProof/>
        </w:rPr>
        <w:tab/>
      </w:r>
      <w:r w:rsidR="00AA3A89" w:rsidRPr="00D3304A">
        <w:rPr>
          <w:noProof/>
        </w:rPr>
        <w:t>Auf Verlangen der nationalen statistischen Ämter, die für die Erstellung der nichtfinanziellen Statistiken zu Gewerbeimmobilien zuständig sind, übermitteln die statistischen Einheiten soweit verfügbar elektronische Aufzeichnungen von Transaktionen mit der Gliederungstiefe, die erforderlich ist, um nichtfinanzielle Statistiken zu Gewerbeimmobilien zu erstellen.</w:t>
      </w:r>
    </w:p>
    <w:p w:rsidR="001C4806" w:rsidRPr="00D3304A" w:rsidRDefault="00944685" w:rsidP="00944685">
      <w:pPr>
        <w:pStyle w:val="Point1"/>
        <w:rPr>
          <w:noProof/>
        </w:rPr>
      </w:pPr>
      <w:r w:rsidRPr="00944685">
        <w:rPr>
          <w:noProof/>
        </w:rPr>
        <w:t>(4)</w:t>
      </w:r>
      <w:r w:rsidRPr="00944685">
        <w:rPr>
          <w:noProof/>
        </w:rPr>
        <w:tab/>
      </w:r>
      <w:r w:rsidR="00933479" w:rsidRPr="00D3304A">
        <w:rPr>
          <w:noProof/>
        </w:rPr>
        <w:t>Die NSÄ und andere nationale statistische Stellen dürfen im Einklang mit Artikel </w:t>
      </w:r>
      <w:r w:rsidR="00933479" w:rsidRPr="00C24C00">
        <w:rPr>
          <w:noProof/>
        </w:rPr>
        <w:t>17</w:t>
      </w:r>
      <w:r w:rsidR="00933479" w:rsidRPr="00D3304A">
        <w:rPr>
          <w:noProof/>
        </w:rPr>
        <w:t>a der Verordnung (EG) Nr. </w:t>
      </w:r>
      <w:r w:rsidR="00933479" w:rsidRPr="00C24C00">
        <w:rPr>
          <w:noProof/>
        </w:rPr>
        <w:t>223</w:t>
      </w:r>
      <w:r w:rsidR="00933479" w:rsidRPr="00D3304A">
        <w:rPr>
          <w:noProof/>
        </w:rPr>
        <w:t>/</w:t>
      </w:r>
      <w:r w:rsidR="00933479" w:rsidRPr="00C24C00">
        <w:rPr>
          <w:noProof/>
        </w:rPr>
        <w:t>2009</w:t>
      </w:r>
      <w:r w:rsidR="00933479" w:rsidRPr="00D3304A">
        <w:rPr>
          <w:noProof/>
        </w:rPr>
        <w:t xml:space="preserve"> kostenlos auf Daten und entsprechende Metadaten aus administrativen Datenquellen, Datenbanken, Interoperabilitätssystemen oder alle relevanten und erforderlichen Daten zugreifen, diese verwenden und integrieren, und zwar rechtzeitig und hinreichend häufig sowie mit hinreichender Detailgenauigkeit, um europäische nichtfinanzielle Statistiken zu Gewerbeimmobilien zu entwickeln, zu erstellen und zu verbreiten. Der Zugang zu diesen Daten und Metadaten durch die nationalen statistischen Ämter, die für die Erstellung nichtfinanzieller Statistiken zu Gewerbeimmobilien zuständig sind, ist auf Verwaltungsunterlagen innerhalb ihrer jeweiligen öffentlichen Verwaltungssysteme beschränkt.</w:t>
      </w:r>
    </w:p>
    <w:p w:rsidR="00AA3A89" w:rsidRPr="00D3304A" w:rsidRDefault="00944685" w:rsidP="00944685">
      <w:pPr>
        <w:pStyle w:val="Point1"/>
        <w:rPr>
          <w:noProof/>
        </w:rPr>
      </w:pPr>
      <w:r w:rsidRPr="00944685">
        <w:rPr>
          <w:noProof/>
        </w:rPr>
        <w:t>(5)</w:t>
      </w:r>
      <w:r w:rsidRPr="00944685">
        <w:rPr>
          <w:noProof/>
        </w:rPr>
        <w:tab/>
      </w:r>
      <w:r w:rsidR="00AA3A89" w:rsidRPr="00D3304A">
        <w:rPr>
          <w:noProof/>
        </w:rPr>
        <w:t>Gemäß Artikel </w:t>
      </w:r>
      <w:r w:rsidR="00AA3A89" w:rsidRPr="00C24C00">
        <w:rPr>
          <w:noProof/>
        </w:rPr>
        <w:t>17</w:t>
      </w:r>
      <w:r w:rsidR="00AA3A89" w:rsidRPr="00D3304A">
        <w:rPr>
          <w:noProof/>
        </w:rPr>
        <w:t>b der Verordnung (EG) Nr. </w:t>
      </w:r>
      <w:r w:rsidR="00AA3A89" w:rsidRPr="00C24C00">
        <w:rPr>
          <w:noProof/>
        </w:rPr>
        <w:t>223</w:t>
      </w:r>
      <w:r w:rsidR="00AA3A89" w:rsidRPr="00D3304A">
        <w:rPr>
          <w:noProof/>
        </w:rPr>
        <w:t>/</w:t>
      </w:r>
      <w:r w:rsidR="00AA3A89" w:rsidRPr="00C24C00">
        <w:rPr>
          <w:noProof/>
        </w:rPr>
        <w:t>2009</w:t>
      </w:r>
      <w:r w:rsidR="00AA3A89" w:rsidRPr="00D3304A">
        <w:rPr>
          <w:noProof/>
        </w:rPr>
        <w:t xml:space="preserve"> kann ein NSA oder die Kommission (Eurostat) von einem privaten Dateninhaber verlangen, Daten und die entsprechenden Metadaten kostenlos zur Verfügung zu stellen, wenn die angeforderten Daten für die Entwicklung, Erstellung und Verbreitung europäischer Statistiken zu Gewerbeimmobilien unbedingt erforderlich sind und nicht ohne Weiteres auf anderem Wege beschafft werden können oder ihre Weiterverwendung eine erhebliche Verringerung des Beantwortungsaufwands der Dateninhaber und anderer Unternehmen zur Folge hat.</w:t>
      </w:r>
    </w:p>
    <w:p w:rsidR="00AA3A89" w:rsidRPr="00D3304A" w:rsidRDefault="00AA3A89" w:rsidP="007E471F">
      <w:pPr>
        <w:pStyle w:val="Titrearticle"/>
        <w:rPr>
          <w:noProof/>
        </w:rPr>
      </w:pPr>
      <w:r w:rsidRPr="00D3304A">
        <w:rPr>
          <w:noProof/>
        </w:rPr>
        <w:t>Artikel </w:t>
      </w:r>
      <w:r w:rsidRPr="00C24C00">
        <w:rPr>
          <w:noProof/>
        </w:rPr>
        <w:t>5</w:t>
      </w:r>
      <w:r w:rsidRPr="00D3304A">
        <w:rPr>
          <w:noProof/>
        </w:rPr>
        <w:br/>
        <w:t>Datenanforderungen</w:t>
      </w:r>
    </w:p>
    <w:p w:rsidR="00F732AD" w:rsidRPr="00D3304A" w:rsidRDefault="00944685" w:rsidP="00944685">
      <w:pPr>
        <w:pStyle w:val="Point1"/>
        <w:rPr>
          <w:noProof/>
        </w:rPr>
      </w:pPr>
      <w:r w:rsidRPr="00944685">
        <w:rPr>
          <w:noProof/>
        </w:rPr>
        <w:t>(1)</w:t>
      </w:r>
      <w:r w:rsidRPr="00944685">
        <w:rPr>
          <w:noProof/>
        </w:rPr>
        <w:tab/>
      </w:r>
      <w:r w:rsidR="00607F3F" w:rsidRPr="00D3304A">
        <w:rPr>
          <w:noProof/>
        </w:rPr>
        <w:t>Nichtfinanzielle Statistiken zu Gewerbeimmobilien decken die im Anhang aufgeführten Variablen ab.</w:t>
      </w:r>
    </w:p>
    <w:p w:rsidR="00FC27F2" w:rsidRPr="00D3304A" w:rsidRDefault="00944685" w:rsidP="00944685">
      <w:pPr>
        <w:pStyle w:val="Point1"/>
        <w:rPr>
          <w:noProof/>
        </w:rPr>
      </w:pPr>
      <w:r w:rsidRPr="00944685">
        <w:rPr>
          <w:noProof/>
        </w:rPr>
        <w:t>(2)</w:t>
      </w:r>
      <w:r w:rsidRPr="00944685">
        <w:rPr>
          <w:noProof/>
        </w:rPr>
        <w:tab/>
      </w:r>
      <w:r w:rsidR="00FC27F2" w:rsidRPr="00D3304A">
        <w:rPr>
          <w:noProof/>
        </w:rPr>
        <w:t>Mitgliedstaaten erstellen einschlägige Daten zu jeder der in Absatz </w:t>
      </w:r>
      <w:r w:rsidR="00FC27F2" w:rsidRPr="00C24C00">
        <w:rPr>
          <w:noProof/>
        </w:rPr>
        <w:t>1</w:t>
      </w:r>
      <w:r w:rsidR="00FC27F2" w:rsidRPr="00D3304A">
        <w:rPr>
          <w:noProof/>
        </w:rPr>
        <w:t xml:space="preserve"> genannten Variablen und übermitteln sie der Kommission (Eurostat).</w:t>
      </w:r>
    </w:p>
    <w:p w:rsidR="00AA3A89" w:rsidRPr="00D3304A" w:rsidRDefault="00944685" w:rsidP="00944685">
      <w:pPr>
        <w:pStyle w:val="Point1"/>
        <w:rPr>
          <w:noProof/>
        </w:rPr>
      </w:pPr>
      <w:r w:rsidRPr="00944685">
        <w:rPr>
          <w:noProof/>
        </w:rPr>
        <w:t>(3)</w:t>
      </w:r>
      <w:r w:rsidRPr="00944685">
        <w:rPr>
          <w:noProof/>
        </w:rPr>
        <w:tab/>
      </w:r>
      <w:r w:rsidR="00AA3A89" w:rsidRPr="00D3304A">
        <w:rPr>
          <w:noProof/>
        </w:rPr>
        <w:t>Der Kommission wird die Befugnis übertragen, delegierte Rechtsakte gemäß Artikel </w:t>
      </w:r>
      <w:r w:rsidR="00AA3A89" w:rsidRPr="00C24C00">
        <w:rPr>
          <w:noProof/>
        </w:rPr>
        <w:t>9</w:t>
      </w:r>
      <w:r w:rsidR="00AA3A89" w:rsidRPr="00D3304A">
        <w:rPr>
          <w:noProof/>
        </w:rPr>
        <w:t xml:space="preserve"> zur Änderung der im Anhang aufgeführten Liste der Variablen zu erlassen.</w:t>
      </w:r>
    </w:p>
    <w:p w:rsidR="00AA3A89" w:rsidRPr="00D3304A" w:rsidRDefault="00944685" w:rsidP="00944685">
      <w:pPr>
        <w:pStyle w:val="Point1"/>
        <w:rPr>
          <w:noProof/>
        </w:rPr>
      </w:pPr>
      <w:r w:rsidRPr="00944685">
        <w:rPr>
          <w:noProof/>
        </w:rPr>
        <w:t>(4)</w:t>
      </w:r>
      <w:r w:rsidRPr="00944685">
        <w:rPr>
          <w:noProof/>
        </w:rPr>
        <w:tab/>
      </w:r>
      <w:r w:rsidR="00AA3A89" w:rsidRPr="00D3304A">
        <w:rPr>
          <w:noProof/>
        </w:rPr>
        <w:t>Die Kommission kann mittels Durchführungsrechtsakten die folgenden Elemente für die gemäß dieser Verordnung zu übermittelnden Daten, ihre technischen Definitionen und Vereinfachungen genauer festlegen:</w:t>
      </w:r>
    </w:p>
    <w:p w:rsidR="00AA3A89" w:rsidRPr="00D3304A" w:rsidRDefault="003C2496" w:rsidP="003C2496">
      <w:pPr>
        <w:pStyle w:val="Point0"/>
        <w:rPr>
          <w:noProof/>
        </w:rPr>
      </w:pPr>
      <w:r w:rsidRPr="00D3304A">
        <w:rPr>
          <w:noProof/>
        </w:rPr>
        <w:t>a)</w:t>
      </w:r>
      <w:r w:rsidRPr="00D3304A">
        <w:rPr>
          <w:noProof/>
        </w:rPr>
        <w:tab/>
      </w:r>
      <w:r w:rsidR="00AA3A89" w:rsidRPr="00D3304A">
        <w:rPr>
          <w:noProof/>
        </w:rPr>
        <w:t>Maßeinheit</w:t>
      </w:r>
    </w:p>
    <w:p w:rsidR="00AA3A89" w:rsidRPr="00D3304A" w:rsidRDefault="003C2496" w:rsidP="003C2496">
      <w:pPr>
        <w:pStyle w:val="Point0"/>
        <w:rPr>
          <w:noProof/>
        </w:rPr>
      </w:pPr>
      <w:r w:rsidRPr="00D3304A">
        <w:rPr>
          <w:noProof/>
        </w:rPr>
        <w:t>b)</w:t>
      </w:r>
      <w:r w:rsidRPr="00D3304A">
        <w:rPr>
          <w:noProof/>
        </w:rPr>
        <w:tab/>
      </w:r>
      <w:r w:rsidR="00AA3A89" w:rsidRPr="00D3304A">
        <w:rPr>
          <w:noProof/>
        </w:rPr>
        <w:t>statistische Grundgesamtheit</w:t>
      </w:r>
    </w:p>
    <w:p w:rsidR="00AA3A89" w:rsidRPr="00D3304A" w:rsidRDefault="003C2496" w:rsidP="003C2496">
      <w:pPr>
        <w:pStyle w:val="Point0"/>
        <w:rPr>
          <w:noProof/>
        </w:rPr>
      </w:pPr>
      <w:r w:rsidRPr="00D3304A">
        <w:rPr>
          <w:noProof/>
        </w:rPr>
        <w:t>c)</w:t>
      </w:r>
      <w:r w:rsidRPr="00D3304A">
        <w:rPr>
          <w:noProof/>
        </w:rPr>
        <w:tab/>
      </w:r>
      <w:r w:rsidR="00AA3A89" w:rsidRPr="00D3304A">
        <w:rPr>
          <w:noProof/>
        </w:rPr>
        <w:t>Klassifikationen und Aufgliederungen</w:t>
      </w:r>
    </w:p>
    <w:p w:rsidR="00AA3A89" w:rsidRPr="00D3304A" w:rsidRDefault="003C2496" w:rsidP="003C2496">
      <w:pPr>
        <w:pStyle w:val="Point0"/>
        <w:rPr>
          <w:noProof/>
        </w:rPr>
      </w:pPr>
      <w:r w:rsidRPr="00D3304A">
        <w:rPr>
          <w:noProof/>
        </w:rPr>
        <w:t>d)</w:t>
      </w:r>
      <w:r w:rsidRPr="00D3304A">
        <w:rPr>
          <w:noProof/>
        </w:rPr>
        <w:tab/>
      </w:r>
      <w:r w:rsidR="00AA3A89" w:rsidRPr="00D3304A">
        <w:rPr>
          <w:noProof/>
        </w:rPr>
        <w:t>Indexerstellung</w:t>
      </w:r>
    </w:p>
    <w:p w:rsidR="00AA3A89" w:rsidRPr="00D3304A" w:rsidRDefault="003C2496" w:rsidP="003C2496">
      <w:pPr>
        <w:pStyle w:val="Point0"/>
        <w:rPr>
          <w:noProof/>
        </w:rPr>
      </w:pPr>
      <w:r w:rsidRPr="00D3304A">
        <w:rPr>
          <w:noProof/>
        </w:rPr>
        <w:t>e)</w:t>
      </w:r>
      <w:r w:rsidRPr="00D3304A">
        <w:rPr>
          <w:noProof/>
        </w:rPr>
        <w:tab/>
      </w:r>
      <w:r w:rsidR="00AA3A89" w:rsidRPr="00D3304A">
        <w:rPr>
          <w:noProof/>
        </w:rPr>
        <w:t>Nutzung von Näherungsverfahren und Qualitätsanforderungen</w:t>
      </w:r>
    </w:p>
    <w:p w:rsidR="00AA3A89" w:rsidRPr="00D3304A" w:rsidRDefault="003C2496" w:rsidP="003C2496">
      <w:pPr>
        <w:pStyle w:val="Point0"/>
        <w:rPr>
          <w:noProof/>
        </w:rPr>
      </w:pPr>
      <w:r w:rsidRPr="00D3304A">
        <w:rPr>
          <w:noProof/>
        </w:rPr>
        <w:t>f)</w:t>
      </w:r>
      <w:r w:rsidRPr="00D3304A">
        <w:rPr>
          <w:noProof/>
        </w:rPr>
        <w:tab/>
      </w:r>
      <w:r w:rsidR="00AA3A89" w:rsidRPr="00D3304A">
        <w:rPr>
          <w:noProof/>
        </w:rPr>
        <w:t>Bezugszeitraum</w:t>
      </w:r>
    </w:p>
    <w:p w:rsidR="00AA3A89" w:rsidRPr="00D3304A" w:rsidRDefault="003C2496" w:rsidP="003C2496">
      <w:pPr>
        <w:pStyle w:val="Point0"/>
        <w:rPr>
          <w:noProof/>
        </w:rPr>
      </w:pPr>
      <w:r w:rsidRPr="00D3304A">
        <w:rPr>
          <w:noProof/>
        </w:rPr>
        <w:t>g)</w:t>
      </w:r>
      <w:r w:rsidRPr="00D3304A">
        <w:rPr>
          <w:noProof/>
        </w:rPr>
        <w:tab/>
      </w:r>
      <w:r w:rsidR="00AA3A89" w:rsidRPr="00D3304A">
        <w:rPr>
          <w:noProof/>
        </w:rPr>
        <w:t xml:space="preserve">Datenübermittlungsfrist </w:t>
      </w:r>
    </w:p>
    <w:p w:rsidR="00AA3A89" w:rsidRPr="00D3304A" w:rsidRDefault="003C2496" w:rsidP="003C2496">
      <w:pPr>
        <w:pStyle w:val="Point0"/>
        <w:rPr>
          <w:noProof/>
        </w:rPr>
      </w:pPr>
      <w:r w:rsidRPr="00D3304A">
        <w:rPr>
          <w:noProof/>
        </w:rPr>
        <w:t>h)</w:t>
      </w:r>
      <w:r w:rsidRPr="00D3304A">
        <w:rPr>
          <w:noProof/>
        </w:rPr>
        <w:tab/>
      </w:r>
      <w:r w:rsidR="00AA3A89" w:rsidRPr="00D3304A">
        <w:rPr>
          <w:noProof/>
        </w:rPr>
        <w:t>erster Bezugszeitraum</w:t>
      </w:r>
    </w:p>
    <w:p w:rsidR="00AA3A89" w:rsidRPr="00D3304A" w:rsidRDefault="00944685" w:rsidP="00944685">
      <w:pPr>
        <w:pStyle w:val="Point1"/>
        <w:rPr>
          <w:noProof/>
        </w:rPr>
      </w:pPr>
      <w:r w:rsidRPr="00944685">
        <w:rPr>
          <w:noProof/>
        </w:rPr>
        <w:t>(5)</w:t>
      </w:r>
      <w:r w:rsidRPr="00944685">
        <w:rPr>
          <w:noProof/>
        </w:rPr>
        <w:tab/>
      </w:r>
      <w:r w:rsidR="00C16A85" w:rsidRPr="00D3304A">
        <w:rPr>
          <w:noProof/>
        </w:rPr>
        <w:t>In Bezug auf Vereinfachungen berücksichtigt die Kommission bei der Ausübung der Befugnis zum Erlass von Durchführungsrechtsakten gemäß Absatz </w:t>
      </w:r>
      <w:r w:rsidR="00C16A85" w:rsidRPr="00C24C00">
        <w:rPr>
          <w:noProof/>
        </w:rPr>
        <w:t>4</w:t>
      </w:r>
      <w:r w:rsidR="00C16A85" w:rsidRPr="00D3304A">
        <w:rPr>
          <w:noProof/>
        </w:rPr>
        <w:t xml:space="preserve"> im Einklang mit dem Grundsatz der Verhältnismäßigkeit die Größe der Gewerbeimmobilienmärkte.</w:t>
      </w:r>
    </w:p>
    <w:p w:rsidR="00AA3A89" w:rsidRPr="00D3304A" w:rsidRDefault="00944685" w:rsidP="00944685">
      <w:pPr>
        <w:pStyle w:val="Point1"/>
        <w:rPr>
          <w:noProof/>
        </w:rPr>
      </w:pPr>
      <w:r w:rsidRPr="00944685">
        <w:rPr>
          <w:noProof/>
        </w:rPr>
        <w:t>(6)</w:t>
      </w:r>
      <w:r w:rsidRPr="00944685">
        <w:rPr>
          <w:noProof/>
        </w:rPr>
        <w:tab/>
      </w:r>
      <w:r w:rsidR="00AA3A89" w:rsidRPr="00D3304A">
        <w:rPr>
          <w:noProof/>
        </w:rPr>
        <w:t>Die in Absatz </w:t>
      </w:r>
      <w:r w:rsidR="00AA3A89" w:rsidRPr="00C24C00">
        <w:rPr>
          <w:noProof/>
        </w:rPr>
        <w:t>4</w:t>
      </w:r>
      <w:r w:rsidR="00AA3A89" w:rsidRPr="00D3304A">
        <w:rPr>
          <w:noProof/>
        </w:rPr>
        <w:t xml:space="preserve"> genannten Durchführungsrechtsakte werden nach dem in Artikel </w:t>
      </w:r>
      <w:r w:rsidR="00AA3A89" w:rsidRPr="00C24C00">
        <w:rPr>
          <w:noProof/>
        </w:rPr>
        <w:t>10</w:t>
      </w:r>
      <w:r w:rsidR="00AA3A89" w:rsidRPr="00D3304A">
        <w:rPr>
          <w:noProof/>
        </w:rPr>
        <w:t xml:space="preserve"> genannten Prüfverfahren erlassen.</w:t>
      </w:r>
    </w:p>
    <w:p w:rsidR="00AA3A89" w:rsidRPr="00D3304A" w:rsidRDefault="00AA3A89" w:rsidP="007E471F">
      <w:pPr>
        <w:pStyle w:val="Titrearticle"/>
        <w:rPr>
          <w:noProof/>
        </w:rPr>
      </w:pPr>
      <w:r w:rsidRPr="00D3304A">
        <w:rPr>
          <w:noProof/>
        </w:rPr>
        <w:t>Artikel </w:t>
      </w:r>
      <w:r w:rsidRPr="00C24C00">
        <w:rPr>
          <w:noProof/>
        </w:rPr>
        <w:t>6</w:t>
      </w:r>
      <w:r w:rsidRPr="00D3304A">
        <w:rPr>
          <w:noProof/>
        </w:rPr>
        <w:br/>
        <w:t>Qualitätsanforderungen und Qualitätsberichterstattung</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 xml:space="preserve">Die Mitgliedstaaten ergreifen alle erforderlichen Maßnahmen, um die Qualität der nichtfinanziellen Statistiken zu Gewerbeimmobilien und der übermittelten dazugehörigen Metadaten zu gewährleisten. </w:t>
      </w:r>
    </w:p>
    <w:p w:rsidR="00AA3A89" w:rsidRPr="00D3304A" w:rsidRDefault="00944685" w:rsidP="00944685">
      <w:pPr>
        <w:pStyle w:val="Point1"/>
        <w:rPr>
          <w:noProof/>
        </w:rPr>
      </w:pPr>
      <w:r w:rsidRPr="00944685">
        <w:rPr>
          <w:noProof/>
        </w:rPr>
        <w:t>(2)</w:t>
      </w:r>
      <w:r w:rsidRPr="00944685">
        <w:rPr>
          <w:noProof/>
        </w:rPr>
        <w:tab/>
      </w:r>
      <w:r w:rsidR="00AA3A89" w:rsidRPr="00D3304A">
        <w:rPr>
          <w:noProof/>
        </w:rPr>
        <w:t>Für die Zwecke dieser Verordnung gelten die in Artikel </w:t>
      </w:r>
      <w:r w:rsidR="00AA3A89" w:rsidRPr="00C24C00">
        <w:rPr>
          <w:noProof/>
        </w:rPr>
        <w:t>12</w:t>
      </w:r>
      <w:r w:rsidR="00AA3A89" w:rsidRPr="00D3304A">
        <w:rPr>
          <w:noProof/>
        </w:rPr>
        <w:t xml:space="preserve"> Absatz </w:t>
      </w:r>
      <w:r w:rsidR="00AA3A89" w:rsidRPr="00C24C00">
        <w:rPr>
          <w:noProof/>
        </w:rPr>
        <w:t>1</w:t>
      </w:r>
      <w:r w:rsidR="00AA3A89" w:rsidRPr="00D3304A">
        <w:rPr>
          <w:noProof/>
        </w:rPr>
        <w:t xml:space="preserve"> der Verordnung (EG) Nr. </w:t>
      </w:r>
      <w:r w:rsidR="00AA3A89" w:rsidRPr="00C24C00">
        <w:rPr>
          <w:noProof/>
        </w:rPr>
        <w:t>223</w:t>
      </w:r>
      <w:r w:rsidR="00AA3A89" w:rsidRPr="00D3304A">
        <w:rPr>
          <w:noProof/>
        </w:rPr>
        <w:t>/</w:t>
      </w:r>
      <w:r w:rsidR="00AA3A89" w:rsidRPr="00C24C00">
        <w:rPr>
          <w:noProof/>
        </w:rPr>
        <w:t>2009</w:t>
      </w:r>
      <w:r w:rsidR="00AA3A89" w:rsidRPr="00D3304A">
        <w:rPr>
          <w:noProof/>
        </w:rPr>
        <w:t xml:space="preserve"> festgelegten Qualitätskriterien.</w:t>
      </w:r>
    </w:p>
    <w:p w:rsidR="00AA3A89" w:rsidRPr="00D3304A" w:rsidRDefault="00944685" w:rsidP="00944685">
      <w:pPr>
        <w:pStyle w:val="Point1"/>
        <w:rPr>
          <w:noProof/>
        </w:rPr>
      </w:pPr>
      <w:r w:rsidRPr="00944685">
        <w:rPr>
          <w:noProof/>
        </w:rPr>
        <w:t>(3)</w:t>
      </w:r>
      <w:r w:rsidRPr="00944685">
        <w:rPr>
          <w:noProof/>
        </w:rPr>
        <w:tab/>
      </w:r>
      <w:r w:rsidR="00AA3A89" w:rsidRPr="00D3304A">
        <w:rPr>
          <w:noProof/>
        </w:rPr>
        <w:t>Die Kommission (Eurostat) bewertet die Qualität der von den Mitgliedstaten übermittelten Daten und Metadaten.</w:t>
      </w:r>
    </w:p>
    <w:p w:rsidR="00AA3A89" w:rsidRPr="00D3304A" w:rsidRDefault="00944685" w:rsidP="00944685">
      <w:pPr>
        <w:pStyle w:val="Point1"/>
        <w:rPr>
          <w:noProof/>
        </w:rPr>
      </w:pPr>
      <w:r w:rsidRPr="00944685">
        <w:rPr>
          <w:noProof/>
        </w:rPr>
        <w:t>(4)</w:t>
      </w:r>
      <w:r w:rsidRPr="00944685">
        <w:rPr>
          <w:noProof/>
        </w:rPr>
        <w:tab/>
      </w:r>
      <w:r w:rsidR="00735B90" w:rsidRPr="00D3304A">
        <w:rPr>
          <w:noProof/>
        </w:rPr>
        <w:t>Die Mitgliedstaaten übermitteln der Kommission (Eurostat) folgende Informationen:</w:t>
      </w:r>
    </w:p>
    <w:p w:rsidR="00AA3A89" w:rsidRPr="00D3304A" w:rsidRDefault="003C2496" w:rsidP="003C2496">
      <w:pPr>
        <w:pStyle w:val="Point0"/>
        <w:rPr>
          <w:noProof/>
        </w:rPr>
      </w:pPr>
      <w:r w:rsidRPr="00D3304A">
        <w:rPr>
          <w:noProof/>
        </w:rPr>
        <w:t>a)</w:t>
      </w:r>
      <w:r w:rsidRPr="00D3304A">
        <w:rPr>
          <w:noProof/>
        </w:rPr>
        <w:tab/>
      </w:r>
      <w:r w:rsidR="00E92DA4" w:rsidRPr="00D3304A">
        <w:rPr>
          <w:noProof/>
        </w:rPr>
        <w:t>jährliche Referenz-Metadaten und Qualitätsberichte und</w:t>
      </w:r>
    </w:p>
    <w:p w:rsidR="00AA3A89" w:rsidRPr="00D3304A" w:rsidRDefault="003C2496" w:rsidP="003C2496">
      <w:pPr>
        <w:pStyle w:val="Point0"/>
        <w:rPr>
          <w:noProof/>
        </w:rPr>
      </w:pPr>
      <w:r w:rsidRPr="00D3304A">
        <w:rPr>
          <w:noProof/>
        </w:rPr>
        <w:t>b)</w:t>
      </w:r>
      <w:r w:rsidRPr="00D3304A">
        <w:rPr>
          <w:noProof/>
        </w:rPr>
        <w:tab/>
      </w:r>
      <w:r w:rsidR="00AA3A89" w:rsidRPr="00D3304A">
        <w:rPr>
          <w:noProof/>
        </w:rPr>
        <w:t>jährlich aktualisierte Verzeichnisse, die Einzelangaben über die verwendeten Datenquellen, Definitionen und Methoden enthalten.</w:t>
      </w:r>
    </w:p>
    <w:p w:rsidR="00AA3A89" w:rsidRPr="00D3304A" w:rsidRDefault="00944685" w:rsidP="00944685">
      <w:pPr>
        <w:pStyle w:val="Point1"/>
        <w:rPr>
          <w:noProof/>
        </w:rPr>
      </w:pPr>
      <w:r w:rsidRPr="00944685">
        <w:rPr>
          <w:noProof/>
        </w:rPr>
        <w:t>(5)</w:t>
      </w:r>
      <w:r w:rsidRPr="00944685">
        <w:rPr>
          <w:noProof/>
        </w:rPr>
        <w:tab/>
      </w:r>
      <w:r w:rsidR="00AA3A89" w:rsidRPr="00D3304A">
        <w:rPr>
          <w:noProof/>
        </w:rPr>
        <w:t>Die Kommission kann Durchführungsrechtsakte zur genaueren Festlegung der praktischen Modalitäten hinsichtlich der Übermittlung der Daten, des Inhalts der Referenz-Metadaten und Qualitätsberichte sowie der Fristen für deren Übermittlung und der Übermittlung der in Absatz </w:t>
      </w:r>
      <w:r w:rsidR="00AA3A89" w:rsidRPr="00C24C00">
        <w:rPr>
          <w:noProof/>
        </w:rPr>
        <w:t>4</w:t>
      </w:r>
      <w:r w:rsidR="00AA3A89" w:rsidRPr="00D3304A">
        <w:rPr>
          <w:noProof/>
        </w:rPr>
        <w:t xml:space="preserve"> genannten Verzeichnisse erlassen. Diese Durchführungsrechtsakte werden gemäß dem in Artikel </w:t>
      </w:r>
      <w:r w:rsidR="00AA3A89" w:rsidRPr="00C24C00">
        <w:rPr>
          <w:noProof/>
        </w:rPr>
        <w:t>10</w:t>
      </w:r>
      <w:r w:rsidR="00AA3A89" w:rsidRPr="00D3304A">
        <w:rPr>
          <w:noProof/>
        </w:rPr>
        <w:t xml:space="preserve"> genannten Prüfverfahren erlassen. </w:t>
      </w:r>
    </w:p>
    <w:p w:rsidR="00AA3A89" w:rsidRPr="00D3304A" w:rsidRDefault="00944685" w:rsidP="00944685">
      <w:pPr>
        <w:pStyle w:val="Point1"/>
        <w:rPr>
          <w:noProof/>
        </w:rPr>
      </w:pPr>
      <w:r w:rsidRPr="00944685">
        <w:rPr>
          <w:noProof/>
        </w:rPr>
        <w:t>(6)</w:t>
      </w:r>
      <w:r w:rsidRPr="00944685">
        <w:rPr>
          <w:noProof/>
        </w:rPr>
        <w:tab/>
      </w:r>
      <w:r w:rsidR="00457841" w:rsidRPr="00D3304A">
        <w:rPr>
          <w:noProof/>
        </w:rPr>
        <w:t xml:space="preserve">Die Mitgliedstaaten unterrichten die Kommission (Eurostat) über alle Informationen über oder Veränderungen bei der Durchführung dieser Verordnung, die sich auf die Qualität der übermittelten Daten auswirken würden. </w:t>
      </w:r>
    </w:p>
    <w:p w:rsidR="00AA3A89" w:rsidRPr="00D3304A" w:rsidRDefault="00944685" w:rsidP="00944685">
      <w:pPr>
        <w:pStyle w:val="Point1"/>
        <w:rPr>
          <w:noProof/>
        </w:rPr>
      </w:pPr>
      <w:r w:rsidRPr="00944685">
        <w:rPr>
          <w:noProof/>
        </w:rPr>
        <w:t>(7)</w:t>
      </w:r>
      <w:r w:rsidRPr="00944685">
        <w:rPr>
          <w:noProof/>
        </w:rPr>
        <w:tab/>
      </w:r>
      <w:r w:rsidR="00AA3A89" w:rsidRPr="00D3304A">
        <w:rPr>
          <w:noProof/>
        </w:rPr>
        <w:t>Auf hinreichend begründeten Antrag der Kommission (Eurostat) legen die Mitgliedstaaten alle zusätzlichen, für die Bewertung der Qualität der Daten und Metadaten erforderlichen Informationen vor.</w:t>
      </w:r>
    </w:p>
    <w:p w:rsidR="00AA3A89" w:rsidRPr="00D3304A" w:rsidRDefault="00AA3A89" w:rsidP="007E471F">
      <w:pPr>
        <w:pStyle w:val="Titrearticle"/>
        <w:rPr>
          <w:noProof/>
        </w:rPr>
      </w:pPr>
      <w:r w:rsidRPr="00D3304A">
        <w:rPr>
          <w:noProof/>
        </w:rPr>
        <w:t>Artikel </w:t>
      </w:r>
      <w:r w:rsidRPr="00C24C00">
        <w:rPr>
          <w:noProof/>
        </w:rPr>
        <w:t>7</w:t>
      </w:r>
      <w:r w:rsidRPr="00D3304A">
        <w:rPr>
          <w:noProof/>
        </w:rPr>
        <w:br/>
        <w:t>Pilotstudien</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 xml:space="preserve">Ermittelt die Kommission (Eurostat) Bedarf an erheblichen neuen Datenanforderungen oder Verbesserungen an Daten im Anwendungsbereich dieser Verordnung, kann sie vor einer neuen Datenerhebung veranlassen, dass die Mitgliedstaaten auf freiwilliger Basis Pilotstudien durchführen. </w:t>
      </w:r>
    </w:p>
    <w:p w:rsidR="00CD4897" w:rsidRPr="00D3304A" w:rsidRDefault="00944685" w:rsidP="00944685">
      <w:pPr>
        <w:pStyle w:val="Point1"/>
        <w:rPr>
          <w:noProof/>
        </w:rPr>
      </w:pPr>
      <w:r w:rsidRPr="00944685">
        <w:rPr>
          <w:noProof/>
        </w:rPr>
        <w:t>(2)</w:t>
      </w:r>
      <w:r w:rsidRPr="00944685">
        <w:rPr>
          <w:noProof/>
        </w:rPr>
        <w:tab/>
      </w:r>
      <w:r w:rsidR="007A7BFE" w:rsidRPr="00D3304A">
        <w:rPr>
          <w:noProof/>
        </w:rPr>
        <w:t>Die in Absatz </w:t>
      </w:r>
      <w:r w:rsidR="007A7BFE" w:rsidRPr="00C24C00">
        <w:rPr>
          <w:noProof/>
        </w:rPr>
        <w:t>1</w:t>
      </w:r>
      <w:r w:rsidR="007A7BFE" w:rsidRPr="00D3304A">
        <w:rPr>
          <w:noProof/>
        </w:rPr>
        <w:t xml:space="preserve"> genannten Pilotstudien werden durchgeführt, um die Relevanz und die Durchführbarkeit der Erfüllung der neuen Datenanforderungen oder der Verbesserungen zu bewerten. Die Kommission unterbreitet gegebenenfalls und unter Berücksichtigung der Ergebnisse der Pilotstudien Vorschläge für die Einführung neuer Datenanforderungen.</w:t>
      </w:r>
    </w:p>
    <w:p w:rsidR="00AA3A89" w:rsidRPr="00D3304A" w:rsidRDefault="00944685" w:rsidP="00944685">
      <w:pPr>
        <w:pStyle w:val="Point1"/>
        <w:rPr>
          <w:noProof/>
        </w:rPr>
      </w:pPr>
      <w:r w:rsidRPr="00944685">
        <w:rPr>
          <w:noProof/>
        </w:rPr>
        <w:t>(3)</w:t>
      </w:r>
      <w:r w:rsidRPr="00944685">
        <w:rPr>
          <w:noProof/>
        </w:rPr>
        <w:tab/>
      </w:r>
      <w:r w:rsidR="00CD4897" w:rsidRPr="00D3304A">
        <w:rPr>
          <w:noProof/>
        </w:rPr>
        <w:t xml:space="preserve">Die Mitgliedstaaten und die Kommission (Eurostat) gewährleisten die Repräsentativität dieser Studien auf Unionsebene. </w:t>
      </w:r>
    </w:p>
    <w:p w:rsidR="00AA3A89" w:rsidRPr="00D3304A" w:rsidRDefault="00AA3A89" w:rsidP="007E471F">
      <w:pPr>
        <w:pStyle w:val="Titrearticle"/>
        <w:rPr>
          <w:noProof/>
        </w:rPr>
      </w:pPr>
      <w:r w:rsidRPr="00D3304A">
        <w:rPr>
          <w:noProof/>
        </w:rPr>
        <w:t>Artikel </w:t>
      </w:r>
      <w:r w:rsidRPr="00C24C00">
        <w:rPr>
          <w:noProof/>
        </w:rPr>
        <w:t>8</w:t>
      </w:r>
      <w:r w:rsidRPr="00D3304A">
        <w:rPr>
          <w:noProof/>
        </w:rPr>
        <w:br/>
        <w:t>Finanzierung</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Für die Durchführung dieser Verordnung kann den NSÄ und anderen einzelstaatlichen Stellen, die in der Liste gemäß Artikel </w:t>
      </w:r>
      <w:r w:rsidR="00AA3A89" w:rsidRPr="00C24C00">
        <w:rPr>
          <w:noProof/>
        </w:rPr>
        <w:t>5</w:t>
      </w:r>
      <w:r w:rsidR="00AA3A89" w:rsidRPr="00D3304A">
        <w:rPr>
          <w:noProof/>
        </w:rPr>
        <w:t xml:space="preserve"> Absatz </w:t>
      </w:r>
      <w:r w:rsidR="00AA3A89" w:rsidRPr="00C24C00">
        <w:rPr>
          <w:noProof/>
        </w:rPr>
        <w:t>2</w:t>
      </w:r>
      <w:r w:rsidR="00AA3A89" w:rsidRPr="00D3304A">
        <w:rPr>
          <w:noProof/>
        </w:rPr>
        <w:t xml:space="preserve"> der Verordnung (EG) Nr. </w:t>
      </w:r>
      <w:r w:rsidR="00AA3A89" w:rsidRPr="00C24C00">
        <w:rPr>
          <w:noProof/>
        </w:rPr>
        <w:t>223</w:t>
      </w:r>
      <w:r w:rsidR="00AA3A89" w:rsidRPr="00D3304A">
        <w:rPr>
          <w:noProof/>
        </w:rPr>
        <w:t>/</w:t>
      </w:r>
      <w:r w:rsidR="00AA3A89" w:rsidRPr="00C24C00">
        <w:rPr>
          <w:noProof/>
        </w:rPr>
        <w:t>2009</w:t>
      </w:r>
      <w:r w:rsidR="00AA3A89" w:rsidRPr="00D3304A">
        <w:rPr>
          <w:noProof/>
        </w:rPr>
        <w:t xml:space="preserve"> aufgeführt sind, ein Finanzbeitrag aus dem Gesamthaushaltsplan der Union bereitgestellt werden, um die Kosten der folgenden Tätigkeiten zu decken: </w:t>
      </w:r>
    </w:p>
    <w:p w:rsidR="00AA3A89" w:rsidRPr="00D3304A" w:rsidRDefault="003C2496" w:rsidP="003C2496">
      <w:pPr>
        <w:pStyle w:val="Point0"/>
        <w:rPr>
          <w:noProof/>
        </w:rPr>
      </w:pPr>
      <w:r w:rsidRPr="00D3304A">
        <w:rPr>
          <w:noProof/>
        </w:rPr>
        <w:t>a)</w:t>
      </w:r>
      <w:r w:rsidRPr="00D3304A">
        <w:rPr>
          <w:noProof/>
        </w:rPr>
        <w:tab/>
      </w:r>
      <w:r w:rsidR="00E92DA4" w:rsidRPr="00D3304A">
        <w:rPr>
          <w:noProof/>
        </w:rPr>
        <w:t xml:space="preserve">die Entwicklung der in der vorliegenden Verordnung vorgeschriebenen nichtfinanziellen Statistiken zu Gewerbeimmobilien; </w:t>
      </w:r>
    </w:p>
    <w:p w:rsidR="00AA3A89" w:rsidRPr="00D3304A" w:rsidRDefault="003C2496" w:rsidP="003C2496">
      <w:pPr>
        <w:pStyle w:val="Point0"/>
        <w:rPr>
          <w:noProof/>
        </w:rPr>
      </w:pPr>
      <w:r w:rsidRPr="00D3304A">
        <w:rPr>
          <w:noProof/>
        </w:rPr>
        <w:t>b)</w:t>
      </w:r>
      <w:r w:rsidRPr="00D3304A">
        <w:rPr>
          <w:noProof/>
        </w:rPr>
        <w:tab/>
      </w:r>
      <w:r w:rsidR="00AA3A89" w:rsidRPr="00D3304A">
        <w:rPr>
          <w:noProof/>
        </w:rPr>
        <w:t xml:space="preserve">die Entwicklung von Methoden, die darauf abzielen, die Qualität der nichtfinanziellen Statistiken zu Gewerbeimmobilien zu verbessern; </w:t>
      </w:r>
    </w:p>
    <w:p w:rsidR="00AA3A89" w:rsidRPr="00D3304A" w:rsidRDefault="003C2496" w:rsidP="003C2496">
      <w:pPr>
        <w:pStyle w:val="Point0"/>
        <w:rPr>
          <w:noProof/>
        </w:rPr>
      </w:pPr>
      <w:r w:rsidRPr="00D3304A">
        <w:rPr>
          <w:noProof/>
        </w:rPr>
        <w:t>c)</w:t>
      </w:r>
      <w:r w:rsidRPr="00D3304A">
        <w:rPr>
          <w:noProof/>
        </w:rPr>
        <w:tab/>
      </w:r>
      <w:r w:rsidR="00AA3A89" w:rsidRPr="00D3304A">
        <w:rPr>
          <w:noProof/>
        </w:rPr>
        <w:t xml:space="preserve">die Entwicklung von Methoden zur Verringerung des finanziellen und Verwaltungsaufwands, der den Meldeeinheiten, insbesondere kleinen und mittleren Unternehmen, im Zusammenhang mit der Bereitstellung der angeforderten Daten entsteht; </w:t>
      </w:r>
    </w:p>
    <w:p w:rsidR="00AA3A89" w:rsidRPr="00D3304A" w:rsidRDefault="003C2496" w:rsidP="003C2496">
      <w:pPr>
        <w:pStyle w:val="Point0"/>
        <w:rPr>
          <w:noProof/>
        </w:rPr>
      </w:pPr>
      <w:r w:rsidRPr="00D3304A">
        <w:rPr>
          <w:noProof/>
        </w:rPr>
        <w:t>d)</w:t>
      </w:r>
      <w:r w:rsidRPr="00D3304A">
        <w:rPr>
          <w:noProof/>
        </w:rPr>
        <w:tab/>
      </w:r>
      <w:r w:rsidR="00AA3A89" w:rsidRPr="00D3304A">
        <w:rPr>
          <w:noProof/>
        </w:rPr>
        <w:t>die Teilnahme an den Pilotstudien gemäß Artikel </w:t>
      </w:r>
      <w:r w:rsidR="00AA3A89" w:rsidRPr="00C24C00">
        <w:rPr>
          <w:noProof/>
        </w:rPr>
        <w:t>7</w:t>
      </w:r>
      <w:r w:rsidR="00AA3A89" w:rsidRPr="00D3304A">
        <w:rPr>
          <w:noProof/>
        </w:rPr>
        <w:t xml:space="preserve">; </w:t>
      </w:r>
    </w:p>
    <w:p w:rsidR="00AA3A89" w:rsidRPr="00D3304A" w:rsidRDefault="003C2496" w:rsidP="003C2496">
      <w:pPr>
        <w:pStyle w:val="Point0"/>
        <w:rPr>
          <w:noProof/>
        </w:rPr>
      </w:pPr>
      <w:r w:rsidRPr="00D3304A">
        <w:rPr>
          <w:noProof/>
        </w:rPr>
        <w:t>e)</w:t>
      </w:r>
      <w:r w:rsidRPr="00D3304A">
        <w:rPr>
          <w:noProof/>
        </w:rPr>
        <w:tab/>
      </w:r>
      <w:r w:rsidR="00AA3A89" w:rsidRPr="00D3304A">
        <w:rPr>
          <w:noProof/>
        </w:rPr>
        <w:t xml:space="preserve">die Entwicklung oder Verbesserung von Prozessen, Software und ähnlichen Unterstützungsfunktionen mit dem Ziel, hochwertigere Statistiken zu erstellen oder den finanziellen Aufwand und den Verwaltungsaufwand zu verringern. </w:t>
      </w:r>
    </w:p>
    <w:p w:rsidR="00AA3A89" w:rsidRPr="00D3304A" w:rsidRDefault="00944685" w:rsidP="00944685">
      <w:pPr>
        <w:pStyle w:val="Point1"/>
        <w:rPr>
          <w:noProof/>
        </w:rPr>
      </w:pPr>
      <w:r w:rsidRPr="00944685">
        <w:rPr>
          <w:noProof/>
        </w:rPr>
        <w:t>(2)</w:t>
      </w:r>
      <w:r w:rsidRPr="00944685">
        <w:rPr>
          <w:noProof/>
        </w:rPr>
        <w:tab/>
      </w:r>
      <w:r w:rsidR="00AA3A89" w:rsidRPr="00D3304A">
        <w:rPr>
          <w:noProof/>
        </w:rPr>
        <w:t>Die Höhe des in Absatz </w:t>
      </w:r>
      <w:r w:rsidR="00AA3A89" w:rsidRPr="00C24C00">
        <w:rPr>
          <w:noProof/>
        </w:rPr>
        <w:t>1</w:t>
      </w:r>
      <w:r w:rsidR="00AA3A89" w:rsidRPr="00D3304A">
        <w:rPr>
          <w:noProof/>
        </w:rPr>
        <w:t xml:space="preserve"> genannten Finanzbeitrags der Union wird im Einklang mit den Vorschriften des jeweiligen Finanzierungsprogramms, vorbehaltlich der Verfügbarkeit von Finanzmitteln und insbesondere gemäß Artikel </w:t>
      </w:r>
      <w:r w:rsidR="00AA3A89" w:rsidRPr="00C24C00">
        <w:rPr>
          <w:noProof/>
        </w:rPr>
        <w:t>4</w:t>
      </w:r>
      <w:r w:rsidR="00AA3A89" w:rsidRPr="00D3304A">
        <w:rPr>
          <w:noProof/>
        </w:rPr>
        <w:t xml:space="preserve"> der Verordnung (EU) </w:t>
      </w:r>
      <w:r w:rsidR="00AA3A89" w:rsidRPr="00C24C00">
        <w:rPr>
          <w:noProof/>
        </w:rPr>
        <w:t>2021</w:t>
      </w:r>
      <w:r w:rsidR="00AA3A89" w:rsidRPr="00D3304A">
        <w:rPr>
          <w:noProof/>
        </w:rPr>
        <w:t>/</w:t>
      </w:r>
      <w:r w:rsidR="00AA3A89" w:rsidRPr="00C24C00">
        <w:rPr>
          <w:noProof/>
        </w:rPr>
        <w:t>690</w:t>
      </w:r>
      <w:r w:rsidR="00AA3A89" w:rsidRPr="00D3304A">
        <w:rPr>
          <w:noProof/>
        </w:rPr>
        <w:t xml:space="preserve"> des Europäischen Parlaments und des Rates</w:t>
      </w:r>
      <w:r w:rsidR="00AA3A89" w:rsidRPr="00D3304A">
        <w:rPr>
          <w:rStyle w:val="FootnoteReference"/>
          <w:noProof/>
        </w:rPr>
        <w:footnoteReference w:id="19"/>
      </w:r>
      <w:r w:rsidR="00AA3A89" w:rsidRPr="00D3304A">
        <w:rPr>
          <w:noProof/>
        </w:rPr>
        <w:t xml:space="preserve"> festgelegt. </w:t>
      </w:r>
    </w:p>
    <w:p w:rsidR="00AA3A89" w:rsidRPr="00D3304A" w:rsidRDefault="00AA3A89" w:rsidP="007E471F">
      <w:pPr>
        <w:pStyle w:val="Titrearticle"/>
        <w:rPr>
          <w:noProof/>
        </w:rPr>
      </w:pPr>
      <w:r w:rsidRPr="00D3304A">
        <w:rPr>
          <w:noProof/>
        </w:rPr>
        <w:t>Artikel </w:t>
      </w:r>
      <w:r w:rsidRPr="00C24C00">
        <w:rPr>
          <w:noProof/>
        </w:rPr>
        <w:t>9</w:t>
      </w:r>
      <w:r w:rsidRPr="00D3304A">
        <w:rPr>
          <w:noProof/>
        </w:rPr>
        <w:br/>
        <w:t xml:space="preserve">Ausübung der Befugnisübertragung </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Die Befugnis zum Erlass delegierter Rechtsakte wird der Kommission unter den in diesem Artikel festgelegten Bedingungen übertragen.</w:t>
      </w:r>
    </w:p>
    <w:p w:rsidR="00AA3A89" w:rsidRPr="00D3304A" w:rsidRDefault="00944685" w:rsidP="00944685">
      <w:pPr>
        <w:pStyle w:val="Point1"/>
        <w:rPr>
          <w:noProof/>
        </w:rPr>
      </w:pPr>
      <w:r w:rsidRPr="00944685">
        <w:rPr>
          <w:noProof/>
        </w:rPr>
        <w:t>(2)</w:t>
      </w:r>
      <w:r w:rsidRPr="00944685">
        <w:rPr>
          <w:noProof/>
        </w:rPr>
        <w:tab/>
      </w:r>
      <w:r w:rsidR="00AA3A89" w:rsidRPr="00D3304A">
        <w:rPr>
          <w:noProof/>
        </w:rPr>
        <w:t>Die Befugnis zum Erlass delegierter Rechtsakte gemäß Artikel </w:t>
      </w:r>
      <w:r w:rsidR="00AA3A89" w:rsidRPr="00C24C00">
        <w:rPr>
          <w:noProof/>
        </w:rPr>
        <w:t>5</w:t>
      </w:r>
      <w:r w:rsidR="00AA3A89" w:rsidRPr="00D3304A">
        <w:rPr>
          <w:noProof/>
        </w:rPr>
        <w:t xml:space="preserve"> Absatz </w:t>
      </w:r>
      <w:r w:rsidR="00AA3A89" w:rsidRPr="00C24C00">
        <w:rPr>
          <w:noProof/>
        </w:rPr>
        <w:t>2</w:t>
      </w:r>
      <w:r w:rsidR="00AA3A89" w:rsidRPr="00D3304A">
        <w:rPr>
          <w:noProof/>
        </w:rPr>
        <w:t xml:space="preserve"> wird der Kommission für einen Zeitraum von fünf Jahren ab dem Datum des Inkrafttretens dieser Verordnung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rsidR="00AA3A89" w:rsidRPr="00D3304A" w:rsidRDefault="00944685" w:rsidP="00944685">
      <w:pPr>
        <w:pStyle w:val="Point1"/>
        <w:rPr>
          <w:noProof/>
        </w:rPr>
      </w:pPr>
      <w:r w:rsidRPr="00944685">
        <w:rPr>
          <w:noProof/>
        </w:rPr>
        <w:t>(3)</w:t>
      </w:r>
      <w:r w:rsidRPr="00944685">
        <w:rPr>
          <w:noProof/>
        </w:rPr>
        <w:tab/>
      </w:r>
      <w:r w:rsidR="00AA3A89" w:rsidRPr="00D3304A">
        <w:rPr>
          <w:noProof/>
        </w:rPr>
        <w:t>Die Befugnisübertragung gemäß Artikel </w:t>
      </w:r>
      <w:r w:rsidR="00AA3A89" w:rsidRPr="00C24C00">
        <w:rPr>
          <w:noProof/>
        </w:rPr>
        <w:t>5</w:t>
      </w:r>
      <w:r w:rsidR="00AA3A89" w:rsidRPr="00D3304A">
        <w:rPr>
          <w:noProof/>
        </w:rPr>
        <w:t xml:space="preserve"> Absatz </w:t>
      </w:r>
      <w:r w:rsidR="00AA3A89" w:rsidRPr="00C24C00">
        <w:rPr>
          <w:noProof/>
        </w:rPr>
        <w:t>2</w:t>
      </w:r>
      <w:r w:rsidR="00AA3A89" w:rsidRPr="00D3304A">
        <w:rPr>
          <w:noProof/>
        </w:rPr>
        <w:t xml:space="preserve"> kann vom Europäischen Parlament oder vom Rat jederzeit widerrufen werden. Der Beschluss über den Widerruf beendet die Übertragung der in diesem Beschluss angegebenen Befugnis. Er wird am Tag nach seiner Veröffentlichung im </w:t>
      </w:r>
      <w:r w:rsidR="00AA3A89" w:rsidRPr="00D3304A">
        <w:rPr>
          <w:i/>
          <w:noProof/>
        </w:rPr>
        <w:t>Amtsblatt der Europäischen Union</w:t>
      </w:r>
      <w:r w:rsidR="00AA3A89" w:rsidRPr="00D3304A">
        <w:rPr>
          <w:noProof/>
        </w:rPr>
        <w:t xml:space="preserve"> oder zu einem im Beschluss über den Widerruf angegebenen späteren Zeitpunkt wirksam. Die Gültigkeit von delegierten Rechtsakten, die bereits in Kraft sind, wird von dem Beschluss über den Widerruf nicht berührt.</w:t>
      </w:r>
    </w:p>
    <w:p w:rsidR="00AA3A89" w:rsidRPr="00D3304A" w:rsidRDefault="00944685" w:rsidP="00944685">
      <w:pPr>
        <w:pStyle w:val="Point1"/>
        <w:rPr>
          <w:noProof/>
        </w:rPr>
      </w:pPr>
      <w:r w:rsidRPr="00944685">
        <w:rPr>
          <w:noProof/>
        </w:rPr>
        <w:t>(4)</w:t>
      </w:r>
      <w:r w:rsidRPr="00944685">
        <w:rPr>
          <w:noProof/>
        </w:rPr>
        <w:tab/>
      </w:r>
      <w:r w:rsidR="00AA3A89" w:rsidRPr="00D3304A">
        <w:rPr>
          <w:noProof/>
        </w:rPr>
        <w:t xml:space="preserve">Vor dem Erlass eines delegierten Rechtsakts konsultiert die Kommission die von den einzelnen Mitgliedstaaten benannten Sachverständigen im Einklang mit den in der Interinstitutionellen Vereinbarung über bessere Rechtsetzung vom </w:t>
      </w:r>
      <w:r w:rsidR="00AA3A89" w:rsidRPr="00C24C00">
        <w:rPr>
          <w:noProof/>
        </w:rPr>
        <w:t>13</w:t>
      </w:r>
      <w:r w:rsidR="00AA3A89" w:rsidRPr="00D3304A">
        <w:rPr>
          <w:noProof/>
        </w:rPr>
        <w:t xml:space="preserve">. April </w:t>
      </w:r>
      <w:r w:rsidR="00AA3A89" w:rsidRPr="00C24C00">
        <w:rPr>
          <w:noProof/>
        </w:rPr>
        <w:t>2016</w:t>
      </w:r>
      <w:r w:rsidR="00AA3A89" w:rsidRPr="00D3304A">
        <w:rPr>
          <w:noProof/>
        </w:rPr>
        <w:t xml:space="preserve"> enthaltenen Grundsätzen.</w:t>
      </w:r>
    </w:p>
    <w:p w:rsidR="00AA3A89" w:rsidRPr="00D3304A" w:rsidRDefault="00944685" w:rsidP="00944685">
      <w:pPr>
        <w:pStyle w:val="Point1"/>
        <w:rPr>
          <w:noProof/>
        </w:rPr>
      </w:pPr>
      <w:r w:rsidRPr="00944685">
        <w:rPr>
          <w:noProof/>
        </w:rPr>
        <w:t>(5)</w:t>
      </w:r>
      <w:r w:rsidRPr="00944685">
        <w:rPr>
          <w:noProof/>
        </w:rPr>
        <w:tab/>
      </w:r>
      <w:r w:rsidR="00AA3A89" w:rsidRPr="00D3304A">
        <w:rPr>
          <w:noProof/>
        </w:rPr>
        <w:t>Sobald die Kommission einen delegierten Rechtsakt erlässt, übermittelt sie ihn gleichzeitig dem Europäischen Parlament und dem Rat.</w:t>
      </w:r>
    </w:p>
    <w:p w:rsidR="00AA3A89" w:rsidRPr="00D3304A" w:rsidRDefault="00944685" w:rsidP="00944685">
      <w:pPr>
        <w:pStyle w:val="Point1"/>
        <w:rPr>
          <w:noProof/>
        </w:rPr>
      </w:pPr>
      <w:r w:rsidRPr="00944685">
        <w:rPr>
          <w:noProof/>
        </w:rPr>
        <w:t>(6)</w:t>
      </w:r>
      <w:r w:rsidRPr="00944685">
        <w:rPr>
          <w:noProof/>
        </w:rPr>
        <w:tab/>
      </w:r>
      <w:r w:rsidR="00AA3A89" w:rsidRPr="00D3304A">
        <w:rPr>
          <w:noProof/>
        </w:rPr>
        <w:t>Ein delegierter Rechtsakt, der gemäß Artikel </w:t>
      </w:r>
      <w:r w:rsidR="00AA3A89" w:rsidRPr="00C24C00">
        <w:rPr>
          <w:noProof/>
        </w:rPr>
        <w:t>5</w:t>
      </w:r>
      <w:r w:rsidR="00AA3A89" w:rsidRPr="00D3304A">
        <w:rPr>
          <w:noProof/>
        </w:rPr>
        <w:t xml:space="preserve"> Absatz </w:t>
      </w:r>
      <w:r w:rsidR="00AA3A89" w:rsidRPr="00C24C00">
        <w:rPr>
          <w:noProof/>
        </w:rPr>
        <w:t>2</w:t>
      </w:r>
      <w:r w:rsidR="00AA3A89" w:rsidRPr="00D3304A">
        <w:rPr>
          <w:noProof/>
        </w:rPr>
        <w:t xml:space="preserve">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rsidR="00AA3A89" w:rsidRPr="00D3304A" w:rsidRDefault="00AA3A89" w:rsidP="007E471F">
      <w:pPr>
        <w:pStyle w:val="Titrearticle"/>
        <w:rPr>
          <w:noProof/>
        </w:rPr>
      </w:pPr>
      <w:r w:rsidRPr="00D3304A">
        <w:rPr>
          <w:noProof/>
        </w:rPr>
        <w:t>Artikel </w:t>
      </w:r>
      <w:r w:rsidRPr="00C24C00">
        <w:rPr>
          <w:noProof/>
        </w:rPr>
        <w:t>10</w:t>
      </w:r>
      <w:r w:rsidRPr="00D3304A">
        <w:rPr>
          <w:noProof/>
        </w:rPr>
        <w:br/>
        <w:t>Ausschussverfahren</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Die Kommission wird vom Ausschuss für das Europäische Statistische System unterstützt. Dieser Ausschuss ist ein Ausschuss im Sinne der Verordnung (EU) Nr. </w:t>
      </w:r>
      <w:r w:rsidR="00AA3A89" w:rsidRPr="00C24C00">
        <w:rPr>
          <w:noProof/>
        </w:rPr>
        <w:t>182</w:t>
      </w:r>
      <w:r w:rsidR="00AA3A89" w:rsidRPr="00D3304A">
        <w:rPr>
          <w:noProof/>
        </w:rPr>
        <w:t>/</w:t>
      </w:r>
      <w:r w:rsidR="00AA3A89" w:rsidRPr="00C24C00">
        <w:rPr>
          <w:noProof/>
        </w:rPr>
        <w:t>2011</w:t>
      </w:r>
      <w:r w:rsidR="00AA3A89" w:rsidRPr="00D3304A">
        <w:rPr>
          <w:rStyle w:val="FootnoteReference"/>
          <w:noProof/>
        </w:rPr>
        <w:footnoteReference w:id="20"/>
      </w:r>
      <w:r w:rsidR="00AA3A89" w:rsidRPr="00D3304A">
        <w:rPr>
          <w:noProof/>
        </w:rPr>
        <w:t xml:space="preserve">. </w:t>
      </w:r>
    </w:p>
    <w:p w:rsidR="00AA3A89" w:rsidRPr="00D3304A" w:rsidRDefault="00944685" w:rsidP="00944685">
      <w:pPr>
        <w:pStyle w:val="Point1"/>
        <w:rPr>
          <w:noProof/>
        </w:rPr>
      </w:pPr>
      <w:r w:rsidRPr="00944685">
        <w:rPr>
          <w:noProof/>
        </w:rPr>
        <w:t>(2)</w:t>
      </w:r>
      <w:r w:rsidRPr="00944685">
        <w:rPr>
          <w:noProof/>
        </w:rPr>
        <w:tab/>
      </w:r>
      <w:r w:rsidR="00AA3A89" w:rsidRPr="00D3304A">
        <w:rPr>
          <w:noProof/>
        </w:rPr>
        <w:t>Wird auf diesen Absatz Bezug genommen, so gilt Artikel </w:t>
      </w:r>
      <w:r w:rsidR="00AA3A89" w:rsidRPr="00C24C00">
        <w:rPr>
          <w:noProof/>
        </w:rPr>
        <w:t>5</w:t>
      </w:r>
      <w:r w:rsidR="00AA3A89" w:rsidRPr="00D3304A">
        <w:rPr>
          <w:noProof/>
        </w:rPr>
        <w:t xml:space="preserve"> der Verordnung (EU) Nr. </w:t>
      </w:r>
      <w:r w:rsidR="00AA3A89" w:rsidRPr="00C24C00">
        <w:rPr>
          <w:noProof/>
        </w:rPr>
        <w:t>182</w:t>
      </w:r>
      <w:r w:rsidR="00AA3A89" w:rsidRPr="00D3304A">
        <w:rPr>
          <w:noProof/>
        </w:rPr>
        <w:t>/</w:t>
      </w:r>
      <w:r w:rsidR="00AA3A89" w:rsidRPr="00C24C00">
        <w:rPr>
          <w:noProof/>
        </w:rPr>
        <w:t>2011</w:t>
      </w:r>
      <w:r w:rsidR="00AA3A89" w:rsidRPr="00D3304A">
        <w:rPr>
          <w:noProof/>
        </w:rPr>
        <w:t xml:space="preserve">. </w:t>
      </w:r>
    </w:p>
    <w:p w:rsidR="00AA3A89" w:rsidRPr="00D3304A" w:rsidRDefault="00AA3A89" w:rsidP="007E471F">
      <w:pPr>
        <w:pStyle w:val="Titrearticle"/>
        <w:rPr>
          <w:noProof/>
        </w:rPr>
      </w:pPr>
      <w:r w:rsidRPr="00D3304A">
        <w:rPr>
          <w:noProof/>
        </w:rPr>
        <w:t>Artikel </w:t>
      </w:r>
      <w:r w:rsidRPr="00C24C00">
        <w:rPr>
          <w:noProof/>
        </w:rPr>
        <w:t>11</w:t>
      </w:r>
      <w:r w:rsidRPr="00D3304A">
        <w:rPr>
          <w:noProof/>
        </w:rPr>
        <w:br/>
        <w:t xml:space="preserve">Ausnahmeregelungen </w:t>
      </w:r>
    </w:p>
    <w:p w:rsidR="00AA3A89" w:rsidRPr="00D3304A" w:rsidRDefault="00944685" w:rsidP="00944685">
      <w:pPr>
        <w:pStyle w:val="Point1"/>
        <w:rPr>
          <w:noProof/>
        </w:rPr>
      </w:pPr>
      <w:r w:rsidRPr="00944685">
        <w:rPr>
          <w:noProof/>
        </w:rPr>
        <w:t>(1)</w:t>
      </w:r>
      <w:r w:rsidRPr="00944685">
        <w:rPr>
          <w:noProof/>
        </w:rPr>
        <w:tab/>
      </w:r>
      <w:r w:rsidR="00AA3A89" w:rsidRPr="00D3304A">
        <w:rPr>
          <w:noProof/>
        </w:rPr>
        <w:t>Wenn die Anwendung dieser Verordnung oder der auf ihrer Grundlage erlassenen Durchführungsmaßnahmen wesentliche Anpassungen des nationalen statistischen Systems eines Mitgliedstaats erfordern, kann die Kommission dem betroffenen Mitgliedstaat mittels Durchführungsrechtsakten Ausnahmeregelungen für einen Zeitraum von maximal drei Jahren gewähren.</w:t>
      </w:r>
    </w:p>
    <w:p w:rsidR="00AA3A89" w:rsidRPr="00D3304A" w:rsidRDefault="00944685" w:rsidP="00944685">
      <w:pPr>
        <w:pStyle w:val="Point1"/>
        <w:rPr>
          <w:noProof/>
        </w:rPr>
      </w:pPr>
      <w:r w:rsidRPr="00944685">
        <w:rPr>
          <w:noProof/>
        </w:rPr>
        <w:t>(2)</w:t>
      </w:r>
      <w:r w:rsidRPr="00944685">
        <w:rPr>
          <w:noProof/>
        </w:rPr>
        <w:tab/>
      </w:r>
      <w:r w:rsidR="00AA3A89" w:rsidRPr="00D3304A">
        <w:rPr>
          <w:noProof/>
        </w:rPr>
        <w:t>Der betroffene Mitgliedstaat richtet innerhalb von drei Monaten ab dem Tag des Inkrafttretens des betreffenden Rechtsakts für den eine Ausnahmeregelung beantragt wird, einen hinreichend begründeten Antrag für eine Ausnahmeregelung nach Absatz </w:t>
      </w:r>
      <w:r w:rsidR="00AA3A89" w:rsidRPr="00C24C00">
        <w:rPr>
          <w:noProof/>
        </w:rPr>
        <w:t>1</w:t>
      </w:r>
      <w:r w:rsidR="00AA3A89" w:rsidRPr="00D3304A">
        <w:rPr>
          <w:noProof/>
        </w:rPr>
        <w:t xml:space="preserve"> an die Kommission. </w:t>
      </w:r>
    </w:p>
    <w:p w:rsidR="00AA3A89" w:rsidRPr="00D3304A" w:rsidRDefault="00944685" w:rsidP="00944685">
      <w:pPr>
        <w:pStyle w:val="Point1"/>
        <w:rPr>
          <w:noProof/>
        </w:rPr>
      </w:pPr>
      <w:r w:rsidRPr="00944685">
        <w:rPr>
          <w:noProof/>
        </w:rPr>
        <w:t>(3)</w:t>
      </w:r>
      <w:r w:rsidRPr="00944685">
        <w:rPr>
          <w:noProof/>
        </w:rPr>
        <w:tab/>
      </w:r>
      <w:r w:rsidR="00AA3A89" w:rsidRPr="00D3304A">
        <w:rPr>
          <w:noProof/>
        </w:rPr>
        <w:t>Die Auswirkungen der in Absatz </w:t>
      </w:r>
      <w:r w:rsidR="00AA3A89" w:rsidRPr="00C24C00">
        <w:rPr>
          <w:noProof/>
        </w:rPr>
        <w:t>1</w:t>
      </w:r>
      <w:r w:rsidR="00AA3A89" w:rsidRPr="00D3304A">
        <w:rPr>
          <w:noProof/>
        </w:rPr>
        <w:t xml:space="preserve"> genannten Ausnahmeregelungen auf die Vergleichbarkeit der Daten der Mitgliedstaaten oder auf die Berechnung der erforderlichen aktuellen und repräsentativen Aggregate der Union sind so gering wie möglich zu halten. Die Kommission berücksichtigt bei der Gewährung von Ausnahmeregelungen den Aufwand für die Auskunftgebenden. </w:t>
      </w:r>
    </w:p>
    <w:p w:rsidR="00AA3A89" w:rsidRPr="00D3304A" w:rsidRDefault="00944685" w:rsidP="00944685">
      <w:pPr>
        <w:pStyle w:val="Point1"/>
        <w:rPr>
          <w:noProof/>
        </w:rPr>
      </w:pPr>
      <w:r w:rsidRPr="00944685">
        <w:rPr>
          <w:noProof/>
        </w:rPr>
        <w:t>(4)</w:t>
      </w:r>
      <w:r w:rsidRPr="00944685">
        <w:rPr>
          <w:noProof/>
        </w:rPr>
        <w:tab/>
      </w:r>
      <w:r w:rsidR="00AA3A89" w:rsidRPr="00D3304A">
        <w:rPr>
          <w:noProof/>
        </w:rPr>
        <w:t>Die in Absatz </w:t>
      </w:r>
      <w:r w:rsidR="00AA3A89" w:rsidRPr="00C24C00">
        <w:rPr>
          <w:noProof/>
        </w:rPr>
        <w:t>1</w:t>
      </w:r>
      <w:r w:rsidR="00AA3A89" w:rsidRPr="00D3304A">
        <w:rPr>
          <w:noProof/>
        </w:rPr>
        <w:t xml:space="preserve"> genannten Durchführungsrechtsakte werden nach dem in Artikel </w:t>
      </w:r>
      <w:r w:rsidR="00AA3A89" w:rsidRPr="00C24C00">
        <w:rPr>
          <w:noProof/>
        </w:rPr>
        <w:t>10</w:t>
      </w:r>
      <w:r w:rsidR="00AA3A89" w:rsidRPr="00D3304A">
        <w:rPr>
          <w:noProof/>
        </w:rPr>
        <w:t xml:space="preserve"> genannten Prüfverfahren erlassen.</w:t>
      </w:r>
    </w:p>
    <w:p w:rsidR="00AA3A89" w:rsidRPr="00D3304A" w:rsidRDefault="00AA3A89" w:rsidP="007E471F">
      <w:pPr>
        <w:pStyle w:val="Titrearticle"/>
        <w:rPr>
          <w:noProof/>
        </w:rPr>
      </w:pPr>
      <w:r w:rsidRPr="00D3304A">
        <w:rPr>
          <w:noProof/>
        </w:rPr>
        <w:t>Artikel </w:t>
      </w:r>
      <w:r w:rsidRPr="00C24C00">
        <w:rPr>
          <w:noProof/>
        </w:rPr>
        <w:t>12</w:t>
      </w:r>
      <w:r w:rsidRPr="00D3304A">
        <w:rPr>
          <w:noProof/>
        </w:rPr>
        <w:br/>
        <w:t xml:space="preserve">Änderungen der Verordnung (EU) </w:t>
      </w:r>
      <w:r w:rsidRPr="00C24C00">
        <w:rPr>
          <w:noProof/>
        </w:rPr>
        <w:t>2019</w:t>
      </w:r>
      <w:r w:rsidRPr="00D3304A">
        <w:rPr>
          <w:noProof/>
        </w:rPr>
        <w:t>/</w:t>
      </w:r>
      <w:r w:rsidRPr="00C24C00">
        <w:rPr>
          <w:noProof/>
        </w:rPr>
        <w:t>2152</w:t>
      </w:r>
    </w:p>
    <w:p w:rsidR="00AA3A89" w:rsidRPr="00D3304A" w:rsidRDefault="00AA3A89" w:rsidP="00AA3A89">
      <w:pPr>
        <w:rPr>
          <w:noProof/>
        </w:rPr>
      </w:pPr>
      <w:r w:rsidRPr="00D3304A">
        <w:rPr>
          <w:noProof/>
        </w:rPr>
        <w:t xml:space="preserve">Die Verordnung (EU) </w:t>
      </w:r>
      <w:r w:rsidRPr="00C24C00">
        <w:rPr>
          <w:noProof/>
        </w:rPr>
        <w:t>2019</w:t>
      </w:r>
      <w:r w:rsidRPr="00D3304A">
        <w:rPr>
          <w:noProof/>
        </w:rPr>
        <w:t>/</w:t>
      </w:r>
      <w:r w:rsidRPr="00C24C00">
        <w:rPr>
          <w:noProof/>
        </w:rPr>
        <w:t>2152</w:t>
      </w:r>
      <w:r w:rsidRPr="00D3304A">
        <w:rPr>
          <w:noProof/>
        </w:rPr>
        <w:t xml:space="preserve"> wird wie folgt geändert:</w:t>
      </w:r>
    </w:p>
    <w:p w:rsidR="00D31DD6" w:rsidRPr="00D3304A" w:rsidRDefault="003C2496" w:rsidP="003C2496">
      <w:pPr>
        <w:pStyle w:val="Point0"/>
        <w:rPr>
          <w:noProof/>
        </w:rPr>
      </w:pPr>
      <w:r w:rsidRPr="00D3304A">
        <w:rPr>
          <w:noProof/>
        </w:rPr>
        <w:t>a)</w:t>
      </w:r>
      <w:r w:rsidRPr="00D3304A">
        <w:rPr>
          <w:noProof/>
        </w:rPr>
        <w:tab/>
      </w:r>
      <w:r w:rsidR="00AA3A89" w:rsidRPr="00D3304A">
        <w:rPr>
          <w:noProof/>
        </w:rPr>
        <w:t>Artikel </w:t>
      </w:r>
      <w:r w:rsidR="00AA3A89" w:rsidRPr="00C24C00">
        <w:rPr>
          <w:noProof/>
        </w:rPr>
        <w:t>6</w:t>
      </w:r>
      <w:r w:rsidR="00AA3A89" w:rsidRPr="00D3304A">
        <w:rPr>
          <w:noProof/>
        </w:rPr>
        <w:t xml:space="preserve"> Absatz </w:t>
      </w:r>
      <w:r w:rsidR="00AA3A89" w:rsidRPr="00C24C00">
        <w:rPr>
          <w:noProof/>
        </w:rPr>
        <w:t>2</w:t>
      </w:r>
      <w:r w:rsidR="00AA3A89" w:rsidRPr="00D3304A">
        <w:rPr>
          <w:noProof/>
        </w:rPr>
        <w:t xml:space="preserve"> wird wie folgt geändert: </w:t>
      </w:r>
    </w:p>
    <w:p w:rsidR="00AA3A89" w:rsidRPr="00D3304A" w:rsidRDefault="00D31DD6" w:rsidP="00337B16">
      <w:pPr>
        <w:pStyle w:val="Text1"/>
        <w:jc w:val="left"/>
        <w:rPr>
          <w:noProof/>
        </w:rPr>
      </w:pPr>
      <w:r w:rsidRPr="00D3304A">
        <w:rPr>
          <w:noProof/>
        </w:rPr>
        <w:t>i) Buchstabe l erhält folgende Fassung: „l) Input für FuE.“</w:t>
      </w:r>
    </w:p>
    <w:p w:rsidR="00D31DD6" w:rsidRPr="00D3304A" w:rsidRDefault="00D31DD6" w:rsidP="0060153A">
      <w:pPr>
        <w:pStyle w:val="Text1"/>
        <w:rPr>
          <w:noProof/>
        </w:rPr>
      </w:pPr>
      <w:r w:rsidRPr="00D3304A">
        <w:rPr>
          <w:noProof/>
        </w:rPr>
        <w:t>ii) Buchstabe m wird gestrichen.</w:t>
      </w:r>
    </w:p>
    <w:p w:rsidR="00AA3A89" w:rsidRPr="00D3304A" w:rsidRDefault="003C2496" w:rsidP="003C2496">
      <w:pPr>
        <w:pStyle w:val="Point0"/>
        <w:rPr>
          <w:noProof/>
        </w:rPr>
      </w:pPr>
      <w:r w:rsidRPr="00D3304A">
        <w:rPr>
          <w:noProof/>
        </w:rPr>
        <w:t>b)</w:t>
      </w:r>
      <w:r w:rsidRPr="00D3304A">
        <w:rPr>
          <w:noProof/>
        </w:rPr>
        <w:tab/>
      </w:r>
      <w:r w:rsidR="00187C54" w:rsidRPr="00D3304A">
        <w:rPr>
          <w:noProof/>
        </w:rPr>
        <w:t xml:space="preserve">In Anhang I Tabelle „Bereich </w:t>
      </w:r>
      <w:r w:rsidR="00187C54" w:rsidRPr="00C24C00">
        <w:rPr>
          <w:noProof/>
        </w:rPr>
        <w:t>1</w:t>
      </w:r>
      <w:r w:rsidR="00187C54" w:rsidRPr="00D3304A">
        <w:rPr>
          <w:noProof/>
        </w:rPr>
        <w:t>. Konjunkturelle Unternehmensstatistiken“ wird die letzte Zeile gestrichen;</w:t>
      </w:r>
    </w:p>
    <w:p w:rsidR="00AA3A89" w:rsidRPr="00D3304A" w:rsidRDefault="003C2496" w:rsidP="003C2496">
      <w:pPr>
        <w:pStyle w:val="Point0"/>
        <w:rPr>
          <w:noProof/>
        </w:rPr>
      </w:pPr>
      <w:r w:rsidRPr="00D3304A">
        <w:rPr>
          <w:noProof/>
        </w:rPr>
        <w:t>c)</w:t>
      </w:r>
      <w:r w:rsidRPr="00D3304A">
        <w:rPr>
          <w:noProof/>
        </w:rPr>
        <w:tab/>
      </w:r>
      <w:r w:rsidR="008C575E" w:rsidRPr="00D3304A">
        <w:rPr>
          <w:noProof/>
        </w:rPr>
        <w:t xml:space="preserve">In Anhang II Tabelle „Bereich </w:t>
      </w:r>
      <w:r w:rsidR="008C575E" w:rsidRPr="00C24C00">
        <w:rPr>
          <w:noProof/>
        </w:rPr>
        <w:t>1</w:t>
      </w:r>
      <w:r w:rsidR="008C575E" w:rsidRPr="00D3304A">
        <w:rPr>
          <w:noProof/>
        </w:rPr>
        <w:t>. Konjunkturelle Unternehmensstatistiken“ wird die letzte Zeile gestrichen.</w:t>
      </w:r>
    </w:p>
    <w:p w:rsidR="00AA3A89" w:rsidRPr="00D3304A" w:rsidRDefault="00AA3A89" w:rsidP="00AA3A89">
      <w:pPr>
        <w:pStyle w:val="Titrearticle"/>
        <w:rPr>
          <w:noProof/>
        </w:rPr>
      </w:pPr>
      <w:r w:rsidRPr="00D3304A">
        <w:rPr>
          <w:noProof/>
        </w:rPr>
        <w:t>Artikel </w:t>
      </w:r>
      <w:r w:rsidRPr="00C24C00">
        <w:rPr>
          <w:noProof/>
        </w:rPr>
        <w:t>13</w:t>
      </w:r>
    </w:p>
    <w:p w:rsidR="00AA3A89" w:rsidRPr="00D3304A" w:rsidRDefault="00BD61A1" w:rsidP="00BD61A1">
      <w:pPr>
        <w:pStyle w:val="Point0"/>
        <w:rPr>
          <w:noProof/>
        </w:rPr>
      </w:pPr>
      <w:r>
        <w:rPr>
          <w:noProof/>
        </w:rPr>
        <w:t>(1)</w:t>
      </w:r>
      <w:r w:rsidRPr="00BD61A1">
        <w:rPr>
          <w:noProof/>
        </w:rPr>
        <w:tab/>
      </w:r>
      <w:r w:rsidR="00AA3A89" w:rsidRPr="00D3304A">
        <w:rPr>
          <w:noProof/>
        </w:rPr>
        <w:t xml:space="preserve">Diese Verordnung tritt am zwanzigsten Tag nach ihrer Veröffentlichung im </w:t>
      </w:r>
      <w:r w:rsidR="00AA3A89" w:rsidRPr="00D3304A">
        <w:rPr>
          <w:i/>
          <w:noProof/>
        </w:rPr>
        <w:t>Amtsblatt der Europäischen Union</w:t>
      </w:r>
      <w:r w:rsidR="00AA3A89" w:rsidRPr="00D3304A">
        <w:rPr>
          <w:noProof/>
        </w:rPr>
        <w:t xml:space="preserve"> in Kraft.</w:t>
      </w:r>
    </w:p>
    <w:p w:rsidR="00AA3A89" w:rsidRPr="00D3304A" w:rsidRDefault="00BD61A1" w:rsidP="00BD61A1">
      <w:pPr>
        <w:pStyle w:val="Point0"/>
        <w:rPr>
          <w:noProof/>
        </w:rPr>
      </w:pPr>
      <w:r>
        <w:rPr>
          <w:noProof/>
        </w:rPr>
        <w:t>(2)</w:t>
      </w:r>
      <w:r w:rsidRPr="00BD61A1">
        <w:rPr>
          <w:noProof/>
        </w:rPr>
        <w:tab/>
      </w:r>
      <w:r w:rsidR="003C2496" w:rsidRPr="00D3304A">
        <w:rPr>
          <w:noProof/>
        </w:rPr>
        <w:t>Sie</w:t>
      </w:r>
      <w:r w:rsidR="00AA3A89" w:rsidRPr="00D3304A">
        <w:rPr>
          <w:noProof/>
        </w:rPr>
        <w:t xml:space="preserve"> gilt ab dem </w:t>
      </w:r>
      <w:r w:rsidR="00AA3A89" w:rsidRPr="00C24C00">
        <w:rPr>
          <w:noProof/>
        </w:rPr>
        <w:t>1</w:t>
      </w:r>
      <w:r w:rsidR="00AA3A89" w:rsidRPr="00D3304A">
        <w:rPr>
          <w:noProof/>
        </w:rPr>
        <w:t xml:space="preserve">. Januar </w:t>
      </w:r>
      <w:r w:rsidR="00AA3A89" w:rsidRPr="00C24C00">
        <w:rPr>
          <w:noProof/>
        </w:rPr>
        <w:t>2026</w:t>
      </w:r>
      <w:r w:rsidR="00AA3A89" w:rsidRPr="00D3304A">
        <w:rPr>
          <w:noProof/>
        </w:rPr>
        <w:t>.</w:t>
      </w:r>
    </w:p>
    <w:p w:rsidR="00AA3A89" w:rsidRPr="00D3304A" w:rsidRDefault="00AA3A89" w:rsidP="007E471F">
      <w:pPr>
        <w:rPr>
          <w:noProof/>
        </w:rPr>
      </w:pPr>
      <w:r w:rsidRPr="00D3304A">
        <w:rPr>
          <w:noProof/>
        </w:rPr>
        <w:t>Diese Verordnung ist in allen ihren Teilen verbindlich und gilt unmittelbar in jedem Mitgliedstaat.</w:t>
      </w:r>
    </w:p>
    <w:p w:rsidR="00AA3A89" w:rsidRPr="00D3304A" w:rsidRDefault="00B51875" w:rsidP="00E2777D">
      <w:pPr>
        <w:pStyle w:val="Fait"/>
        <w:rPr>
          <w:noProof/>
        </w:rPr>
      </w:pPr>
      <w:r>
        <w:rPr>
          <w:noProof/>
        </w:rPr>
        <w:t xml:space="preserve">Geschehen zu Brüssel am </w:t>
      </w:r>
    </w:p>
    <w:p w:rsidR="00AA3A89" w:rsidRPr="00D3304A" w:rsidRDefault="00AA3A89" w:rsidP="00E2777D">
      <w:pPr>
        <w:pStyle w:val="Institutionquisigne"/>
        <w:rPr>
          <w:noProof/>
        </w:rPr>
      </w:pPr>
      <w:r w:rsidRPr="00D3304A">
        <w:rPr>
          <w:noProof/>
        </w:rPr>
        <w:t>Im Namen des Europäischen Parlaments</w:t>
      </w:r>
      <w:r w:rsidRPr="00D3304A">
        <w:rPr>
          <w:noProof/>
        </w:rPr>
        <w:tab/>
        <w:t>Im Namen des Rates</w:t>
      </w:r>
    </w:p>
    <w:p w:rsidR="00C1401B" w:rsidRPr="00D3304A" w:rsidRDefault="00AA3A89" w:rsidP="00AA3A89">
      <w:pPr>
        <w:pStyle w:val="Personnequisigne"/>
        <w:rPr>
          <w:noProof/>
        </w:rPr>
        <w:sectPr w:rsidR="00C1401B" w:rsidRPr="00D3304A" w:rsidSect="00740C8C">
          <w:footnotePr>
            <w:numRestart w:val="eachSect"/>
          </w:footnotePr>
          <w:pgSz w:w="11907" w:h="16839"/>
          <w:pgMar w:top="1134" w:right="1417" w:bottom="1134" w:left="1417" w:header="709" w:footer="709" w:gutter="0"/>
          <w:cols w:space="720"/>
          <w:docGrid w:linePitch="360"/>
        </w:sectPr>
      </w:pPr>
      <w:r w:rsidRPr="00D3304A">
        <w:rPr>
          <w:noProof/>
        </w:rPr>
        <w:t>Die Präsidentin</w:t>
      </w:r>
      <w:r w:rsidRPr="00D3304A">
        <w:rPr>
          <w:noProof/>
        </w:rPr>
        <w:tab/>
        <w:t>Der Präsident /// Die Präsidentin</w:t>
      </w:r>
    </w:p>
    <w:p w:rsidR="00C1401B" w:rsidRPr="00D3304A" w:rsidRDefault="002E1DA8" w:rsidP="00C1401B">
      <w:pPr>
        <w:pStyle w:val="Fichefinanciretitre"/>
        <w:keepNext/>
        <w:rPr>
          <w:noProof/>
        </w:rPr>
      </w:pPr>
      <w:bookmarkStart w:id="7" w:name="_TocB7751C055C4744A28A002AAF436526DF"/>
      <w:bookmarkStart w:id="8" w:name="_Hlk160450143"/>
      <w:r w:rsidRPr="002E1DA8">
        <w:rPr>
          <w:noProof/>
        </w:rPr>
        <w:t xml:space="preserve">FINANZ- UND DIGITALBOGEN </w:t>
      </w:r>
      <w:r>
        <w:rPr>
          <w:noProof/>
        </w:rPr>
        <w:t>ZU</w:t>
      </w:r>
      <w:r w:rsidR="00C1401B" w:rsidRPr="00D3304A">
        <w:rPr>
          <w:noProof/>
        </w:rPr>
        <w:t xml:space="preserve"> RECHTSAKTEN</w:t>
      </w:r>
      <w:bookmarkEnd w:id="7"/>
    </w:p>
    <w:bookmarkEnd w:id="8"/>
    <w:p w:rsidR="00C1401B" w:rsidRPr="00D3304A" w:rsidRDefault="00C1401B" w:rsidP="00C1401B">
      <w:pPr>
        <w:pStyle w:val="ManualHeading1"/>
        <w:rPr>
          <w:noProof/>
        </w:rPr>
      </w:pPr>
      <w:r w:rsidRPr="00C24C00">
        <w:rPr>
          <w:noProof/>
        </w:rPr>
        <w:t>1</w:t>
      </w:r>
      <w:r w:rsidRPr="00D3304A">
        <w:rPr>
          <w:noProof/>
        </w:rPr>
        <w:t>.</w:t>
      </w:r>
      <w:r w:rsidRPr="00D3304A">
        <w:rPr>
          <w:noProof/>
        </w:rPr>
        <w:tab/>
        <w:t>RAHMEN DES VORSCHLAGS/DER INITIATIVE</w:t>
      </w:r>
    </w:p>
    <w:p w:rsidR="00C1401B" w:rsidRPr="00D3304A" w:rsidRDefault="00C1401B" w:rsidP="00C1401B">
      <w:pPr>
        <w:pStyle w:val="ManualHeading2"/>
        <w:rPr>
          <w:noProof/>
        </w:rPr>
      </w:pPr>
      <w:r w:rsidRPr="00C24C00">
        <w:rPr>
          <w:noProof/>
        </w:rPr>
        <w:t>1</w:t>
      </w:r>
      <w:r w:rsidRPr="00D3304A">
        <w:rPr>
          <w:noProof/>
        </w:rPr>
        <w:t>.</w:t>
      </w:r>
      <w:r w:rsidRPr="00C24C00">
        <w:rPr>
          <w:noProof/>
        </w:rPr>
        <w:t>1</w:t>
      </w:r>
      <w:r w:rsidRPr="00D3304A">
        <w:rPr>
          <w:noProof/>
        </w:rPr>
        <w:tab/>
        <w:t>Bezeichnung des Vorschlags/der Initiative</w:t>
      </w:r>
    </w:p>
    <w:p w:rsidR="00C1401B" w:rsidRPr="00D3304A" w:rsidRDefault="00C1401B" w:rsidP="00C1401B">
      <w:pPr>
        <w:pStyle w:val="ManualHeading2"/>
        <w:rPr>
          <w:noProof/>
        </w:rPr>
      </w:pPr>
      <w:r w:rsidRPr="00C24C00">
        <w:rPr>
          <w:noProof/>
        </w:rPr>
        <w:t>1</w:t>
      </w:r>
      <w:r w:rsidRPr="00D3304A">
        <w:rPr>
          <w:noProof/>
        </w:rPr>
        <w:t>.</w:t>
      </w:r>
      <w:r w:rsidRPr="00C24C00">
        <w:rPr>
          <w:noProof/>
        </w:rPr>
        <w:t>2</w:t>
      </w:r>
      <w:r w:rsidRPr="00D3304A">
        <w:rPr>
          <w:noProof/>
        </w:rPr>
        <w:t>.</w:t>
      </w:r>
      <w:r w:rsidRPr="00D3304A">
        <w:rPr>
          <w:noProof/>
        </w:rPr>
        <w:tab/>
        <w:t>Politikbereich(e)</w:t>
      </w:r>
    </w:p>
    <w:p w:rsidR="00C1401B" w:rsidRPr="00D3304A" w:rsidRDefault="00C1401B" w:rsidP="00C1401B">
      <w:pPr>
        <w:pStyle w:val="ManualHeading2"/>
        <w:rPr>
          <w:noProof/>
        </w:rPr>
      </w:pPr>
      <w:r w:rsidRPr="00C24C00">
        <w:rPr>
          <w:noProof/>
        </w:rPr>
        <w:t>1</w:t>
      </w:r>
      <w:r w:rsidRPr="00D3304A">
        <w:rPr>
          <w:noProof/>
        </w:rPr>
        <w:t>.</w:t>
      </w:r>
      <w:r w:rsidRPr="00C24C00">
        <w:rPr>
          <w:noProof/>
        </w:rPr>
        <w:t>3</w:t>
      </w:r>
      <w:r w:rsidRPr="00D3304A">
        <w:rPr>
          <w:noProof/>
        </w:rPr>
        <w:t>.</w:t>
      </w:r>
      <w:r w:rsidRPr="00D3304A">
        <w:rPr>
          <w:noProof/>
        </w:rPr>
        <w:tab/>
        <w:t>Der Vorschlag/Die Initiative betrifft</w:t>
      </w:r>
    </w:p>
    <w:p w:rsidR="00C1401B" w:rsidRPr="00D3304A" w:rsidRDefault="00C1401B" w:rsidP="00C1401B">
      <w:pPr>
        <w:pStyle w:val="ManualHeading2"/>
        <w:rPr>
          <w:noProof/>
        </w:rPr>
      </w:pPr>
      <w:r w:rsidRPr="00C24C00">
        <w:rPr>
          <w:noProof/>
        </w:rPr>
        <w:t>1</w:t>
      </w:r>
      <w:r w:rsidRPr="00D3304A">
        <w:rPr>
          <w:noProof/>
        </w:rPr>
        <w:t>.</w:t>
      </w:r>
      <w:r w:rsidRPr="00C24C00">
        <w:rPr>
          <w:noProof/>
        </w:rPr>
        <w:t>4</w:t>
      </w:r>
      <w:r w:rsidRPr="00D3304A">
        <w:rPr>
          <w:noProof/>
        </w:rPr>
        <w:t>.</w:t>
      </w:r>
      <w:r w:rsidRPr="00D3304A">
        <w:rPr>
          <w:noProof/>
        </w:rPr>
        <w:tab/>
        <w:t>Ziel(e)</w:t>
      </w:r>
    </w:p>
    <w:p w:rsidR="00C1401B" w:rsidRPr="00D3304A" w:rsidRDefault="00C1401B" w:rsidP="00C1401B">
      <w:pPr>
        <w:pStyle w:val="ManualHeading3"/>
        <w:rPr>
          <w:noProof/>
        </w:rPr>
      </w:pPr>
      <w:r w:rsidRPr="00C24C00">
        <w:rPr>
          <w:noProof/>
        </w:rPr>
        <w:t>1</w:t>
      </w:r>
      <w:r w:rsidRPr="00D3304A">
        <w:rPr>
          <w:noProof/>
        </w:rPr>
        <w:t>.</w:t>
      </w:r>
      <w:r w:rsidRPr="00C24C00">
        <w:rPr>
          <w:noProof/>
        </w:rPr>
        <w:t>4</w:t>
      </w:r>
      <w:r w:rsidRPr="00D3304A">
        <w:rPr>
          <w:noProof/>
        </w:rPr>
        <w:t>.</w:t>
      </w:r>
      <w:r w:rsidRPr="00C24C00">
        <w:rPr>
          <w:noProof/>
        </w:rPr>
        <w:t>1</w:t>
      </w:r>
      <w:r w:rsidRPr="00D3304A">
        <w:rPr>
          <w:noProof/>
        </w:rPr>
        <w:t>.</w:t>
      </w:r>
      <w:r w:rsidRPr="00D3304A">
        <w:rPr>
          <w:noProof/>
        </w:rPr>
        <w:tab/>
        <w:t>Allgemeine(s) Ziel(e)</w:t>
      </w:r>
    </w:p>
    <w:p w:rsidR="00C1401B" w:rsidRPr="00D3304A" w:rsidRDefault="00C1401B" w:rsidP="00C1401B">
      <w:pPr>
        <w:pStyle w:val="ManualHeading3"/>
        <w:rPr>
          <w:noProof/>
        </w:rPr>
      </w:pPr>
      <w:r w:rsidRPr="00C24C00">
        <w:rPr>
          <w:noProof/>
        </w:rPr>
        <w:t>1</w:t>
      </w:r>
      <w:r w:rsidRPr="00D3304A">
        <w:rPr>
          <w:noProof/>
        </w:rPr>
        <w:t>.</w:t>
      </w:r>
      <w:r w:rsidRPr="00C24C00">
        <w:rPr>
          <w:noProof/>
        </w:rPr>
        <w:t>4</w:t>
      </w:r>
      <w:r w:rsidRPr="00D3304A">
        <w:rPr>
          <w:noProof/>
        </w:rPr>
        <w:t>.</w:t>
      </w:r>
      <w:r w:rsidRPr="00C24C00">
        <w:rPr>
          <w:noProof/>
        </w:rPr>
        <w:t>2</w:t>
      </w:r>
      <w:r w:rsidRPr="00D3304A">
        <w:rPr>
          <w:noProof/>
        </w:rPr>
        <w:t>.</w:t>
      </w:r>
      <w:r w:rsidRPr="00D3304A">
        <w:rPr>
          <w:noProof/>
        </w:rPr>
        <w:tab/>
        <w:t>Einzelziel(e)</w:t>
      </w:r>
    </w:p>
    <w:p w:rsidR="00C1401B" w:rsidRPr="00D3304A" w:rsidRDefault="00C1401B" w:rsidP="00C1401B">
      <w:pPr>
        <w:pStyle w:val="ManualHeading3"/>
        <w:rPr>
          <w:noProof/>
        </w:rPr>
      </w:pPr>
      <w:r w:rsidRPr="00C24C00">
        <w:rPr>
          <w:noProof/>
        </w:rPr>
        <w:t>1</w:t>
      </w:r>
      <w:r w:rsidRPr="00D3304A">
        <w:rPr>
          <w:noProof/>
        </w:rPr>
        <w:t>.</w:t>
      </w:r>
      <w:r w:rsidRPr="00C24C00">
        <w:rPr>
          <w:noProof/>
        </w:rPr>
        <w:t>4</w:t>
      </w:r>
      <w:r w:rsidRPr="00D3304A">
        <w:rPr>
          <w:noProof/>
        </w:rPr>
        <w:t>.</w:t>
      </w:r>
      <w:r w:rsidRPr="00C24C00">
        <w:rPr>
          <w:noProof/>
        </w:rPr>
        <w:t>3</w:t>
      </w:r>
      <w:r w:rsidRPr="00D3304A">
        <w:rPr>
          <w:noProof/>
        </w:rPr>
        <w:t>.</w:t>
      </w:r>
      <w:r w:rsidRPr="00D3304A">
        <w:rPr>
          <w:noProof/>
        </w:rPr>
        <w:tab/>
        <w:t>Erwartete Ergebnisse und Auswirkungen</w:t>
      </w:r>
    </w:p>
    <w:p w:rsidR="00C1401B" w:rsidRPr="00D3304A" w:rsidRDefault="00C1401B" w:rsidP="00C1401B">
      <w:pPr>
        <w:pStyle w:val="ManualHeading3"/>
        <w:rPr>
          <w:noProof/>
        </w:rPr>
      </w:pPr>
      <w:r w:rsidRPr="00C24C00">
        <w:rPr>
          <w:noProof/>
        </w:rPr>
        <w:t>1</w:t>
      </w:r>
      <w:r w:rsidRPr="00D3304A">
        <w:rPr>
          <w:noProof/>
        </w:rPr>
        <w:t>.</w:t>
      </w:r>
      <w:r w:rsidRPr="00C24C00">
        <w:rPr>
          <w:noProof/>
        </w:rPr>
        <w:t>4</w:t>
      </w:r>
      <w:r w:rsidRPr="00D3304A">
        <w:rPr>
          <w:noProof/>
        </w:rPr>
        <w:t>.</w:t>
      </w:r>
      <w:r w:rsidRPr="00C24C00">
        <w:rPr>
          <w:noProof/>
        </w:rPr>
        <w:t>4</w:t>
      </w:r>
      <w:r w:rsidRPr="00D3304A">
        <w:rPr>
          <w:noProof/>
        </w:rPr>
        <w:t>.</w:t>
      </w:r>
      <w:r w:rsidRPr="00D3304A">
        <w:rPr>
          <w:noProof/>
        </w:rPr>
        <w:tab/>
        <w:t>Leistungsindikatoren</w:t>
      </w:r>
    </w:p>
    <w:p w:rsidR="00C1401B" w:rsidRPr="00D3304A" w:rsidRDefault="00C1401B" w:rsidP="00C1401B">
      <w:pPr>
        <w:pStyle w:val="ManualHeading2"/>
        <w:rPr>
          <w:noProof/>
        </w:rPr>
      </w:pPr>
      <w:r w:rsidRPr="00C24C00">
        <w:rPr>
          <w:noProof/>
        </w:rPr>
        <w:t>1</w:t>
      </w:r>
      <w:r w:rsidRPr="00D3304A">
        <w:rPr>
          <w:noProof/>
        </w:rPr>
        <w:t>.</w:t>
      </w:r>
      <w:r w:rsidRPr="00C24C00">
        <w:rPr>
          <w:noProof/>
        </w:rPr>
        <w:t>5</w:t>
      </w:r>
      <w:r w:rsidRPr="00D3304A">
        <w:rPr>
          <w:noProof/>
        </w:rPr>
        <w:t>.</w:t>
      </w:r>
      <w:r w:rsidRPr="00D3304A">
        <w:rPr>
          <w:noProof/>
        </w:rPr>
        <w:tab/>
        <w:t>Begründung des Vorschlags/der Initiative</w:t>
      </w:r>
    </w:p>
    <w:p w:rsidR="00C1401B" w:rsidRPr="00D3304A" w:rsidRDefault="00C1401B" w:rsidP="00C1401B">
      <w:pPr>
        <w:pStyle w:val="ManualHeading3"/>
        <w:rPr>
          <w:noProof/>
        </w:rPr>
      </w:pPr>
      <w:r w:rsidRPr="00C24C00">
        <w:rPr>
          <w:noProof/>
        </w:rPr>
        <w:t>1</w:t>
      </w:r>
      <w:r w:rsidRPr="00D3304A">
        <w:rPr>
          <w:noProof/>
        </w:rPr>
        <w:t>.</w:t>
      </w:r>
      <w:r w:rsidRPr="00C24C00">
        <w:rPr>
          <w:noProof/>
        </w:rPr>
        <w:t>5</w:t>
      </w:r>
      <w:r w:rsidRPr="00D3304A">
        <w:rPr>
          <w:noProof/>
        </w:rPr>
        <w:t>.</w:t>
      </w:r>
      <w:r w:rsidRPr="00C24C00">
        <w:rPr>
          <w:noProof/>
        </w:rPr>
        <w:t>1</w:t>
      </w:r>
      <w:r w:rsidRPr="00D3304A">
        <w:rPr>
          <w:noProof/>
        </w:rPr>
        <w:tab/>
        <w:t>Kurz- oder langfristig zu deckender Bedarf, einschließlich einer detaillierten Zeitleiste für die Durchführung der Initiative</w:t>
      </w:r>
    </w:p>
    <w:p w:rsidR="00C1401B" w:rsidRPr="00D3304A" w:rsidRDefault="00C1401B" w:rsidP="00C1401B">
      <w:pPr>
        <w:pStyle w:val="ManualHeading3"/>
        <w:rPr>
          <w:noProof/>
        </w:rPr>
      </w:pPr>
      <w:r w:rsidRPr="00C24C00">
        <w:rPr>
          <w:noProof/>
        </w:rPr>
        <w:t>1</w:t>
      </w:r>
      <w:r w:rsidRPr="00D3304A">
        <w:rPr>
          <w:noProof/>
        </w:rPr>
        <w:t>.</w:t>
      </w:r>
      <w:r w:rsidRPr="00C24C00">
        <w:rPr>
          <w:noProof/>
        </w:rPr>
        <w:t>5</w:t>
      </w:r>
      <w:r w:rsidRPr="00D3304A">
        <w:rPr>
          <w:noProof/>
        </w:rPr>
        <w:t>.</w:t>
      </w:r>
      <w:r w:rsidRPr="00C24C00">
        <w:rPr>
          <w:noProof/>
        </w:rPr>
        <w:t>2</w:t>
      </w:r>
      <w:r w:rsidRPr="00D3304A">
        <w:rPr>
          <w:noProof/>
        </w:rPr>
        <w:t>.</w:t>
      </w:r>
      <w:r w:rsidRPr="00D3304A">
        <w:rPr>
          <w:noProof/>
        </w:rPr>
        <w:tab/>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rsidR="00C1401B" w:rsidRPr="00D3304A" w:rsidRDefault="00C1401B" w:rsidP="00C1401B">
      <w:pPr>
        <w:pStyle w:val="ManualHeading3"/>
        <w:rPr>
          <w:noProof/>
        </w:rPr>
      </w:pPr>
      <w:r w:rsidRPr="00C24C00">
        <w:rPr>
          <w:noProof/>
        </w:rPr>
        <w:t>1</w:t>
      </w:r>
      <w:r w:rsidRPr="00D3304A">
        <w:rPr>
          <w:noProof/>
        </w:rPr>
        <w:t>.</w:t>
      </w:r>
      <w:r w:rsidRPr="00C24C00">
        <w:rPr>
          <w:noProof/>
        </w:rPr>
        <w:t>5</w:t>
      </w:r>
      <w:r w:rsidRPr="00D3304A">
        <w:rPr>
          <w:noProof/>
        </w:rPr>
        <w:t>.</w:t>
      </w:r>
      <w:r w:rsidRPr="00C24C00">
        <w:rPr>
          <w:noProof/>
        </w:rPr>
        <w:t>3</w:t>
      </w:r>
      <w:r w:rsidRPr="00D3304A">
        <w:rPr>
          <w:noProof/>
        </w:rPr>
        <w:t>.</w:t>
      </w:r>
      <w:r w:rsidRPr="00D3304A">
        <w:rPr>
          <w:noProof/>
        </w:rPr>
        <w:tab/>
        <w:t>Aus früheren ähnlichen Maßnahmen gewonnene Erkenntnisse</w:t>
      </w:r>
    </w:p>
    <w:p w:rsidR="00C1401B" w:rsidRPr="00D3304A" w:rsidRDefault="00C1401B" w:rsidP="00C1401B">
      <w:pPr>
        <w:pStyle w:val="ManualHeading3"/>
        <w:rPr>
          <w:noProof/>
        </w:rPr>
      </w:pPr>
      <w:r w:rsidRPr="00C24C00">
        <w:rPr>
          <w:noProof/>
        </w:rPr>
        <w:t>1</w:t>
      </w:r>
      <w:r w:rsidRPr="00D3304A">
        <w:rPr>
          <w:noProof/>
        </w:rPr>
        <w:t>.</w:t>
      </w:r>
      <w:r w:rsidRPr="00C24C00">
        <w:rPr>
          <w:noProof/>
        </w:rPr>
        <w:t>5</w:t>
      </w:r>
      <w:r w:rsidRPr="00D3304A">
        <w:rPr>
          <w:noProof/>
        </w:rPr>
        <w:t>.</w:t>
      </w:r>
      <w:r w:rsidRPr="00C24C00">
        <w:rPr>
          <w:noProof/>
        </w:rPr>
        <w:t>4</w:t>
      </w:r>
      <w:r w:rsidRPr="00D3304A">
        <w:rPr>
          <w:noProof/>
        </w:rPr>
        <w:t>.</w:t>
      </w:r>
      <w:r w:rsidRPr="00D3304A">
        <w:rPr>
          <w:noProof/>
        </w:rPr>
        <w:tab/>
        <w:t>Vereinbarkeit mit dem Mehrjährigen Finanzrahmen sowie mögliche Synergieeffekte mit anderen geeigneten Instrumenten</w:t>
      </w:r>
    </w:p>
    <w:p w:rsidR="00C1401B" w:rsidRPr="00D3304A" w:rsidRDefault="00C1401B" w:rsidP="00C1401B">
      <w:pPr>
        <w:pStyle w:val="ManualHeading3"/>
        <w:rPr>
          <w:noProof/>
        </w:rPr>
      </w:pPr>
      <w:r w:rsidRPr="00C24C00">
        <w:rPr>
          <w:noProof/>
        </w:rPr>
        <w:t>1</w:t>
      </w:r>
      <w:r w:rsidRPr="00D3304A">
        <w:rPr>
          <w:noProof/>
        </w:rPr>
        <w:t>.</w:t>
      </w:r>
      <w:r w:rsidRPr="00C24C00">
        <w:rPr>
          <w:noProof/>
        </w:rPr>
        <w:t>5</w:t>
      </w:r>
      <w:r w:rsidRPr="00D3304A">
        <w:rPr>
          <w:noProof/>
        </w:rPr>
        <w:t>.</w:t>
      </w:r>
      <w:r w:rsidRPr="00C24C00">
        <w:rPr>
          <w:noProof/>
        </w:rPr>
        <w:t>5</w:t>
      </w:r>
      <w:r w:rsidRPr="00D3304A">
        <w:rPr>
          <w:noProof/>
        </w:rPr>
        <w:t>.</w:t>
      </w:r>
      <w:r w:rsidRPr="00D3304A">
        <w:rPr>
          <w:noProof/>
        </w:rPr>
        <w:tab/>
        <w:t>Bewertung der verschiedenen verfügbaren Finanzierungsoptionen, einschließlich der Möglichkeiten für eine Umschichtung</w:t>
      </w:r>
    </w:p>
    <w:p w:rsidR="00C1401B" w:rsidRPr="00D3304A" w:rsidRDefault="00C1401B" w:rsidP="00C1401B">
      <w:pPr>
        <w:pStyle w:val="ManualHeading2"/>
        <w:rPr>
          <w:noProof/>
        </w:rPr>
      </w:pPr>
      <w:r w:rsidRPr="00C24C00">
        <w:rPr>
          <w:noProof/>
        </w:rPr>
        <w:t>1</w:t>
      </w:r>
      <w:r w:rsidRPr="00D3304A">
        <w:rPr>
          <w:noProof/>
        </w:rPr>
        <w:t>.</w:t>
      </w:r>
      <w:r w:rsidRPr="00C24C00">
        <w:rPr>
          <w:noProof/>
        </w:rPr>
        <w:t>6</w:t>
      </w:r>
      <w:r w:rsidRPr="00D3304A">
        <w:rPr>
          <w:noProof/>
        </w:rPr>
        <w:t>.</w:t>
      </w:r>
      <w:r w:rsidRPr="00D3304A">
        <w:rPr>
          <w:noProof/>
        </w:rPr>
        <w:tab/>
        <w:t>Dauer und finanzielle Auswirkungen des Vorschlags/der Initiative</w:t>
      </w:r>
    </w:p>
    <w:p w:rsidR="00C1401B" w:rsidRPr="00D3304A" w:rsidRDefault="00C1401B" w:rsidP="00C1401B">
      <w:pPr>
        <w:pStyle w:val="ManualHeading2"/>
        <w:rPr>
          <w:noProof/>
        </w:rPr>
      </w:pPr>
      <w:r w:rsidRPr="00C24C00">
        <w:rPr>
          <w:noProof/>
        </w:rPr>
        <w:t>1</w:t>
      </w:r>
      <w:r w:rsidRPr="00D3304A">
        <w:rPr>
          <w:noProof/>
        </w:rPr>
        <w:t>.</w:t>
      </w:r>
      <w:r w:rsidRPr="00C24C00">
        <w:rPr>
          <w:noProof/>
        </w:rPr>
        <w:t>7</w:t>
      </w:r>
      <w:r w:rsidRPr="00D3304A">
        <w:rPr>
          <w:noProof/>
        </w:rPr>
        <w:t>.</w:t>
      </w:r>
      <w:r w:rsidRPr="00D3304A">
        <w:rPr>
          <w:noProof/>
        </w:rPr>
        <w:tab/>
        <w:t>Vorgeschlagene Haushaltsvollzugsart(en)</w:t>
      </w:r>
    </w:p>
    <w:p w:rsidR="00C1401B" w:rsidRPr="00D3304A" w:rsidRDefault="00C1401B" w:rsidP="00C1401B">
      <w:pPr>
        <w:pStyle w:val="ManualHeading1"/>
        <w:rPr>
          <w:noProof/>
        </w:rPr>
      </w:pPr>
      <w:r w:rsidRPr="00C24C00">
        <w:rPr>
          <w:noProof/>
        </w:rPr>
        <w:t>2</w:t>
      </w:r>
      <w:r w:rsidRPr="00D3304A">
        <w:rPr>
          <w:noProof/>
        </w:rPr>
        <w:t>.</w:t>
      </w:r>
      <w:r w:rsidRPr="00D3304A">
        <w:rPr>
          <w:noProof/>
        </w:rPr>
        <w:tab/>
        <w:t>VERWALTUNGSMAẞNAHMEN</w:t>
      </w:r>
    </w:p>
    <w:p w:rsidR="00C1401B" w:rsidRPr="00D3304A" w:rsidRDefault="00C1401B" w:rsidP="00C1401B">
      <w:pPr>
        <w:pStyle w:val="ManualHeading2"/>
        <w:rPr>
          <w:noProof/>
        </w:rPr>
      </w:pPr>
      <w:r w:rsidRPr="00C24C00">
        <w:rPr>
          <w:noProof/>
        </w:rPr>
        <w:t>2</w:t>
      </w:r>
      <w:r w:rsidRPr="00D3304A">
        <w:rPr>
          <w:noProof/>
        </w:rPr>
        <w:t>.</w:t>
      </w:r>
      <w:r w:rsidRPr="00C24C00">
        <w:rPr>
          <w:noProof/>
        </w:rPr>
        <w:t>1</w:t>
      </w:r>
      <w:r w:rsidRPr="00D3304A">
        <w:rPr>
          <w:noProof/>
        </w:rPr>
        <w:tab/>
        <w:t>Überwachung und Berichterstattung</w:t>
      </w:r>
    </w:p>
    <w:p w:rsidR="00C1401B" w:rsidRPr="00D3304A" w:rsidRDefault="00C1401B" w:rsidP="00C1401B">
      <w:pPr>
        <w:pStyle w:val="ManualHeading2"/>
        <w:rPr>
          <w:noProof/>
        </w:rPr>
      </w:pPr>
      <w:r w:rsidRPr="00C24C00">
        <w:rPr>
          <w:noProof/>
        </w:rPr>
        <w:t>2</w:t>
      </w:r>
      <w:r w:rsidRPr="00D3304A">
        <w:rPr>
          <w:noProof/>
        </w:rPr>
        <w:t>.</w:t>
      </w:r>
      <w:r w:rsidRPr="00C24C00">
        <w:rPr>
          <w:noProof/>
        </w:rPr>
        <w:t>2</w:t>
      </w:r>
      <w:r w:rsidRPr="00D3304A">
        <w:rPr>
          <w:noProof/>
        </w:rPr>
        <w:t>.</w:t>
      </w:r>
      <w:r w:rsidRPr="00D3304A">
        <w:rPr>
          <w:noProof/>
        </w:rPr>
        <w:tab/>
        <w:t>Verwaltungs- und Kontrollsystem(e)</w:t>
      </w:r>
    </w:p>
    <w:p w:rsidR="00C1401B" w:rsidRPr="00D3304A" w:rsidRDefault="00C1401B" w:rsidP="00C1401B">
      <w:pPr>
        <w:pStyle w:val="ManualHeading3"/>
        <w:rPr>
          <w:noProof/>
        </w:rPr>
      </w:pPr>
      <w:r w:rsidRPr="00C24C00">
        <w:rPr>
          <w:noProof/>
        </w:rPr>
        <w:t>2</w:t>
      </w:r>
      <w:r w:rsidRPr="00D3304A">
        <w:rPr>
          <w:noProof/>
        </w:rPr>
        <w:t>.</w:t>
      </w:r>
      <w:r w:rsidRPr="00C24C00">
        <w:rPr>
          <w:noProof/>
        </w:rPr>
        <w:t>2</w:t>
      </w:r>
      <w:r w:rsidRPr="00D3304A">
        <w:rPr>
          <w:noProof/>
        </w:rPr>
        <w:t>.</w:t>
      </w:r>
      <w:r w:rsidRPr="00C24C00">
        <w:rPr>
          <w:noProof/>
        </w:rPr>
        <w:t>1</w:t>
      </w:r>
      <w:r w:rsidRPr="00D3304A">
        <w:rPr>
          <w:noProof/>
        </w:rPr>
        <w:tab/>
        <w:t>Begründung der Haushaltsvollzugsart(en), des Durchführungsmechanismus/der Durchführungsmechanismen für die Finanzierung, der Zahlungsmodalitäten und der Kontrollstrategie, wie vorgeschlagen</w:t>
      </w:r>
    </w:p>
    <w:p w:rsidR="00C1401B" w:rsidRPr="00D3304A" w:rsidRDefault="00C1401B" w:rsidP="00C1401B">
      <w:pPr>
        <w:pStyle w:val="ManualHeading3"/>
        <w:rPr>
          <w:noProof/>
        </w:rPr>
      </w:pPr>
      <w:r w:rsidRPr="00C24C00">
        <w:rPr>
          <w:noProof/>
        </w:rPr>
        <w:t>2</w:t>
      </w:r>
      <w:r w:rsidRPr="00D3304A">
        <w:rPr>
          <w:noProof/>
        </w:rPr>
        <w:t>.</w:t>
      </w:r>
      <w:r w:rsidRPr="00C24C00">
        <w:rPr>
          <w:noProof/>
        </w:rPr>
        <w:t>2</w:t>
      </w:r>
      <w:r w:rsidRPr="00D3304A">
        <w:rPr>
          <w:noProof/>
        </w:rPr>
        <w:t>.</w:t>
      </w:r>
      <w:r w:rsidRPr="00C24C00">
        <w:rPr>
          <w:noProof/>
        </w:rPr>
        <w:t>2</w:t>
      </w:r>
      <w:r w:rsidRPr="00D3304A">
        <w:rPr>
          <w:noProof/>
        </w:rPr>
        <w:t>.</w:t>
      </w:r>
      <w:r w:rsidRPr="00D3304A">
        <w:rPr>
          <w:noProof/>
        </w:rPr>
        <w:tab/>
        <w:t>Angaben zu den ermittelten Risiken und dem/den zu deren Eindämmung eingerichteten System(en) der internen Kontrolle</w:t>
      </w:r>
    </w:p>
    <w:p w:rsidR="00C1401B" w:rsidRPr="00D3304A" w:rsidRDefault="00C1401B" w:rsidP="00C1401B">
      <w:pPr>
        <w:pStyle w:val="ManualHeading3"/>
        <w:rPr>
          <w:noProof/>
        </w:rPr>
      </w:pPr>
      <w:r w:rsidRPr="00C24C00">
        <w:rPr>
          <w:noProof/>
        </w:rPr>
        <w:t>2</w:t>
      </w:r>
      <w:r w:rsidRPr="00D3304A">
        <w:rPr>
          <w:noProof/>
        </w:rPr>
        <w:t>.</w:t>
      </w:r>
      <w:r w:rsidRPr="00C24C00">
        <w:rPr>
          <w:noProof/>
        </w:rPr>
        <w:t>2</w:t>
      </w:r>
      <w:r w:rsidRPr="00D3304A">
        <w:rPr>
          <w:noProof/>
        </w:rPr>
        <w:t>.</w:t>
      </w:r>
      <w:r w:rsidRPr="00C24C00">
        <w:rPr>
          <w:noProof/>
        </w:rPr>
        <w:t>3</w:t>
      </w:r>
      <w:r w:rsidRPr="00D3304A">
        <w:rPr>
          <w:noProof/>
        </w:rPr>
        <w:t>.</w:t>
      </w:r>
      <w:r w:rsidRPr="00D3304A">
        <w:rPr>
          <w:noProof/>
        </w:rPr>
        <w:tab/>
        <w:t>Schätzung und Begründung der Kosteneffizienz der Kontrollen (Verhältnis zwischen den Kontrollkosten und dem Wert der betreffenden verwalteten Mittel) sowie Bewertung des erwarteten Ausmaßes des Fehlerrisikos (bei Zahlung und beim Abschluss)</w:t>
      </w:r>
    </w:p>
    <w:p w:rsidR="00C1401B" w:rsidRPr="00D3304A" w:rsidRDefault="00C1401B" w:rsidP="00C1401B">
      <w:pPr>
        <w:pStyle w:val="ManualHeading2"/>
        <w:rPr>
          <w:noProof/>
        </w:rPr>
      </w:pPr>
      <w:r w:rsidRPr="00C24C00">
        <w:rPr>
          <w:noProof/>
        </w:rPr>
        <w:t>2</w:t>
      </w:r>
      <w:r w:rsidRPr="00D3304A">
        <w:rPr>
          <w:noProof/>
        </w:rPr>
        <w:t>.</w:t>
      </w:r>
      <w:r w:rsidRPr="00C24C00">
        <w:rPr>
          <w:noProof/>
        </w:rPr>
        <w:t>3</w:t>
      </w:r>
      <w:r w:rsidRPr="00D3304A">
        <w:rPr>
          <w:noProof/>
        </w:rPr>
        <w:t>.</w:t>
      </w:r>
      <w:r w:rsidRPr="00D3304A">
        <w:rPr>
          <w:noProof/>
        </w:rPr>
        <w:tab/>
        <w:t>Prävention von Betrug und Unregelmäßigkeiten</w:t>
      </w:r>
    </w:p>
    <w:p w:rsidR="00C1401B" w:rsidRPr="00D3304A" w:rsidRDefault="00C1401B" w:rsidP="00C1401B">
      <w:pPr>
        <w:pStyle w:val="ManualHeading1"/>
        <w:rPr>
          <w:noProof/>
        </w:rPr>
      </w:pPr>
      <w:r w:rsidRPr="00C24C00">
        <w:rPr>
          <w:noProof/>
        </w:rPr>
        <w:t>3</w:t>
      </w:r>
      <w:r w:rsidRPr="00D3304A">
        <w:rPr>
          <w:noProof/>
        </w:rPr>
        <w:t>.</w:t>
      </w:r>
      <w:r w:rsidRPr="00D3304A">
        <w:rPr>
          <w:noProof/>
        </w:rPr>
        <w:tab/>
        <w:t>GESCHÄTZTE FINANZIELLE AUSWIRKUNGEN DES VORSCHLAGS/DER INITIATIVE</w:t>
      </w:r>
    </w:p>
    <w:p w:rsidR="00C1401B" w:rsidRPr="00D3304A" w:rsidRDefault="00C1401B" w:rsidP="00C1401B">
      <w:pPr>
        <w:rPr>
          <w:noProof/>
        </w:rPr>
      </w:pPr>
    </w:p>
    <w:p w:rsidR="00C1401B" w:rsidRPr="00D3304A" w:rsidRDefault="00C1401B" w:rsidP="00C1401B">
      <w:pPr>
        <w:pStyle w:val="ManualHeading2"/>
        <w:rPr>
          <w:noProof/>
        </w:rPr>
      </w:pPr>
      <w:r w:rsidRPr="00C24C00">
        <w:rPr>
          <w:noProof/>
        </w:rPr>
        <w:t>3</w:t>
      </w:r>
      <w:r w:rsidRPr="00D3304A">
        <w:rPr>
          <w:noProof/>
        </w:rPr>
        <w:t>.</w:t>
      </w:r>
      <w:r w:rsidRPr="00C24C00">
        <w:rPr>
          <w:noProof/>
        </w:rPr>
        <w:t>1</w:t>
      </w:r>
      <w:r w:rsidRPr="00D3304A">
        <w:rPr>
          <w:noProof/>
        </w:rPr>
        <w:tab/>
        <w:t>Betroffene Rubrik(en) des Mehrjährigen Finanzrahmens und Ausgabenlinie(n) im Haushaltsplan</w:t>
      </w:r>
    </w:p>
    <w:p w:rsidR="00C1401B" w:rsidRPr="00D3304A" w:rsidRDefault="00C1401B" w:rsidP="00C1401B">
      <w:pPr>
        <w:pStyle w:val="ManualHeading2"/>
        <w:rPr>
          <w:noProof/>
        </w:rPr>
      </w:pPr>
      <w:r w:rsidRPr="00C24C00">
        <w:rPr>
          <w:noProof/>
        </w:rPr>
        <w:t>3</w:t>
      </w:r>
      <w:r w:rsidRPr="00D3304A">
        <w:rPr>
          <w:noProof/>
        </w:rPr>
        <w:t>.</w:t>
      </w:r>
      <w:r w:rsidRPr="00C24C00">
        <w:rPr>
          <w:noProof/>
        </w:rPr>
        <w:t>2</w:t>
      </w:r>
      <w:r w:rsidRPr="00D3304A">
        <w:rPr>
          <w:noProof/>
        </w:rPr>
        <w:t>.</w:t>
      </w:r>
      <w:r w:rsidRPr="00D3304A">
        <w:rPr>
          <w:noProof/>
        </w:rPr>
        <w:tab/>
        <w:t>Geschätzte finanzielle Auswirkungen des Vorschlags auf die Mittel</w:t>
      </w:r>
    </w:p>
    <w:p w:rsidR="00C1401B" w:rsidRPr="00D3304A" w:rsidRDefault="00C1401B" w:rsidP="00C1401B">
      <w:pPr>
        <w:pStyle w:val="ManualHeading3"/>
        <w:rPr>
          <w:noProof/>
        </w:rPr>
      </w:pPr>
      <w:r w:rsidRPr="00C24C00">
        <w:rPr>
          <w:noProof/>
        </w:rPr>
        <w:t>3</w:t>
      </w:r>
      <w:r w:rsidRPr="00D3304A">
        <w:rPr>
          <w:noProof/>
        </w:rPr>
        <w:t>.</w:t>
      </w:r>
      <w:r w:rsidRPr="00C24C00">
        <w:rPr>
          <w:noProof/>
        </w:rPr>
        <w:t>2</w:t>
      </w:r>
      <w:r w:rsidRPr="00D3304A">
        <w:rPr>
          <w:noProof/>
        </w:rPr>
        <w:t>.</w:t>
      </w:r>
      <w:r w:rsidRPr="00C24C00">
        <w:rPr>
          <w:noProof/>
        </w:rPr>
        <w:t>1</w:t>
      </w:r>
      <w:r w:rsidRPr="00D3304A">
        <w:rPr>
          <w:noProof/>
        </w:rPr>
        <w:tab/>
        <w:t>Übersicht über die geschätzten Auswirkungen auf die operativen Mittel</w:t>
      </w:r>
    </w:p>
    <w:p w:rsidR="00C1401B" w:rsidRPr="00D3304A" w:rsidRDefault="00C1401B" w:rsidP="00C1401B">
      <w:pPr>
        <w:pStyle w:val="ManualHeading3"/>
        <w:rPr>
          <w:noProof/>
        </w:rPr>
      </w:pPr>
      <w:r w:rsidRPr="00C24C00">
        <w:rPr>
          <w:noProof/>
        </w:rPr>
        <w:t>3</w:t>
      </w:r>
      <w:r w:rsidRPr="00D3304A">
        <w:rPr>
          <w:noProof/>
        </w:rPr>
        <w:t>.</w:t>
      </w:r>
      <w:r w:rsidRPr="00C24C00">
        <w:rPr>
          <w:noProof/>
        </w:rPr>
        <w:t>2</w:t>
      </w:r>
      <w:r w:rsidRPr="00D3304A">
        <w:rPr>
          <w:noProof/>
        </w:rPr>
        <w:t>.</w:t>
      </w:r>
      <w:r w:rsidRPr="00C24C00">
        <w:rPr>
          <w:noProof/>
        </w:rPr>
        <w:t>2</w:t>
      </w:r>
      <w:r w:rsidRPr="00D3304A">
        <w:rPr>
          <w:noProof/>
        </w:rPr>
        <w:t>.</w:t>
      </w:r>
      <w:r w:rsidRPr="00D3304A">
        <w:rPr>
          <w:noProof/>
        </w:rPr>
        <w:tab/>
        <w:t>Geschätzte Ergebnisse, die mit operativen Mitteln finanziert werden</w:t>
      </w:r>
    </w:p>
    <w:p w:rsidR="00C1401B" w:rsidRPr="00D3304A" w:rsidRDefault="00C1401B" w:rsidP="00C1401B">
      <w:pPr>
        <w:pStyle w:val="ManualHeading3"/>
        <w:rPr>
          <w:noProof/>
        </w:rPr>
      </w:pPr>
      <w:r w:rsidRPr="00C24C00">
        <w:rPr>
          <w:noProof/>
        </w:rPr>
        <w:t>3</w:t>
      </w:r>
      <w:r w:rsidRPr="00D3304A">
        <w:rPr>
          <w:noProof/>
        </w:rPr>
        <w:t>.</w:t>
      </w:r>
      <w:r w:rsidRPr="00C24C00">
        <w:rPr>
          <w:noProof/>
        </w:rPr>
        <w:t>2</w:t>
      </w:r>
      <w:r w:rsidRPr="00D3304A">
        <w:rPr>
          <w:noProof/>
        </w:rPr>
        <w:t>.</w:t>
      </w:r>
      <w:r w:rsidRPr="00C24C00">
        <w:rPr>
          <w:noProof/>
        </w:rPr>
        <w:t>3</w:t>
      </w:r>
      <w:r w:rsidRPr="00D3304A">
        <w:rPr>
          <w:noProof/>
        </w:rPr>
        <w:t>.</w:t>
      </w:r>
      <w:r w:rsidRPr="00D3304A">
        <w:rPr>
          <w:noProof/>
        </w:rPr>
        <w:tab/>
        <w:t>Übersicht über die geschätzten Auswirkungen auf die Verwaltungsmittel</w:t>
      </w:r>
    </w:p>
    <w:p w:rsidR="00C1401B" w:rsidRPr="00D3304A" w:rsidRDefault="00C1401B" w:rsidP="00C1401B">
      <w:pPr>
        <w:pStyle w:val="ManualHeading3"/>
        <w:rPr>
          <w:noProof/>
        </w:rPr>
      </w:pPr>
      <w:r w:rsidRPr="00C24C00">
        <w:rPr>
          <w:noProof/>
        </w:rPr>
        <w:t>3</w:t>
      </w:r>
      <w:r w:rsidRPr="00D3304A">
        <w:rPr>
          <w:noProof/>
        </w:rPr>
        <w:t>.</w:t>
      </w:r>
      <w:r w:rsidRPr="00C24C00">
        <w:rPr>
          <w:noProof/>
        </w:rPr>
        <w:t>2</w:t>
      </w:r>
      <w:r w:rsidRPr="00D3304A">
        <w:rPr>
          <w:noProof/>
        </w:rPr>
        <w:t>.</w:t>
      </w:r>
      <w:r w:rsidRPr="00C24C00">
        <w:rPr>
          <w:noProof/>
        </w:rPr>
        <w:t>3</w:t>
      </w:r>
      <w:r w:rsidRPr="00D3304A">
        <w:rPr>
          <w:noProof/>
        </w:rPr>
        <w:t>.</w:t>
      </w:r>
      <w:r w:rsidRPr="00C24C00">
        <w:rPr>
          <w:noProof/>
        </w:rPr>
        <w:t>1</w:t>
      </w:r>
      <w:r w:rsidRPr="00D3304A">
        <w:rPr>
          <w:noProof/>
        </w:rPr>
        <w:t>.</w:t>
      </w:r>
      <w:r w:rsidRPr="00D3304A">
        <w:rPr>
          <w:noProof/>
        </w:rPr>
        <w:tab/>
        <w:t>Geschätzter Personalbedarf</w:t>
      </w:r>
    </w:p>
    <w:p w:rsidR="00C1401B" w:rsidRPr="00D3304A" w:rsidRDefault="00C1401B" w:rsidP="00C1401B">
      <w:pPr>
        <w:pStyle w:val="ManualHeading3"/>
        <w:rPr>
          <w:noProof/>
        </w:rPr>
      </w:pPr>
      <w:r w:rsidRPr="00C24C00">
        <w:rPr>
          <w:noProof/>
        </w:rPr>
        <w:t>3</w:t>
      </w:r>
      <w:r w:rsidRPr="00D3304A">
        <w:rPr>
          <w:noProof/>
        </w:rPr>
        <w:t>.</w:t>
      </w:r>
      <w:r w:rsidRPr="00C24C00">
        <w:rPr>
          <w:noProof/>
        </w:rPr>
        <w:t>2</w:t>
      </w:r>
      <w:r w:rsidRPr="00D3304A">
        <w:rPr>
          <w:noProof/>
        </w:rPr>
        <w:t>.</w:t>
      </w:r>
      <w:r w:rsidRPr="00C24C00">
        <w:rPr>
          <w:noProof/>
        </w:rPr>
        <w:t>4</w:t>
      </w:r>
      <w:r w:rsidRPr="00D3304A">
        <w:rPr>
          <w:noProof/>
        </w:rPr>
        <w:t>.</w:t>
      </w:r>
      <w:r w:rsidRPr="00D3304A">
        <w:rPr>
          <w:noProof/>
        </w:rPr>
        <w:tab/>
        <w:t>Vereinbarkeit mit dem derzeitigen Mehrjährigen Finanzrahmen</w:t>
      </w:r>
    </w:p>
    <w:p w:rsidR="00C1401B" w:rsidRPr="00D3304A" w:rsidRDefault="00C1401B" w:rsidP="00C1401B">
      <w:pPr>
        <w:pStyle w:val="ManualHeading3"/>
        <w:rPr>
          <w:noProof/>
        </w:rPr>
      </w:pPr>
      <w:r w:rsidRPr="00C24C00">
        <w:rPr>
          <w:noProof/>
        </w:rPr>
        <w:t>3</w:t>
      </w:r>
      <w:r w:rsidRPr="00D3304A">
        <w:rPr>
          <w:noProof/>
        </w:rPr>
        <w:t>.</w:t>
      </w:r>
      <w:r w:rsidRPr="00C24C00">
        <w:rPr>
          <w:noProof/>
        </w:rPr>
        <w:t>2</w:t>
      </w:r>
      <w:r w:rsidRPr="00D3304A">
        <w:rPr>
          <w:noProof/>
        </w:rPr>
        <w:t>.</w:t>
      </w:r>
      <w:r w:rsidRPr="00C24C00">
        <w:rPr>
          <w:noProof/>
        </w:rPr>
        <w:t>5</w:t>
      </w:r>
      <w:r w:rsidRPr="00D3304A">
        <w:rPr>
          <w:noProof/>
        </w:rPr>
        <w:t>.</w:t>
      </w:r>
      <w:r w:rsidRPr="00D3304A">
        <w:rPr>
          <w:noProof/>
        </w:rPr>
        <w:tab/>
        <w:t>Finanzierungsbeteiligung Dritter</w:t>
      </w:r>
    </w:p>
    <w:p w:rsidR="00C1401B" w:rsidRPr="00D3304A" w:rsidRDefault="00C1401B" w:rsidP="00C1401B">
      <w:pPr>
        <w:pStyle w:val="ManualHeading2"/>
        <w:jc w:val="left"/>
        <w:rPr>
          <w:noProof/>
        </w:rPr>
        <w:sectPr w:rsidR="00C1401B" w:rsidRPr="00D3304A" w:rsidSect="00740C8C">
          <w:pgSz w:w="11907" w:h="16839"/>
          <w:pgMar w:top="1134" w:right="1417" w:bottom="1134" w:left="1417" w:header="709" w:footer="709" w:gutter="0"/>
          <w:cols w:space="720"/>
          <w:docGrid w:linePitch="360"/>
        </w:sectPr>
      </w:pPr>
      <w:r w:rsidRPr="00C24C00">
        <w:rPr>
          <w:noProof/>
        </w:rPr>
        <w:t>3</w:t>
      </w:r>
      <w:r w:rsidRPr="00D3304A">
        <w:rPr>
          <w:noProof/>
        </w:rPr>
        <w:t>.</w:t>
      </w:r>
      <w:r w:rsidRPr="00C24C00">
        <w:rPr>
          <w:noProof/>
        </w:rPr>
        <w:t>3</w:t>
      </w:r>
      <w:r w:rsidRPr="00D3304A">
        <w:rPr>
          <w:noProof/>
        </w:rPr>
        <w:t>.</w:t>
      </w:r>
      <w:r w:rsidRPr="00D3304A">
        <w:rPr>
          <w:noProof/>
        </w:rPr>
        <w:tab/>
        <w:t>Geschätzte Auswirkungen auf die Einnahmen</w:t>
      </w:r>
    </w:p>
    <w:p w:rsidR="00AA3A89" w:rsidRPr="00D3304A" w:rsidRDefault="00C1401B" w:rsidP="00C1401B">
      <w:pPr>
        <w:pStyle w:val="Annexetitrefichefinancire"/>
        <w:rPr>
          <w:noProof/>
        </w:rPr>
      </w:pPr>
      <w:r w:rsidRPr="00D3304A">
        <w:rPr>
          <w:noProof/>
        </w:rPr>
        <w:t xml:space="preserve">ANHANG </w:t>
      </w:r>
    </w:p>
    <w:p w:rsidR="00C1401B" w:rsidRPr="00D3304A" w:rsidRDefault="00C1401B" w:rsidP="00C1401B">
      <w:pPr>
        <w:pStyle w:val="ManualHeading1"/>
        <w:rPr>
          <w:noProof/>
        </w:rPr>
      </w:pPr>
      <w:bookmarkStart w:id="9" w:name="_Toc514938007"/>
      <w:bookmarkStart w:id="10" w:name="_Toc520485025"/>
      <w:r w:rsidRPr="00C24C00">
        <w:rPr>
          <w:noProof/>
        </w:rPr>
        <w:t>1</w:t>
      </w:r>
      <w:r w:rsidRPr="00D3304A">
        <w:rPr>
          <w:noProof/>
        </w:rPr>
        <w:t>.</w:t>
      </w:r>
      <w:r w:rsidRPr="00D3304A">
        <w:rPr>
          <w:noProof/>
        </w:rPr>
        <w:tab/>
        <w:t>RAHMEN DES VORSCHLAGS/DER INITIATIVE</w:t>
      </w:r>
      <w:bookmarkEnd w:id="9"/>
      <w:bookmarkEnd w:id="10"/>
      <w:r w:rsidRPr="00D3304A">
        <w:rPr>
          <w:noProof/>
        </w:rPr>
        <w:t xml:space="preserve"> </w:t>
      </w:r>
    </w:p>
    <w:p w:rsidR="00C1401B" w:rsidRPr="00D3304A" w:rsidRDefault="00C1401B" w:rsidP="00C1401B">
      <w:pPr>
        <w:pStyle w:val="ManualHeading2"/>
        <w:rPr>
          <w:noProof/>
        </w:rPr>
      </w:pPr>
      <w:bookmarkStart w:id="11" w:name="_Toc514938008"/>
      <w:bookmarkStart w:id="12" w:name="_Toc520485026"/>
      <w:r w:rsidRPr="00C24C00">
        <w:rPr>
          <w:noProof/>
        </w:rPr>
        <w:t>1</w:t>
      </w:r>
      <w:r w:rsidRPr="00D3304A">
        <w:rPr>
          <w:noProof/>
        </w:rPr>
        <w:t>.</w:t>
      </w:r>
      <w:r w:rsidRPr="00C24C00">
        <w:rPr>
          <w:noProof/>
        </w:rPr>
        <w:t>1</w:t>
      </w:r>
      <w:r w:rsidRPr="00D3304A">
        <w:rPr>
          <w:noProof/>
        </w:rPr>
        <w:tab/>
        <w:t>Bezeichnung des Vorschlags/der Initiative</w:t>
      </w:r>
      <w:bookmarkEnd w:id="11"/>
      <w:bookmarkEnd w:id="12"/>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Verordnung des Europäisches Parlaments und des Rates über nichtfinanzielle Statistiken zu Gewerbeimmobilien</w:t>
      </w:r>
    </w:p>
    <w:p w:rsidR="00C1401B" w:rsidRPr="00D3304A" w:rsidRDefault="00C1401B" w:rsidP="00C1401B">
      <w:pPr>
        <w:pStyle w:val="ManualHeading2"/>
        <w:rPr>
          <w:i/>
          <w:noProof/>
        </w:rPr>
      </w:pPr>
      <w:bookmarkStart w:id="13" w:name="_Toc514938011"/>
      <w:bookmarkStart w:id="14" w:name="_Toc520485027"/>
      <w:r w:rsidRPr="00C24C00">
        <w:rPr>
          <w:noProof/>
        </w:rPr>
        <w:t>1</w:t>
      </w:r>
      <w:r w:rsidRPr="00D3304A">
        <w:rPr>
          <w:noProof/>
        </w:rPr>
        <w:t>.</w:t>
      </w:r>
      <w:r w:rsidRPr="00C24C00">
        <w:rPr>
          <w:noProof/>
        </w:rPr>
        <w:t>2</w:t>
      </w:r>
      <w:r w:rsidRPr="00D3304A">
        <w:rPr>
          <w:noProof/>
        </w:rPr>
        <w:t>.</w:t>
      </w:r>
      <w:r w:rsidRPr="00D3304A">
        <w:rPr>
          <w:noProof/>
        </w:rPr>
        <w:tab/>
        <w:t>Politikbereich(e)</w:t>
      </w:r>
      <w:bookmarkEnd w:id="13"/>
      <w:bookmarkEnd w:id="14"/>
      <w:r w:rsidRPr="00D3304A">
        <w:rPr>
          <w:i/>
          <w:noProof/>
        </w:rPr>
        <w:t xml:space="preserve"> </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Statistik</w:t>
      </w:r>
    </w:p>
    <w:p w:rsidR="00C1401B" w:rsidRPr="00D3304A" w:rsidRDefault="00C1401B" w:rsidP="00C1401B">
      <w:pPr>
        <w:pStyle w:val="ManualHeading2"/>
        <w:rPr>
          <w:bCs/>
          <w:noProof/>
          <w:szCs w:val="24"/>
        </w:rPr>
      </w:pPr>
      <w:bookmarkStart w:id="15" w:name="_Toc514938014"/>
      <w:bookmarkStart w:id="16" w:name="_Toc520485028"/>
      <w:r w:rsidRPr="00C24C00">
        <w:rPr>
          <w:noProof/>
        </w:rPr>
        <w:t>1</w:t>
      </w:r>
      <w:r w:rsidRPr="00D3304A">
        <w:rPr>
          <w:noProof/>
        </w:rPr>
        <w:t>.</w:t>
      </w:r>
      <w:r w:rsidRPr="00C24C00">
        <w:rPr>
          <w:noProof/>
        </w:rPr>
        <w:t>3</w:t>
      </w:r>
      <w:r w:rsidRPr="00D3304A">
        <w:rPr>
          <w:noProof/>
        </w:rPr>
        <w:t>.</w:t>
      </w:r>
      <w:r w:rsidRPr="00D3304A">
        <w:rPr>
          <w:noProof/>
        </w:rPr>
        <w:tab/>
        <w:t>Der Vorschlag/Die Initiative betrifft</w:t>
      </w:r>
      <w:bookmarkEnd w:id="15"/>
      <w:bookmarkEnd w:id="16"/>
      <w:r w:rsidRPr="00D3304A">
        <w:rPr>
          <w:noProof/>
        </w:rPr>
        <w:t xml:space="preserve"> </w:t>
      </w:r>
    </w:p>
    <w:p w:rsidR="00C1401B" w:rsidRPr="00D3304A" w:rsidRDefault="00C1401B" w:rsidP="00C1401B">
      <w:pPr>
        <w:pStyle w:val="Text1"/>
        <w:rPr>
          <w:b/>
          <w:noProof/>
          <w:sz w:val="22"/>
        </w:rPr>
      </w:pPr>
      <w:r w:rsidRPr="00D3304A">
        <w:rPr>
          <w:noProof/>
        </w:rPr>
        <w:sym w:font="Wingdings" w:char="F0FD"/>
      </w:r>
      <w:r w:rsidRPr="00D3304A">
        <w:rPr>
          <w:b/>
          <w:noProof/>
        </w:rPr>
        <w:t xml:space="preserve"> eine neue Maßnahme</w:t>
      </w:r>
      <w:r w:rsidRPr="00D3304A">
        <w:rPr>
          <w:b/>
          <w:noProof/>
          <w:sz w:val="22"/>
        </w:rPr>
        <w:t xml:space="preserve"> </w:t>
      </w:r>
    </w:p>
    <w:p w:rsidR="00C1401B" w:rsidRPr="00D3304A" w:rsidRDefault="00C1401B" w:rsidP="00C1401B">
      <w:pPr>
        <w:pStyle w:val="Text1"/>
        <w:rPr>
          <w:noProof/>
          <w:sz w:val="22"/>
        </w:rPr>
      </w:pPr>
      <w:r w:rsidRPr="00D3304A">
        <w:rPr>
          <w:noProof/>
          <w:sz w:val="22"/>
        </w:rPr>
        <w:sym w:font="Wingdings" w:char="F0A8"/>
      </w:r>
      <w:r w:rsidRPr="00D3304A">
        <w:rPr>
          <w:i/>
          <w:noProof/>
          <w:sz w:val="22"/>
        </w:rPr>
        <w:t xml:space="preserve"> </w:t>
      </w:r>
      <w:r w:rsidRPr="00D3304A">
        <w:rPr>
          <w:b/>
          <w:noProof/>
        </w:rPr>
        <w:t>eine neue Maßnahme im Anschluss an ein Pilotprojekt/eine vorbereitende Maßnahme</w:t>
      </w:r>
      <w:r w:rsidRPr="00D3304A">
        <w:rPr>
          <w:rStyle w:val="FootnoteReference"/>
          <w:b/>
          <w:noProof/>
        </w:rPr>
        <w:footnoteReference w:id="21"/>
      </w:r>
      <w:r w:rsidRPr="00D3304A">
        <w:rPr>
          <w:noProof/>
          <w:sz w:val="22"/>
        </w:rPr>
        <w:t xml:space="preserve"> </w:t>
      </w:r>
    </w:p>
    <w:p w:rsidR="00C1401B" w:rsidRPr="00D3304A" w:rsidRDefault="00C1401B" w:rsidP="00C1401B">
      <w:pPr>
        <w:pStyle w:val="Text1"/>
        <w:rPr>
          <w:noProof/>
          <w:sz w:val="22"/>
        </w:rPr>
      </w:pPr>
      <w:r w:rsidRPr="00D3304A">
        <w:rPr>
          <w:noProof/>
          <w:sz w:val="22"/>
        </w:rPr>
        <w:sym w:font="Wingdings" w:char="F0A8"/>
      </w:r>
      <w:r w:rsidRPr="00D3304A">
        <w:rPr>
          <w:i/>
          <w:noProof/>
          <w:sz w:val="22"/>
        </w:rPr>
        <w:t xml:space="preserve"> </w:t>
      </w:r>
      <w:r w:rsidRPr="00D3304A">
        <w:rPr>
          <w:b/>
          <w:noProof/>
        </w:rPr>
        <w:t>die Verlängerung einer bestehenden Maßnahme</w:t>
      </w:r>
      <w:r w:rsidRPr="00D3304A">
        <w:rPr>
          <w:noProof/>
          <w:sz w:val="22"/>
        </w:rPr>
        <w:t xml:space="preserve"> </w:t>
      </w:r>
    </w:p>
    <w:p w:rsidR="00C1401B" w:rsidRPr="00D3304A" w:rsidRDefault="00C1401B" w:rsidP="00C1401B">
      <w:pPr>
        <w:pStyle w:val="Text1"/>
        <w:rPr>
          <w:noProof/>
        </w:rPr>
      </w:pPr>
      <w:r w:rsidRPr="00D3304A">
        <w:rPr>
          <w:noProof/>
          <w:sz w:val="22"/>
        </w:rPr>
        <w:sym w:font="Wingdings" w:char="F0A8"/>
      </w:r>
      <w:r w:rsidRPr="00D3304A">
        <w:rPr>
          <w:i/>
          <w:noProof/>
          <w:sz w:val="22"/>
        </w:rPr>
        <w:t xml:space="preserve"> </w:t>
      </w:r>
      <w:r w:rsidRPr="00D3304A">
        <w:rPr>
          <w:b/>
          <w:noProof/>
        </w:rPr>
        <w:t>die Zusammenführung mehrerer Maßnahmen oder die Neuausrichtung mindestens einer Maßnahme</w:t>
      </w:r>
      <w:r w:rsidRPr="00D3304A">
        <w:rPr>
          <w:noProof/>
        </w:rPr>
        <w:t xml:space="preserve"> </w:t>
      </w:r>
    </w:p>
    <w:p w:rsidR="00C1401B" w:rsidRPr="00D3304A" w:rsidRDefault="00C1401B" w:rsidP="00C1401B">
      <w:pPr>
        <w:pStyle w:val="ManualHeading2"/>
        <w:rPr>
          <w:bCs/>
          <w:noProof/>
          <w:szCs w:val="24"/>
        </w:rPr>
      </w:pPr>
      <w:bookmarkStart w:id="17" w:name="_Toc514938015"/>
      <w:bookmarkStart w:id="18" w:name="_Toc520485029"/>
      <w:r w:rsidRPr="00C24C00">
        <w:rPr>
          <w:noProof/>
        </w:rPr>
        <w:t>1</w:t>
      </w:r>
      <w:r w:rsidRPr="00D3304A">
        <w:rPr>
          <w:noProof/>
        </w:rPr>
        <w:t>.</w:t>
      </w:r>
      <w:r w:rsidRPr="00C24C00">
        <w:rPr>
          <w:noProof/>
        </w:rPr>
        <w:t>4</w:t>
      </w:r>
      <w:r w:rsidRPr="00D3304A">
        <w:rPr>
          <w:noProof/>
        </w:rPr>
        <w:t>.</w:t>
      </w:r>
      <w:r w:rsidRPr="00D3304A">
        <w:rPr>
          <w:noProof/>
        </w:rPr>
        <w:tab/>
        <w:t>Ziel(e)</w:t>
      </w:r>
      <w:bookmarkEnd w:id="17"/>
      <w:bookmarkEnd w:id="18"/>
    </w:p>
    <w:p w:rsidR="00C1401B" w:rsidRPr="00D3304A" w:rsidRDefault="00C1401B" w:rsidP="00C1401B">
      <w:pPr>
        <w:pStyle w:val="ManualHeading3"/>
        <w:rPr>
          <w:noProof/>
        </w:rPr>
      </w:pPr>
      <w:bookmarkStart w:id="19" w:name="_Toc514938016"/>
      <w:bookmarkStart w:id="20" w:name="_Toc520485030"/>
      <w:r w:rsidRPr="00C24C00">
        <w:rPr>
          <w:noProof/>
        </w:rPr>
        <w:t>1</w:t>
      </w:r>
      <w:r w:rsidRPr="00D3304A">
        <w:rPr>
          <w:noProof/>
        </w:rPr>
        <w:t>.</w:t>
      </w:r>
      <w:r w:rsidRPr="00C24C00">
        <w:rPr>
          <w:noProof/>
        </w:rPr>
        <w:t>4</w:t>
      </w:r>
      <w:r w:rsidRPr="00D3304A">
        <w:rPr>
          <w:noProof/>
        </w:rPr>
        <w:t>.</w:t>
      </w:r>
      <w:r w:rsidRPr="00C24C00">
        <w:rPr>
          <w:noProof/>
        </w:rPr>
        <w:t>1</w:t>
      </w:r>
      <w:r w:rsidRPr="00D3304A">
        <w:rPr>
          <w:noProof/>
        </w:rPr>
        <w:t>.</w:t>
      </w:r>
      <w:r w:rsidRPr="00D3304A">
        <w:rPr>
          <w:noProof/>
        </w:rPr>
        <w:tab/>
        <w:t>Allgemeine(s) Ziel(e)</w:t>
      </w:r>
      <w:bookmarkEnd w:id="19"/>
      <w:bookmarkEnd w:id="20"/>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bookmarkStart w:id="21" w:name="_Hlk169078805"/>
      <w:r w:rsidRPr="00D3304A">
        <w:rPr>
          <w:noProof/>
        </w:rPr>
        <w:t xml:space="preserve">Ziel des Vorschlags ist es, einen Rahmen für die Entwicklung, Erstellung und Verbreitung nichtfinanzieller Statistiken zu schaffen und so erhebliche Lücken bei der Verfügbarkeit für makroprudenzielle Zwecke benötigter statistischer Informationen zu schließen. </w:t>
      </w:r>
    </w:p>
    <w:p w:rsidR="00C1401B" w:rsidRPr="00D3304A" w:rsidRDefault="00C1401B" w:rsidP="00C1401B">
      <w:pPr>
        <w:pStyle w:val="ManualHeading3"/>
        <w:rPr>
          <w:bCs/>
          <w:noProof/>
          <w:szCs w:val="24"/>
        </w:rPr>
      </w:pPr>
      <w:bookmarkStart w:id="22" w:name="_Toc514938018"/>
      <w:bookmarkStart w:id="23" w:name="_Toc520485031"/>
      <w:bookmarkEnd w:id="21"/>
      <w:r w:rsidRPr="00C24C00">
        <w:rPr>
          <w:noProof/>
        </w:rPr>
        <w:t>1</w:t>
      </w:r>
      <w:r w:rsidRPr="00D3304A">
        <w:rPr>
          <w:noProof/>
        </w:rPr>
        <w:t>.</w:t>
      </w:r>
      <w:r w:rsidRPr="00C24C00">
        <w:rPr>
          <w:noProof/>
        </w:rPr>
        <w:t>4</w:t>
      </w:r>
      <w:r w:rsidRPr="00D3304A">
        <w:rPr>
          <w:noProof/>
        </w:rPr>
        <w:t>.</w:t>
      </w:r>
      <w:r w:rsidRPr="00C24C00">
        <w:rPr>
          <w:noProof/>
        </w:rPr>
        <w:t>2</w:t>
      </w:r>
      <w:r w:rsidRPr="00D3304A">
        <w:rPr>
          <w:noProof/>
        </w:rPr>
        <w:t>.</w:t>
      </w:r>
      <w:r w:rsidRPr="00D3304A">
        <w:rPr>
          <w:noProof/>
        </w:rPr>
        <w:tab/>
        <w:t>Einzelziel(e)</w:t>
      </w:r>
      <w:bookmarkEnd w:id="22"/>
      <w:bookmarkEnd w:id="23"/>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u w:val="single"/>
        </w:rPr>
      </w:pPr>
      <w:r w:rsidRPr="00D3304A">
        <w:rPr>
          <w:noProof/>
          <w:u w:val="single"/>
        </w:rPr>
        <w:t>Einzelziel Nr.</w:t>
      </w:r>
    </w:p>
    <w:p w:rsidR="00C1401B" w:rsidRPr="00D3304A" w:rsidRDefault="002A18A1" w:rsidP="002A18A1">
      <w:pPr>
        <w:pStyle w:val="Text1"/>
        <w:pBdr>
          <w:top w:val="single" w:sz="4" w:space="1" w:color="auto"/>
          <w:left w:val="single" w:sz="4" w:space="4" w:color="auto"/>
          <w:bottom w:val="single" w:sz="4" w:space="1" w:color="auto"/>
          <w:right w:val="single" w:sz="4" w:space="4" w:color="auto"/>
        </w:pBdr>
        <w:rPr>
          <w:noProof/>
        </w:rPr>
      </w:pPr>
      <w:bookmarkStart w:id="24" w:name="_Hlk169078820"/>
      <w:r w:rsidRPr="00C24C00">
        <w:rPr>
          <w:noProof/>
        </w:rPr>
        <w:t>1</w:t>
      </w:r>
      <w:r w:rsidRPr="00D3304A">
        <w:rPr>
          <w:noProof/>
        </w:rPr>
        <w:t>. Schaffung einer rechtlichen Verpflichtung der Mitgliedstaaten, nichtfinanzielle Statistiken zu Gewerbeimmobilien zu erstellen, um den gesamten EU-Markt abzudecken;</w:t>
      </w:r>
    </w:p>
    <w:p w:rsidR="00C1401B" w:rsidRPr="00D3304A" w:rsidRDefault="002A18A1" w:rsidP="002A18A1">
      <w:pPr>
        <w:pStyle w:val="Text1"/>
        <w:pBdr>
          <w:top w:val="single" w:sz="4" w:space="1" w:color="auto"/>
          <w:left w:val="single" w:sz="4" w:space="4" w:color="auto"/>
          <w:bottom w:val="single" w:sz="4" w:space="1" w:color="auto"/>
          <w:right w:val="single" w:sz="4" w:space="4" w:color="auto"/>
        </w:pBdr>
        <w:rPr>
          <w:noProof/>
        </w:rPr>
      </w:pPr>
      <w:r w:rsidRPr="00C24C00">
        <w:rPr>
          <w:noProof/>
        </w:rPr>
        <w:t>2</w:t>
      </w:r>
      <w:r w:rsidRPr="00D3304A">
        <w:rPr>
          <w:noProof/>
        </w:rPr>
        <w:t>. Erstellung eines Rahmens für vergleichbare und hochwertige Statistiken in diesem Bereich</w:t>
      </w:r>
      <w:bookmarkEnd w:id="24"/>
      <w:r w:rsidRPr="00D3304A">
        <w:rPr>
          <w:noProof/>
        </w:rPr>
        <w:t>.</w:t>
      </w:r>
    </w:p>
    <w:p w:rsidR="00C1401B" w:rsidRPr="00D3304A" w:rsidRDefault="00C1401B" w:rsidP="00C1401B">
      <w:pPr>
        <w:pStyle w:val="ManualHeading3"/>
        <w:rPr>
          <w:noProof/>
        </w:rPr>
      </w:pPr>
      <w:bookmarkStart w:id="25" w:name="_Toc514938019"/>
      <w:bookmarkStart w:id="26" w:name="_Toc520485032"/>
      <w:r w:rsidRPr="00C24C00">
        <w:rPr>
          <w:noProof/>
        </w:rPr>
        <w:t>1</w:t>
      </w:r>
      <w:r w:rsidRPr="00D3304A">
        <w:rPr>
          <w:noProof/>
        </w:rPr>
        <w:t>.</w:t>
      </w:r>
      <w:r w:rsidRPr="00C24C00">
        <w:rPr>
          <w:noProof/>
        </w:rPr>
        <w:t>4</w:t>
      </w:r>
      <w:r w:rsidRPr="00D3304A">
        <w:rPr>
          <w:noProof/>
        </w:rPr>
        <w:t>.</w:t>
      </w:r>
      <w:r w:rsidRPr="00C24C00">
        <w:rPr>
          <w:noProof/>
        </w:rPr>
        <w:t>3</w:t>
      </w:r>
      <w:r w:rsidRPr="00D3304A">
        <w:rPr>
          <w:noProof/>
        </w:rPr>
        <w:t>.</w:t>
      </w:r>
      <w:r w:rsidRPr="00D3304A">
        <w:rPr>
          <w:noProof/>
        </w:rPr>
        <w:tab/>
        <w:t>Erwartete Ergebnisse und Auswirkungen</w:t>
      </w:r>
      <w:bookmarkEnd w:id="25"/>
      <w:bookmarkEnd w:id="26"/>
    </w:p>
    <w:p w:rsidR="00C1401B" w:rsidRPr="00D3304A" w:rsidRDefault="00C1401B" w:rsidP="00C1401B">
      <w:pPr>
        <w:pStyle w:val="Text1"/>
        <w:rPr>
          <w:i/>
          <w:noProof/>
          <w:sz w:val="20"/>
        </w:rPr>
      </w:pPr>
      <w:r w:rsidRPr="00D3304A">
        <w:rPr>
          <w:i/>
          <w:noProof/>
          <w:sz w:val="20"/>
        </w:rPr>
        <w:t>Bitte geben Sie an, wie sich der Vorschlag/die Initiative auf die Begünstigten/Zielgruppen auswirken sollte.</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Die vorgeschlagene Verordnung wird zu einer umfassenden und hochwertigen Datenbank führen, die eine Reihe für die Überwachung der Finanzstabilität und für die allgemeine Wirtschafts- und Währungspolitik relevanter statistischer Indikatoren umfasst.</w:t>
      </w:r>
    </w:p>
    <w:p w:rsidR="00C1401B" w:rsidRPr="00D3304A" w:rsidRDefault="00C1401B" w:rsidP="00C1401B">
      <w:pPr>
        <w:pStyle w:val="ManualHeading3"/>
        <w:rPr>
          <w:noProof/>
          <w:szCs w:val="24"/>
        </w:rPr>
      </w:pPr>
      <w:bookmarkStart w:id="27" w:name="_Toc514938023"/>
      <w:bookmarkStart w:id="28" w:name="_Toc520485033"/>
      <w:r w:rsidRPr="00C24C00">
        <w:rPr>
          <w:noProof/>
        </w:rPr>
        <w:t>1</w:t>
      </w:r>
      <w:r w:rsidRPr="00D3304A">
        <w:rPr>
          <w:noProof/>
        </w:rPr>
        <w:t>.</w:t>
      </w:r>
      <w:r w:rsidRPr="00C24C00">
        <w:rPr>
          <w:noProof/>
        </w:rPr>
        <w:t>4</w:t>
      </w:r>
      <w:r w:rsidRPr="00D3304A">
        <w:rPr>
          <w:noProof/>
        </w:rPr>
        <w:t>.</w:t>
      </w:r>
      <w:r w:rsidRPr="00C24C00">
        <w:rPr>
          <w:noProof/>
        </w:rPr>
        <w:t>4</w:t>
      </w:r>
      <w:r w:rsidRPr="00D3304A">
        <w:rPr>
          <w:noProof/>
        </w:rPr>
        <w:t>.</w:t>
      </w:r>
      <w:r w:rsidRPr="00D3304A">
        <w:rPr>
          <w:noProof/>
        </w:rPr>
        <w:tab/>
        <w:t>Leistungsindikatoren</w:t>
      </w:r>
      <w:bookmarkEnd w:id="27"/>
      <w:bookmarkEnd w:id="28"/>
    </w:p>
    <w:p w:rsidR="00C1401B" w:rsidRPr="00D3304A" w:rsidRDefault="00C1401B" w:rsidP="00C1401B">
      <w:pPr>
        <w:pStyle w:val="Text1"/>
        <w:rPr>
          <w:i/>
          <w:noProof/>
          <w:sz w:val="20"/>
        </w:rPr>
      </w:pPr>
      <w:r w:rsidRPr="00D3304A">
        <w:rPr>
          <w:i/>
          <w:noProof/>
          <w:sz w:val="20"/>
        </w:rPr>
        <w:t>Bitte geben Sie an, anhand welcher Indikatoren die Fortschritte und Ergebnisse verfolgt werden sollen.</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Die Anzahl der Mitgliedstaaten, die nichtfinanzielle Statistiken zu Gewerbeimmobilien erstellen.</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Die Anzahl der von den einzelnen Mitgliedstaaten erstellten Gewerbeimmobilienindikatoren.</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Erfolgreiche Lieferung von Statistiken nach Ablauf der von der Kommission zu gewährenden Ausnahmeregelungen.</w:t>
      </w:r>
    </w:p>
    <w:p w:rsidR="00C1401B" w:rsidRPr="00D3304A" w:rsidRDefault="00C1401B" w:rsidP="00C1401B">
      <w:pPr>
        <w:pStyle w:val="ManualHeading2"/>
        <w:rPr>
          <w:bCs/>
          <w:noProof/>
          <w:szCs w:val="24"/>
        </w:rPr>
      </w:pPr>
      <w:bookmarkStart w:id="29" w:name="_Toc514938025"/>
      <w:bookmarkStart w:id="30" w:name="_Toc520485034"/>
      <w:r w:rsidRPr="00C24C00">
        <w:rPr>
          <w:noProof/>
        </w:rPr>
        <w:t>1</w:t>
      </w:r>
      <w:r w:rsidRPr="00D3304A">
        <w:rPr>
          <w:noProof/>
        </w:rPr>
        <w:t>.</w:t>
      </w:r>
      <w:r w:rsidRPr="00C24C00">
        <w:rPr>
          <w:noProof/>
        </w:rPr>
        <w:t>5</w:t>
      </w:r>
      <w:r w:rsidRPr="00D3304A">
        <w:rPr>
          <w:noProof/>
        </w:rPr>
        <w:t>.</w:t>
      </w:r>
      <w:r w:rsidRPr="00D3304A">
        <w:rPr>
          <w:noProof/>
        </w:rPr>
        <w:tab/>
        <w:t>Begründung des Vorschlags/der Initiative</w:t>
      </w:r>
      <w:bookmarkEnd w:id="29"/>
      <w:bookmarkEnd w:id="30"/>
      <w:r w:rsidRPr="00D3304A">
        <w:rPr>
          <w:noProof/>
        </w:rPr>
        <w:t xml:space="preserve"> </w:t>
      </w:r>
    </w:p>
    <w:p w:rsidR="00C1401B" w:rsidRPr="00D3304A" w:rsidRDefault="00C1401B" w:rsidP="00C1401B">
      <w:pPr>
        <w:pStyle w:val="ManualHeading3"/>
        <w:rPr>
          <w:noProof/>
        </w:rPr>
      </w:pPr>
      <w:bookmarkStart w:id="31" w:name="_Toc514938026"/>
      <w:bookmarkStart w:id="32" w:name="_Toc520485035"/>
      <w:r w:rsidRPr="00C24C00">
        <w:rPr>
          <w:noProof/>
        </w:rPr>
        <w:t>1</w:t>
      </w:r>
      <w:r w:rsidRPr="00D3304A">
        <w:rPr>
          <w:noProof/>
        </w:rPr>
        <w:t>.</w:t>
      </w:r>
      <w:r w:rsidRPr="00C24C00">
        <w:rPr>
          <w:noProof/>
        </w:rPr>
        <w:t>5</w:t>
      </w:r>
      <w:r w:rsidRPr="00D3304A">
        <w:rPr>
          <w:noProof/>
        </w:rPr>
        <w:t>.</w:t>
      </w:r>
      <w:r w:rsidRPr="00C24C00">
        <w:rPr>
          <w:noProof/>
        </w:rPr>
        <w:t>1</w:t>
      </w:r>
      <w:r w:rsidRPr="00D3304A">
        <w:rPr>
          <w:noProof/>
        </w:rPr>
        <w:tab/>
        <w:t>Kurz- oder langfristig zu deckender Bedarf, einschließlich einer detaillierten Zeitleiste für die Durchführung der Initiative</w:t>
      </w:r>
      <w:bookmarkEnd w:id="31"/>
      <w:bookmarkEnd w:id="32"/>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Die nationalen statistischen Ämter der Mitgliedstaaten müssen Zugang zu den erforderlichen grundlegenden Informationen aus administrativen Datenquellen (z. B. Registern für Immobilientransaktionen, notariellen Urkunden und Baugenehmigungen) oder in privatem Besitz befindlichen Daten haben.</w:t>
      </w:r>
    </w:p>
    <w:p w:rsidR="00C1401B" w:rsidRPr="00D3304A" w:rsidRDefault="00C1401B" w:rsidP="00C1401B">
      <w:pPr>
        <w:pStyle w:val="ManualHeading3"/>
        <w:rPr>
          <w:bCs/>
          <w:noProof/>
          <w:szCs w:val="24"/>
        </w:rPr>
      </w:pPr>
      <w:bookmarkStart w:id="33" w:name="_Toc514938029"/>
      <w:bookmarkStart w:id="34" w:name="_Toc520485036"/>
      <w:r w:rsidRPr="00C24C00">
        <w:rPr>
          <w:noProof/>
        </w:rPr>
        <w:t>1</w:t>
      </w:r>
      <w:r w:rsidRPr="00D3304A">
        <w:rPr>
          <w:noProof/>
        </w:rPr>
        <w:t>.</w:t>
      </w:r>
      <w:r w:rsidRPr="00C24C00">
        <w:rPr>
          <w:noProof/>
        </w:rPr>
        <w:t>5</w:t>
      </w:r>
      <w:r w:rsidRPr="00D3304A">
        <w:rPr>
          <w:noProof/>
        </w:rPr>
        <w:t>.</w:t>
      </w:r>
      <w:r w:rsidRPr="00C24C00">
        <w:rPr>
          <w:noProof/>
        </w:rPr>
        <w:t>2</w:t>
      </w:r>
      <w:r w:rsidRPr="00D3304A">
        <w:rPr>
          <w:noProof/>
        </w:rPr>
        <w:t>.</w:t>
      </w:r>
      <w:r w:rsidRPr="00D3304A">
        <w:rPr>
          <w:noProof/>
        </w:rPr>
        <w:tab/>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33"/>
      <w:bookmarkEnd w:id="34"/>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Gründe für Maßnahmen auf EU-Ebene (ex ante) </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Jeder Mitgliedstaat der EU ist für die Erstellung und Veröffentlichung amtlicher Statistiken für sein Hoheitsgebiet zuständig. Damit die Vergleichbarkeit dieser Statistiken zwischen den Mitgliedstaaten gewährleistet werden kann, bedarf es einer Koordinierung auf EU-Ebene durch Rechtsvorschriften und Leitlinien zu den verwendeten Definitionen, Quellen und Methoden. </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Erwarteter Unionsmehrwert (ex post) </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Vergleichbare Statistiken sind für die politischen Entscheidungsträger sowohl in den Mitgliedstaaten als auch auf EU-Ebene von wesentlicher Bedeutung.</w:t>
      </w:r>
    </w:p>
    <w:p w:rsidR="00C1401B" w:rsidRPr="00D3304A" w:rsidRDefault="00C1401B" w:rsidP="00C1401B">
      <w:pPr>
        <w:pStyle w:val="ManualHeading3"/>
        <w:rPr>
          <w:noProof/>
        </w:rPr>
      </w:pPr>
      <w:bookmarkStart w:id="35" w:name="_Toc514938030"/>
      <w:bookmarkStart w:id="36" w:name="_Toc520485037"/>
      <w:r w:rsidRPr="00C24C00">
        <w:rPr>
          <w:noProof/>
        </w:rPr>
        <w:t>1</w:t>
      </w:r>
      <w:r w:rsidRPr="00D3304A">
        <w:rPr>
          <w:noProof/>
        </w:rPr>
        <w:t>.</w:t>
      </w:r>
      <w:r w:rsidRPr="00C24C00">
        <w:rPr>
          <w:noProof/>
        </w:rPr>
        <w:t>5</w:t>
      </w:r>
      <w:r w:rsidRPr="00D3304A">
        <w:rPr>
          <w:noProof/>
        </w:rPr>
        <w:t>.</w:t>
      </w:r>
      <w:r w:rsidRPr="00C24C00">
        <w:rPr>
          <w:noProof/>
        </w:rPr>
        <w:t>3</w:t>
      </w:r>
      <w:r w:rsidRPr="00D3304A">
        <w:rPr>
          <w:noProof/>
        </w:rPr>
        <w:t>.</w:t>
      </w:r>
      <w:r w:rsidRPr="00D3304A">
        <w:rPr>
          <w:noProof/>
        </w:rPr>
        <w:tab/>
        <w:t>Aus früheren ähnlichen Maßnahmen gewonnene Erkenntnisse</w:t>
      </w:r>
      <w:bookmarkEnd w:id="35"/>
      <w:bookmarkEnd w:id="36"/>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Es gibt bisher keine Erfahrungen mit Rechtsvorschriften in diesem Statistikbereich.</w:t>
      </w:r>
    </w:p>
    <w:p w:rsidR="00C1401B" w:rsidRPr="00D3304A" w:rsidRDefault="00C1401B" w:rsidP="00C1401B">
      <w:pPr>
        <w:pStyle w:val="ManualHeading3"/>
        <w:rPr>
          <w:noProof/>
        </w:rPr>
      </w:pPr>
      <w:bookmarkStart w:id="37" w:name="_Toc514938033"/>
      <w:bookmarkStart w:id="38" w:name="_Toc520485038"/>
      <w:r w:rsidRPr="00C24C00">
        <w:rPr>
          <w:noProof/>
        </w:rPr>
        <w:t>1</w:t>
      </w:r>
      <w:r w:rsidRPr="00D3304A">
        <w:rPr>
          <w:noProof/>
        </w:rPr>
        <w:t>.</w:t>
      </w:r>
      <w:r w:rsidRPr="00C24C00">
        <w:rPr>
          <w:noProof/>
        </w:rPr>
        <w:t>5</w:t>
      </w:r>
      <w:r w:rsidRPr="00D3304A">
        <w:rPr>
          <w:noProof/>
        </w:rPr>
        <w:t>.</w:t>
      </w:r>
      <w:r w:rsidRPr="00C24C00">
        <w:rPr>
          <w:noProof/>
        </w:rPr>
        <w:t>4</w:t>
      </w:r>
      <w:r w:rsidRPr="00D3304A">
        <w:rPr>
          <w:noProof/>
        </w:rPr>
        <w:t>.</w:t>
      </w:r>
      <w:r w:rsidRPr="00D3304A">
        <w:rPr>
          <w:noProof/>
        </w:rPr>
        <w:tab/>
        <w:t>Vereinbarkeit mit dem Mehrjährigen Finanzrahmen sowie mögliche Synergieeffekte mit anderen geeigneten Instrumenten</w:t>
      </w:r>
      <w:bookmarkEnd w:id="37"/>
      <w:bookmarkEnd w:id="38"/>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Der Finanzbedarf wird durch die Mittelzuweisungen gedeckt, die bereits im MFR </w:t>
      </w:r>
      <w:r w:rsidRPr="00C24C00">
        <w:rPr>
          <w:noProof/>
        </w:rPr>
        <w:t>2021</w:t>
      </w:r>
      <w:r w:rsidRPr="00D3304A">
        <w:rPr>
          <w:noProof/>
        </w:rPr>
        <w:t>–</w:t>
      </w:r>
      <w:r w:rsidRPr="00C24C00">
        <w:rPr>
          <w:noProof/>
        </w:rPr>
        <w:t>2027</w:t>
      </w:r>
      <w:r w:rsidRPr="00D3304A">
        <w:rPr>
          <w:noProof/>
        </w:rPr>
        <w:t xml:space="preserve"> für die Durchführung des Binnenmarktprogramms vorgesehen sind.</w:t>
      </w:r>
    </w:p>
    <w:p w:rsidR="00C1401B" w:rsidRPr="00D3304A" w:rsidRDefault="00C1401B" w:rsidP="00C1401B">
      <w:pPr>
        <w:pStyle w:val="ManualHeading3"/>
        <w:rPr>
          <w:noProof/>
        </w:rPr>
      </w:pPr>
      <w:bookmarkStart w:id="39" w:name="_Toc514938036"/>
      <w:bookmarkStart w:id="40" w:name="_Toc520485039"/>
      <w:r w:rsidRPr="00C24C00">
        <w:rPr>
          <w:noProof/>
        </w:rPr>
        <w:t>1</w:t>
      </w:r>
      <w:r w:rsidRPr="00D3304A">
        <w:rPr>
          <w:noProof/>
        </w:rPr>
        <w:t>.</w:t>
      </w:r>
      <w:r w:rsidRPr="00C24C00">
        <w:rPr>
          <w:noProof/>
        </w:rPr>
        <w:t>5</w:t>
      </w:r>
      <w:r w:rsidRPr="00D3304A">
        <w:rPr>
          <w:noProof/>
        </w:rPr>
        <w:t>.</w:t>
      </w:r>
      <w:r w:rsidRPr="00C24C00">
        <w:rPr>
          <w:noProof/>
        </w:rPr>
        <w:t>5</w:t>
      </w:r>
      <w:r w:rsidRPr="00D3304A">
        <w:rPr>
          <w:noProof/>
        </w:rPr>
        <w:t>.</w:t>
      </w:r>
      <w:r w:rsidRPr="00D3304A">
        <w:rPr>
          <w:noProof/>
        </w:rPr>
        <w:tab/>
        <w:t>Bewertung der verschiedenen verfügbaren Finanzierungsoptionen, einschließlich der Möglichkeiten für eine Umschichtung</w:t>
      </w:r>
      <w:bookmarkEnd w:id="39"/>
      <w:bookmarkEnd w:id="40"/>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Entfällt.</w:t>
      </w:r>
    </w:p>
    <w:p w:rsidR="00C1401B" w:rsidRPr="00D3304A" w:rsidRDefault="00C1401B" w:rsidP="00C1401B">
      <w:pPr>
        <w:pStyle w:val="Text1"/>
        <w:rPr>
          <w:noProof/>
        </w:rPr>
      </w:pPr>
    </w:p>
    <w:p w:rsidR="00C1401B" w:rsidRPr="00D3304A" w:rsidRDefault="00C1401B" w:rsidP="00C1401B">
      <w:pPr>
        <w:pStyle w:val="ManualHeading2"/>
        <w:rPr>
          <w:bCs/>
          <w:noProof/>
          <w:szCs w:val="24"/>
        </w:rPr>
      </w:pPr>
      <w:r w:rsidRPr="00D3304A">
        <w:rPr>
          <w:noProof/>
        </w:rPr>
        <w:br w:type="page"/>
      </w:r>
      <w:bookmarkStart w:id="41" w:name="_Toc514938039"/>
      <w:bookmarkStart w:id="42" w:name="_Toc520485040"/>
      <w:r w:rsidRPr="00C24C00">
        <w:rPr>
          <w:noProof/>
        </w:rPr>
        <w:t>1</w:t>
      </w:r>
      <w:r w:rsidRPr="00D3304A">
        <w:rPr>
          <w:noProof/>
        </w:rPr>
        <w:t>.</w:t>
      </w:r>
      <w:r w:rsidRPr="00C24C00">
        <w:rPr>
          <w:noProof/>
        </w:rPr>
        <w:t>6</w:t>
      </w:r>
      <w:r w:rsidRPr="00D3304A">
        <w:rPr>
          <w:noProof/>
        </w:rPr>
        <w:t>.</w:t>
      </w:r>
      <w:r w:rsidRPr="00D3304A">
        <w:rPr>
          <w:noProof/>
        </w:rPr>
        <w:tab/>
        <w:t>Dauer und finanzielle Auswirkungen des Vorschlags/der Initiative</w:t>
      </w:r>
      <w:bookmarkEnd w:id="41"/>
      <w:bookmarkEnd w:id="42"/>
    </w:p>
    <w:p w:rsidR="00C1401B" w:rsidRPr="00D3304A" w:rsidRDefault="00C1401B" w:rsidP="00C1401B">
      <w:pPr>
        <w:pStyle w:val="Text1"/>
        <w:rPr>
          <w:noProof/>
        </w:rPr>
      </w:pPr>
      <w:r w:rsidRPr="00D3304A">
        <w:rPr>
          <w:noProof/>
        </w:rPr>
        <w:sym w:font="Wingdings" w:char="F0A8"/>
      </w:r>
      <w:r w:rsidRPr="00D3304A">
        <w:rPr>
          <w:b/>
          <w:i/>
          <w:noProof/>
        </w:rPr>
        <w:t xml:space="preserve"> </w:t>
      </w:r>
      <w:r w:rsidRPr="00D3304A">
        <w:rPr>
          <w:b/>
          <w:noProof/>
        </w:rPr>
        <w:t xml:space="preserve">Befristete Laufzeit </w:t>
      </w:r>
    </w:p>
    <w:p w:rsidR="00C1401B" w:rsidRPr="00D3304A" w:rsidRDefault="00C1401B" w:rsidP="00C1401B">
      <w:pPr>
        <w:pStyle w:val="ListDash2"/>
        <w:rPr>
          <w:noProof/>
        </w:rPr>
      </w:pPr>
      <w:r w:rsidRPr="00D3304A">
        <w:rPr>
          <w:noProof/>
        </w:rPr>
        <w:sym w:font="Wingdings" w:char="F0A8"/>
      </w:r>
      <w:r w:rsidRPr="00D3304A">
        <w:rPr>
          <w:noProof/>
        </w:rPr>
        <w:tab/>
        <w:t xml:space="preserve">Laufzeit: [TT.MM.]JJJJ bis [TT.MM.]JJJJ </w:t>
      </w:r>
    </w:p>
    <w:p w:rsidR="00C1401B" w:rsidRPr="00D3304A" w:rsidRDefault="00C1401B" w:rsidP="00C1401B">
      <w:pPr>
        <w:pStyle w:val="ListDash2"/>
        <w:rPr>
          <w:noProof/>
        </w:rPr>
      </w:pPr>
      <w:r w:rsidRPr="00D3304A">
        <w:rPr>
          <w:noProof/>
        </w:rPr>
        <w:sym w:font="Wingdings" w:char="F0A8"/>
      </w:r>
      <w:r w:rsidRPr="00D3304A">
        <w:rPr>
          <w:noProof/>
        </w:rPr>
        <w:tab/>
        <w:t xml:space="preserve">Finanzielle Auswirkungen auf die Mittel für Verpflichtungen von JJJJ bis JJJJ und auf die Mittel für Zahlungen von JJJJ bis JJJJ </w:t>
      </w:r>
    </w:p>
    <w:p w:rsidR="00C1401B" w:rsidRPr="00D3304A" w:rsidRDefault="00C1401B" w:rsidP="00C1401B">
      <w:pPr>
        <w:pStyle w:val="Text1"/>
        <w:rPr>
          <w:noProof/>
        </w:rPr>
      </w:pPr>
      <w:r w:rsidRPr="00D3304A">
        <w:rPr>
          <w:noProof/>
        </w:rPr>
        <w:sym w:font="Wingdings" w:char="F0FD"/>
      </w:r>
      <w:r w:rsidRPr="00D3304A">
        <w:rPr>
          <w:b/>
          <w:noProof/>
        </w:rPr>
        <w:t xml:space="preserve"> Unbefristete Laufzeit</w:t>
      </w:r>
    </w:p>
    <w:p w:rsidR="00C1401B" w:rsidRPr="00D3304A" w:rsidRDefault="00C1401B" w:rsidP="00C1401B">
      <w:pPr>
        <w:pStyle w:val="ListDash1"/>
        <w:rPr>
          <w:noProof/>
        </w:rPr>
      </w:pPr>
      <w:r w:rsidRPr="00D3304A">
        <w:rPr>
          <w:noProof/>
        </w:rPr>
        <w:t xml:space="preserve">Anlaufphase von </w:t>
      </w:r>
      <w:r w:rsidRPr="00C24C00">
        <w:rPr>
          <w:noProof/>
        </w:rPr>
        <w:t>2026</w:t>
      </w:r>
      <w:r w:rsidRPr="00D3304A">
        <w:rPr>
          <w:noProof/>
        </w:rPr>
        <w:t xml:space="preserve"> (voraussichtlich) bis </w:t>
      </w:r>
      <w:r w:rsidRPr="00C24C00">
        <w:rPr>
          <w:noProof/>
        </w:rPr>
        <w:t>20</w:t>
      </w:r>
      <w:r w:rsidR="00C24C00" w:rsidRPr="00C24C00">
        <w:rPr>
          <w:noProof/>
        </w:rPr>
        <w:t>28</w:t>
      </w:r>
      <w:r w:rsidRPr="00D3304A">
        <w:rPr>
          <w:noProof/>
        </w:rPr>
        <w:t>,</w:t>
      </w:r>
    </w:p>
    <w:p w:rsidR="00C1401B" w:rsidRPr="00D3304A" w:rsidRDefault="00C1401B" w:rsidP="00C1401B">
      <w:pPr>
        <w:pStyle w:val="ListDash1"/>
        <w:rPr>
          <w:noProof/>
        </w:rPr>
      </w:pPr>
      <w:r w:rsidRPr="00D3304A">
        <w:rPr>
          <w:noProof/>
        </w:rPr>
        <w:t>Anschließend reguläre Umsetzung</w:t>
      </w:r>
    </w:p>
    <w:p w:rsidR="00C1401B" w:rsidRPr="00D3304A" w:rsidRDefault="00C1401B" w:rsidP="00C1401B">
      <w:pPr>
        <w:pStyle w:val="ManualHeading2"/>
        <w:rPr>
          <w:bCs/>
          <w:noProof/>
          <w:szCs w:val="24"/>
        </w:rPr>
      </w:pPr>
      <w:bookmarkStart w:id="43" w:name="_Toc514938040"/>
      <w:bookmarkStart w:id="44" w:name="_Toc520485041"/>
      <w:r w:rsidRPr="00C24C00">
        <w:rPr>
          <w:noProof/>
        </w:rPr>
        <w:t>1</w:t>
      </w:r>
      <w:r w:rsidRPr="00D3304A">
        <w:rPr>
          <w:noProof/>
        </w:rPr>
        <w:t>.</w:t>
      </w:r>
      <w:r w:rsidRPr="00C24C00">
        <w:rPr>
          <w:noProof/>
        </w:rPr>
        <w:t>7</w:t>
      </w:r>
      <w:r w:rsidRPr="00D3304A">
        <w:rPr>
          <w:noProof/>
        </w:rPr>
        <w:tab/>
        <w:t>Vorgeschlagene Haushaltsvollzugsart(en)</w:t>
      </w:r>
      <w:r w:rsidRPr="00D3304A">
        <w:rPr>
          <w:rStyle w:val="FootnoteReference"/>
          <w:noProof/>
        </w:rPr>
        <w:footnoteReference w:id="22"/>
      </w:r>
      <w:r w:rsidRPr="00D3304A">
        <w:rPr>
          <w:rStyle w:val="FootnoteReference"/>
          <w:noProof/>
        </w:rPr>
        <w:t xml:space="preserve"> </w:t>
      </w:r>
      <w:bookmarkEnd w:id="43"/>
      <w:bookmarkEnd w:id="44"/>
    </w:p>
    <w:p w:rsidR="00C1401B" w:rsidRPr="00D3304A" w:rsidRDefault="00C1401B" w:rsidP="00C1401B">
      <w:pPr>
        <w:pStyle w:val="Text1"/>
        <w:rPr>
          <w:noProof/>
        </w:rPr>
      </w:pPr>
      <w:r w:rsidRPr="00D3304A">
        <w:rPr>
          <w:noProof/>
        </w:rPr>
        <w:sym w:font="Wingdings" w:char="F0FD"/>
      </w:r>
      <w:r w:rsidRPr="00D3304A">
        <w:rPr>
          <w:i/>
          <w:noProof/>
        </w:rPr>
        <w:t xml:space="preserve"> </w:t>
      </w:r>
      <w:r w:rsidRPr="00D3304A">
        <w:rPr>
          <w:b/>
          <w:noProof/>
        </w:rPr>
        <w:t>Direkte Mittelverwaltung</w:t>
      </w:r>
      <w:r w:rsidRPr="00D3304A">
        <w:rPr>
          <w:noProof/>
        </w:rPr>
        <w:t xml:space="preserve"> durch die Kommission</w:t>
      </w:r>
    </w:p>
    <w:p w:rsidR="00C1401B" w:rsidRPr="00D3304A" w:rsidRDefault="00C1401B" w:rsidP="00C1401B">
      <w:pPr>
        <w:pStyle w:val="ListDash2"/>
        <w:rPr>
          <w:rFonts w:cs="EUAlbertina"/>
          <w:noProof/>
        </w:rPr>
      </w:pPr>
      <w:r w:rsidRPr="00D3304A">
        <w:rPr>
          <w:noProof/>
        </w:rPr>
        <w:sym w:font="Wingdings" w:char="F0FD"/>
      </w:r>
      <w:r w:rsidRPr="00D3304A">
        <w:rPr>
          <w:noProof/>
        </w:rPr>
        <w:t xml:space="preserve"> über ihre Dienststellen, einschließlich ihres Personals in den EU-Delegationen </w:t>
      </w:r>
    </w:p>
    <w:p w:rsidR="00C1401B" w:rsidRPr="00D3304A" w:rsidRDefault="00C1401B" w:rsidP="00C1401B">
      <w:pPr>
        <w:pStyle w:val="ListDash2"/>
        <w:rPr>
          <w:noProof/>
        </w:rPr>
      </w:pPr>
      <w:r w:rsidRPr="00D3304A">
        <w:rPr>
          <w:noProof/>
        </w:rPr>
        <w:sym w:font="Wingdings" w:char="F0A8"/>
      </w:r>
      <w:r w:rsidRPr="00D3304A">
        <w:rPr>
          <w:noProof/>
        </w:rPr>
        <w:t xml:space="preserve"> über Exekutivagenturen </w:t>
      </w:r>
    </w:p>
    <w:p w:rsidR="00C1401B" w:rsidRPr="00D3304A" w:rsidRDefault="00C1401B" w:rsidP="00C1401B">
      <w:pPr>
        <w:pStyle w:val="Text1"/>
        <w:rPr>
          <w:noProof/>
        </w:rPr>
      </w:pPr>
      <w:r w:rsidRPr="00D3304A">
        <w:rPr>
          <w:noProof/>
        </w:rPr>
        <w:sym w:font="Wingdings" w:char="F0A8"/>
      </w:r>
      <w:r w:rsidRPr="00D3304A">
        <w:rPr>
          <w:b/>
          <w:i/>
          <w:noProof/>
        </w:rPr>
        <w:t xml:space="preserve"> </w:t>
      </w:r>
      <w:r w:rsidRPr="00D3304A">
        <w:rPr>
          <w:b/>
          <w:noProof/>
        </w:rPr>
        <w:t>Geteilte Mittelverwaltung</w:t>
      </w:r>
      <w:r w:rsidRPr="00D3304A">
        <w:rPr>
          <w:noProof/>
        </w:rPr>
        <w:t xml:space="preserve"> mit Mitgliedstaaten </w:t>
      </w:r>
    </w:p>
    <w:p w:rsidR="00C1401B" w:rsidRPr="00D3304A" w:rsidRDefault="00C1401B" w:rsidP="00C1401B">
      <w:pPr>
        <w:pStyle w:val="Text1"/>
        <w:rPr>
          <w:noProof/>
        </w:rPr>
      </w:pPr>
      <w:r w:rsidRPr="00D3304A">
        <w:rPr>
          <w:noProof/>
        </w:rPr>
        <w:sym w:font="Wingdings" w:char="F0A8"/>
      </w:r>
      <w:r w:rsidRPr="00D3304A">
        <w:rPr>
          <w:i/>
          <w:noProof/>
        </w:rPr>
        <w:t xml:space="preserve"> </w:t>
      </w:r>
      <w:r w:rsidRPr="00D3304A">
        <w:rPr>
          <w:b/>
          <w:noProof/>
        </w:rPr>
        <w:t>Indirekte Mittelverwaltung</w:t>
      </w:r>
      <w:r w:rsidRPr="00D3304A">
        <w:rPr>
          <w:noProof/>
        </w:rPr>
        <w:t xml:space="preserve"> durch Übertragung von Haushaltsvollzugsaufgaben an:</w:t>
      </w:r>
    </w:p>
    <w:p w:rsidR="00C1401B" w:rsidRPr="00D3304A" w:rsidRDefault="00C1401B" w:rsidP="00C1401B">
      <w:pPr>
        <w:pStyle w:val="ListDash2"/>
        <w:rPr>
          <w:noProof/>
        </w:rPr>
      </w:pPr>
      <w:r w:rsidRPr="00D3304A">
        <w:rPr>
          <w:noProof/>
        </w:rPr>
        <w:sym w:font="Wingdings" w:char="F0A8"/>
      </w:r>
      <w:r w:rsidRPr="00D3304A">
        <w:rPr>
          <w:noProof/>
        </w:rPr>
        <w:t xml:space="preserve"> Drittländer oder die von ihnen benannten Einrichtungen</w:t>
      </w:r>
    </w:p>
    <w:p w:rsidR="00C1401B" w:rsidRPr="00D3304A" w:rsidRDefault="00C1401B" w:rsidP="00C1401B">
      <w:pPr>
        <w:pStyle w:val="ListDash2"/>
        <w:rPr>
          <w:noProof/>
        </w:rPr>
      </w:pPr>
      <w:r w:rsidRPr="00D3304A">
        <w:rPr>
          <w:noProof/>
        </w:rPr>
        <w:sym w:font="Wingdings" w:char="F0A8"/>
      </w:r>
      <w:r w:rsidRPr="00D3304A">
        <w:rPr>
          <w:noProof/>
        </w:rPr>
        <w:t xml:space="preserve"> internationale Einrichtungen und deren Agenturen (bitte angeben)</w:t>
      </w:r>
    </w:p>
    <w:p w:rsidR="00C1401B" w:rsidRPr="00D3304A" w:rsidRDefault="00C1401B" w:rsidP="00C1401B">
      <w:pPr>
        <w:pStyle w:val="ListDash2"/>
        <w:rPr>
          <w:noProof/>
        </w:rPr>
      </w:pPr>
      <w:r w:rsidRPr="00D3304A">
        <w:rPr>
          <w:noProof/>
        </w:rPr>
        <w:sym w:font="Wingdings" w:char="F0A8"/>
      </w:r>
      <w:r w:rsidRPr="00D3304A">
        <w:rPr>
          <w:noProof/>
        </w:rPr>
        <w:t xml:space="preserve"> die EIB und den Europäischen Investitionsfonds</w:t>
      </w:r>
    </w:p>
    <w:p w:rsidR="00C1401B" w:rsidRPr="00D3304A" w:rsidRDefault="00C1401B" w:rsidP="00C1401B">
      <w:pPr>
        <w:pStyle w:val="ListDash2"/>
        <w:rPr>
          <w:noProof/>
        </w:rPr>
      </w:pPr>
      <w:r w:rsidRPr="00D3304A">
        <w:rPr>
          <w:noProof/>
        </w:rPr>
        <w:sym w:font="Wingdings" w:char="F0A8"/>
      </w:r>
      <w:r w:rsidRPr="00D3304A">
        <w:rPr>
          <w:noProof/>
        </w:rPr>
        <w:t xml:space="preserve"> Einrichtungen im Sinne der Artikel </w:t>
      </w:r>
      <w:r w:rsidRPr="00C24C00">
        <w:rPr>
          <w:noProof/>
        </w:rPr>
        <w:t>70</w:t>
      </w:r>
      <w:r w:rsidRPr="00D3304A">
        <w:rPr>
          <w:noProof/>
        </w:rPr>
        <w:t xml:space="preserve"> und </w:t>
      </w:r>
      <w:r w:rsidRPr="00C24C00">
        <w:rPr>
          <w:noProof/>
        </w:rPr>
        <w:t>71</w:t>
      </w:r>
      <w:r w:rsidRPr="00D3304A">
        <w:rPr>
          <w:noProof/>
        </w:rPr>
        <w:t xml:space="preserve"> der Haushaltsordnung</w:t>
      </w:r>
    </w:p>
    <w:p w:rsidR="00C1401B" w:rsidRPr="00D3304A" w:rsidRDefault="00C1401B" w:rsidP="00C1401B">
      <w:pPr>
        <w:pStyle w:val="ListDash2"/>
        <w:rPr>
          <w:noProof/>
        </w:rPr>
      </w:pPr>
      <w:r w:rsidRPr="00D3304A">
        <w:rPr>
          <w:noProof/>
        </w:rPr>
        <w:sym w:font="Wingdings" w:char="F0A8"/>
      </w:r>
      <w:r w:rsidRPr="00D3304A">
        <w:rPr>
          <w:noProof/>
        </w:rPr>
        <w:t xml:space="preserve"> öffentlich-rechtliche Körperschaften</w:t>
      </w:r>
    </w:p>
    <w:p w:rsidR="00C1401B" w:rsidRPr="00D3304A" w:rsidRDefault="00C1401B" w:rsidP="00C1401B">
      <w:pPr>
        <w:pStyle w:val="ListDash2"/>
        <w:rPr>
          <w:noProof/>
        </w:rPr>
      </w:pPr>
      <w:r w:rsidRPr="00D3304A">
        <w:rPr>
          <w:noProof/>
        </w:rPr>
        <w:sym w:font="Wingdings" w:char="F0A8"/>
      </w:r>
      <w:r w:rsidRPr="00D3304A">
        <w:rPr>
          <w:noProof/>
        </w:rPr>
        <w:t xml:space="preserve"> privatrechtliche Einrichtungen, die im öffentlichen Auftrag tätig werden, sofern ihnen ausreichende finanzielle Garantien bereitgestellt werden</w:t>
      </w:r>
    </w:p>
    <w:p w:rsidR="00C1401B" w:rsidRPr="00D3304A" w:rsidRDefault="00C1401B" w:rsidP="00C1401B">
      <w:pPr>
        <w:pStyle w:val="ListDash2"/>
        <w:rPr>
          <w:noProof/>
        </w:rPr>
      </w:pPr>
      <w:r w:rsidRPr="00D3304A">
        <w:rPr>
          <w:noProof/>
        </w:rPr>
        <w:sym w:font="Wingdings" w:char="F0A8"/>
      </w:r>
      <w:r w:rsidRPr="00D3304A">
        <w:rPr>
          <w:noProof/>
        </w:rPr>
        <w:t xml:space="preserve"> privatrechtliche Einrichtungen eines Mitgliedstaats, die mit der Einrichtung einer öffentlich-privaten Partnerschaft betraut werden und denen ausreichende finanzielle Garantien bereitgestellt werden</w:t>
      </w:r>
    </w:p>
    <w:p w:rsidR="00C1401B" w:rsidRPr="00D3304A" w:rsidRDefault="00C1401B" w:rsidP="00C1401B">
      <w:pPr>
        <w:pStyle w:val="ListDash2"/>
        <w:rPr>
          <w:noProof/>
        </w:rPr>
      </w:pPr>
      <w:r w:rsidRPr="00D3304A">
        <w:rPr>
          <w:noProof/>
        </w:rPr>
        <w:sym w:font="Wingdings" w:char="F0A8"/>
      </w:r>
      <w:r w:rsidRPr="00D3304A">
        <w:rPr>
          <w:noProof/>
        </w:rPr>
        <w:t xml:space="preserve"> Einrichtungen oder Personen, die mit der Durchführung bestimmter Maßnahmen im Bereich der GASP im Rahmen des Titels V EUV betraut und die in dem maßgeblichen Basisrechtsakt benannt sind</w:t>
      </w:r>
    </w:p>
    <w:p w:rsidR="00C1401B" w:rsidRPr="00D3304A" w:rsidRDefault="00C1401B" w:rsidP="00C1401B">
      <w:pPr>
        <w:pStyle w:val="ListDash2"/>
        <w:rPr>
          <w:i/>
          <w:noProof/>
          <w:sz w:val="18"/>
          <w:u w:val="single"/>
        </w:rPr>
      </w:pPr>
      <w:r w:rsidRPr="00D3304A">
        <w:rPr>
          <w:i/>
          <w:noProof/>
          <w:sz w:val="18"/>
        </w:rPr>
        <w:t>Falls mehrere Methoden der Mittelverwaltung angegeben werden, ist dies unter „Bemerkungen“ näher zu erläutern.</w:t>
      </w:r>
    </w:p>
    <w:p w:rsidR="00C1401B" w:rsidRPr="00D3304A" w:rsidRDefault="00C1401B" w:rsidP="00C1401B">
      <w:pPr>
        <w:rPr>
          <w:noProof/>
        </w:rPr>
      </w:pPr>
      <w:r w:rsidRPr="00D3304A">
        <w:rPr>
          <w:noProof/>
        </w:rPr>
        <w:t xml:space="preserve">Bemerkungen </w:t>
      </w:r>
    </w:p>
    <w:p w:rsidR="00C1401B" w:rsidRPr="00D3304A" w:rsidRDefault="00C1401B" w:rsidP="00C1401B">
      <w:pPr>
        <w:pBdr>
          <w:top w:val="single" w:sz="4" w:space="1" w:color="auto"/>
          <w:left w:val="single" w:sz="4" w:space="4" w:color="auto"/>
          <w:bottom w:val="single" w:sz="4" w:space="1" w:color="auto"/>
          <w:right w:val="single" w:sz="4" w:space="4" w:color="auto"/>
        </w:pBdr>
        <w:rPr>
          <w:noProof/>
        </w:rPr>
      </w:pPr>
      <w:r w:rsidRPr="00D3304A">
        <w:rPr>
          <w:noProof/>
        </w:rPr>
        <w:t>Entfällt.</w:t>
      </w:r>
    </w:p>
    <w:p w:rsidR="00C1401B" w:rsidRPr="00D3304A" w:rsidRDefault="00C1401B" w:rsidP="00C1401B">
      <w:pPr>
        <w:rPr>
          <w:noProof/>
        </w:rPr>
        <w:sectPr w:rsidR="00C1401B" w:rsidRPr="00D3304A" w:rsidSect="00740C8C">
          <w:footnotePr>
            <w:numRestart w:val="eachSect"/>
          </w:footnotePr>
          <w:pgSz w:w="11907" w:h="16840" w:code="9"/>
          <w:pgMar w:top="1134" w:right="1418" w:bottom="1134" w:left="1418" w:header="709" w:footer="709" w:gutter="0"/>
          <w:cols w:space="708"/>
          <w:docGrid w:linePitch="360"/>
        </w:sectPr>
      </w:pPr>
    </w:p>
    <w:p w:rsidR="00C1401B" w:rsidRPr="00D3304A" w:rsidRDefault="00C1401B" w:rsidP="00C1401B">
      <w:pPr>
        <w:pStyle w:val="ManualHeading1"/>
        <w:rPr>
          <w:bCs/>
          <w:noProof/>
          <w:szCs w:val="24"/>
        </w:rPr>
      </w:pPr>
      <w:bookmarkStart w:id="45" w:name="_Toc514938041"/>
      <w:bookmarkStart w:id="46" w:name="_Toc520485042"/>
      <w:r w:rsidRPr="00C24C00">
        <w:rPr>
          <w:noProof/>
        </w:rPr>
        <w:t>2</w:t>
      </w:r>
      <w:r w:rsidRPr="00D3304A">
        <w:rPr>
          <w:noProof/>
        </w:rPr>
        <w:t>.</w:t>
      </w:r>
      <w:r w:rsidRPr="00D3304A">
        <w:rPr>
          <w:noProof/>
        </w:rPr>
        <w:tab/>
        <w:t>VERWALTUNGSMAẞNAHMEN</w:t>
      </w:r>
      <w:bookmarkEnd w:id="45"/>
      <w:bookmarkEnd w:id="46"/>
      <w:r w:rsidRPr="00D3304A">
        <w:rPr>
          <w:noProof/>
        </w:rPr>
        <w:t xml:space="preserve"> </w:t>
      </w:r>
    </w:p>
    <w:p w:rsidR="00C1401B" w:rsidRPr="00D3304A" w:rsidRDefault="00C1401B" w:rsidP="00C1401B">
      <w:pPr>
        <w:pStyle w:val="ManualHeading2"/>
        <w:rPr>
          <w:noProof/>
        </w:rPr>
      </w:pPr>
      <w:bookmarkStart w:id="47" w:name="_Toc514938042"/>
      <w:bookmarkStart w:id="48" w:name="_Toc520485043"/>
      <w:r w:rsidRPr="00C24C00">
        <w:rPr>
          <w:noProof/>
        </w:rPr>
        <w:t>2</w:t>
      </w:r>
      <w:r w:rsidRPr="00D3304A">
        <w:rPr>
          <w:noProof/>
        </w:rPr>
        <w:t>.</w:t>
      </w:r>
      <w:r w:rsidRPr="00C24C00">
        <w:rPr>
          <w:noProof/>
        </w:rPr>
        <w:t>1</w:t>
      </w:r>
      <w:r w:rsidRPr="00D3304A">
        <w:rPr>
          <w:noProof/>
        </w:rPr>
        <w:tab/>
        <w:t>Überwachung und Berichterstattung</w:t>
      </w:r>
      <w:bookmarkEnd w:id="47"/>
      <w:bookmarkEnd w:id="48"/>
      <w:r w:rsidRPr="00D3304A">
        <w:rPr>
          <w:noProof/>
        </w:rPr>
        <w:t xml:space="preserve"> </w:t>
      </w:r>
    </w:p>
    <w:p w:rsidR="00C1401B" w:rsidRPr="00D3304A" w:rsidRDefault="00C1401B" w:rsidP="00C1401B">
      <w:pPr>
        <w:pStyle w:val="Text1"/>
        <w:rPr>
          <w:i/>
          <w:noProof/>
          <w:sz w:val="20"/>
        </w:rPr>
      </w:pPr>
      <w:r w:rsidRPr="00D3304A">
        <w:rPr>
          <w:i/>
          <w:noProof/>
          <w:sz w:val="20"/>
        </w:rPr>
        <w:t>Bitte geben Sie an, wie oft und unter welchen Bedingungen diese Tätigkeiten erfolgen.</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Über die Einhaltung der Bestimmungen der vorgeschlagenen Verordnung durch die Mitgliedstaaten wird kontinuierlich gewacht und jährlich Bericht erstattet, wie dies bei allen EU-Statistikvorschriften der Fall ist. Darüber hinaus wird die Qualität der im Rahmen der vorgeschlagenen Verordnung bereitgestellten Statistiken regelmäßig von Eurostat auf Grundlage der in der Verordnung vorgeschriebenen Qualitätsberichte, Metadaten und Verzeichnisse überwacht. </w:t>
      </w:r>
    </w:p>
    <w:p w:rsidR="00C1401B" w:rsidRPr="00D3304A" w:rsidRDefault="00C1401B" w:rsidP="00C1401B">
      <w:pPr>
        <w:pStyle w:val="ManualHeading2"/>
        <w:rPr>
          <w:bCs/>
          <w:noProof/>
          <w:szCs w:val="24"/>
        </w:rPr>
      </w:pPr>
      <w:bookmarkStart w:id="49" w:name="_Toc514938045"/>
      <w:bookmarkStart w:id="50" w:name="_Toc520485044"/>
      <w:r w:rsidRPr="00C24C00">
        <w:rPr>
          <w:noProof/>
        </w:rPr>
        <w:t>2</w:t>
      </w:r>
      <w:r w:rsidRPr="00D3304A">
        <w:rPr>
          <w:noProof/>
        </w:rPr>
        <w:t>.</w:t>
      </w:r>
      <w:r w:rsidRPr="00C24C00">
        <w:rPr>
          <w:noProof/>
        </w:rPr>
        <w:t>2</w:t>
      </w:r>
      <w:r w:rsidRPr="00D3304A">
        <w:rPr>
          <w:noProof/>
        </w:rPr>
        <w:t>.</w:t>
      </w:r>
      <w:r w:rsidRPr="00D3304A">
        <w:rPr>
          <w:noProof/>
        </w:rPr>
        <w:tab/>
        <w:t>Verwaltungs- und Kontrollsystem(e)</w:t>
      </w:r>
      <w:bookmarkEnd w:id="49"/>
      <w:bookmarkEnd w:id="50"/>
      <w:r w:rsidRPr="00D3304A">
        <w:rPr>
          <w:noProof/>
        </w:rPr>
        <w:t xml:space="preserve"> </w:t>
      </w:r>
    </w:p>
    <w:p w:rsidR="00C1401B" w:rsidRPr="00D3304A" w:rsidRDefault="00C1401B" w:rsidP="00C1401B">
      <w:pPr>
        <w:pStyle w:val="ManualHeading3"/>
        <w:rPr>
          <w:noProof/>
        </w:rPr>
      </w:pPr>
      <w:bookmarkStart w:id="51" w:name="_Toc514938046"/>
      <w:bookmarkStart w:id="52" w:name="_Toc520485045"/>
      <w:r w:rsidRPr="00C24C00">
        <w:rPr>
          <w:noProof/>
        </w:rPr>
        <w:t>2</w:t>
      </w:r>
      <w:r w:rsidRPr="00D3304A">
        <w:rPr>
          <w:noProof/>
        </w:rPr>
        <w:t>.</w:t>
      </w:r>
      <w:r w:rsidRPr="00C24C00">
        <w:rPr>
          <w:noProof/>
        </w:rPr>
        <w:t>2</w:t>
      </w:r>
      <w:r w:rsidRPr="00D3304A">
        <w:rPr>
          <w:noProof/>
        </w:rPr>
        <w:t>.</w:t>
      </w:r>
      <w:r w:rsidRPr="00C24C00">
        <w:rPr>
          <w:noProof/>
        </w:rPr>
        <w:t>1</w:t>
      </w:r>
      <w:r w:rsidRPr="00D3304A">
        <w:rPr>
          <w:noProof/>
        </w:rPr>
        <w:tab/>
        <w:t>Begründung der Haushaltsvollzugsart(en), des Durchführungsmechanismus/der Durchführungsmechanismen für die Finanzierung, der Zahlungsmodalitäten und der Kontrollstrategie, wie vorgeschlagen</w:t>
      </w:r>
      <w:bookmarkEnd w:id="51"/>
      <w:bookmarkEnd w:id="52"/>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Die Methode der direkten Mittelverwaltung ist der gängige Ansatz für die Finanzierung der Entwicklung und Erstellung europäischer Statistiken. Die Mitgliedstaaten werden bei ihren Entwicklungstätigkeiten durch Finanzhilfen unterstützt, während Eurostat seine operativen Mittel für die Bereitstellung technischer Hilfe und Schulungen für die Mitgliedstaaten sowie für die Entwicklung methodischer Leitlinien verwenden wird.</w:t>
      </w:r>
    </w:p>
    <w:p w:rsidR="00C1401B" w:rsidRPr="00D3304A" w:rsidRDefault="00C1401B" w:rsidP="00C1401B">
      <w:pPr>
        <w:pStyle w:val="ManualHeading3"/>
        <w:rPr>
          <w:bCs/>
          <w:noProof/>
          <w:szCs w:val="24"/>
        </w:rPr>
      </w:pPr>
      <w:bookmarkStart w:id="53" w:name="_Toc514938047"/>
      <w:bookmarkStart w:id="54" w:name="_Toc520485046"/>
      <w:r w:rsidRPr="00C24C00">
        <w:rPr>
          <w:noProof/>
        </w:rPr>
        <w:t>2</w:t>
      </w:r>
      <w:r w:rsidRPr="00D3304A">
        <w:rPr>
          <w:noProof/>
        </w:rPr>
        <w:t>.</w:t>
      </w:r>
      <w:r w:rsidRPr="00C24C00">
        <w:rPr>
          <w:noProof/>
        </w:rPr>
        <w:t>2</w:t>
      </w:r>
      <w:r w:rsidRPr="00D3304A">
        <w:rPr>
          <w:noProof/>
        </w:rPr>
        <w:t>.</w:t>
      </w:r>
      <w:r w:rsidRPr="00C24C00">
        <w:rPr>
          <w:noProof/>
        </w:rPr>
        <w:t>2</w:t>
      </w:r>
      <w:r w:rsidRPr="00D3304A">
        <w:rPr>
          <w:noProof/>
        </w:rPr>
        <w:t>.</w:t>
      </w:r>
      <w:r w:rsidRPr="00D3304A">
        <w:rPr>
          <w:noProof/>
        </w:rPr>
        <w:tab/>
        <w:t>Angaben zu den ermittelten Risiken und dem/den zu deren Eindämmung eingerichteten System(en) der internen Kontrolle</w:t>
      </w:r>
      <w:bookmarkEnd w:id="53"/>
      <w:bookmarkEnd w:id="54"/>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Da eine direkte Mittelverwaltung vorgesehen ist, betreffen die damit verbundenen Risiken die Verwaltung von Aufträgen und Finanzhilfen. </w:t>
      </w:r>
    </w:p>
    <w:p w:rsidR="00C1401B" w:rsidRPr="00D3304A" w:rsidRDefault="00C1401B" w:rsidP="00C1401B">
      <w:pPr>
        <w:pStyle w:val="ManualHeading3"/>
        <w:rPr>
          <w:noProof/>
        </w:rPr>
      </w:pPr>
      <w:bookmarkStart w:id="55" w:name="_Toc514938048"/>
      <w:bookmarkStart w:id="56" w:name="_Toc520485047"/>
      <w:r w:rsidRPr="00C24C00">
        <w:rPr>
          <w:noProof/>
        </w:rPr>
        <w:t>2</w:t>
      </w:r>
      <w:r w:rsidRPr="00D3304A">
        <w:rPr>
          <w:noProof/>
        </w:rPr>
        <w:t>.</w:t>
      </w:r>
      <w:r w:rsidRPr="00C24C00">
        <w:rPr>
          <w:noProof/>
        </w:rPr>
        <w:t>2</w:t>
      </w:r>
      <w:r w:rsidRPr="00D3304A">
        <w:rPr>
          <w:noProof/>
        </w:rPr>
        <w:t>.</w:t>
      </w:r>
      <w:r w:rsidRPr="00C24C00">
        <w:rPr>
          <w:noProof/>
        </w:rPr>
        <w:t>3</w:t>
      </w:r>
      <w:r w:rsidRPr="00D3304A">
        <w:rPr>
          <w:noProof/>
        </w:rPr>
        <w:t>.</w:t>
      </w:r>
      <w:r w:rsidRPr="00D3304A">
        <w:rPr>
          <w:noProof/>
        </w:rPr>
        <w:tab/>
        <w:t>Schätzung und Begründung der Kosteneffizienz der Kontrollen (Verhältnis zwischen den Kontrollkosten und dem Wert der betreffenden verwalteten Mittel) sowie Bewertung des erwarteten Ausmaßes des Fehlerrisikos (bei Zahlung und beim Abschluss)</w:t>
      </w:r>
      <w:bookmarkEnd w:id="55"/>
      <w:bookmarkEnd w:id="56"/>
      <w:r w:rsidRPr="00D3304A">
        <w:rPr>
          <w:noProof/>
        </w:rPr>
        <w:t xml:space="preserve"> </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 xml:space="preserve">Die internen Kontrollsysteme für die Finanzhilfe- und Vergabeverfahren bei Eurostat sind effektiv. </w:t>
      </w:r>
    </w:p>
    <w:p w:rsidR="00C1401B" w:rsidRPr="00D3304A" w:rsidRDefault="00C1401B" w:rsidP="00C1401B">
      <w:pPr>
        <w:pStyle w:val="ManualHeading2"/>
        <w:rPr>
          <w:bCs/>
          <w:noProof/>
          <w:szCs w:val="24"/>
        </w:rPr>
      </w:pPr>
      <w:bookmarkStart w:id="57" w:name="_Toc514938049"/>
      <w:bookmarkStart w:id="58" w:name="_Toc520485048"/>
      <w:r w:rsidRPr="00C24C00">
        <w:rPr>
          <w:noProof/>
        </w:rPr>
        <w:t>2</w:t>
      </w:r>
      <w:r w:rsidRPr="00D3304A">
        <w:rPr>
          <w:noProof/>
        </w:rPr>
        <w:t>.</w:t>
      </w:r>
      <w:r w:rsidRPr="00C24C00">
        <w:rPr>
          <w:noProof/>
        </w:rPr>
        <w:t>3</w:t>
      </w:r>
      <w:r w:rsidRPr="00D3304A">
        <w:rPr>
          <w:noProof/>
        </w:rPr>
        <w:t>.</w:t>
      </w:r>
      <w:r w:rsidRPr="00D3304A">
        <w:rPr>
          <w:noProof/>
        </w:rPr>
        <w:tab/>
        <w:t>Prävention von Betrug und Unregelmäßigkeiten</w:t>
      </w:r>
      <w:bookmarkEnd w:id="57"/>
      <w:bookmarkEnd w:id="58"/>
      <w:r w:rsidRPr="00D3304A">
        <w:rPr>
          <w:noProof/>
        </w:rPr>
        <w:t xml:space="preserve"> </w:t>
      </w:r>
    </w:p>
    <w:p w:rsidR="00C1401B" w:rsidRPr="00D3304A" w:rsidRDefault="00C1401B" w:rsidP="00C1401B">
      <w:pPr>
        <w:pStyle w:val="Text1"/>
        <w:rPr>
          <w:i/>
          <w:noProof/>
          <w:sz w:val="20"/>
        </w:rPr>
      </w:pPr>
      <w:r w:rsidRPr="00D3304A">
        <w:rPr>
          <w:i/>
          <w:noProof/>
          <w:sz w:val="20"/>
        </w:rPr>
        <w:t>Bitte geben Sie an, welche Präventions- und Schutzmaßnahmen, z. B. im Rahmen der Betrugsbekämpfungsstrategie, bereits bestehen oder angedacht sind.</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Eurostat hat seine Betrugsbekämpfungsstrategie für den Zeitraum </w:t>
      </w:r>
      <w:r w:rsidRPr="00C24C00">
        <w:rPr>
          <w:noProof/>
        </w:rPr>
        <w:t>2021</w:t>
      </w:r>
      <w:r w:rsidRPr="00D3304A">
        <w:rPr>
          <w:noProof/>
        </w:rPr>
        <w:t>-</w:t>
      </w:r>
      <w:r w:rsidRPr="00C24C00">
        <w:rPr>
          <w:noProof/>
        </w:rPr>
        <w:t>2024</w:t>
      </w:r>
      <w:r w:rsidRPr="00D3304A">
        <w:rPr>
          <w:noProof/>
        </w:rPr>
        <w:t xml:space="preserve"> verabschiedet, die im Einklang mit der Betrugsbekämpfungsstrategie der Kommission (CAFS) vom </w:t>
      </w:r>
      <w:r w:rsidRPr="00C24C00">
        <w:rPr>
          <w:noProof/>
        </w:rPr>
        <w:t>29</w:t>
      </w:r>
      <w:r w:rsidRPr="00D3304A">
        <w:rPr>
          <w:noProof/>
        </w:rPr>
        <w:t xml:space="preserve">. April </w:t>
      </w:r>
      <w:r w:rsidRPr="00C24C00">
        <w:rPr>
          <w:noProof/>
        </w:rPr>
        <w:t>2019</w:t>
      </w:r>
      <w:r w:rsidRPr="00D3304A">
        <w:rPr>
          <w:noProof/>
        </w:rPr>
        <w:t xml:space="preserve"> steht. </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sectPr w:rsidR="00C1401B" w:rsidRPr="00D3304A" w:rsidSect="00740C8C">
          <w:pgSz w:w="11907" w:h="16840" w:code="9"/>
          <w:pgMar w:top="1134" w:right="1418" w:bottom="1134" w:left="1418" w:header="709" w:footer="709" w:gutter="0"/>
          <w:cols w:space="708"/>
          <w:docGrid w:linePitch="360"/>
        </w:sectPr>
      </w:pPr>
      <w:r w:rsidRPr="00D3304A">
        <w:rPr>
          <w:noProof/>
        </w:rPr>
        <w:t xml:space="preserve">In der Betrugsbekämpfungsstrategie von Eurostat sind drei Ziele festgelegt: i) Ausbau der Kapazitäten zur Betrugsbekämpfung von Eurostat und stärkere Sensibilisierung als Teil der Kommissionskultur der Nichtduldung von Betrug, ii) Beibehaltung, weiterer Ausbau und Integration der IT-Instrumente und -Funktionen, um die Betrugsverhütung zu verbessern, und iii) Aufrechterhaltung einer effizienten Zusammenarbeit mit dem OLAF und dem Betrugsverhütungs- und -aufdeckungsnetz, insbesondere um die Qualität und Vollständigkeit der Daten weiter zu verbessern und so die Betrugsbekämpfung zu unterstützen. Die Betrugsbekämpfungsstrategie wird durch einen Aktionsplan zur Betrugsbekämpfung ergänzt. </w:t>
      </w:r>
    </w:p>
    <w:p w:rsidR="00C1401B" w:rsidRPr="00D3304A" w:rsidRDefault="00C1401B" w:rsidP="00C1401B">
      <w:pPr>
        <w:pStyle w:val="ManualHeading1"/>
        <w:rPr>
          <w:bCs/>
          <w:noProof/>
          <w:szCs w:val="24"/>
        </w:rPr>
      </w:pPr>
      <w:bookmarkStart w:id="59" w:name="_Toc514938050"/>
      <w:bookmarkStart w:id="60" w:name="_Toc520485049"/>
      <w:r w:rsidRPr="00C24C00">
        <w:rPr>
          <w:noProof/>
        </w:rPr>
        <w:t>3</w:t>
      </w:r>
      <w:r w:rsidRPr="00D3304A">
        <w:rPr>
          <w:noProof/>
        </w:rPr>
        <w:t>.</w:t>
      </w:r>
      <w:r w:rsidRPr="00D3304A">
        <w:rPr>
          <w:noProof/>
        </w:rPr>
        <w:tab/>
        <w:t>GESCHÄTZTE FINANZIELLE AUSWIRKUNGEN DES VORSCHLAGS/DER INITIATIVE</w:t>
      </w:r>
      <w:bookmarkEnd w:id="59"/>
      <w:bookmarkEnd w:id="60"/>
      <w:r w:rsidRPr="00D3304A">
        <w:rPr>
          <w:noProof/>
        </w:rPr>
        <w:t xml:space="preserve"> </w:t>
      </w:r>
    </w:p>
    <w:p w:rsidR="00C1401B" w:rsidRPr="00D3304A" w:rsidRDefault="00C1401B" w:rsidP="00C1401B">
      <w:pPr>
        <w:pStyle w:val="ManualHeading2"/>
        <w:rPr>
          <w:noProof/>
        </w:rPr>
      </w:pPr>
      <w:bookmarkStart w:id="61" w:name="_Toc514938051"/>
      <w:bookmarkStart w:id="62" w:name="_Toc520485050"/>
      <w:r w:rsidRPr="00C24C00">
        <w:rPr>
          <w:noProof/>
        </w:rPr>
        <w:t>3</w:t>
      </w:r>
      <w:r w:rsidRPr="00D3304A">
        <w:rPr>
          <w:noProof/>
        </w:rPr>
        <w:t>.</w:t>
      </w:r>
      <w:r w:rsidRPr="00C24C00">
        <w:rPr>
          <w:noProof/>
        </w:rPr>
        <w:t>1</w:t>
      </w:r>
      <w:r w:rsidRPr="00D3304A">
        <w:rPr>
          <w:noProof/>
        </w:rPr>
        <w:tab/>
        <w:t>Betroffene Rubrik(en) des Mehrjährigen Finanzrahmens und Ausgabenlinie(n) im Haushaltsplan</w:t>
      </w:r>
      <w:bookmarkEnd w:id="61"/>
      <w:bookmarkEnd w:id="62"/>
      <w:r w:rsidRPr="00D3304A">
        <w:rPr>
          <w:noProof/>
        </w:rPr>
        <w:t xml:space="preserve"> </w:t>
      </w:r>
    </w:p>
    <w:p w:rsidR="00C1401B" w:rsidRPr="00D3304A" w:rsidRDefault="00C1401B" w:rsidP="00C1401B">
      <w:pPr>
        <w:pStyle w:val="ListBullet1"/>
        <w:rPr>
          <w:noProof/>
        </w:rPr>
      </w:pPr>
      <w:r w:rsidRPr="00D3304A">
        <w:rPr>
          <w:noProof/>
        </w:rPr>
        <w:t xml:space="preserve">Bestehende Haushaltslinien </w:t>
      </w:r>
    </w:p>
    <w:p w:rsidR="00C1401B" w:rsidRPr="00D3304A" w:rsidRDefault="00C1401B" w:rsidP="00C1401B">
      <w:pPr>
        <w:pStyle w:val="Text1"/>
        <w:rPr>
          <w:i/>
          <w:noProof/>
        </w:rPr>
      </w:pPr>
      <w:r w:rsidRPr="00D3304A">
        <w:rPr>
          <w:i/>
          <w:noProof/>
          <w:u w:val="single"/>
        </w:rPr>
        <w:t>In der Reihenfolge</w:t>
      </w:r>
      <w:r w:rsidRPr="00D3304A">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1401B" w:rsidRPr="00D3304A" w:rsidTr="00003597">
        <w:tc>
          <w:tcPr>
            <w:tcW w:w="1080" w:type="dxa"/>
            <w:vMerge w:val="restart"/>
            <w:vAlign w:val="center"/>
          </w:tcPr>
          <w:p w:rsidR="00C1401B" w:rsidRPr="00D3304A" w:rsidRDefault="00C1401B" w:rsidP="00003597">
            <w:pPr>
              <w:spacing w:before="60" w:after="60"/>
              <w:jc w:val="center"/>
              <w:rPr>
                <w:noProof/>
              </w:rPr>
            </w:pPr>
            <w:r w:rsidRPr="00D3304A">
              <w:rPr>
                <w:noProof/>
                <w:sz w:val="18"/>
              </w:rPr>
              <w:t>Rubrik des Mehrjährigen Finanzrahmens</w:t>
            </w:r>
          </w:p>
        </w:tc>
        <w:tc>
          <w:tcPr>
            <w:tcW w:w="3960" w:type="dxa"/>
            <w:vAlign w:val="center"/>
          </w:tcPr>
          <w:p w:rsidR="00C1401B" w:rsidRPr="00D3304A" w:rsidRDefault="00C1401B" w:rsidP="00003597">
            <w:pPr>
              <w:spacing w:before="60" w:after="60"/>
              <w:jc w:val="center"/>
              <w:rPr>
                <w:noProof/>
              </w:rPr>
            </w:pPr>
            <w:r w:rsidRPr="00D3304A">
              <w:rPr>
                <w:noProof/>
                <w:sz w:val="20"/>
              </w:rPr>
              <w:t>Haushaltslinie</w:t>
            </w:r>
          </w:p>
        </w:tc>
        <w:tc>
          <w:tcPr>
            <w:tcW w:w="1080" w:type="dxa"/>
            <w:vAlign w:val="center"/>
          </w:tcPr>
          <w:p w:rsidR="00C1401B" w:rsidRPr="00D3304A" w:rsidRDefault="00C1401B" w:rsidP="00003597">
            <w:pPr>
              <w:spacing w:before="60" w:after="60"/>
              <w:jc w:val="center"/>
              <w:rPr>
                <w:noProof/>
              </w:rPr>
            </w:pPr>
            <w:r w:rsidRPr="00D3304A">
              <w:rPr>
                <w:noProof/>
                <w:sz w:val="18"/>
              </w:rPr>
              <w:t>Art der</w:t>
            </w:r>
            <w:r w:rsidRPr="00D3304A">
              <w:rPr>
                <w:noProof/>
                <w:sz w:val="22"/>
              </w:rPr>
              <w:br/>
            </w:r>
            <w:r w:rsidRPr="00D3304A">
              <w:rPr>
                <w:noProof/>
                <w:sz w:val="18"/>
              </w:rPr>
              <w:t>Ausgaben</w:t>
            </w:r>
          </w:p>
        </w:tc>
        <w:tc>
          <w:tcPr>
            <w:tcW w:w="4440" w:type="dxa"/>
            <w:gridSpan w:val="4"/>
            <w:vAlign w:val="center"/>
          </w:tcPr>
          <w:p w:rsidR="00C1401B" w:rsidRPr="00D3304A" w:rsidRDefault="00C1401B" w:rsidP="00003597">
            <w:pPr>
              <w:spacing w:before="60" w:after="60"/>
              <w:jc w:val="center"/>
              <w:rPr>
                <w:noProof/>
              </w:rPr>
            </w:pPr>
            <w:r w:rsidRPr="00D3304A">
              <w:rPr>
                <w:noProof/>
                <w:sz w:val="20"/>
              </w:rPr>
              <w:t xml:space="preserve">Finanzierungsbeiträge </w:t>
            </w:r>
          </w:p>
        </w:tc>
      </w:tr>
      <w:tr w:rsidR="00C1401B" w:rsidRPr="00D3304A" w:rsidTr="00003597">
        <w:tc>
          <w:tcPr>
            <w:tcW w:w="1080" w:type="dxa"/>
            <w:vMerge/>
            <w:vAlign w:val="center"/>
          </w:tcPr>
          <w:p w:rsidR="00C1401B" w:rsidRPr="00D3304A" w:rsidRDefault="00C1401B" w:rsidP="00003597">
            <w:pPr>
              <w:jc w:val="center"/>
              <w:rPr>
                <w:noProof/>
              </w:rPr>
            </w:pPr>
          </w:p>
        </w:tc>
        <w:tc>
          <w:tcPr>
            <w:tcW w:w="3960" w:type="dxa"/>
            <w:vAlign w:val="center"/>
          </w:tcPr>
          <w:p w:rsidR="00C1401B" w:rsidRPr="00D3304A" w:rsidRDefault="00C1401B" w:rsidP="00003597">
            <w:pPr>
              <w:rPr>
                <w:noProof/>
              </w:rPr>
            </w:pPr>
            <w:r w:rsidRPr="00D3304A">
              <w:rPr>
                <w:noProof/>
                <w:sz w:val="20"/>
              </w:rPr>
              <w:t xml:space="preserve">Nummer </w:t>
            </w:r>
            <w:r w:rsidRPr="00D3304A">
              <w:rPr>
                <w:noProof/>
                <w:sz w:val="22"/>
              </w:rPr>
              <w:br/>
            </w:r>
          </w:p>
        </w:tc>
        <w:tc>
          <w:tcPr>
            <w:tcW w:w="1080" w:type="dxa"/>
            <w:vAlign w:val="center"/>
          </w:tcPr>
          <w:p w:rsidR="00C1401B" w:rsidRPr="00D3304A" w:rsidRDefault="00C1401B" w:rsidP="00003597">
            <w:pPr>
              <w:jc w:val="center"/>
              <w:rPr>
                <w:noProof/>
              </w:rPr>
            </w:pPr>
            <w:r w:rsidRPr="00D3304A">
              <w:rPr>
                <w:noProof/>
                <w:sz w:val="18"/>
              </w:rPr>
              <w:t>GM/NGM</w:t>
            </w:r>
            <w:r w:rsidRPr="00D3304A">
              <w:rPr>
                <w:rStyle w:val="FootnoteReference"/>
                <w:noProof/>
                <w:sz w:val="18"/>
              </w:rPr>
              <w:footnoteReference w:id="23"/>
            </w:r>
          </w:p>
        </w:tc>
        <w:tc>
          <w:tcPr>
            <w:tcW w:w="956" w:type="dxa"/>
            <w:vAlign w:val="center"/>
          </w:tcPr>
          <w:p w:rsidR="00C1401B" w:rsidRPr="00D3304A" w:rsidRDefault="00C1401B" w:rsidP="00003597">
            <w:pPr>
              <w:jc w:val="center"/>
              <w:rPr>
                <w:b/>
                <w:noProof/>
                <w:sz w:val="18"/>
              </w:rPr>
            </w:pPr>
            <w:r w:rsidRPr="00D3304A">
              <w:rPr>
                <w:noProof/>
                <w:sz w:val="18"/>
              </w:rPr>
              <w:t>von EFTA-Ländern</w:t>
            </w:r>
            <w:r w:rsidRPr="00D3304A">
              <w:rPr>
                <w:rStyle w:val="FootnoteReference"/>
                <w:noProof/>
                <w:sz w:val="18"/>
              </w:rPr>
              <w:footnoteReference w:id="24"/>
            </w:r>
          </w:p>
        </w:tc>
        <w:tc>
          <w:tcPr>
            <w:tcW w:w="1080" w:type="dxa"/>
            <w:vAlign w:val="center"/>
          </w:tcPr>
          <w:p w:rsidR="00C1401B" w:rsidRPr="00D3304A" w:rsidRDefault="00C1401B" w:rsidP="00003597">
            <w:pPr>
              <w:jc w:val="center"/>
              <w:rPr>
                <w:noProof/>
                <w:sz w:val="18"/>
              </w:rPr>
            </w:pPr>
            <w:r w:rsidRPr="00D3304A">
              <w:rPr>
                <w:noProof/>
                <w:sz w:val="18"/>
              </w:rPr>
              <w:t>von Kandidatenländern und potenziellen Kandidaten</w:t>
            </w:r>
            <w:r w:rsidRPr="00D3304A">
              <w:rPr>
                <w:rStyle w:val="FootnoteReference"/>
                <w:noProof/>
                <w:sz w:val="18"/>
              </w:rPr>
              <w:footnoteReference w:id="25"/>
            </w:r>
          </w:p>
        </w:tc>
        <w:tc>
          <w:tcPr>
            <w:tcW w:w="956" w:type="dxa"/>
            <w:vAlign w:val="center"/>
          </w:tcPr>
          <w:p w:rsidR="00C1401B" w:rsidRPr="00D3304A" w:rsidRDefault="00C1401B" w:rsidP="00003597">
            <w:pPr>
              <w:jc w:val="center"/>
              <w:rPr>
                <w:noProof/>
                <w:sz w:val="18"/>
              </w:rPr>
            </w:pPr>
            <w:r w:rsidRPr="00D3304A">
              <w:rPr>
                <w:noProof/>
                <w:sz w:val="18"/>
              </w:rPr>
              <w:t>von anderen Drittländern</w:t>
            </w:r>
          </w:p>
        </w:tc>
        <w:tc>
          <w:tcPr>
            <w:tcW w:w="1448" w:type="dxa"/>
            <w:vAlign w:val="center"/>
          </w:tcPr>
          <w:p w:rsidR="00C1401B" w:rsidRPr="00D3304A" w:rsidRDefault="00C1401B" w:rsidP="00003597">
            <w:pPr>
              <w:jc w:val="center"/>
              <w:rPr>
                <w:noProof/>
              </w:rPr>
            </w:pPr>
            <w:r w:rsidRPr="00D3304A">
              <w:rPr>
                <w:noProof/>
                <w:sz w:val="18"/>
              </w:rPr>
              <w:t>andere zweckgebundene Einnahmen</w:t>
            </w:r>
          </w:p>
        </w:tc>
      </w:tr>
      <w:tr w:rsidR="00C1401B" w:rsidRPr="00D3304A" w:rsidTr="00003597">
        <w:tc>
          <w:tcPr>
            <w:tcW w:w="1080" w:type="dxa"/>
            <w:vAlign w:val="center"/>
          </w:tcPr>
          <w:p w:rsidR="00C1401B" w:rsidRPr="00D3304A" w:rsidRDefault="00C1401B" w:rsidP="00003597">
            <w:pPr>
              <w:jc w:val="center"/>
              <w:rPr>
                <w:noProof/>
              </w:rPr>
            </w:pPr>
            <w:r w:rsidRPr="00C24C00">
              <w:rPr>
                <w:noProof/>
                <w:sz w:val="22"/>
              </w:rPr>
              <w:t>1</w:t>
            </w:r>
          </w:p>
        </w:tc>
        <w:tc>
          <w:tcPr>
            <w:tcW w:w="3960" w:type="dxa"/>
            <w:vAlign w:val="center"/>
          </w:tcPr>
          <w:p w:rsidR="00C1401B" w:rsidRPr="00D3304A" w:rsidRDefault="00C1401B" w:rsidP="00003597">
            <w:pPr>
              <w:jc w:val="center"/>
              <w:rPr>
                <w:noProof/>
              </w:rPr>
            </w:pPr>
            <w:r w:rsidRPr="00D3304A">
              <w:rPr>
                <w:noProof/>
                <w:sz w:val="22"/>
              </w:rPr>
              <w:t>BGUE-BXXXX-</w:t>
            </w:r>
            <w:r w:rsidRPr="00C24C00">
              <w:rPr>
                <w:noProof/>
                <w:sz w:val="22"/>
              </w:rPr>
              <w:t>03</w:t>
            </w:r>
            <w:r w:rsidRPr="00D3304A">
              <w:rPr>
                <w:noProof/>
                <w:sz w:val="22"/>
              </w:rPr>
              <w:t>-</w:t>
            </w:r>
            <w:r w:rsidRPr="00C24C00">
              <w:rPr>
                <w:noProof/>
                <w:sz w:val="22"/>
              </w:rPr>
              <w:t>020500</w:t>
            </w:r>
            <w:r w:rsidRPr="00D3304A">
              <w:rPr>
                <w:noProof/>
                <w:sz w:val="22"/>
              </w:rPr>
              <w:t>-C</w:t>
            </w:r>
            <w:r w:rsidRPr="00C24C00">
              <w:rPr>
                <w:noProof/>
                <w:sz w:val="22"/>
              </w:rPr>
              <w:t>1</w:t>
            </w:r>
            <w:r w:rsidRPr="00D3304A">
              <w:rPr>
                <w:noProof/>
                <w:sz w:val="22"/>
              </w:rPr>
              <w:t>-ESTAT</w:t>
            </w:r>
          </w:p>
        </w:tc>
        <w:tc>
          <w:tcPr>
            <w:tcW w:w="1080" w:type="dxa"/>
            <w:vAlign w:val="center"/>
          </w:tcPr>
          <w:p w:rsidR="00C1401B" w:rsidRPr="00D3304A" w:rsidRDefault="00C1401B" w:rsidP="00003597">
            <w:pPr>
              <w:jc w:val="center"/>
              <w:rPr>
                <w:noProof/>
              </w:rPr>
            </w:pPr>
            <w:r w:rsidRPr="00D3304A">
              <w:rPr>
                <w:noProof/>
                <w:sz w:val="22"/>
              </w:rPr>
              <w:t>GM</w:t>
            </w:r>
          </w:p>
        </w:tc>
        <w:tc>
          <w:tcPr>
            <w:tcW w:w="956" w:type="dxa"/>
            <w:vAlign w:val="center"/>
          </w:tcPr>
          <w:p w:rsidR="00C1401B" w:rsidRPr="00D3304A" w:rsidRDefault="00C1401B" w:rsidP="00003597">
            <w:pPr>
              <w:jc w:val="center"/>
              <w:rPr>
                <w:noProof/>
                <w:sz w:val="22"/>
                <w:szCs w:val="20"/>
              </w:rPr>
            </w:pPr>
            <w:r w:rsidRPr="00D3304A">
              <w:rPr>
                <w:noProof/>
                <w:sz w:val="22"/>
              </w:rPr>
              <w:t>JA</w:t>
            </w:r>
          </w:p>
        </w:tc>
        <w:tc>
          <w:tcPr>
            <w:tcW w:w="1080" w:type="dxa"/>
            <w:vAlign w:val="center"/>
          </w:tcPr>
          <w:p w:rsidR="00C1401B" w:rsidRPr="00D3304A" w:rsidRDefault="00C1401B" w:rsidP="00003597">
            <w:pPr>
              <w:jc w:val="center"/>
              <w:rPr>
                <w:noProof/>
                <w:sz w:val="22"/>
                <w:szCs w:val="20"/>
              </w:rPr>
            </w:pPr>
            <w:r w:rsidRPr="00D3304A">
              <w:rPr>
                <w:noProof/>
                <w:sz w:val="22"/>
              </w:rPr>
              <w:t>NEIN</w:t>
            </w:r>
          </w:p>
        </w:tc>
        <w:tc>
          <w:tcPr>
            <w:tcW w:w="956" w:type="dxa"/>
            <w:vAlign w:val="center"/>
          </w:tcPr>
          <w:p w:rsidR="00C1401B" w:rsidRPr="00D3304A" w:rsidRDefault="00C1401B" w:rsidP="00003597">
            <w:pPr>
              <w:jc w:val="center"/>
              <w:rPr>
                <w:noProof/>
                <w:sz w:val="22"/>
                <w:szCs w:val="20"/>
              </w:rPr>
            </w:pPr>
            <w:r w:rsidRPr="00D3304A">
              <w:rPr>
                <w:noProof/>
                <w:sz w:val="22"/>
              </w:rPr>
              <w:t>NEIN</w:t>
            </w:r>
          </w:p>
        </w:tc>
        <w:tc>
          <w:tcPr>
            <w:tcW w:w="1448" w:type="dxa"/>
            <w:vAlign w:val="center"/>
          </w:tcPr>
          <w:p w:rsidR="00C1401B" w:rsidRPr="00D3304A" w:rsidRDefault="00C1401B" w:rsidP="00003597">
            <w:pPr>
              <w:jc w:val="center"/>
              <w:rPr>
                <w:noProof/>
                <w:sz w:val="22"/>
                <w:szCs w:val="20"/>
              </w:rPr>
            </w:pPr>
            <w:r w:rsidRPr="00D3304A">
              <w:rPr>
                <w:noProof/>
                <w:sz w:val="22"/>
              </w:rPr>
              <w:t>NEIN</w:t>
            </w:r>
          </w:p>
        </w:tc>
      </w:tr>
    </w:tbl>
    <w:p w:rsidR="00C1401B" w:rsidRPr="00D3304A" w:rsidRDefault="00C1401B" w:rsidP="00C1401B">
      <w:pPr>
        <w:pStyle w:val="ListBullet1"/>
        <w:rPr>
          <w:noProof/>
        </w:rPr>
      </w:pPr>
      <w:r w:rsidRPr="00D3304A">
        <w:rPr>
          <w:noProof/>
        </w:rPr>
        <w:t xml:space="preserve">Neu zu schaffende Haushaltslinien </w:t>
      </w:r>
    </w:p>
    <w:p w:rsidR="00C1401B" w:rsidRPr="00D3304A" w:rsidRDefault="00C1401B" w:rsidP="00C1401B">
      <w:pPr>
        <w:pStyle w:val="Text1"/>
        <w:rPr>
          <w:i/>
          <w:noProof/>
          <w:sz w:val="20"/>
        </w:rPr>
      </w:pPr>
      <w:r w:rsidRPr="00D3304A">
        <w:rPr>
          <w:i/>
          <w:noProof/>
          <w:u w:val="single"/>
        </w:rPr>
        <w:t>In der Reihenfolge</w:t>
      </w:r>
      <w:r w:rsidRPr="00D3304A">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1401B" w:rsidRPr="00D3304A" w:rsidTr="00003597">
        <w:tc>
          <w:tcPr>
            <w:tcW w:w="1080" w:type="dxa"/>
            <w:vMerge w:val="restart"/>
            <w:vAlign w:val="center"/>
          </w:tcPr>
          <w:p w:rsidR="00C1401B" w:rsidRPr="00D3304A" w:rsidRDefault="00C1401B" w:rsidP="00003597">
            <w:pPr>
              <w:spacing w:before="60" w:after="60"/>
              <w:jc w:val="center"/>
              <w:rPr>
                <w:noProof/>
                <w:sz w:val="18"/>
                <w:szCs w:val="18"/>
              </w:rPr>
            </w:pPr>
            <w:r w:rsidRPr="00D3304A">
              <w:rPr>
                <w:noProof/>
                <w:sz w:val="18"/>
              </w:rPr>
              <w:t>Rubrik des Mehrjährigen Finanzrahmens</w:t>
            </w:r>
          </w:p>
        </w:tc>
        <w:tc>
          <w:tcPr>
            <w:tcW w:w="3960" w:type="dxa"/>
            <w:vAlign w:val="center"/>
          </w:tcPr>
          <w:p w:rsidR="00C1401B" w:rsidRPr="00D3304A" w:rsidRDefault="00C1401B" w:rsidP="00003597">
            <w:pPr>
              <w:spacing w:before="60" w:after="60"/>
              <w:jc w:val="center"/>
              <w:rPr>
                <w:noProof/>
              </w:rPr>
            </w:pPr>
            <w:r w:rsidRPr="00D3304A">
              <w:rPr>
                <w:noProof/>
                <w:sz w:val="20"/>
              </w:rPr>
              <w:t>Haushaltslinie</w:t>
            </w:r>
          </w:p>
        </w:tc>
        <w:tc>
          <w:tcPr>
            <w:tcW w:w="1080" w:type="dxa"/>
            <w:vAlign w:val="center"/>
          </w:tcPr>
          <w:p w:rsidR="00C1401B" w:rsidRPr="00D3304A" w:rsidRDefault="00C1401B" w:rsidP="00003597">
            <w:pPr>
              <w:spacing w:before="60" w:after="60"/>
              <w:jc w:val="center"/>
              <w:rPr>
                <w:noProof/>
              </w:rPr>
            </w:pPr>
            <w:r w:rsidRPr="00D3304A">
              <w:rPr>
                <w:noProof/>
                <w:sz w:val="18"/>
              </w:rPr>
              <w:t>Art der</w:t>
            </w:r>
            <w:r w:rsidRPr="00D3304A">
              <w:rPr>
                <w:noProof/>
                <w:sz w:val="22"/>
              </w:rPr>
              <w:br/>
            </w:r>
            <w:r w:rsidRPr="00D3304A">
              <w:rPr>
                <w:noProof/>
                <w:sz w:val="18"/>
              </w:rPr>
              <w:t>Ausgaben</w:t>
            </w:r>
          </w:p>
        </w:tc>
        <w:tc>
          <w:tcPr>
            <w:tcW w:w="4440" w:type="dxa"/>
            <w:gridSpan w:val="4"/>
            <w:vAlign w:val="center"/>
          </w:tcPr>
          <w:p w:rsidR="00C1401B" w:rsidRPr="00D3304A" w:rsidRDefault="00C1401B" w:rsidP="00003597">
            <w:pPr>
              <w:spacing w:before="60" w:after="60"/>
              <w:jc w:val="center"/>
              <w:rPr>
                <w:noProof/>
              </w:rPr>
            </w:pPr>
            <w:r w:rsidRPr="00D3304A">
              <w:rPr>
                <w:noProof/>
                <w:sz w:val="20"/>
              </w:rPr>
              <w:t xml:space="preserve">Finanzierungsbeiträge </w:t>
            </w:r>
          </w:p>
        </w:tc>
      </w:tr>
      <w:tr w:rsidR="00C1401B" w:rsidRPr="00D3304A" w:rsidTr="00003597">
        <w:tc>
          <w:tcPr>
            <w:tcW w:w="1080" w:type="dxa"/>
            <w:vMerge/>
            <w:vAlign w:val="center"/>
          </w:tcPr>
          <w:p w:rsidR="00C1401B" w:rsidRPr="00D3304A" w:rsidRDefault="00C1401B" w:rsidP="00003597">
            <w:pPr>
              <w:jc w:val="center"/>
              <w:rPr>
                <w:noProof/>
              </w:rPr>
            </w:pPr>
          </w:p>
        </w:tc>
        <w:tc>
          <w:tcPr>
            <w:tcW w:w="3960" w:type="dxa"/>
            <w:vAlign w:val="center"/>
          </w:tcPr>
          <w:p w:rsidR="00C1401B" w:rsidRPr="00D3304A" w:rsidRDefault="00C1401B" w:rsidP="00003597">
            <w:pPr>
              <w:rPr>
                <w:noProof/>
              </w:rPr>
            </w:pPr>
            <w:r w:rsidRPr="00D3304A">
              <w:rPr>
                <w:noProof/>
                <w:sz w:val="20"/>
              </w:rPr>
              <w:t xml:space="preserve">Nummer </w:t>
            </w:r>
            <w:r w:rsidRPr="00D3304A">
              <w:rPr>
                <w:noProof/>
                <w:sz w:val="22"/>
              </w:rPr>
              <w:br/>
            </w:r>
          </w:p>
        </w:tc>
        <w:tc>
          <w:tcPr>
            <w:tcW w:w="1080" w:type="dxa"/>
            <w:vAlign w:val="center"/>
          </w:tcPr>
          <w:p w:rsidR="00C1401B" w:rsidRPr="00D3304A" w:rsidRDefault="00C1401B" w:rsidP="00003597">
            <w:pPr>
              <w:jc w:val="center"/>
              <w:rPr>
                <w:noProof/>
              </w:rPr>
            </w:pPr>
            <w:r w:rsidRPr="00D3304A">
              <w:rPr>
                <w:noProof/>
                <w:sz w:val="18"/>
              </w:rPr>
              <w:t>GM/NGM</w:t>
            </w:r>
          </w:p>
        </w:tc>
        <w:tc>
          <w:tcPr>
            <w:tcW w:w="956" w:type="dxa"/>
            <w:vAlign w:val="center"/>
          </w:tcPr>
          <w:p w:rsidR="00C1401B" w:rsidRPr="00D3304A" w:rsidRDefault="00C1401B" w:rsidP="00003597">
            <w:pPr>
              <w:jc w:val="center"/>
              <w:rPr>
                <w:noProof/>
                <w:sz w:val="18"/>
              </w:rPr>
            </w:pPr>
            <w:r w:rsidRPr="00D3304A">
              <w:rPr>
                <w:noProof/>
                <w:sz w:val="18"/>
              </w:rPr>
              <w:t>von EFTA-Ländern</w:t>
            </w:r>
          </w:p>
        </w:tc>
        <w:tc>
          <w:tcPr>
            <w:tcW w:w="1080" w:type="dxa"/>
            <w:vAlign w:val="center"/>
          </w:tcPr>
          <w:p w:rsidR="00C1401B" w:rsidRPr="00D3304A" w:rsidRDefault="00C1401B" w:rsidP="00003597">
            <w:pPr>
              <w:jc w:val="center"/>
              <w:rPr>
                <w:noProof/>
                <w:sz w:val="18"/>
              </w:rPr>
            </w:pPr>
            <w:r w:rsidRPr="00D3304A">
              <w:rPr>
                <w:noProof/>
                <w:sz w:val="18"/>
              </w:rPr>
              <w:t>von Kandidatenländern und potenziellen Kandidaten</w:t>
            </w:r>
          </w:p>
        </w:tc>
        <w:tc>
          <w:tcPr>
            <w:tcW w:w="956" w:type="dxa"/>
            <w:vAlign w:val="center"/>
          </w:tcPr>
          <w:p w:rsidR="00C1401B" w:rsidRPr="00D3304A" w:rsidRDefault="00C1401B" w:rsidP="00003597">
            <w:pPr>
              <w:jc w:val="center"/>
              <w:rPr>
                <w:noProof/>
                <w:sz w:val="18"/>
              </w:rPr>
            </w:pPr>
            <w:r w:rsidRPr="00D3304A">
              <w:rPr>
                <w:noProof/>
                <w:sz w:val="18"/>
              </w:rPr>
              <w:t>von anderen Drittländern</w:t>
            </w:r>
          </w:p>
        </w:tc>
        <w:tc>
          <w:tcPr>
            <w:tcW w:w="1448" w:type="dxa"/>
            <w:vAlign w:val="center"/>
          </w:tcPr>
          <w:p w:rsidR="00C1401B" w:rsidRPr="00D3304A" w:rsidRDefault="00C1401B" w:rsidP="00003597">
            <w:pPr>
              <w:jc w:val="center"/>
              <w:rPr>
                <w:noProof/>
              </w:rPr>
            </w:pPr>
            <w:r w:rsidRPr="00D3304A">
              <w:rPr>
                <w:noProof/>
                <w:sz w:val="18"/>
              </w:rPr>
              <w:t xml:space="preserve">andere zweckgebundene Einnahmen </w:t>
            </w:r>
          </w:p>
        </w:tc>
      </w:tr>
      <w:tr w:rsidR="00C1401B" w:rsidRPr="00D3304A" w:rsidTr="00003597">
        <w:tc>
          <w:tcPr>
            <w:tcW w:w="1080" w:type="dxa"/>
            <w:vAlign w:val="center"/>
          </w:tcPr>
          <w:p w:rsidR="00C1401B" w:rsidRPr="00D3304A" w:rsidRDefault="00C1401B" w:rsidP="00003597">
            <w:pPr>
              <w:jc w:val="center"/>
              <w:rPr>
                <w:noProof/>
              </w:rPr>
            </w:pPr>
          </w:p>
        </w:tc>
        <w:tc>
          <w:tcPr>
            <w:tcW w:w="3960" w:type="dxa"/>
            <w:vAlign w:val="center"/>
          </w:tcPr>
          <w:p w:rsidR="00C1401B" w:rsidRPr="00D3304A" w:rsidRDefault="00C1401B" w:rsidP="00003597">
            <w:pPr>
              <w:jc w:val="center"/>
              <w:rPr>
                <w:noProof/>
              </w:rPr>
            </w:pPr>
            <w:r w:rsidRPr="00D3304A">
              <w:rPr>
                <w:noProof/>
                <w:sz w:val="22"/>
              </w:rPr>
              <w:t>keine</w:t>
            </w:r>
          </w:p>
          <w:p w:rsidR="00C1401B" w:rsidRPr="00D3304A" w:rsidRDefault="00C1401B" w:rsidP="00003597">
            <w:pPr>
              <w:spacing w:after="60"/>
              <w:rPr>
                <w:noProof/>
              </w:rPr>
            </w:pPr>
          </w:p>
        </w:tc>
        <w:tc>
          <w:tcPr>
            <w:tcW w:w="1080" w:type="dxa"/>
            <w:vAlign w:val="center"/>
          </w:tcPr>
          <w:p w:rsidR="00C1401B" w:rsidRPr="00D3304A" w:rsidRDefault="00C1401B" w:rsidP="00003597">
            <w:pPr>
              <w:jc w:val="center"/>
              <w:rPr>
                <w:noProof/>
              </w:rPr>
            </w:pPr>
          </w:p>
        </w:tc>
        <w:tc>
          <w:tcPr>
            <w:tcW w:w="956" w:type="dxa"/>
            <w:vAlign w:val="center"/>
          </w:tcPr>
          <w:p w:rsidR="00C1401B" w:rsidRPr="00D3304A" w:rsidRDefault="00C1401B" w:rsidP="00003597">
            <w:pPr>
              <w:jc w:val="center"/>
              <w:rPr>
                <w:noProof/>
                <w:sz w:val="20"/>
                <w:szCs w:val="20"/>
              </w:rPr>
            </w:pPr>
            <w:r w:rsidRPr="00D3304A">
              <w:rPr>
                <w:noProof/>
                <w:sz w:val="20"/>
              </w:rPr>
              <w:t>JA/NEIN</w:t>
            </w:r>
          </w:p>
        </w:tc>
        <w:tc>
          <w:tcPr>
            <w:tcW w:w="1080" w:type="dxa"/>
            <w:vAlign w:val="center"/>
          </w:tcPr>
          <w:p w:rsidR="00C1401B" w:rsidRPr="00D3304A" w:rsidRDefault="00C1401B" w:rsidP="00003597">
            <w:pPr>
              <w:jc w:val="center"/>
              <w:rPr>
                <w:noProof/>
                <w:sz w:val="20"/>
                <w:szCs w:val="20"/>
              </w:rPr>
            </w:pPr>
            <w:r w:rsidRPr="00D3304A">
              <w:rPr>
                <w:noProof/>
                <w:sz w:val="20"/>
              </w:rPr>
              <w:t>JA/NEIN</w:t>
            </w:r>
          </w:p>
        </w:tc>
        <w:tc>
          <w:tcPr>
            <w:tcW w:w="956" w:type="dxa"/>
            <w:vAlign w:val="center"/>
          </w:tcPr>
          <w:p w:rsidR="00C1401B" w:rsidRPr="00D3304A" w:rsidRDefault="00C1401B" w:rsidP="00003597">
            <w:pPr>
              <w:jc w:val="center"/>
              <w:rPr>
                <w:noProof/>
                <w:sz w:val="20"/>
                <w:szCs w:val="20"/>
              </w:rPr>
            </w:pPr>
            <w:r w:rsidRPr="00D3304A">
              <w:rPr>
                <w:noProof/>
                <w:sz w:val="20"/>
              </w:rPr>
              <w:t>JA/NEIN</w:t>
            </w:r>
          </w:p>
        </w:tc>
        <w:tc>
          <w:tcPr>
            <w:tcW w:w="1448" w:type="dxa"/>
            <w:vAlign w:val="center"/>
          </w:tcPr>
          <w:p w:rsidR="00C1401B" w:rsidRPr="00D3304A" w:rsidRDefault="00C1401B" w:rsidP="00003597">
            <w:pPr>
              <w:jc w:val="center"/>
              <w:rPr>
                <w:noProof/>
                <w:sz w:val="20"/>
                <w:szCs w:val="20"/>
              </w:rPr>
            </w:pPr>
            <w:r w:rsidRPr="00D3304A">
              <w:rPr>
                <w:noProof/>
                <w:sz w:val="20"/>
              </w:rPr>
              <w:t>JA/NEIN</w:t>
            </w:r>
          </w:p>
        </w:tc>
      </w:tr>
    </w:tbl>
    <w:p w:rsidR="00C1401B" w:rsidRPr="00D3304A" w:rsidRDefault="00C1401B" w:rsidP="00C1401B">
      <w:pPr>
        <w:rPr>
          <w:noProof/>
        </w:rPr>
        <w:sectPr w:rsidR="00C1401B" w:rsidRPr="00D3304A" w:rsidSect="00740C8C">
          <w:pgSz w:w="11907" w:h="16840" w:code="1"/>
          <w:pgMar w:top="1134" w:right="1418" w:bottom="1134" w:left="1418" w:header="709" w:footer="709" w:gutter="0"/>
          <w:cols w:space="708"/>
          <w:docGrid w:linePitch="360"/>
        </w:sectPr>
      </w:pPr>
    </w:p>
    <w:p w:rsidR="00C1401B" w:rsidRPr="00D3304A" w:rsidRDefault="00C1401B" w:rsidP="00C1401B">
      <w:pPr>
        <w:pStyle w:val="ManualHeading2"/>
        <w:rPr>
          <w:bCs/>
          <w:noProof/>
          <w:szCs w:val="24"/>
        </w:rPr>
      </w:pPr>
      <w:bookmarkStart w:id="63" w:name="_Toc514938052"/>
      <w:bookmarkStart w:id="64" w:name="_Toc520485051"/>
      <w:r w:rsidRPr="00C24C00">
        <w:rPr>
          <w:noProof/>
        </w:rPr>
        <w:t>3</w:t>
      </w:r>
      <w:r w:rsidRPr="00D3304A">
        <w:rPr>
          <w:noProof/>
        </w:rPr>
        <w:t>.</w:t>
      </w:r>
      <w:r w:rsidRPr="00C24C00">
        <w:rPr>
          <w:noProof/>
        </w:rPr>
        <w:t>2</w:t>
      </w:r>
      <w:r w:rsidRPr="00D3304A">
        <w:rPr>
          <w:noProof/>
        </w:rPr>
        <w:tab/>
        <w:t>Geschätzte finanzielle Auswirkungen des Vorschlags auf die Mittel</w:t>
      </w:r>
      <w:bookmarkEnd w:id="63"/>
      <w:bookmarkEnd w:id="64"/>
      <w:r w:rsidRPr="00D3304A">
        <w:rPr>
          <w:noProof/>
        </w:rPr>
        <w:t xml:space="preserve"> </w:t>
      </w:r>
    </w:p>
    <w:p w:rsidR="00C1401B" w:rsidRPr="00D3304A" w:rsidRDefault="00C1401B" w:rsidP="00C1401B">
      <w:pPr>
        <w:pStyle w:val="ManualHeading3"/>
        <w:rPr>
          <w:noProof/>
        </w:rPr>
      </w:pPr>
      <w:bookmarkStart w:id="65" w:name="_Toc514938053"/>
      <w:bookmarkStart w:id="66" w:name="_Toc520485052"/>
      <w:r w:rsidRPr="00C24C00">
        <w:rPr>
          <w:noProof/>
        </w:rPr>
        <w:t>3</w:t>
      </w:r>
      <w:r w:rsidRPr="00D3304A">
        <w:rPr>
          <w:noProof/>
        </w:rPr>
        <w:t>.</w:t>
      </w:r>
      <w:r w:rsidRPr="00C24C00">
        <w:rPr>
          <w:noProof/>
        </w:rPr>
        <w:t>2</w:t>
      </w:r>
      <w:r w:rsidRPr="00D3304A">
        <w:rPr>
          <w:noProof/>
        </w:rPr>
        <w:t>.</w:t>
      </w:r>
      <w:r w:rsidRPr="00C24C00">
        <w:rPr>
          <w:noProof/>
        </w:rPr>
        <w:t>1</w:t>
      </w:r>
      <w:r w:rsidRPr="00D3304A">
        <w:rPr>
          <w:noProof/>
        </w:rPr>
        <w:tab/>
        <w:t>Übersicht über die geschätzten Auswirkungen auf die operativen Mittel</w:t>
      </w:r>
      <w:bookmarkEnd w:id="65"/>
      <w:bookmarkEnd w:id="66"/>
      <w:r w:rsidRPr="00D3304A">
        <w:rPr>
          <w:noProof/>
        </w:rPr>
        <w:t xml:space="preserve"> </w:t>
      </w:r>
    </w:p>
    <w:p w:rsidR="00C1401B" w:rsidRPr="00D3304A" w:rsidRDefault="00C1401B" w:rsidP="00C1401B">
      <w:pPr>
        <w:pStyle w:val="ListDash1"/>
        <w:rPr>
          <w:noProof/>
        </w:rPr>
      </w:pPr>
      <w:r w:rsidRPr="00D3304A">
        <w:rPr>
          <w:noProof/>
        </w:rPr>
        <w:sym w:font="Wingdings" w:char="F0A8"/>
      </w:r>
      <w:r w:rsidRPr="00D3304A">
        <w:rPr>
          <w:noProof/>
        </w:rPr>
        <w:tab/>
        <w:t xml:space="preserve">Für den Vorschlag/die Initiative werden keine operativen Mittel benötigt. </w:t>
      </w:r>
    </w:p>
    <w:p w:rsidR="00C1401B" w:rsidRPr="00D3304A" w:rsidRDefault="00C1401B" w:rsidP="00C1401B">
      <w:pPr>
        <w:pStyle w:val="ListDash1"/>
        <w:rPr>
          <w:noProof/>
        </w:rPr>
      </w:pPr>
      <w:r w:rsidRPr="00D3304A">
        <w:rPr>
          <w:noProof/>
        </w:rPr>
        <w:sym w:font="Wingdings" w:char="F0FD"/>
      </w:r>
      <w:r w:rsidRPr="00D3304A">
        <w:rPr>
          <w:noProof/>
        </w:rPr>
        <w:tab/>
        <w:t>Für den Vorschlag/die Initiative werden die folgenden operativen Mittel benötigt:</w:t>
      </w:r>
    </w:p>
    <w:p w:rsidR="00C1401B" w:rsidRPr="00D3304A" w:rsidRDefault="00C1401B" w:rsidP="00C1401B">
      <w:pPr>
        <w:jc w:val="right"/>
        <w:rPr>
          <w:noProof/>
          <w:sz w:val="18"/>
          <w:szCs w:val="18"/>
        </w:rPr>
      </w:pPr>
      <w:r w:rsidRPr="00D3304A">
        <w:rPr>
          <w:noProof/>
          <w:sz w:val="18"/>
        </w:rPr>
        <w:t>in Mio. EUR (</w:t>
      </w:r>
      <w:r w:rsidRPr="00C24C00">
        <w:rPr>
          <w:noProof/>
          <w:sz w:val="18"/>
        </w:rPr>
        <w:t>3</w:t>
      </w:r>
      <w:r w:rsidRPr="00D3304A">
        <w:rPr>
          <w:noProof/>
          <w:sz w:val="18"/>
        </w:rPr>
        <w:t>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1401B" w:rsidRPr="00D3304A" w:rsidTr="00003597">
        <w:trPr>
          <w:jc w:val="center"/>
        </w:trPr>
        <w:tc>
          <w:tcPr>
            <w:tcW w:w="4744" w:type="dxa"/>
            <w:shd w:val="thinDiagStripe" w:color="C0C0C0" w:fill="auto"/>
            <w:vAlign w:val="center"/>
          </w:tcPr>
          <w:p w:rsidR="00C1401B" w:rsidRPr="00D3304A" w:rsidRDefault="00C1401B" w:rsidP="00003597">
            <w:pPr>
              <w:spacing w:before="60" w:after="60"/>
              <w:jc w:val="center"/>
              <w:rPr>
                <w:b/>
                <w:noProof/>
              </w:rPr>
            </w:pPr>
            <w:r w:rsidRPr="00D3304A">
              <w:rPr>
                <w:b/>
                <w:noProof/>
                <w:sz w:val="22"/>
              </w:rPr>
              <w:t xml:space="preserve">Rubrik des Mehrjährigen </w:t>
            </w:r>
            <w:r w:rsidRPr="00D3304A">
              <w:rPr>
                <w:noProof/>
                <w:sz w:val="22"/>
              </w:rPr>
              <w:br/>
            </w:r>
            <w:r w:rsidRPr="00D3304A">
              <w:rPr>
                <w:b/>
                <w:noProof/>
                <w:sz w:val="22"/>
              </w:rPr>
              <w:t xml:space="preserve">Finanzrahmens </w:t>
            </w:r>
          </w:p>
        </w:tc>
        <w:tc>
          <w:tcPr>
            <w:tcW w:w="1080" w:type="dxa"/>
            <w:vAlign w:val="center"/>
          </w:tcPr>
          <w:p w:rsidR="00C1401B" w:rsidRPr="00D3304A" w:rsidRDefault="00C1401B" w:rsidP="00003597">
            <w:pPr>
              <w:spacing w:before="60" w:after="60"/>
              <w:jc w:val="center"/>
              <w:rPr>
                <w:noProof/>
              </w:rPr>
            </w:pPr>
            <w:r w:rsidRPr="00C24C00">
              <w:rPr>
                <w:noProof/>
              </w:rPr>
              <w:t>1</w:t>
            </w:r>
          </w:p>
        </w:tc>
        <w:tc>
          <w:tcPr>
            <w:tcW w:w="7817" w:type="dxa"/>
            <w:vAlign w:val="center"/>
          </w:tcPr>
          <w:p w:rsidR="00C1401B" w:rsidRPr="00D3304A" w:rsidRDefault="00C1401B" w:rsidP="00003597">
            <w:pPr>
              <w:spacing w:before="60" w:after="60"/>
              <w:jc w:val="center"/>
              <w:rPr>
                <w:noProof/>
              </w:rPr>
            </w:pPr>
            <w:r w:rsidRPr="00D3304A">
              <w:rPr>
                <w:noProof/>
              </w:rPr>
              <w:t>Binnenmarkt, Forschung und Innovation</w:t>
            </w:r>
          </w:p>
        </w:tc>
      </w:tr>
    </w:tbl>
    <w:p w:rsidR="00C1401B" w:rsidRPr="00D3304A" w:rsidRDefault="00C1401B" w:rsidP="00C1401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276"/>
        <w:gridCol w:w="1843"/>
      </w:tblGrid>
      <w:tr w:rsidR="00C1401B" w:rsidRPr="00D3304A" w:rsidTr="00003597">
        <w:tc>
          <w:tcPr>
            <w:tcW w:w="3960" w:type="dxa"/>
            <w:vAlign w:val="center"/>
          </w:tcPr>
          <w:p w:rsidR="00C1401B" w:rsidRPr="00D3304A" w:rsidRDefault="00C1401B" w:rsidP="00003597">
            <w:pPr>
              <w:spacing w:before="60" w:after="60"/>
              <w:jc w:val="center"/>
              <w:rPr>
                <w:noProof/>
              </w:rPr>
            </w:pPr>
            <w:r w:rsidRPr="00D3304A">
              <w:rPr>
                <w:noProof/>
                <w:sz w:val="22"/>
              </w:rPr>
              <w:t>GD ESTAT</w:t>
            </w:r>
          </w:p>
        </w:tc>
        <w:tc>
          <w:tcPr>
            <w:tcW w:w="1560" w:type="dxa"/>
            <w:gridSpan w:val="2"/>
          </w:tcPr>
          <w:p w:rsidR="00C1401B" w:rsidRPr="00D3304A" w:rsidRDefault="00C1401B" w:rsidP="00003597">
            <w:pPr>
              <w:rPr>
                <w:noProof/>
                <w:sz w:val="20"/>
              </w:rPr>
            </w:pPr>
          </w:p>
        </w:tc>
        <w:tc>
          <w:tcPr>
            <w:tcW w:w="534" w:type="dxa"/>
          </w:tcPr>
          <w:p w:rsidR="00C1401B" w:rsidRPr="00D3304A" w:rsidRDefault="00C1401B" w:rsidP="00003597">
            <w:pPr>
              <w:jc w:val="center"/>
              <w:rPr>
                <w:noProof/>
                <w:sz w:val="20"/>
              </w:rPr>
            </w:pPr>
          </w:p>
        </w:tc>
        <w:tc>
          <w:tcPr>
            <w:tcW w:w="1252" w:type="dxa"/>
            <w:vAlign w:val="center"/>
          </w:tcPr>
          <w:p w:rsidR="00C1401B" w:rsidRPr="00D3304A" w:rsidRDefault="00C1401B" w:rsidP="00003597">
            <w:pPr>
              <w:spacing w:before="60" w:after="60"/>
              <w:jc w:val="center"/>
              <w:rPr>
                <w:noProof/>
                <w:sz w:val="22"/>
                <w:szCs w:val="20"/>
              </w:rPr>
            </w:pPr>
            <w:r w:rsidRPr="00C24C00">
              <w:rPr>
                <w:noProof/>
                <w:sz w:val="22"/>
              </w:rPr>
              <w:t>2026</w:t>
            </w:r>
          </w:p>
        </w:tc>
        <w:tc>
          <w:tcPr>
            <w:tcW w:w="1276" w:type="dxa"/>
            <w:vAlign w:val="center"/>
          </w:tcPr>
          <w:p w:rsidR="00C1401B" w:rsidRPr="00D3304A" w:rsidRDefault="00C1401B" w:rsidP="00003597">
            <w:pPr>
              <w:spacing w:before="60" w:after="60"/>
              <w:jc w:val="center"/>
              <w:rPr>
                <w:noProof/>
                <w:sz w:val="22"/>
                <w:szCs w:val="20"/>
              </w:rPr>
            </w:pPr>
            <w:r w:rsidRPr="00C24C00">
              <w:rPr>
                <w:noProof/>
                <w:sz w:val="22"/>
              </w:rPr>
              <w:t>2027</w:t>
            </w:r>
          </w:p>
        </w:tc>
        <w:tc>
          <w:tcPr>
            <w:tcW w:w="1843" w:type="dxa"/>
            <w:vAlign w:val="center"/>
          </w:tcPr>
          <w:p w:rsidR="00C1401B" w:rsidRPr="00D3304A" w:rsidRDefault="00C1401B" w:rsidP="00003597">
            <w:pPr>
              <w:jc w:val="center"/>
              <w:rPr>
                <w:b/>
                <w:noProof/>
                <w:sz w:val="20"/>
              </w:rPr>
            </w:pPr>
            <w:r w:rsidRPr="00D3304A">
              <w:rPr>
                <w:b/>
                <w:noProof/>
                <w:sz w:val="20"/>
              </w:rPr>
              <w:t>INSGESAMT</w:t>
            </w:r>
          </w:p>
        </w:tc>
      </w:tr>
      <w:tr w:rsidR="00C1401B" w:rsidRPr="00D3304A" w:rsidTr="00003597">
        <w:trPr>
          <w:trHeight w:val="213"/>
        </w:trPr>
        <w:tc>
          <w:tcPr>
            <w:tcW w:w="6054" w:type="dxa"/>
            <w:gridSpan w:val="4"/>
            <w:vAlign w:val="center"/>
          </w:tcPr>
          <w:p w:rsidR="00C1401B" w:rsidRPr="00D3304A" w:rsidRDefault="00C1401B" w:rsidP="00003597">
            <w:pPr>
              <w:spacing w:before="20" w:after="20"/>
              <w:rPr>
                <w:noProof/>
                <w:sz w:val="21"/>
              </w:rPr>
            </w:pPr>
            <w:r w:rsidRPr="00D3304A">
              <w:rPr>
                <w:noProof/>
                <w:sz w:val="21"/>
              </w:rPr>
              <w:sym w:font="Wingdings" w:char="F09F"/>
            </w:r>
            <w:r w:rsidRPr="00D3304A">
              <w:rPr>
                <w:noProof/>
                <w:sz w:val="21"/>
              </w:rPr>
              <w:t xml:space="preserve"> Operative Mittel </w:t>
            </w:r>
          </w:p>
        </w:tc>
        <w:tc>
          <w:tcPr>
            <w:tcW w:w="1252" w:type="dxa"/>
            <w:vAlign w:val="center"/>
          </w:tcPr>
          <w:p w:rsidR="00C1401B" w:rsidRPr="00D3304A" w:rsidRDefault="00C1401B" w:rsidP="00003597">
            <w:pPr>
              <w:rPr>
                <w:noProof/>
                <w:sz w:val="20"/>
              </w:rPr>
            </w:pPr>
          </w:p>
        </w:tc>
        <w:tc>
          <w:tcPr>
            <w:tcW w:w="1276" w:type="dxa"/>
            <w:vAlign w:val="center"/>
          </w:tcPr>
          <w:p w:rsidR="00C1401B" w:rsidRPr="00D3304A" w:rsidRDefault="00C1401B" w:rsidP="00003597">
            <w:pPr>
              <w:rPr>
                <w:noProof/>
                <w:sz w:val="20"/>
              </w:rPr>
            </w:pPr>
          </w:p>
        </w:tc>
        <w:tc>
          <w:tcPr>
            <w:tcW w:w="1843" w:type="dxa"/>
            <w:vAlign w:val="center"/>
          </w:tcPr>
          <w:p w:rsidR="00C1401B" w:rsidRPr="00D3304A" w:rsidRDefault="00C1401B" w:rsidP="00003597">
            <w:pPr>
              <w:rPr>
                <w:b/>
                <w:noProof/>
                <w:sz w:val="20"/>
              </w:rPr>
            </w:pPr>
          </w:p>
        </w:tc>
      </w:tr>
      <w:tr w:rsidR="00C1401B" w:rsidRPr="00D3304A" w:rsidTr="00003597">
        <w:trPr>
          <w:trHeight w:val="277"/>
        </w:trPr>
        <w:tc>
          <w:tcPr>
            <w:tcW w:w="3960" w:type="dxa"/>
            <w:vMerge w:val="restart"/>
            <w:vAlign w:val="center"/>
          </w:tcPr>
          <w:p w:rsidR="00C1401B" w:rsidRPr="00D3304A" w:rsidRDefault="00C1401B" w:rsidP="00003597">
            <w:pPr>
              <w:rPr>
                <w:noProof/>
              </w:rPr>
            </w:pPr>
            <w:r w:rsidRPr="00D3304A">
              <w:rPr>
                <w:noProof/>
                <w:sz w:val="20"/>
              </w:rPr>
              <w:t>Haushaltslinie</w:t>
            </w:r>
            <w:r w:rsidRPr="00D3304A">
              <w:rPr>
                <w:rStyle w:val="FootnoteReference"/>
                <w:noProof/>
                <w:sz w:val="20"/>
              </w:rPr>
              <w:footnoteReference w:id="26"/>
            </w:r>
            <w:r w:rsidRPr="00D3304A">
              <w:rPr>
                <w:noProof/>
              </w:rPr>
              <w:t xml:space="preserve"> </w:t>
            </w:r>
            <w:r w:rsidRPr="00C24C00">
              <w:rPr>
                <w:noProof/>
              </w:rPr>
              <w:t>03</w:t>
            </w:r>
            <w:r w:rsidRPr="00D3304A">
              <w:rPr>
                <w:noProof/>
              </w:rPr>
              <w:t> </w:t>
            </w:r>
            <w:r w:rsidRPr="00C24C00">
              <w:rPr>
                <w:noProof/>
              </w:rPr>
              <w:t>02</w:t>
            </w:r>
            <w:r w:rsidRPr="00D3304A">
              <w:rPr>
                <w:noProof/>
              </w:rPr>
              <w:t> </w:t>
            </w:r>
            <w:r w:rsidRPr="00C24C00">
              <w:rPr>
                <w:noProof/>
              </w:rPr>
              <w:t>05</w:t>
            </w:r>
          </w:p>
        </w:tc>
        <w:tc>
          <w:tcPr>
            <w:tcW w:w="1440" w:type="dxa"/>
            <w:vAlign w:val="center"/>
          </w:tcPr>
          <w:p w:rsidR="00C1401B" w:rsidRPr="00D3304A" w:rsidRDefault="00C1401B" w:rsidP="00003597">
            <w:pPr>
              <w:spacing w:before="20" w:after="20"/>
              <w:rPr>
                <w:noProof/>
                <w:sz w:val="18"/>
              </w:rPr>
            </w:pPr>
            <w:r w:rsidRPr="00D3304A">
              <w:rPr>
                <w:noProof/>
                <w:sz w:val="18"/>
              </w:rPr>
              <w:t>Verpflichtungen</w:t>
            </w:r>
          </w:p>
        </w:tc>
        <w:tc>
          <w:tcPr>
            <w:tcW w:w="654" w:type="dxa"/>
            <w:gridSpan w:val="2"/>
            <w:vAlign w:val="center"/>
          </w:tcPr>
          <w:p w:rsidR="00C1401B" w:rsidRPr="00D3304A" w:rsidRDefault="00C1401B" w:rsidP="00003597">
            <w:pPr>
              <w:spacing w:before="20" w:after="20"/>
              <w:jc w:val="center"/>
              <w:rPr>
                <w:noProof/>
                <w:sz w:val="14"/>
              </w:rPr>
            </w:pPr>
            <w:r w:rsidRPr="00D3304A">
              <w:rPr>
                <w:noProof/>
                <w:sz w:val="14"/>
              </w:rPr>
              <w:t>(</w:t>
            </w:r>
            <w:r w:rsidRPr="00C24C00">
              <w:rPr>
                <w:noProof/>
                <w:sz w:val="14"/>
              </w:rPr>
              <w:t>1</w:t>
            </w:r>
            <w:r w:rsidRPr="00D3304A">
              <w:rPr>
                <w:noProof/>
                <w:sz w:val="14"/>
              </w:rPr>
              <w:t>a)</w:t>
            </w:r>
          </w:p>
        </w:tc>
        <w:tc>
          <w:tcPr>
            <w:tcW w:w="1252" w:type="dxa"/>
            <w:vAlign w:val="center"/>
          </w:tcPr>
          <w:p w:rsidR="00C1401B" w:rsidRPr="00D3304A" w:rsidRDefault="00C1401B" w:rsidP="00003597">
            <w:pPr>
              <w:spacing w:before="60" w:after="60"/>
              <w:jc w:val="center"/>
              <w:rPr>
                <w:noProof/>
                <w:sz w:val="18"/>
                <w:szCs w:val="16"/>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60" w:after="60"/>
              <w:jc w:val="center"/>
              <w:rPr>
                <w:noProof/>
                <w:sz w:val="18"/>
                <w:szCs w:val="16"/>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60" w:after="60"/>
              <w:jc w:val="center"/>
              <w:rPr>
                <w:b/>
                <w:bCs/>
                <w:noProof/>
                <w:sz w:val="20"/>
              </w:rPr>
            </w:pPr>
            <w:r w:rsidRPr="00C24C00">
              <w:rPr>
                <w:b/>
                <w:noProof/>
                <w:sz w:val="18"/>
              </w:rPr>
              <w:t>2</w:t>
            </w:r>
            <w:r w:rsidRPr="00D3304A">
              <w:rPr>
                <w:b/>
                <w:noProof/>
                <w:sz w:val="18"/>
              </w:rPr>
              <w:t>,</w:t>
            </w:r>
            <w:r w:rsidRPr="00C24C00">
              <w:rPr>
                <w:b/>
                <w:noProof/>
                <w:sz w:val="18"/>
              </w:rPr>
              <w:t>500</w:t>
            </w:r>
          </w:p>
        </w:tc>
      </w:tr>
      <w:tr w:rsidR="00C1401B" w:rsidRPr="00D3304A" w:rsidTr="00003597">
        <w:tc>
          <w:tcPr>
            <w:tcW w:w="3960" w:type="dxa"/>
            <w:vMerge/>
          </w:tcPr>
          <w:p w:rsidR="00C1401B" w:rsidRPr="00D3304A" w:rsidRDefault="00C1401B" w:rsidP="00003597">
            <w:pPr>
              <w:jc w:val="center"/>
              <w:rPr>
                <w:noProof/>
                <w:sz w:val="20"/>
              </w:rPr>
            </w:pPr>
          </w:p>
        </w:tc>
        <w:tc>
          <w:tcPr>
            <w:tcW w:w="1440" w:type="dxa"/>
            <w:vAlign w:val="center"/>
          </w:tcPr>
          <w:p w:rsidR="00C1401B" w:rsidRPr="00D3304A" w:rsidRDefault="00C1401B" w:rsidP="00003597">
            <w:pPr>
              <w:spacing w:before="20" w:after="20"/>
              <w:rPr>
                <w:noProof/>
                <w:sz w:val="18"/>
              </w:rPr>
            </w:pPr>
            <w:r w:rsidRPr="00D3304A">
              <w:rPr>
                <w:noProof/>
                <w:sz w:val="18"/>
              </w:rPr>
              <w:t>Zahlungen</w:t>
            </w:r>
          </w:p>
        </w:tc>
        <w:tc>
          <w:tcPr>
            <w:tcW w:w="654" w:type="dxa"/>
            <w:gridSpan w:val="2"/>
            <w:vAlign w:val="center"/>
          </w:tcPr>
          <w:p w:rsidR="00C1401B" w:rsidRPr="00D3304A" w:rsidRDefault="00C1401B" w:rsidP="00003597">
            <w:pPr>
              <w:spacing w:before="20" w:after="20"/>
              <w:jc w:val="center"/>
              <w:rPr>
                <w:noProof/>
                <w:sz w:val="14"/>
              </w:rPr>
            </w:pPr>
            <w:r w:rsidRPr="00D3304A">
              <w:rPr>
                <w:noProof/>
                <w:sz w:val="14"/>
              </w:rPr>
              <w:t>(</w:t>
            </w:r>
            <w:r w:rsidRPr="00C24C00">
              <w:rPr>
                <w:noProof/>
                <w:sz w:val="14"/>
              </w:rPr>
              <w:t>2</w:t>
            </w:r>
            <w:r w:rsidRPr="00D3304A">
              <w:rPr>
                <w:noProof/>
                <w:sz w:val="14"/>
              </w:rPr>
              <w:t>a)</w:t>
            </w:r>
          </w:p>
        </w:tc>
        <w:tc>
          <w:tcPr>
            <w:tcW w:w="1252" w:type="dxa"/>
            <w:vAlign w:val="center"/>
          </w:tcPr>
          <w:p w:rsidR="00C1401B" w:rsidRPr="00D3304A" w:rsidRDefault="00C1401B" w:rsidP="00003597">
            <w:pPr>
              <w:spacing w:before="60" w:after="60"/>
              <w:jc w:val="center"/>
              <w:rPr>
                <w:noProof/>
                <w:sz w:val="18"/>
                <w:szCs w:val="16"/>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60" w:after="60"/>
              <w:jc w:val="center"/>
              <w:rPr>
                <w:noProof/>
                <w:sz w:val="18"/>
                <w:szCs w:val="16"/>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60" w:after="60"/>
              <w:jc w:val="center"/>
              <w:rPr>
                <w:b/>
                <w:bCs/>
                <w:noProof/>
                <w:sz w:val="18"/>
                <w:szCs w:val="16"/>
              </w:rPr>
            </w:pPr>
            <w:r w:rsidRPr="00C24C00">
              <w:rPr>
                <w:b/>
                <w:noProof/>
                <w:sz w:val="18"/>
              </w:rPr>
              <w:t>2</w:t>
            </w:r>
            <w:r w:rsidRPr="00D3304A">
              <w:rPr>
                <w:b/>
                <w:noProof/>
                <w:sz w:val="18"/>
              </w:rPr>
              <w:t>,</w:t>
            </w:r>
            <w:r w:rsidRPr="00C24C00">
              <w:rPr>
                <w:b/>
                <w:noProof/>
                <w:sz w:val="18"/>
              </w:rPr>
              <w:t>500</w:t>
            </w:r>
          </w:p>
        </w:tc>
      </w:tr>
      <w:tr w:rsidR="00C1401B" w:rsidRPr="00D3304A" w:rsidTr="00003597">
        <w:trPr>
          <w:trHeight w:val="231"/>
        </w:trPr>
        <w:tc>
          <w:tcPr>
            <w:tcW w:w="6054" w:type="dxa"/>
            <w:gridSpan w:val="4"/>
            <w:vAlign w:val="center"/>
          </w:tcPr>
          <w:p w:rsidR="00C1401B" w:rsidRPr="00D3304A" w:rsidRDefault="00C1401B" w:rsidP="00003597">
            <w:pPr>
              <w:spacing w:before="20" w:after="20"/>
              <w:rPr>
                <w:noProof/>
              </w:rPr>
            </w:pPr>
            <w:r w:rsidRPr="00D3304A">
              <w:rPr>
                <w:noProof/>
                <w:sz w:val="21"/>
              </w:rPr>
              <w:t>Aus der Dotation bestimmter spezifischer Programme finanzierte Verwaltungsmittel</w:t>
            </w:r>
            <w:r w:rsidRPr="00D3304A">
              <w:rPr>
                <w:rStyle w:val="FootnoteReference"/>
                <w:noProof/>
                <w:sz w:val="21"/>
              </w:rPr>
              <w:footnoteReference w:id="27"/>
            </w:r>
            <w:r w:rsidRPr="00D3304A">
              <w:rPr>
                <w:noProof/>
                <w:sz w:val="21"/>
              </w:rPr>
              <w:t xml:space="preserve"> </w:t>
            </w:r>
          </w:p>
          <w:p w:rsidR="00C1401B" w:rsidRPr="00D3304A" w:rsidRDefault="00C1401B" w:rsidP="00003597">
            <w:pPr>
              <w:spacing w:before="0" w:after="0"/>
              <w:rPr>
                <w:noProof/>
              </w:rPr>
            </w:pPr>
          </w:p>
        </w:tc>
        <w:tc>
          <w:tcPr>
            <w:tcW w:w="1252" w:type="dxa"/>
            <w:vAlign w:val="center"/>
          </w:tcPr>
          <w:p w:rsidR="00C1401B" w:rsidRPr="00D3304A" w:rsidRDefault="00C1401B" w:rsidP="00003597">
            <w:pPr>
              <w:rPr>
                <w:b/>
                <w:noProof/>
                <w:sz w:val="20"/>
              </w:rPr>
            </w:pPr>
          </w:p>
        </w:tc>
        <w:tc>
          <w:tcPr>
            <w:tcW w:w="1276" w:type="dxa"/>
            <w:vAlign w:val="center"/>
          </w:tcPr>
          <w:p w:rsidR="00C1401B" w:rsidRPr="00D3304A" w:rsidRDefault="00C1401B" w:rsidP="00003597">
            <w:pPr>
              <w:rPr>
                <w:b/>
                <w:noProof/>
                <w:sz w:val="20"/>
              </w:rPr>
            </w:pPr>
          </w:p>
        </w:tc>
        <w:tc>
          <w:tcPr>
            <w:tcW w:w="1843" w:type="dxa"/>
            <w:vAlign w:val="center"/>
          </w:tcPr>
          <w:p w:rsidR="00C1401B" w:rsidRPr="00D3304A" w:rsidRDefault="00C1401B" w:rsidP="00003597">
            <w:pPr>
              <w:rPr>
                <w:b/>
                <w:noProof/>
                <w:sz w:val="20"/>
              </w:rPr>
            </w:pPr>
          </w:p>
        </w:tc>
      </w:tr>
      <w:tr w:rsidR="00C1401B" w:rsidRPr="00D3304A" w:rsidTr="00003597">
        <w:trPr>
          <w:trHeight w:val="319"/>
        </w:trPr>
        <w:tc>
          <w:tcPr>
            <w:tcW w:w="3960" w:type="dxa"/>
            <w:vAlign w:val="center"/>
          </w:tcPr>
          <w:p w:rsidR="00C1401B" w:rsidRPr="00D3304A" w:rsidRDefault="00C1401B" w:rsidP="00003597">
            <w:pPr>
              <w:spacing w:before="60" w:after="60"/>
              <w:rPr>
                <w:noProof/>
              </w:rPr>
            </w:pPr>
            <w:r w:rsidRPr="00D3304A">
              <w:rPr>
                <w:noProof/>
                <w:sz w:val="20"/>
              </w:rPr>
              <w:t>Haushaltslinie</w:t>
            </w:r>
          </w:p>
        </w:tc>
        <w:tc>
          <w:tcPr>
            <w:tcW w:w="1440" w:type="dxa"/>
            <w:vAlign w:val="center"/>
          </w:tcPr>
          <w:p w:rsidR="00C1401B" w:rsidRPr="00D3304A" w:rsidRDefault="00C1401B" w:rsidP="00003597">
            <w:pPr>
              <w:spacing w:before="40" w:after="40"/>
              <w:jc w:val="right"/>
              <w:rPr>
                <w:noProof/>
                <w:sz w:val="18"/>
              </w:rPr>
            </w:pPr>
          </w:p>
        </w:tc>
        <w:tc>
          <w:tcPr>
            <w:tcW w:w="654" w:type="dxa"/>
            <w:gridSpan w:val="2"/>
            <w:vAlign w:val="center"/>
          </w:tcPr>
          <w:p w:rsidR="00C1401B" w:rsidRPr="00D3304A" w:rsidRDefault="00C1401B" w:rsidP="00003597">
            <w:pPr>
              <w:spacing w:before="40" w:after="40"/>
              <w:jc w:val="center"/>
              <w:rPr>
                <w:noProof/>
                <w:sz w:val="14"/>
              </w:rPr>
            </w:pPr>
            <w:r w:rsidRPr="00D3304A">
              <w:rPr>
                <w:noProof/>
                <w:sz w:val="14"/>
              </w:rPr>
              <w:t>(</w:t>
            </w:r>
            <w:r w:rsidRPr="00C24C00">
              <w:rPr>
                <w:noProof/>
                <w:sz w:val="14"/>
              </w:rPr>
              <w:t>3</w:t>
            </w:r>
            <w:r w:rsidRPr="00D3304A">
              <w:rPr>
                <w:noProof/>
                <w:sz w:val="14"/>
              </w:rPr>
              <w:t>)</w:t>
            </w:r>
          </w:p>
        </w:tc>
        <w:tc>
          <w:tcPr>
            <w:tcW w:w="1252" w:type="dxa"/>
            <w:vAlign w:val="center"/>
          </w:tcPr>
          <w:p w:rsidR="00C1401B" w:rsidRPr="00D3304A" w:rsidRDefault="00C1401B" w:rsidP="00003597">
            <w:pPr>
              <w:spacing w:before="60" w:after="60"/>
              <w:jc w:val="center"/>
              <w:rPr>
                <w:noProof/>
                <w:sz w:val="18"/>
                <w:szCs w:val="16"/>
              </w:rPr>
            </w:pPr>
            <w:r w:rsidRPr="00C24C00">
              <w:rPr>
                <w:noProof/>
                <w:sz w:val="18"/>
              </w:rPr>
              <w:t>0</w:t>
            </w:r>
          </w:p>
        </w:tc>
        <w:tc>
          <w:tcPr>
            <w:tcW w:w="1276" w:type="dxa"/>
            <w:vAlign w:val="center"/>
          </w:tcPr>
          <w:p w:rsidR="00C1401B" w:rsidRPr="00D3304A" w:rsidRDefault="00C1401B" w:rsidP="00003597">
            <w:pPr>
              <w:spacing w:before="60" w:after="60"/>
              <w:jc w:val="center"/>
              <w:rPr>
                <w:noProof/>
                <w:sz w:val="18"/>
                <w:szCs w:val="16"/>
              </w:rPr>
            </w:pPr>
            <w:r w:rsidRPr="00C24C00">
              <w:rPr>
                <w:noProof/>
                <w:sz w:val="18"/>
              </w:rPr>
              <w:t>0</w:t>
            </w:r>
          </w:p>
        </w:tc>
        <w:tc>
          <w:tcPr>
            <w:tcW w:w="1843" w:type="dxa"/>
            <w:vAlign w:val="center"/>
          </w:tcPr>
          <w:p w:rsidR="00C1401B" w:rsidRPr="00D3304A" w:rsidRDefault="00C1401B" w:rsidP="00003597">
            <w:pPr>
              <w:spacing w:before="60" w:after="60"/>
              <w:jc w:val="center"/>
              <w:rPr>
                <w:b/>
                <w:bCs/>
                <w:noProof/>
                <w:sz w:val="18"/>
                <w:szCs w:val="16"/>
              </w:rPr>
            </w:pPr>
            <w:r w:rsidRPr="00C24C00">
              <w:rPr>
                <w:b/>
                <w:noProof/>
                <w:sz w:val="18"/>
              </w:rPr>
              <w:t>0</w:t>
            </w:r>
          </w:p>
        </w:tc>
      </w:tr>
      <w:tr w:rsidR="00C1401B" w:rsidRPr="00D3304A" w:rsidTr="00003597">
        <w:tc>
          <w:tcPr>
            <w:tcW w:w="3960" w:type="dxa"/>
            <w:vMerge w:val="restart"/>
            <w:vAlign w:val="center"/>
          </w:tcPr>
          <w:p w:rsidR="00C1401B" w:rsidRPr="00D3304A" w:rsidRDefault="00C1401B" w:rsidP="00003597">
            <w:pPr>
              <w:spacing w:before="60" w:after="60"/>
              <w:jc w:val="center"/>
              <w:rPr>
                <w:b/>
                <w:noProof/>
              </w:rPr>
            </w:pPr>
            <w:r w:rsidRPr="00D3304A">
              <w:rPr>
                <w:b/>
                <w:noProof/>
                <w:sz w:val="22"/>
              </w:rPr>
              <w:t>Mittel INSGESAMT</w:t>
            </w:r>
            <w:r w:rsidRPr="00D3304A">
              <w:rPr>
                <w:noProof/>
                <w:sz w:val="22"/>
              </w:rPr>
              <w:br/>
            </w:r>
            <w:r w:rsidRPr="00D3304A">
              <w:rPr>
                <w:b/>
                <w:noProof/>
                <w:sz w:val="22"/>
              </w:rPr>
              <w:t>für die GD ESTAT</w:t>
            </w:r>
          </w:p>
        </w:tc>
        <w:tc>
          <w:tcPr>
            <w:tcW w:w="1440" w:type="dxa"/>
            <w:vAlign w:val="center"/>
          </w:tcPr>
          <w:p w:rsidR="00C1401B" w:rsidRPr="00D3304A" w:rsidRDefault="00C1401B" w:rsidP="00003597">
            <w:pPr>
              <w:rPr>
                <w:noProof/>
                <w:sz w:val="18"/>
              </w:rPr>
            </w:pPr>
            <w:r w:rsidRPr="00D3304A">
              <w:rPr>
                <w:noProof/>
                <w:sz w:val="18"/>
              </w:rPr>
              <w:t>Verpflichtungen</w:t>
            </w:r>
          </w:p>
        </w:tc>
        <w:tc>
          <w:tcPr>
            <w:tcW w:w="654" w:type="dxa"/>
            <w:gridSpan w:val="2"/>
            <w:vAlign w:val="center"/>
          </w:tcPr>
          <w:p w:rsidR="00C1401B" w:rsidRPr="00D3304A" w:rsidRDefault="00C1401B" w:rsidP="00003597">
            <w:pPr>
              <w:jc w:val="center"/>
              <w:rPr>
                <w:noProof/>
                <w:sz w:val="14"/>
              </w:rPr>
            </w:pPr>
            <w:r w:rsidRPr="00D3304A">
              <w:rPr>
                <w:noProof/>
                <w:sz w:val="14"/>
              </w:rPr>
              <w:t>=</w:t>
            </w:r>
            <w:r w:rsidRPr="00C24C00">
              <w:rPr>
                <w:noProof/>
                <w:sz w:val="14"/>
              </w:rPr>
              <w:t>1</w:t>
            </w:r>
            <w:r w:rsidRPr="00D3304A">
              <w:rPr>
                <w:noProof/>
                <w:sz w:val="14"/>
              </w:rPr>
              <w:t>a+</w:t>
            </w:r>
            <w:r w:rsidRPr="00C24C00">
              <w:rPr>
                <w:noProof/>
                <w:sz w:val="14"/>
              </w:rPr>
              <w:t>1</w:t>
            </w:r>
            <w:r w:rsidRPr="00D3304A">
              <w:rPr>
                <w:noProof/>
                <w:sz w:val="14"/>
              </w:rPr>
              <w:t>b+</w:t>
            </w:r>
            <w:r w:rsidRPr="00C24C00">
              <w:rPr>
                <w:noProof/>
                <w:sz w:val="14"/>
              </w:rPr>
              <w:t>3</w:t>
            </w:r>
          </w:p>
        </w:tc>
        <w:tc>
          <w:tcPr>
            <w:tcW w:w="1252"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20" w:after="20"/>
              <w:jc w:val="center"/>
              <w:rPr>
                <w:b/>
                <w:noProof/>
                <w:sz w:val="20"/>
              </w:rPr>
            </w:pPr>
            <w:r w:rsidRPr="00C24C00">
              <w:rPr>
                <w:b/>
                <w:noProof/>
                <w:sz w:val="18"/>
              </w:rPr>
              <w:t>2</w:t>
            </w:r>
            <w:r w:rsidRPr="00D3304A">
              <w:rPr>
                <w:b/>
                <w:noProof/>
                <w:sz w:val="18"/>
              </w:rPr>
              <w:t>,</w:t>
            </w:r>
            <w:r w:rsidRPr="00C24C00">
              <w:rPr>
                <w:b/>
                <w:noProof/>
                <w:sz w:val="18"/>
              </w:rPr>
              <w:t>500</w:t>
            </w:r>
          </w:p>
        </w:tc>
      </w:tr>
      <w:tr w:rsidR="00C1401B" w:rsidRPr="00D3304A" w:rsidTr="00003597">
        <w:tc>
          <w:tcPr>
            <w:tcW w:w="3960" w:type="dxa"/>
            <w:vMerge/>
          </w:tcPr>
          <w:p w:rsidR="00C1401B" w:rsidRPr="00D3304A" w:rsidRDefault="00C1401B" w:rsidP="00003597">
            <w:pPr>
              <w:rPr>
                <w:noProof/>
                <w:sz w:val="20"/>
              </w:rPr>
            </w:pPr>
          </w:p>
        </w:tc>
        <w:tc>
          <w:tcPr>
            <w:tcW w:w="1440" w:type="dxa"/>
            <w:vAlign w:val="center"/>
          </w:tcPr>
          <w:p w:rsidR="00C1401B" w:rsidRPr="00D3304A" w:rsidRDefault="00C1401B" w:rsidP="00003597">
            <w:pPr>
              <w:rPr>
                <w:noProof/>
                <w:sz w:val="18"/>
              </w:rPr>
            </w:pPr>
            <w:r w:rsidRPr="00D3304A">
              <w:rPr>
                <w:noProof/>
                <w:sz w:val="18"/>
              </w:rPr>
              <w:t>Zahlungen</w:t>
            </w:r>
          </w:p>
        </w:tc>
        <w:tc>
          <w:tcPr>
            <w:tcW w:w="654" w:type="dxa"/>
            <w:gridSpan w:val="2"/>
            <w:vAlign w:val="center"/>
          </w:tcPr>
          <w:p w:rsidR="00C1401B" w:rsidRPr="00D3304A" w:rsidRDefault="00C1401B" w:rsidP="00003597">
            <w:pPr>
              <w:jc w:val="center"/>
              <w:rPr>
                <w:noProof/>
                <w:sz w:val="14"/>
              </w:rPr>
            </w:pPr>
            <w:r w:rsidRPr="00D3304A">
              <w:rPr>
                <w:noProof/>
                <w:sz w:val="14"/>
              </w:rPr>
              <w:t>=</w:t>
            </w:r>
            <w:r w:rsidRPr="00C24C00">
              <w:rPr>
                <w:noProof/>
                <w:sz w:val="14"/>
              </w:rPr>
              <w:t>2</w:t>
            </w:r>
            <w:r w:rsidRPr="00D3304A">
              <w:rPr>
                <w:noProof/>
                <w:sz w:val="14"/>
              </w:rPr>
              <w:t>a+</w:t>
            </w:r>
            <w:r w:rsidRPr="00C24C00">
              <w:rPr>
                <w:noProof/>
                <w:sz w:val="14"/>
              </w:rPr>
              <w:t>2</w:t>
            </w:r>
            <w:r w:rsidRPr="00D3304A">
              <w:rPr>
                <w:noProof/>
                <w:sz w:val="14"/>
              </w:rPr>
              <w:t>b</w:t>
            </w:r>
          </w:p>
          <w:p w:rsidR="00C1401B" w:rsidRPr="00D3304A" w:rsidRDefault="00C1401B" w:rsidP="00003597">
            <w:pPr>
              <w:jc w:val="center"/>
              <w:rPr>
                <w:noProof/>
                <w:sz w:val="14"/>
              </w:rPr>
            </w:pPr>
            <w:r w:rsidRPr="00D3304A">
              <w:rPr>
                <w:noProof/>
                <w:sz w:val="14"/>
              </w:rPr>
              <w:t>+</w:t>
            </w:r>
            <w:r w:rsidRPr="00C24C00">
              <w:rPr>
                <w:noProof/>
                <w:sz w:val="14"/>
              </w:rPr>
              <w:t>3</w:t>
            </w:r>
          </w:p>
        </w:tc>
        <w:tc>
          <w:tcPr>
            <w:tcW w:w="1252"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20" w:after="20"/>
              <w:jc w:val="center"/>
              <w:rPr>
                <w:b/>
                <w:noProof/>
                <w:sz w:val="20"/>
              </w:rPr>
            </w:pPr>
            <w:r w:rsidRPr="00C24C00">
              <w:rPr>
                <w:b/>
                <w:noProof/>
                <w:sz w:val="18"/>
              </w:rPr>
              <w:t>2</w:t>
            </w:r>
            <w:r w:rsidRPr="00D3304A">
              <w:rPr>
                <w:b/>
                <w:noProof/>
                <w:sz w:val="18"/>
              </w:rPr>
              <w:t>,</w:t>
            </w:r>
            <w:r w:rsidRPr="00C24C00">
              <w:rPr>
                <w:b/>
                <w:noProof/>
                <w:sz w:val="18"/>
              </w:rPr>
              <w:t>500</w:t>
            </w:r>
          </w:p>
        </w:tc>
      </w:tr>
    </w:tbl>
    <w:p w:rsidR="00C1401B" w:rsidRPr="00D3304A" w:rsidRDefault="00C1401B" w:rsidP="00C1401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52"/>
        <w:gridCol w:w="1276"/>
        <w:gridCol w:w="1843"/>
      </w:tblGrid>
      <w:tr w:rsidR="00C1401B" w:rsidRPr="00D3304A" w:rsidTr="00003597">
        <w:trPr>
          <w:trHeight w:val="277"/>
        </w:trPr>
        <w:tc>
          <w:tcPr>
            <w:tcW w:w="3960" w:type="dxa"/>
            <w:vMerge w:val="restart"/>
            <w:vAlign w:val="center"/>
          </w:tcPr>
          <w:p w:rsidR="00C1401B" w:rsidRPr="00D3304A" w:rsidRDefault="00C1401B" w:rsidP="00003597">
            <w:pPr>
              <w:spacing w:before="20" w:after="20"/>
              <w:rPr>
                <w:noProof/>
              </w:rPr>
            </w:pPr>
            <w:r w:rsidRPr="00D3304A">
              <w:rPr>
                <w:noProof/>
              </w:rPr>
              <w:br w:type="page"/>
            </w:r>
            <w:r w:rsidRPr="00D3304A">
              <w:rPr>
                <w:noProof/>
                <w:sz w:val="21"/>
              </w:rPr>
              <w:sym w:font="Wingdings" w:char="F09F"/>
            </w:r>
            <w:r w:rsidRPr="00D3304A">
              <w:rPr>
                <w:noProof/>
                <w:sz w:val="21"/>
              </w:rPr>
              <w:t xml:space="preserve"> Operative Mittel INSGESAMT </w:t>
            </w:r>
          </w:p>
        </w:tc>
        <w:tc>
          <w:tcPr>
            <w:tcW w:w="1440" w:type="dxa"/>
            <w:vAlign w:val="center"/>
          </w:tcPr>
          <w:p w:rsidR="00C1401B" w:rsidRPr="00D3304A" w:rsidRDefault="00C1401B" w:rsidP="00003597">
            <w:pPr>
              <w:spacing w:beforeLines="20" w:before="48" w:afterLines="20" w:after="48"/>
              <w:rPr>
                <w:noProof/>
                <w:sz w:val="18"/>
              </w:rPr>
            </w:pPr>
            <w:r w:rsidRPr="00D3304A">
              <w:rPr>
                <w:noProof/>
                <w:sz w:val="18"/>
              </w:rPr>
              <w:t>Verpflichtungen</w:t>
            </w:r>
          </w:p>
        </w:tc>
        <w:tc>
          <w:tcPr>
            <w:tcW w:w="654" w:type="dxa"/>
            <w:vAlign w:val="center"/>
          </w:tcPr>
          <w:p w:rsidR="00C1401B" w:rsidRPr="00D3304A" w:rsidRDefault="00C1401B" w:rsidP="00003597">
            <w:pPr>
              <w:spacing w:beforeLines="20" w:before="48" w:afterLines="20" w:after="48"/>
              <w:jc w:val="center"/>
              <w:rPr>
                <w:noProof/>
                <w:sz w:val="14"/>
              </w:rPr>
            </w:pPr>
            <w:r w:rsidRPr="00D3304A">
              <w:rPr>
                <w:noProof/>
                <w:sz w:val="14"/>
              </w:rPr>
              <w:t>(</w:t>
            </w:r>
            <w:r w:rsidRPr="00C24C00">
              <w:rPr>
                <w:noProof/>
                <w:sz w:val="14"/>
              </w:rPr>
              <w:t>4</w:t>
            </w:r>
            <w:r w:rsidRPr="00D3304A">
              <w:rPr>
                <w:noProof/>
                <w:sz w:val="14"/>
              </w:rPr>
              <w:t>)</w:t>
            </w:r>
          </w:p>
        </w:tc>
        <w:tc>
          <w:tcPr>
            <w:tcW w:w="1252" w:type="dxa"/>
            <w:vAlign w:val="center"/>
          </w:tcPr>
          <w:p w:rsidR="00C1401B" w:rsidRPr="00D3304A" w:rsidRDefault="00C1401B" w:rsidP="00003597">
            <w:pPr>
              <w:spacing w:before="20" w:after="20"/>
              <w:jc w:val="right"/>
              <w:rPr>
                <w:noProof/>
                <w:sz w:val="20"/>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20" w:after="20"/>
              <w:jc w:val="right"/>
              <w:rPr>
                <w:noProof/>
                <w:sz w:val="20"/>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20" w:after="20"/>
              <w:jc w:val="center"/>
              <w:rPr>
                <w:noProof/>
                <w:sz w:val="20"/>
              </w:rPr>
            </w:pPr>
            <w:r w:rsidRPr="00C24C00">
              <w:rPr>
                <w:b/>
                <w:noProof/>
                <w:sz w:val="18"/>
              </w:rPr>
              <w:t>2</w:t>
            </w:r>
            <w:r w:rsidRPr="00D3304A">
              <w:rPr>
                <w:b/>
                <w:noProof/>
                <w:sz w:val="18"/>
              </w:rPr>
              <w:t>,</w:t>
            </w:r>
            <w:r w:rsidRPr="00C24C00">
              <w:rPr>
                <w:b/>
                <w:noProof/>
                <w:sz w:val="18"/>
              </w:rPr>
              <w:t>500</w:t>
            </w:r>
          </w:p>
        </w:tc>
      </w:tr>
      <w:tr w:rsidR="00C1401B" w:rsidRPr="00D3304A" w:rsidTr="00003597">
        <w:tc>
          <w:tcPr>
            <w:tcW w:w="3960" w:type="dxa"/>
            <w:vMerge/>
          </w:tcPr>
          <w:p w:rsidR="00C1401B" w:rsidRPr="00D3304A" w:rsidRDefault="00C1401B" w:rsidP="00003597">
            <w:pPr>
              <w:jc w:val="center"/>
              <w:rPr>
                <w:noProof/>
                <w:sz w:val="20"/>
              </w:rPr>
            </w:pPr>
          </w:p>
        </w:tc>
        <w:tc>
          <w:tcPr>
            <w:tcW w:w="1440" w:type="dxa"/>
            <w:vAlign w:val="center"/>
          </w:tcPr>
          <w:p w:rsidR="00C1401B" w:rsidRPr="00D3304A" w:rsidRDefault="00C1401B" w:rsidP="00003597">
            <w:pPr>
              <w:spacing w:beforeLines="20" w:before="48" w:afterLines="20" w:after="48"/>
              <w:rPr>
                <w:noProof/>
                <w:sz w:val="18"/>
              </w:rPr>
            </w:pPr>
            <w:r w:rsidRPr="00D3304A">
              <w:rPr>
                <w:noProof/>
                <w:sz w:val="18"/>
              </w:rPr>
              <w:t>Zahlungen</w:t>
            </w:r>
          </w:p>
        </w:tc>
        <w:tc>
          <w:tcPr>
            <w:tcW w:w="654" w:type="dxa"/>
            <w:vAlign w:val="center"/>
          </w:tcPr>
          <w:p w:rsidR="00C1401B" w:rsidRPr="00D3304A" w:rsidRDefault="00C1401B" w:rsidP="00003597">
            <w:pPr>
              <w:spacing w:beforeLines="20" w:before="48" w:afterLines="20" w:after="48"/>
              <w:jc w:val="center"/>
              <w:rPr>
                <w:noProof/>
                <w:sz w:val="14"/>
              </w:rPr>
            </w:pPr>
            <w:r w:rsidRPr="00D3304A">
              <w:rPr>
                <w:noProof/>
                <w:sz w:val="14"/>
              </w:rPr>
              <w:t>(</w:t>
            </w:r>
            <w:r w:rsidRPr="00C24C00">
              <w:rPr>
                <w:noProof/>
                <w:sz w:val="14"/>
              </w:rPr>
              <w:t>5</w:t>
            </w:r>
            <w:r w:rsidRPr="00D3304A">
              <w:rPr>
                <w:noProof/>
                <w:sz w:val="14"/>
              </w:rPr>
              <w:t>)</w:t>
            </w:r>
          </w:p>
        </w:tc>
        <w:tc>
          <w:tcPr>
            <w:tcW w:w="1252" w:type="dxa"/>
            <w:vAlign w:val="center"/>
          </w:tcPr>
          <w:p w:rsidR="00C1401B" w:rsidRPr="00D3304A" w:rsidRDefault="00C1401B" w:rsidP="00003597">
            <w:pPr>
              <w:spacing w:before="20" w:after="20"/>
              <w:jc w:val="right"/>
              <w:rPr>
                <w:noProof/>
                <w:sz w:val="20"/>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20" w:after="20"/>
              <w:jc w:val="right"/>
              <w:rPr>
                <w:noProof/>
                <w:sz w:val="20"/>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20" w:after="20"/>
              <w:jc w:val="center"/>
              <w:rPr>
                <w:noProof/>
                <w:sz w:val="20"/>
              </w:rPr>
            </w:pPr>
            <w:r w:rsidRPr="00C24C00">
              <w:rPr>
                <w:b/>
                <w:noProof/>
                <w:sz w:val="18"/>
              </w:rPr>
              <w:t>2</w:t>
            </w:r>
            <w:r w:rsidRPr="00D3304A">
              <w:rPr>
                <w:b/>
                <w:noProof/>
                <w:sz w:val="18"/>
              </w:rPr>
              <w:t>,</w:t>
            </w:r>
            <w:r w:rsidRPr="00C24C00">
              <w:rPr>
                <w:b/>
                <w:noProof/>
                <w:sz w:val="18"/>
              </w:rPr>
              <w:t>500</w:t>
            </w:r>
          </w:p>
        </w:tc>
      </w:tr>
      <w:tr w:rsidR="00C1401B" w:rsidRPr="00D3304A" w:rsidTr="00003597">
        <w:trPr>
          <w:trHeight w:val="533"/>
        </w:trPr>
        <w:tc>
          <w:tcPr>
            <w:tcW w:w="5400" w:type="dxa"/>
            <w:gridSpan w:val="2"/>
            <w:vAlign w:val="center"/>
          </w:tcPr>
          <w:p w:rsidR="00C1401B" w:rsidRPr="00D3304A" w:rsidRDefault="00C1401B" w:rsidP="00003597">
            <w:pPr>
              <w:spacing w:beforeLines="20" w:before="48" w:afterLines="20" w:after="48"/>
              <w:rPr>
                <w:noProof/>
              </w:rPr>
            </w:pPr>
            <w:r w:rsidRPr="00D3304A">
              <w:rPr>
                <w:noProof/>
                <w:sz w:val="21"/>
              </w:rPr>
              <w:sym w:font="Wingdings" w:char="F09F"/>
            </w:r>
            <w:r w:rsidRPr="00D3304A">
              <w:rPr>
                <w:noProof/>
                <w:sz w:val="21"/>
              </w:rPr>
              <w:t xml:space="preserve"> Aus der Dotation bestimmter spezifischer Programme finanzierte Verwaltungsmittel INSGESAMT </w:t>
            </w:r>
          </w:p>
        </w:tc>
        <w:tc>
          <w:tcPr>
            <w:tcW w:w="654" w:type="dxa"/>
            <w:vAlign w:val="center"/>
          </w:tcPr>
          <w:p w:rsidR="00C1401B" w:rsidRPr="00D3304A" w:rsidRDefault="00C1401B" w:rsidP="00003597">
            <w:pPr>
              <w:spacing w:beforeLines="20" w:before="48" w:afterLines="20" w:after="48"/>
              <w:jc w:val="center"/>
              <w:rPr>
                <w:noProof/>
                <w:sz w:val="14"/>
              </w:rPr>
            </w:pPr>
            <w:r w:rsidRPr="00D3304A">
              <w:rPr>
                <w:noProof/>
                <w:sz w:val="14"/>
              </w:rPr>
              <w:t>(</w:t>
            </w:r>
            <w:r w:rsidRPr="00C24C00">
              <w:rPr>
                <w:noProof/>
                <w:sz w:val="14"/>
              </w:rPr>
              <w:t>6</w:t>
            </w:r>
            <w:r w:rsidRPr="00D3304A">
              <w:rPr>
                <w:noProof/>
                <w:sz w:val="14"/>
              </w:rPr>
              <w:t>)</w:t>
            </w:r>
          </w:p>
        </w:tc>
        <w:tc>
          <w:tcPr>
            <w:tcW w:w="1252" w:type="dxa"/>
            <w:vAlign w:val="center"/>
          </w:tcPr>
          <w:p w:rsidR="00C1401B" w:rsidRPr="00D3304A" w:rsidRDefault="00C1401B" w:rsidP="00003597">
            <w:pPr>
              <w:spacing w:before="20" w:after="20"/>
              <w:jc w:val="center"/>
              <w:rPr>
                <w:b/>
                <w:noProof/>
                <w:sz w:val="20"/>
              </w:rPr>
            </w:pPr>
            <w:r w:rsidRPr="00C24C00">
              <w:rPr>
                <w:noProof/>
                <w:sz w:val="18"/>
              </w:rPr>
              <w:t>0</w:t>
            </w:r>
          </w:p>
        </w:tc>
        <w:tc>
          <w:tcPr>
            <w:tcW w:w="1276" w:type="dxa"/>
            <w:vAlign w:val="center"/>
          </w:tcPr>
          <w:p w:rsidR="00C1401B" w:rsidRPr="00D3304A" w:rsidRDefault="00C1401B" w:rsidP="00003597">
            <w:pPr>
              <w:spacing w:before="20" w:after="20"/>
              <w:jc w:val="center"/>
              <w:rPr>
                <w:b/>
                <w:noProof/>
                <w:sz w:val="20"/>
              </w:rPr>
            </w:pPr>
            <w:r w:rsidRPr="00C24C00">
              <w:rPr>
                <w:noProof/>
                <w:sz w:val="18"/>
              </w:rPr>
              <w:t>0</w:t>
            </w:r>
          </w:p>
        </w:tc>
        <w:tc>
          <w:tcPr>
            <w:tcW w:w="1843" w:type="dxa"/>
            <w:vAlign w:val="center"/>
          </w:tcPr>
          <w:p w:rsidR="00C1401B" w:rsidRPr="00D3304A" w:rsidRDefault="00C1401B" w:rsidP="00003597">
            <w:pPr>
              <w:spacing w:before="20" w:after="20"/>
              <w:jc w:val="center"/>
              <w:rPr>
                <w:b/>
                <w:noProof/>
                <w:sz w:val="20"/>
              </w:rPr>
            </w:pPr>
            <w:r w:rsidRPr="00C24C00">
              <w:rPr>
                <w:b/>
                <w:noProof/>
                <w:sz w:val="18"/>
              </w:rPr>
              <w:t>0</w:t>
            </w:r>
          </w:p>
        </w:tc>
      </w:tr>
      <w:tr w:rsidR="00C1401B" w:rsidRPr="00D3304A" w:rsidTr="00003597">
        <w:tc>
          <w:tcPr>
            <w:tcW w:w="3960" w:type="dxa"/>
            <w:vMerge w:val="restart"/>
            <w:shd w:val="thinDiagStripe" w:color="C0C0C0" w:fill="auto"/>
            <w:vAlign w:val="center"/>
          </w:tcPr>
          <w:p w:rsidR="00C1401B" w:rsidRPr="00D3304A" w:rsidRDefault="00C1401B" w:rsidP="00003597">
            <w:pPr>
              <w:jc w:val="center"/>
              <w:rPr>
                <w:b/>
                <w:noProof/>
              </w:rPr>
            </w:pPr>
            <w:r w:rsidRPr="00D3304A">
              <w:rPr>
                <w:b/>
                <w:noProof/>
                <w:sz w:val="22"/>
              </w:rPr>
              <w:t xml:space="preserve">Mittel INSGESAMT </w:t>
            </w:r>
            <w:r w:rsidRPr="00D3304A">
              <w:rPr>
                <w:noProof/>
                <w:sz w:val="22"/>
              </w:rPr>
              <w:br/>
            </w:r>
            <w:r w:rsidRPr="00D3304A">
              <w:rPr>
                <w:b/>
                <w:noProof/>
                <w:sz w:val="22"/>
              </w:rPr>
              <w:t>unter der RUBRIK </w:t>
            </w:r>
            <w:r w:rsidRPr="00C24C00">
              <w:rPr>
                <w:b/>
                <w:noProof/>
                <w:sz w:val="22"/>
              </w:rPr>
              <w:t>1</w:t>
            </w:r>
            <w:r w:rsidRPr="00D3304A">
              <w:rPr>
                <w:noProof/>
                <w:sz w:val="22"/>
              </w:rPr>
              <w:br/>
              <w:t>des Mehrjährigen Finanzrahmens</w:t>
            </w:r>
          </w:p>
        </w:tc>
        <w:tc>
          <w:tcPr>
            <w:tcW w:w="1440" w:type="dxa"/>
            <w:vAlign w:val="center"/>
          </w:tcPr>
          <w:p w:rsidR="00C1401B" w:rsidRPr="00D3304A" w:rsidRDefault="00C1401B" w:rsidP="00003597">
            <w:pPr>
              <w:rPr>
                <w:noProof/>
                <w:sz w:val="18"/>
              </w:rPr>
            </w:pPr>
            <w:r w:rsidRPr="00D3304A">
              <w:rPr>
                <w:noProof/>
                <w:sz w:val="18"/>
              </w:rPr>
              <w:t>Verpflichtungen</w:t>
            </w:r>
          </w:p>
        </w:tc>
        <w:tc>
          <w:tcPr>
            <w:tcW w:w="654" w:type="dxa"/>
            <w:vAlign w:val="center"/>
          </w:tcPr>
          <w:p w:rsidR="00C1401B" w:rsidRPr="00D3304A" w:rsidRDefault="00C1401B" w:rsidP="00003597">
            <w:pPr>
              <w:jc w:val="center"/>
              <w:rPr>
                <w:noProof/>
                <w:sz w:val="14"/>
              </w:rPr>
            </w:pPr>
            <w:r w:rsidRPr="00D3304A">
              <w:rPr>
                <w:noProof/>
                <w:sz w:val="14"/>
              </w:rPr>
              <w:t>=</w:t>
            </w:r>
            <w:r w:rsidRPr="00C24C00">
              <w:rPr>
                <w:noProof/>
                <w:sz w:val="14"/>
              </w:rPr>
              <w:t>4</w:t>
            </w:r>
            <w:r w:rsidRPr="00D3304A">
              <w:rPr>
                <w:noProof/>
                <w:sz w:val="14"/>
              </w:rPr>
              <w:t xml:space="preserve">+ </w:t>
            </w:r>
            <w:r w:rsidRPr="00C24C00">
              <w:rPr>
                <w:noProof/>
                <w:sz w:val="14"/>
              </w:rPr>
              <w:t>6</w:t>
            </w:r>
          </w:p>
        </w:tc>
        <w:tc>
          <w:tcPr>
            <w:tcW w:w="1252"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20" w:after="20"/>
              <w:jc w:val="center"/>
              <w:rPr>
                <w:noProof/>
                <w:sz w:val="20"/>
              </w:rPr>
            </w:pPr>
            <w:r w:rsidRPr="00C24C00">
              <w:rPr>
                <w:b/>
                <w:noProof/>
                <w:sz w:val="18"/>
              </w:rPr>
              <w:t>2</w:t>
            </w:r>
            <w:r w:rsidRPr="00D3304A">
              <w:rPr>
                <w:b/>
                <w:noProof/>
                <w:sz w:val="18"/>
              </w:rPr>
              <w:t>,</w:t>
            </w:r>
            <w:r w:rsidRPr="00C24C00">
              <w:rPr>
                <w:b/>
                <w:noProof/>
                <w:sz w:val="18"/>
              </w:rPr>
              <w:t>500</w:t>
            </w:r>
          </w:p>
        </w:tc>
      </w:tr>
      <w:tr w:rsidR="00C1401B" w:rsidRPr="00D3304A" w:rsidTr="00003597">
        <w:tc>
          <w:tcPr>
            <w:tcW w:w="3960" w:type="dxa"/>
            <w:vMerge/>
            <w:shd w:val="thinDiagStripe" w:color="C0C0C0" w:fill="auto"/>
          </w:tcPr>
          <w:p w:rsidR="00C1401B" w:rsidRPr="00D3304A" w:rsidRDefault="00C1401B" w:rsidP="00003597">
            <w:pPr>
              <w:rPr>
                <w:noProof/>
                <w:sz w:val="20"/>
              </w:rPr>
            </w:pPr>
          </w:p>
        </w:tc>
        <w:tc>
          <w:tcPr>
            <w:tcW w:w="1440" w:type="dxa"/>
            <w:vAlign w:val="center"/>
          </w:tcPr>
          <w:p w:rsidR="00C1401B" w:rsidRPr="00D3304A" w:rsidRDefault="00C1401B" w:rsidP="00003597">
            <w:pPr>
              <w:rPr>
                <w:noProof/>
                <w:sz w:val="18"/>
              </w:rPr>
            </w:pPr>
            <w:r w:rsidRPr="00D3304A">
              <w:rPr>
                <w:noProof/>
                <w:sz w:val="18"/>
              </w:rPr>
              <w:t>Zahlungen</w:t>
            </w:r>
          </w:p>
        </w:tc>
        <w:tc>
          <w:tcPr>
            <w:tcW w:w="654" w:type="dxa"/>
            <w:vAlign w:val="center"/>
          </w:tcPr>
          <w:p w:rsidR="00C1401B" w:rsidRPr="00D3304A" w:rsidRDefault="00C1401B" w:rsidP="00003597">
            <w:pPr>
              <w:jc w:val="center"/>
              <w:rPr>
                <w:noProof/>
                <w:sz w:val="14"/>
              </w:rPr>
            </w:pPr>
            <w:r w:rsidRPr="00D3304A">
              <w:rPr>
                <w:noProof/>
                <w:sz w:val="14"/>
              </w:rPr>
              <w:t>=</w:t>
            </w:r>
            <w:r w:rsidRPr="00C24C00">
              <w:rPr>
                <w:noProof/>
                <w:sz w:val="14"/>
              </w:rPr>
              <w:t>5</w:t>
            </w:r>
            <w:r w:rsidRPr="00D3304A">
              <w:rPr>
                <w:noProof/>
                <w:sz w:val="14"/>
              </w:rPr>
              <w:t xml:space="preserve">+ </w:t>
            </w:r>
            <w:r w:rsidRPr="00C24C00">
              <w:rPr>
                <w:noProof/>
                <w:sz w:val="14"/>
              </w:rPr>
              <w:t>6</w:t>
            </w:r>
          </w:p>
        </w:tc>
        <w:tc>
          <w:tcPr>
            <w:tcW w:w="1252"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276" w:type="dxa"/>
            <w:vAlign w:val="center"/>
          </w:tcPr>
          <w:p w:rsidR="00C1401B" w:rsidRPr="00D3304A" w:rsidRDefault="00C1401B" w:rsidP="00003597">
            <w:pPr>
              <w:spacing w:before="20" w:after="20"/>
              <w:jc w:val="center"/>
              <w:rPr>
                <w:noProof/>
                <w:sz w:val="20"/>
              </w:rPr>
            </w:pPr>
            <w:r w:rsidRPr="00C24C00">
              <w:rPr>
                <w:noProof/>
                <w:sz w:val="18"/>
              </w:rPr>
              <w:t>1</w:t>
            </w:r>
            <w:r w:rsidRPr="00D3304A">
              <w:rPr>
                <w:noProof/>
                <w:sz w:val="18"/>
              </w:rPr>
              <w:t>,</w:t>
            </w:r>
            <w:r w:rsidRPr="00C24C00">
              <w:rPr>
                <w:noProof/>
                <w:sz w:val="18"/>
              </w:rPr>
              <w:t>250</w:t>
            </w:r>
          </w:p>
        </w:tc>
        <w:tc>
          <w:tcPr>
            <w:tcW w:w="1843" w:type="dxa"/>
            <w:vAlign w:val="center"/>
          </w:tcPr>
          <w:p w:rsidR="00C1401B" w:rsidRPr="00D3304A" w:rsidRDefault="00C1401B" w:rsidP="00003597">
            <w:pPr>
              <w:spacing w:before="20" w:after="20"/>
              <w:jc w:val="center"/>
              <w:rPr>
                <w:noProof/>
                <w:sz w:val="20"/>
              </w:rPr>
            </w:pPr>
            <w:r w:rsidRPr="00C24C00">
              <w:rPr>
                <w:b/>
                <w:noProof/>
                <w:sz w:val="18"/>
              </w:rPr>
              <w:t>2</w:t>
            </w:r>
            <w:r w:rsidRPr="00D3304A">
              <w:rPr>
                <w:b/>
                <w:noProof/>
                <w:sz w:val="18"/>
              </w:rPr>
              <w:t>,</w:t>
            </w:r>
            <w:r w:rsidRPr="00C24C00">
              <w:rPr>
                <w:b/>
                <w:noProof/>
                <w:sz w:val="18"/>
              </w:rPr>
              <w:t>500</w:t>
            </w:r>
          </w:p>
        </w:tc>
      </w:tr>
    </w:tbl>
    <w:p w:rsidR="00C1401B" w:rsidRPr="00D3304A" w:rsidRDefault="00C1401B" w:rsidP="00C1401B">
      <w:pPr>
        <w:rPr>
          <w:strike/>
          <w:noProof/>
        </w:rPr>
      </w:pPr>
    </w:p>
    <w:p w:rsidR="00C1401B" w:rsidRPr="00D3304A" w:rsidRDefault="00C1401B" w:rsidP="00C1401B">
      <w:pPr>
        <w:spacing w:before="0" w:after="0"/>
        <w:jc w:val="left"/>
        <w:rPr>
          <w:strike/>
          <w:noProof/>
        </w:rPr>
      </w:pPr>
      <w:r w:rsidRPr="00D3304A">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1401B" w:rsidRPr="00D3304A" w:rsidTr="00003597">
        <w:trPr>
          <w:jc w:val="center"/>
        </w:trPr>
        <w:tc>
          <w:tcPr>
            <w:tcW w:w="4744" w:type="dxa"/>
            <w:shd w:val="thinDiagStripe" w:color="C0C0C0" w:fill="auto"/>
            <w:vAlign w:val="center"/>
          </w:tcPr>
          <w:p w:rsidR="00C1401B" w:rsidRPr="00D3304A" w:rsidRDefault="00C1401B" w:rsidP="00003597">
            <w:pPr>
              <w:spacing w:before="60" w:after="60"/>
              <w:jc w:val="center"/>
              <w:rPr>
                <w:b/>
                <w:noProof/>
              </w:rPr>
            </w:pPr>
            <w:r w:rsidRPr="00D3304A">
              <w:rPr>
                <w:noProof/>
              </w:rPr>
              <w:br w:type="page"/>
            </w:r>
            <w:r w:rsidRPr="00D3304A">
              <w:rPr>
                <w:b/>
                <w:noProof/>
                <w:sz w:val="22"/>
              </w:rPr>
              <w:t xml:space="preserve">Rubrik des Mehrjährigen </w:t>
            </w:r>
            <w:r w:rsidRPr="00D3304A">
              <w:rPr>
                <w:noProof/>
                <w:sz w:val="22"/>
              </w:rPr>
              <w:br/>
            </w:r>
            <w:r w:rsidRPr="00D3304A">
              <w:rPr>
                <w:b/>
                <w:noProof/>
                <w:sz w:val="22"/>
              </w:rPr>
              <w:t xml:space="preserve">Finanzrahmens </w:t>
            </w:r>
          </w:p>
        </w:tc>
        <w:tc>
          <w:tcPr>
            <w:tcW w:w="1080" w:type="dxa"/>
            <w:shd w:val="thinDiagStripe" w:color="C0C0C0" w:fill="auto"/>
            <w:vAlign w:val="center"/>
          </w:tcPr>
          <w:p w:rsidR="00C1401B" w:rsidRPr="00D3304A" w:rsidRDefault="00C1401B" w:rsidP="00003597">
            <w:pPr>
              <w:spacing w:before="60" w:after="60"/>
              <w:jc w:val="center"/>
              <w:rPr>
                <w:noProof/>
              </w:rPr>
            </w:pPr>
            <w:r w:rsidRPr="00C24C00">
              <w:rPr>
                <w:b/>
                <w:noProof/>
                <w:sz w:val="22"/>
              </w:rPr>
              <w:t>7</w:t>
            </w:r>
          </w:p>
        </w:tc>
        <w:tc>
          <w:tcPr>
            <w:tcW w:w="7817" w:type="dxa"/>
            <w:vAlign w:val="center"/>
          </w:tcPr>
          <w:p w:rsidR="00C1401B" w:rsidRPr="00D3304A" w:rsidRDefault="00C1401B" w:rsidP="00003597">
            <w:pPr>
              <w:spacing w:before="60" w:after="60"/>
              <w:rPr>
                <w:noProof/>
              </w:rPr>
            </w:pPr>
            <w:r w:rsidRPr="00D3304A">
              <w:rPr>
                <w:noProof/>
                <w:sz w:val="22"/>
              </w:rPr>
              <w:t>„Verwaltungsausgaben“</w:t>
            </w:r>
          </w:p>
        </w:tc>
      </w:tr>
    </w:tbl>
    <w:p w:rsidR="00C1401B" w:rsidRPr="00D3304A" w:rsidRDefault="00C1401B" w:rsidP="00C1401B">
      <w:pPr>
        <w:jc w:val="right"/>
        <w:rPr>
          <w:noProof/>
          <w:sz w:val="20"/>
        </w:rPr>
      </w:pPr>
      <w:r w:rsidRPr="00D3304A">
        <w:rPr>
          <w:noProof/>
          <w:sz w:val="20"/>
        </w:rPr>
        <w:t>in Mio. EUR (</w:t>
      </w:r>
      <w:r w:rsidRPr="00C24C00">
        <w:rPr>
          <w:noProof/>
          <w:sz w:val="20"/>
        </w:rPr>
        <w:t>3</w:t>
      </w:r>
      <w:r w:rsidRPr="00D3304A">
        <w:rPr>
          <w:noProof/>
          <w:sz w:val="20"/>
        </w:rPr>
        <w:t>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rsidR="00C1401B" w:rsidRPr="00D3304A" w:rsidTr="00003597">
        <w:tc>
          <w:tcPr>
            <w:tcW w:w="3960" w:type="dxa"/>
            <w:tcBorders>
              <w:top w:val="nil"/>
              <w:left w:val="nil"/>
              <w:right w:val="nil"/>
            </w:tcBorders>
            <w:vAlign w:val="center"/>
          </w:tcPr>
          <w:p w:rsidR="00C1401B" w:rsidRPr="00D3304A" w:rsidRDefault="00C1401B" w:rsidP="00003597">
            <w:pPr>
              <w:jc w:val="center"/>
              <w:rPr>
                <w:noProof/>
              </w:rPr>
            </w:pPr>
          </w:p>
        </w:tc>
        <w:tc>
          <w:tcPr>
            <w:tcW w:w="1560" w:type="dxa"/>
            <w:tcBorders>
              <w:top w:val="nil"/>
              <w:left w:val="nil"/>
              <w:right w:val="nil"/>
            </w:tcBorders>
          </w:tcPr>
          <w:p w:rsidR="00C1401B" w:rsidRPr="00D3304A" w:rsidRDefault="00C1401B" w:rsidP="00003597">
            <w:pPr>
              <w:rPr>
                <w:noProof/>
                <w:sz w:val="20"/>
              </w:rPr>
            </w:pPr>
          </w:p>
        </w:tc>
        <w:tc>
          <w:tcPr>
            <w:tcW w:w="534" w:type="dxa"/>
            <w:tcBorders>
              <w:top w:val="nil"/>
              <w:left w:val="nil"/>
            </w:tcBorders>
          </w:tcPr>
          <w:p w:rsidR="00C1401B" w:rsidRPr="00D3304A" w:rsidRDefault="00C1401B" w:rsidP="00003597">
            <w:pPr>
              <w:jc w:val="center"/>
              <w:rPr>
                <w:noProof/>
                <w:sz w:val="20"/>
              </w:rPr>
            </w:pPr>
          </w:p>
        </w:tc>
        <w:tc>
          <w:tcPr>
            <w:tcW w:w="868" w:type="dxa"/>
            <w:vAlign w:val="center"/>
          </w:tcPr>
          <w:p w:rsidR="00C1401B" w:rsidRPr="00D3304A" w:rsidRDefault="00C1401B" w:rsidP="00003597">
            <w:pPr>
              <w:spacing w:before="20" w:after="20"/>
              <w:jc w:val="center"/>
              <w:rPr>
                <w:noProof/>
                <w:sz w:val="20"/>
              </w:rPr>
            </w:pPr>
            <w:r w:rsidRPr="00D3304A">
              <w:rPr>
                <w:noProof/>
                <w:sz w:val="20"/>
              </w:rPr>
              <w:t>Jahr</w:t>
            </w:r>
            <w:r w:rsidRPr="00D3304A">
              <w:rPr>
                <w:noProof/>
                <w:sz w:val="22"/>
              </w:rPr>
              <w:br/>
            </w:r>
            <w:r w:rsidRPr="00C24C00">
              <w:rPr>
                <w:noProof/>
                <w:sz w:val="18"/>
              </w:rPr>
              <w:t>2026</w:t>
            </w:r>
          </w:p>
        </w:tc>
        <w:tc>
          <w:tcPr>
            <w:tcW w:w="868" w:type="dxa"/>
            <w:vAlign w:val="center"/>
          </w:tcPr>
          <w:p w:rsidR="00C1401B" w:rsidRPr="00D3304A" w:rsidRDefault="00C1401B" w:rsidP="00003597">
            <w:pPr>
              <w:spacing w:before="20" w:after="20"/>
              <w:jc w:val="center"/>
              <w:rPr>
                <w:noProof/>
                <w:sz w:val="20"/>
              </w:rPr>
            </w:pPr>
            <w:r w:rsidRPr="00D3304A">
              <w:rPr>
                <w:noProof/>
                <w:sz w:val="20"/>
              </w:rPr>
              <w:t>Jahr</w:t>
            </w:r>
            <w:r w:rsidRPr="00D3304A">
              <w:rPr>
                <w:noProof/>
                <w:sz w:val="22"/>
              </w:rPr>
              <w:br/>
            </w:r>
            <w:r w:rsidRPr="00C24C00">
              <w:rPr>
                <w:noProof/>
                <w:sz w:val="18"/>
              </w:rPr>
              <w:t>2027</w:t>
            </w:r>
          </w:p>
        </w:tc>
        <w:tc>
          <w:tcPr>
            <w:tcW w:w="1777" w:type="dxa"/>
            <w:vAlign w:val="center"/>
          </w:tcPr>
          <w:p w:rsidR="00C1401B" w:rsidRPr="00D3304A" w:rsidRDefault="00C1401B" w:rsidP="00003597">
            <w:pPr>
              <w:jc w:val="center"/>
              <w:rPr>
                <w:b/>
                <w:noProof/>
                <w:sz w:val="20"/>
              </w:rPr>
            </w:pPr>
            <w:r w:rsidRPr="00D3304A">
              <w:rPr>
                <w:b/>
                <w:noProof/>
                <w:sz w:val="20"/>
              </w:rPr>
              <w:t>INSGESAMT</w:t>
            </w:r>
          </w:p>
        </w:tc>
      </w:tr>
      <w:tr w:rsidR="00C1401B" w:rsidRPr="00D3304A" w:rsidTr="00003597">
        <w:trPr>
          <w:gridAfter w:val="5"/>
          <w:wAfter w:w="5607" w:type="dxa"/>
        </w:trPr>
        <w:tc>
          <w:tcPr>
            <w:tcW w:w="3960" w:type="dxa"/>
            <w:vAlign w:val="center"/>
          </w:tcPr>
          <w:p w:rsidR="00C1401B" w:rsidRPr="00D3304A" w:rsidRDefault="00C1401B" w:rsidP="00003597">
            <w:pPr>
              <w:spacing w:before="20" w:after="20"/>
              <w:jc w:val="center"/>
              <w:rPr>
                <w:noProof/>
              </w:rPr>
            </w:pPr>
            <w:r w:rsidRPr="00D3304A">
              <w:rPr>
                <w:noProof/>
                <w:sz w:val="22"/>
              </w:rPr>
              <w:t xml:space="preserve">GD </w:t>
            </w:r>
            <w:r w:rsidRPr="00D3304A">
              <w:rPr>
                <w:noProof/>
                <w:sz w:val="18"/>
              </w:rPr>
              <w:t>ESTAT</w:t>
            </w:r>
          </w:p>
        </w:tc>
      </w:tr>
      <w:tr w:rsidR="00C1401B" w:rsidRPr="00D3304A" w:rsidTr="00003597">
        <w:trPr>
          <w:trHeight w:val="313"/>
        </w:trPr>
        <w:tc>
          <w:tcPr>
            <w:tcW w:w="6054" w:type="dxa"/>
            <w:gridSpan w:val="3"/>
            <w:vAlign w:val="center"/>
          </w:tcPr>
          <w:p w:rsidR="00C1401B" w:rsidRPr="00D3304A" w:rsidRDefault="00C1401B" w:rsidP="00003597">
            <w:pPr>
              <w:spacing w:before="20" w:after="20"/>
              <w:rPr>
                <w:noProof/>
              </w:rPr>
            </w:pPr>
            <w:r w:rsidRPr="00D3304A">
              <w:rPr>
                <w:noProof/>
                <w:sz w:val="22"/>
              </w:rPr>
              <w:sym w:font="Wingdings" w:char="F09F"/>
            </w:r>
            <w:r w:rsidRPr="00D3304A">
              <w:rPr>
                <w:noProof/>
              </w:rPr>
              <w:t xml:space="preserve"> Personalausgaben</w:t>
            </w:r>
            <w:r w:rsidRPr="00D3304A">
              <w:rPr>
                <w:noProof/>
                <w:sz w:val="22"/>
              </w:rPr>
              <w:t xml:space="preserve"> </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1777" w:type="dxa"/>
            <w:vAlign w:val="center"/>
          </w:tcPr>
          <w:p w:rsidR="00C1401B" w:rsidRPr="00D3304A" w:rsidRDefault="00C1401B" w:rsidP="00003597">
            <w:pPr>
              <w:spacing w:before="20" w:after="20"/>
              <w:jc w:val="center"/>
              <w:rPr>
                <w:b/>
                <w:bCs/>
                <w:noProof/>
                <w:sz w:val="18"/>
                <w:szCs w:val="16"/>
              </w:rPr>
            </w:pPr>
            <w:r w:rsidRPr="00C24C00">
              <w:rPr>
                <w:b/>
                <w:noProof/>
                <w:sz w:val="18"/>
              </w:rPr>
              <w:t>1</w:t>
            </w:r>
            <w:r w:rsidRPr="00D3304A">
              <w:rPr>
                <w:b/>
                <w:noProof/>
                <w:sz w:val="18"/>
              </w:rPr>
              <w:t>,</w:t>
            </w:r>
            <w:r w:rsidRPr="00C24C00">
              <w:rPr>
                <w:b/>
                <w:noProof/>
                <w:sz w:val="18"/>
              </w:rPr>
              <w:t>100</w:t>
            </w:r>
          </w:p>
        </w:tc>
      </w:tr>
      <w:tr w:rsidR="00C1401B" w:rsidRPr="00D3304A" w:rsidTr="00003597">
        <w:trPr>
          <w:trHeight w:val="351"/>
        </w:trPr>
        <w:tc>
          <w:tcPr>
            <w:tcW w:w="6054" w:type="dxa"/>
            <w:gridSpan w:val="3"/>
            <w:vAlign w:val="center"/>
          </w:tcPr>
          <w:p w:rsidR="00C1401B" w:rsidRPr="00D3304A" w:rsidRDefault="00C1401B" w:rsidP="00003597">
            <w:pPr>
              <w:spacing w:before="20" w:after="20"/>
              <w:rPr>
                <w:noProof/>
              </w:rPr>
            </w:pPr>
            <w:r w:rsidRPr="00D3304A">
              <w:rPr>
                <w:noProof/>
                <w:sz w:val="22"/>
              </w:rPr>
              <w:sym w:font="Wingdings" w:char="F09F"/>
            </w:r>
            <w:r w:rsidRPr="00D3304A">
              <w:rPr>
                <w:noProof/>
              </w:rPr>
              <w:t xml:space="preserve"> Sonstige Verwaltungsausgaben</w:t>
            </w:r>
            <w:r w:rsidRPr="00D3304A">
              <w:rPr>
                <w:noProof/>
                <w:sz w:val="22"/>
              </w:rPr>
              <w:t xml:space="preserve"> </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p>
        </w:tc>
        <w:tc>
          <w:tcPr>
            <w:tcW w:w="1777" w:type="dxa"/>
            <w:vAlign w:val="center"/>
          </w:tcPr>
          <w:p w:rsidR="00C1401B" w:rsidRPr="00D3304A" w:rsidRDefault="00C1401B" w:rsidP="00003597">
            <w:pPr>
              <w:spacing w:before="20" w:after="20"/>
              <w:jc w:val="center"/>
              <w:rPr>
                <w:b/>
                <w:bCs/>
                <w:noProof/>
                <w:sz w:val="18"/>
                <w:szCs w:val="16"/>
              </w:rPr>
            </w:pPr>
            <w:r w:rsidRPr="00C24C00">
              <w:rPr>
                <w:b/>
                <w:noProof/>
                <w:sz w:val="18"/>
              </w:rPr>
              <w:t>0</w:t>
            </w:r>
          </w:p>
        </w:tc>
      </w:tr>
      <w:tr w:rsidR="00C1401B" w:rsidRPr="00D3304A" w:rsidTr="00003597">
        <w:tc>
          <w:tcPr>
            <w:tcW w:w="3960" w:type="dxa"/>
            <w:vAlign w:val="center"/>
          </w:tcPr>
          <w:p w:rsidR="00C1401B" w:rsidRPr="00D3304A" w:rsidRDefault="00C1401B" w:rsidP="00003597">
            <w:pPr>
              <w:spacing w:before="20" w:after="20"/>
              <w:jc w:val="center"/>
              <w:rPr>
                <w:b/>
                <w:noProof/>
              </w:rPr>
            </w:pPr>
            <w:r w:rsidRPr="00D3304A">
              <w:rPr>
                <w:b/>
                <w:noProof/>
              </w:rPr>
              <w:t>GD</w:t>
            </w:r>
            <w:r w:rsidRPr="00D3304A">
              <w:rPr>
                <w:noProof/>
              </w:rPr>
              <w:t> ESTAT INSGESAMT</w:t>
            </w:r>
          </w:p>
        </w:tc>
        <w:tc>
          <w:tcPr>
            <w:tcW w:w="2094" w:type="dxa"/>
            <w:gridSpan w:val="2"/>
            <w:vAlign w:val="center"/>
          </w:tcPr>
          <w:p w:rsidR="00C1401B" w:rsidRPr="00D3304A" w:rsidRDefault="00C1401B" w:rsidP="00003597">
            <w:pPr>
              <w:rPr>
                <w:noProof/>
                <w:sz w:val="14"/>
              </w:rPr>
            </w:pPr>
            <w:r w:rsidRPr="00D3304A">
              <w:rPr>
                <w:noProof/>
                <w:sz w:val="18"/>
              </w:rPr>
              <w:t xml:space="preserve">Mittel </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1777" w:type="dxa"/>
            <w:vAlign w:val="center"/>
          </w:tcPr>
          <w:p w:rsidR="00C1401B" w:rsidRPr="00D3304A" w:rsidRDefault="00C1401B" w:rsidP="00003597">
            <w:pPr>
              <w:spacing w:before="20" w:after="20"/>
              <w:jc w:val="center"/>
              <w:rPr>
                <w:b/>
                <w:bCs/>
                <w:noProof/>
                <w:sz w:val="18"/>
                <w:szCs w:val="16"/>
              </w:rPr>
            </w:pPr>
            <w:r w:rsidRPr="00C24C00">
              <w:rPr>
                <w:b/>
                <w:noProof/>
                <w:sz w:val="18"/>
              </w:rPr>
              <w:t>1</w:t>
            </w:r>
            <w:r w:rsidRPr="00D3304A">
              <w:rPr>
                <w:b/>
                <w:noProof/>
                <w:sz w:val="18"/>
              </w:rPr>
              <w:t>,</w:t>
            </w:r>
            <w:r w:rsidRPr="00C24C00">
              <w:rPr>
                <w:b/>
                <w:noProof/>
                <w:sz w:val="18"/>
              </w:rPr>
              <w:t>100</w:t>
            </w:r>
          </w:p>
        </w:tc>
      </w:tr>
    </w:tbl>
    <w:p w:rsidR="00C1401B" w:rsidRPr="00D3304A" w:rsidRDefault="00C1401B" w:rsidP="00C1401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rsidR="00C1401B" w:rsidRPr="00D3304A" w:rsidTr="00003597">
        <w:tc>
          <w:tcPr>
            <w:tcW w:w="3960" w:type="dxa"/>
            <w:shd w:val="thinDiagStripe" w:color="C0C0C0" w:fill="auto"/>
            <w:vAlign w:val="center"/>
          </w:tcPr>
          <w:p w:rsidR="00C1401B" w:rsidRPr="00D3304A" w:rsidRDefault="00C1401B" w:rsidP="00003597">
            <w:pPr>
              <w:jc w:val="center"/>
              <w:rPr>
                <w:b/>
                <w:noProof/>
              </w:rPr>
            </w:pPr>
            <w:r w:rsidRPr="00D3304A">
              <w:rPr>
                <w:b/>
                <w:noProof/>
                <w:sz w:val="22"/>
              </w:rPr>
              <w:t>Mittel INSGESAMT</w:t>
            </w:r>
            <w:r w:rsidRPr="00D3304A">
              <w:rPr>
                <w:noProof/>
                <w:sz w:val="22"/>
              </w:rPr>
              <w:br/>
            </w:r>
            <w:r w:rsidRPr="00D3304A">
              <w:rPr>
                <w:b/>
                <w:noProof/>
                <w:sz w:val="22"/>
              </w:rPr>
              <w:t>unter der RUBRIK </w:t>
            </w:r>
            <w:r w:rsidRPr="00C24C00">
              <w:rPr>
                <w:b/>
                <w:noProof/>
                <w:sz w:val="22"/>
              </w:rPr>
              <w:t>7</w:t>
            </w:r>
            <w:r w:rsidRPr="00D3304A">
              <w:rPr>
                <w:noProof/>
                <w:sz w:val="22"/>
              </w:rPr>
              <w:br/>
              <w:t>des Mehrjährigen Finanzrahmens</w:t>
            </w:r>
            <w:r w:rsidRPr="00D3304A">
              <w:rPr>
                <w:b/>
                <w:noProof/>
                <w:sz w:val="22"/>
              </w:rPr>
              <w:t xml:space="preserve"> </w:t>
            </w:r>
          </w:p>
        </w:tc>
        <w:tc>
          <w:tcPr>
            <w:tcW w:w="2094" w:type="dxa"/>
            <w:vAlign w:val="center"/>
          </w:tcPr>
          <w:p w:rsidR="00C1401B" w:rsidRPr="00D3304A" w:rsidRDefault="00C1401B" w:rsidP="00003597">
            <w:pPr>
              <w:spacing w:before="40" w:after="40"/>
              <w:rPr>
                <w:noProof/>
              </w:rPr>
            </w:pPr>
            <w:r w:rsidRPr="00D3304A">
              <w:rPr>
                <w:noProof/>
                <w:sz w:val="18"/>
              </w:rPr>
              <w:t>(Verpflichtungen insges. = Zahlungen insges.)</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1777" w:type="dxa"/>
            <w:vAlign w:val="center"/>
          </w:tcPr>
          <w:p w:rsidR="00C1401B" w:rsidRPr="00D3304A" w:rsidRDefault="00C1401B" w:rsidP="00003597">
            <w:pPr>
              <w:spacing w:before="20" w:after="20"/>
              <w:jc w:val="center"/>
              <w:rPr>
                <w:b/>
                <w:bCs/>
                <w:noProof/>
                <w:sz w:val="18"/>
                <w:szCs w:val="16"/>
              </w:rPr>
            </w:pPr>
            <w:r w:rsidRPr="00C24C00">
              <w:rPr>
                <w:b/>
                <w:noProof/>
                <w:sz w:val="18"/>
              </w:rPr>
              <w:t>1</w:t>
            </w:r>
            <w:r w:rsidRPr="00D3304A">
              <w:rPr>
                <w:b/>
                <w:noProof/>
                <w:sz w:val="18"/>
              </w:rPr>
              <w:t>,</w:t>
            </w:r>
            <w:r w:rsidRPr="00C24C00">
              <w:rPr>
                <w:b/>
                <w:noProof/>
                <w:sz w:val="18"/>
              </w:rPr>
              <w:t>100</w:t>
            </w:r>
          </w:p>
        </w:tc>
      </w:tr>
    </w:tbl>
    <w:p w:rsidR="00C1401B" w:rsidRPr="00D3304A" w:rsidRDefault="00C1401B" w:rsidP="00C1401B">
      <w:pPr>
        <w:jc w:val="right"/>
        <w:rPr>
          <w:noProof/>
          <w:sz w:val="20"/>
        </w:rPr>
      </w:pPr>
      <w:r w:rsidRPr="00D3304A">
        <w:rPr>
          <w:noProof/>
          <w:sz w:val="20"/>
        </w:rPr>
        <w:t>in Mio. EUR (</w:t>
      </w:r>
      <w:r w:rsidRPr="00C24C00">
        <w:rPr>
          <w:noProof/>
          <w:sz w:val="20"/>
        </w:rPr>
        <w:t>3</w:t>
      </w:r>
      <w:r w:rsidRPr="00D3304A">
        <w:rPr>
          <w:noProof/>
          <w:sz w:val="20"/>
        </w:rPr>
        <w:t>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rsidR="00C1401B" w:rsidRPr="00D3304A" w:rsidTr="00003597">
        <w:tc>
          <w:tcPr>
            <w:tcW w:w="3960" w:type="dxa"/>
            <w:tcBorders>
              <w:top w:val="nil"/>
              <w:left w:val="nil"/>
              <w:right w:val="nil"/>
            </w:tcBorders>
            <w:vAlign w:val="center"/>
          </w:tcPr>
          <w:p w:rsidR="00C1401B" w:rsidRPr="00D3304A" w:rsidRDefault="00C1401B" w:rsidP="00003597">
            <w:pPr>
              <w:jc w:val="center"/>
              <w:rPr>
                <w:noProof/>
              </w:rPr>
            </w:pPr>
          </w:p>
        </w:tc>
        <w:tc>
          <w:tcPr>
            <w:tcW w:w="1560" w:type="dxa"/>
            <w:tcBorders>
              <w:top w:val="nil"/>
              <w:left w:val="nil"/>
              <w:right w:val="nil"/>
            </w:tcBorders>
          </w:tcPr>
          <w:p w:rsidR="00C1401B" w:rsidRPr="00D3304A" w:rsidRDefault="00C1401B" w:rsidP="00003597">
            <w:pPr>
              <w:rPr>
                <w:noProof/>
                <w:sz w:val="20"/>
              </w:rPr>
            </w:pPr>
          </w:p>
        </w:tc>
        <w:tc>
          <w:tcPr>
            <w:tcW w:w="534" w:type="dxa"/>
            <w:tcBorders>
              <w:top w:val="nil"/>
              <w:left w:val="nil"/>
            </w:tcBorders>
          </w:tcPr>
          <w:p w:rsidR="00C1401B" w:rsidRPr="00D3304A" w:rsidRDefault="00C1401B" w:rsidP="00003597">
            <w:pPr>
              <w:jc w:val="center"/>
              <w:rPr>
                <w:noProof/>
                <w:sz w:val="20"/>
              </w:rPr>
            </w:pPr>
          </w:p>
        </w:tc>
        <w:tc>
          <w:tcPr>
            <w:tcW w:w="868" w:type="dxa"/>
            <w:vAlign w:val="center"/>
          </w:tcPr>
          <w:p w:rsidR="00C1401B" w:rsidRPr="00D3304A" w:rsidRDefault="00C1401B" w:rsidP="00003597">
            <w:pPr>
              <w:spacing w:before="20" w:after="20"/>
              <w:jc w:val="center"/>
              <w:rPr>
                <w:noProof/>
                <w:sz w:val="18"/>
                <w:szCs w:val="16"/>
              </w:rPr>
            </w:pPr>
            <w:r w:rsidRPr="00D3304A">
              <w:rPr>
                <w:noProof/>
                <w:sz w:val="20"/>
              </w:rPr>
              <w:t>Jahr</w:t>
            </w:r>
            <w:r w:rsidRPr="00D3304A">
              <w:rPr>
                <w:noProof/>
                <w:sz w:val="18"/>
              </w:rPr>
              <w:br/>
            </w:r>
            <w:r w:rsidRPr="00C24C00">
              <w:rPr>
                <w:noProof/>
                <w:sz w:val="18"/>
              </w:rPr>
              <w:t>2026</w:t>
            </w:r>
          </w:p>
        </w:tc>
        <w:tc>
          <w:tcPr>
            <w:tcW w:w="868" w:type="dxa"/>
            <w:vAlign w:val="center"/>
          </w:tcPr>
          <w:p w:rsidR="00C1401B" w:rsidRPr="00D3304A" w:rsidRDefault="00C1401B" w:rsidP="00003597">
            <w:pPr>
              <w:spacing w:before="20" w:after="20"/>
              <w:jc w:val="center"/>
              <w:rPr>
                <w:noProof/>
                <w:sz w:val="20"/>
              </w:rPr>
            </w:pPr>
            <w:r w:rsidRPr="00D3304A">
              <w:rPr>
                <w:noProof/>
                <w:sz w:val="20"/>
              </w:rPr>
              <w:t>Jahr</w:t>
            </w:r>
            <w:r w:rsidRPr="00D3304A">
              <w:rPr>
                <w:noProof/>
                <w:sz w:val="22"/>
              </w:rPr>
              <w:br/>
            </w:r>
            <w:r w:rsidRPr="00C24C00">
              <w:rPr>
                <w:noProof/>
                <w:sz w:val="18"/>
              </w:rPr>
              <w:t>2027</w:t>
            </w:r>
          </w:p>
        </w:tc>
        <w:tc>
          <w:tcPr>
            <w:tcW w:w="1777" w:type="dxa"/>
            <w:vAlign w:val="center"/>
          </w:tcPr>
          <w:p w:rsidR="00C1401B" w:rsidRPr="00D3304A" w:rsidRDefault="00C1401B" w:rsidP="00003597">
            <w:pPr>
              <w:jc w:val="center"/>
              <w:rPr>
                <w:b/>
                <w:noProof/>
                <w:sz w:val="20"/>
              </w:rPr>
            </w:pPr>
            <w:r w:rsidRPr="00D3304A">
              <w:rPr>
                <w:b/>
                <w:noProof/>
                <w:sz w:val="20"/>
              </w:rPr>
              <w:t>INSGESAMT</w:t>
            </w:r>
          </w:p>
        </w:tc>
      </w:tr>
      <w:tr w:rsidR="00C1401B" w:rsidRPr="00D3304A" w:rsidTr="00003597">
        <w:tc>
          <w:tcPr>
            <w:tcW w:w="3960" w:type="dxa"/>
            <w:vMerge w:val="restart"/>
            <w:shd w:val="clear" w:color="auto" w:fill="C0C0C0"/>
            <w:vAlign w:val="center"/>
          </w:tcPr>
          <w:p w:rsidR="00C1401B" w:rsidRPr="00D3304A" w:rsidRDefault="00C1401B" w:rsidP="00003597">
            <w:pPr>
              <w:jc w:val="center"/>
              <w:rPr>
                <w:b/>
                <w:noProof/>
              </w:rPr>
            </w:pPr>
            <w:r w:rsidRPr="00D3304A">
              <w:rPr>
                <w:b/>
                <w:noProof/>
                <w:sz w:val="22"/>
              </w:rPr>
              <w:t xml:space="preserve">Mittel INSGESAMT </w:t>
            </w:r>
            <w:r w:rsidRPr="00D3304A">
              <w:rPr>
                <w:noProof/>
                <w:sz w:val="22"/>
              </w:rPr>
              <w:br/>
            </w:r>
            <w:r w:rsidRPr="00D3304A">
              <w:rPr>
                <w:b/>
                <w:noProof/>
                <w:sz w:val="22"/>
              </w:rPr>
              <w:t>unter den RUBRIKEN </w:t>
            </w:r>
            <w:r w:rsidRPr="00C24C00">
              <w:rPr>
                <w:b/>
                <w:noProof/>
                <w:sz w:val="22"/>
              </w:rPr>
              <w:t>1</w:t>
            </w:r>
            <w:r w:rsidRPr="00D3304A">
              <w:rPr>
                <w:b/>
                <w:noProof/>
                <w:sz w:val="22"/>
              </w:rPr>
              <w:t xml:space="preserve"> bis </w:t>
            </w:r>
            <w:r w:rsidRPr="00C24C00">
              <w:rPr>
                <w:b/>
                <w:noProof/>
                <w:sz w:val="22"/>
              </w:rPr>
              <w:t>7</w:t>
            </w:r>
            <w:r w:rsidRPr="00D3304A">
              <w:rPr>
                <w:noProof/>
                <w:sz w:val="22"/>
              </w:rPr>
              <w:br/>
              <w:t>des Mehrjährigen Finanzrahmens</w:t>
            </w:r>
            <w:r w:rsidRPr="00D3304A">
              <w:rPr>
                <w:b/>
                <w:noProof/>
                <w:sz w:val="22"/>
              </w:rPr>
              <w:t xml:space="preserve"> </w:t>
            </w:r>
          </w:p>
        </w:tc>
        <w:tc>
          <w:tcPr>
            <w:tcW w:w="2094" w:type="dxa"/>
            <w:gridSpan w:val="2"/>
            <w:vAlign w:val="center"/>
          </w:tcPr>
          <w:p w:rsidR="00C1401B" w:rsidRPr="00D3304A" w:rsidRDefault="00C1401B" w:rsidP="00003597">
            <w:pPr>
              <w:rPr>
                <w:noProof/>
                <w:sz w:val="14"/>
              </w:rPr>
            </w:pPr>
            <w:r w:rsidRPr="00D3304A">
              <w:rPr>
                <w:noProof/>
                <w:sz w:val="18"/>
              </w:rPr>
              <w:t>Verpflichtungen</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1</w:t>
            </w:r>
            <w:r w:rsidRPr="00D3304A">
              <w:rPr>
                <w:noProof/>
                <w:sz w:val="18"/>
              </w:rPr>
              <w:t>,</w:t>
            </w:r>
            <w:r w:rsidRPr="00C24C00">
              <w:rPr>
                <w:noProof/>
                <w:sz w:val="18"/>
              </w:rPr>
              <w:t>800</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1</w:t>
            </w:r>
            <w:r w:rsidRPr="00D3304A">
              <w:rPr>
                <w:noProof/>
                <w:sz w:val="18"/>
              </w:rPr>
              <w:t>,</w:t>
            </w:r>
            <w:r w:rsidRPr="00C24C00">
              <w:rPr>
                <w:noProof/>
                <w:sz w:val="18"/>
              </w:rPr>
              <w:t>800</w:t>
            </w:r>
          </w:p>
        </w:tc>
        <w:tc>
          <w:tcPr>
            <w:tcW w:w="1777" w:type="dxa"/>
            <w:vAlign w:val="center"/>
          </w:tcPr>
          <w:p w:rsidR="00C1401B" w:rsidRPr="00D3304A" w:rsidRDefault="00C1401B" w:rsidP="00003597">
            <w:pPr>
              <w:spacing w:before="20" w:after="20"/>
              <w:jc w:val="center"/>
              <w:rPr>
                <w:b/>
                <w:bCs/>
                <w:noProof/>
                <w:sz w:val="18"/>
                <w:szCs w:val="16"/>
              </w:rPr>
            </w:pPr>
            <w:r w:rsidRPr="00C24C00">
              <w:rPr>
                <w:b/>
                <w:noProof/>
                <w:sz w:val="18"/>
              </w:rPr>
              <w:t>3</w:t>
            </w:r>
            <w:r w:rsidRPr="00D3304A">
              <w:rPr>
                <w:b/>
                <w:noProof/>
                <w:sz w:val="18"/>
              </w:rPr>
              <w:t>,</w:t>
            </w:r>
            <w:r w:rsidRPr="00C24C00">
              <w:rPr>
                <w:b/>
                <w:noProof/>
                <w:sz w:val="18"/>
              </w:rPr>
              <w:t>600</w:t>
            </w:r>
          </w:p>
        </w:tc>
      </w:tr>
      <w:tr w:rsidR="00C1401B" w:rsidRPr="00D3304A" w:rsidTr="00003597">
        <w:tc>
          <w:tcPr>
            <w:tcW w:w="3960" w:type="dxa"/>
            <w:vMerge/>
            <w:shd w:val="clear" w:color="auto" w:fill="C0C0C0"/>
          </w:tcPr>
          <w:p w:rsidR="00C1401B" w:rsidRPr="00D3304A" w:rsidRDefault="00C1401B" w:rsidP="00003597">
            <w:pPr>
              <w:rPr>
                <w:noProof/>
                <w:sz w:val="20"/>
              </w:rPr>
            </w:pPr>
          </w:p>
        </w:tc>
        <w:tc>
          <w:tcPr>
            <w:tcW w:w="2094" w:type="dxa"/>
            <w:gridSpan w:val="2"/>
            <w:vAlign w:val="center"/>
          </w:tcPr>
          <w:p w:rsidR="00C1401B" w:rsidRPr="00D3304A" w:rsidRDefault="00C1401B" w:rsidP="00003597">
            <w:pPr>
              <w:rPr>
                <w:noProof/>
                <w:sz w:val="14"/>
              </w:rPr>
            </w:pPr>
            <w:r w:rsidRPr="00D3304A">
              <w:rPr>
                <w:noProof/>
                <w:sz w:val="18"/>
              </w:rPr>
              <w:t>Zahlungen</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1</w:t>
            </w:r>
            <w:r w:rsidRPr="00D3304A">
              <w:rPr>
                <w:noProof/>
                <w:sz w:val="18"/>
              </w:rPr>
              <w:t>,</w:t>
            </w:r>
            <w:r w:rsidRPr="00C24C00">
              <w:rPr>
                <w:noProof/>
                <w:sz w:val="18"/>
              </w:rPr>
              <w:t>800</w:t>
            </w:r>
          </w:p>
        </w:tc>
        <w:tc>
          <w:tcPr>
            <w:tcW w:w="868" w:type="dxa"/>
            <w:vAlign w:val="center"/>
          </w:tcPr>
          <w:p w:rsidR="00C1401B" w:rsidRPr="00D3304A" w:rsidRDefault="00C1401B" w:rsidP="00003597">
            <w:pPr>
              <w:spacing w:before="20" w:after="20"/>
              <w:jc w:val="center"/>
              <w:rPr>
                <w:noProof/>
                <w:sz w:val="18"/>
                <w:szCs w:val="16"/>
              </w:rPr>
            </w:pPr>
            <w:r w:rsidRPr="00C24C00">
              <w:rPr>
                <w:noProof/>
                <w:sz w:val="18"/>
              </w:rPr>
              <w:t>1</w:t>
            </w:r>
            <w:r w:rsidRPr="00D3304A">
              <w:rPr>
                <w:noProof/>
                <w:sz w:val="18"/>
              </w:rPr>
              <w:t>,</w:t>
            </w:r>
            <w:r w:rsidRPr="00C24C00">
              <w:rPr>
                <w:noProof/>
                <w:sz w:val="18"/>
              </w:rPr>
              <w:t>800</w:t>
            </w:r>
          </w:p>
        </w:tc>
        <w:tc>
          <w:tcPr>
            <w:tcW w:w="1777" w:type="dxa"/>
            <w:vAlign w:val="center"/>
          </w:tcPr>
          <w:p w:rsidR="00C1401B" w:rsidRPr="00D3304A" w:rsidRDefault="00C1401B" w:rsidP="00003597">
            <w:pPr>
              <w:spacing w:before="20" w:after="20"/>
              <w:jc w:val="center"/>
              <w:rPr>
                <w:b/>
                <w:bCs/>
                <w:noProof/>
                <w:sz w:val="18"/>
                <w:szCs w:val="16"/>
              </w:rPr>
            </w:pPr>
            <w:r w:rsidRPr="00C24C00">
              <w:rPr>
                <w:b/>
                <w:noProof/>
                <w:sz w:val="18"/>
              </w:rPr>
              <w:t>3</w:t>
            </w:r>
            <w:r w:rsidRPr="00D3304A">
              <w:rPr>
                <w:b/>
                <w:noProof/>
                <w:sz w:val="18"/>
              </w:rPr>
              <w:t>,</w:t>
            </w:r>
            <w:r w:rsidRPr="00C24C00">
              <w:rPr>
                <w:b/>
                <w:noProof/>
                <w:sz w:val="18"/>
              </w:rPr>
              <w:t>600</w:t>
            </w:r>
          </w:p>
        </w:tc>
      </w:tr>
    </w:tbl>
    <w:p w:rsidR="00C1401B" w:rsidRPr="00D3304A" w:rsidRDefault="00C1401B" w:rsidP="00C1401B">
      <w:pPr>
        <w:rPr>
          <w:noProof/>
        </w:rPr>
      </w:pPr>
    </w:p>
    <w:p w:rsidR="00C1401B" w:rsidRPr="00D3304A" w:rsidRDefault="00C1401B" w:rsidP="00C1401B">
      <w:pPr>
        <w:rPr>
          <w:noProof/>
        </w:rPr>
      </w:pPr>
    </w:p>
    <w:p w:rsidR="00C1401B" w:rsidRPr="00D3304A" w:rsidRDefault="00C1401B" w:rsidP="00C1401B">
      <w:pPr>
        <w:rPr>
          <w:noProof/>
        </w:rPr>
      </w:pPr>
    </w:p>
    <w:p w:rsidR="00C1401B" w:rsidRPr="00D3304A" w:rsidRDefault="00C1401B" w:rsidP="00C1401B">
      <w:pPr>
        <w:rPr>
          <w:noProof/>
        </w:rPr>
      </w:pPr>
    </w:p>
    <w:p w:rsidR="00C1401B" w:rsidRPr="00D3304A" w:rsidRDefault="00C1401B" w:rsidP="00C1401B">
      <w:pPr>
        <w:rPr>
          <w:noProof/>
        </w:rPr>
      </w:pPr>
    </w:p>
    <w:p w:rsidR="00C1401B" w:rsidRPr="00D3304A" w:rsidRDefault="00C1401B" w:rsidP="00C1401B">
      <w:pPr>
        <w:pStyle w:val="ManualHeading3"/>
        <w:rPr>
          <w:bCs/>
          <w:noProof/>
          <w:szCs w:val="24"/>
        </w:rPr>
      </w:pPr>
      <w:bookmarkStart w:id="67" w:name="_Toc514938054"/>
      <w:bookmarkStart w:id="68" w:name="_Toc520485053"/>
      <w:r w:rsidRPr="00C24C00">
        <w:rPr>
          <w:noProof/>
        </w:rPr>
        <w:t>3</w:t>
      </w:r>
      <w:r w:rsidRPr="00D3304A">
        <w:rPr>
          <w:noProof/>
        </w:rPr>
        <w:t>.</w:t>
      </w:r>
      <w:r w:rsidRPr="00C24C00">
        <w:rPr>
          <w:noProof/>
        </w:rPr>
        <w:t>2</w:t>
      </w:r>
      <w:r w:rsidRPr="00D3304A">
        <w:rPr>
          <w:noProof/>
        </w:rPr>
        <w:t>.</w:t>
      </w:r>
      <w:r w:rsidRPr="00C24C00">
        <w:rPr>
          <w:noProof/>
        </w:rPr>
        <w:t>2</w:t>
      </w:r>
      <w:r w:rsidRPr="00D3304A">
        <w:rPr>
          <w:noProof/>
        </w:rPr>
        <w:t>.</w:t>
      </w:r>
      <w:r w:rsidRPr="00D3304A">
        <w:rPr>
          <w:noProof/>
        </w:rPr>
        <w:tab/>
        <w:t>Geschätzte Ergebnisse, die mit operativen Mitteln finanziert werden</w:t>
      </w:r>
      <w:bookmarkEnd w:id="67"/>
      <w:bookmarkEnd w:id="68"/>
      <w:r w:rsidRPr="00D3304A">
        <w:rPr>
          <w:noProof/>
        </w:rPr>
        <w:t xml:space="preserve"> </w:t>
      </w:r>
    </w:p>
    <w:p w:rsidR="00C1401B" w:rsidRPr="00D3304A" w:rsidRDefault="00C1401B" w:rsidP="00C1401B">
      <w:pPr>
        <w:jc w:val="right"/>
        <w:rPr>
          <w:noProof/>
          <w:sz w:val="20"/>
        </w:rPr>
      </w:pPr>
      <w:r w:rsidRPr="00D3304A">
        <w:rPr>
          <w:noProof/>
          <w:sz w:val="20"/>
        </w:rPr>
        <w:t>Mittel für Verpflichtungen, in Mio. EUR (</w:t>
      </w:r>
      <w:r w:rsidRPr="00C24C00">
        <w:rPr>
          <w:noProof/>
          <w:sz w:val="20"/>
        </w:rPr>
        <w:t>3</w:t>
      </w:r>
      <w:r w:rsidRPr="00D3304A">
        <w:rPr>
          <w:noProof/>
          <w:sz w:val="20"/>
        </w:rPr>
        <w:t> Dezimalstellen)</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1401B" w:rsidRPr="00D3304A" w:rsidTr="00003597">
        <w:trPr>
          <w:jc w:val="center"/>
        </w:trPr>
        <w:tc>
          <w:tcPr>
            <w:tcW w:w="1423" w:type="dxa"/>
            <w:vMerge w:val="restart"/>
            <w:vAlign w:val="center"/>
          </w:tcPr>
          <w:p w:rsidR="00C1401B" w:rsidRPr="00D3304A" w:rsidRDefault="00C1401B" w:rsidP="00003597">
            <w:pPr>
              <w:ind w:right="-29"/>
              <w:jc w:val="center"/>
              <w:rPr>
                <w:b/>
                <w:noProof/>
                <w:sz w:val="18"/>
                <w:szCs w:val="18"/>
              </w:rPr>
            </w:pPr>
            <w:r w:rsidRPr="00D3304A">
              <w:rPr>
                <w:b/>
                <w:noProof/>
                <w:sz w:val="18"/>
              </w:rPr>
              <w:t xml:space="preserve">Ziele und Ergebnisse angeben </w:t>
            </w:r>
          </w:p>
          <w:p w:rsidR="00C1401B" w:rsidRPr="00D3304A" w:rsidRDefault="00C1401B" w:rsidP="00003597">
            <w:pPr>
              <w:ind w:right="-29"/>
              <w:jc w:val="center"/>
              <w:rPr>
                <w:b/>
                <w:noProof/>
                <w:sz w:val="18"/>
                <w:szCs w:val="18"/>
              </w:rPr>
            </w:pPr>
          </w:p>
          <w:p w:rsidR="00C1401B" w:rsidRPr="00D3304A" w:rsidRDefault="00C1401B" w:rsidP="00003597">
            <w:pPr>
              <w:ind w:right="-29"/>
              <w:jc w:val="center"/>
              <w:rPr>
                <w:noProof/>
                <w:sz w:val="18"/>
                <w:szCs w:val="18"/>
              </w:rPr>
            </w:pPr>
            <w:r w:rsidRPr="00D3304A">
              <w:rPr>
                <w:noProof/>
                <w:sz w:val="18"/>
              </w:rPr>
              <w:sym w:font="Wingdings" w:char="F0F2"/>
            </w:r>
          </w:p>
        </w:tc>
        <w:tc>
          <w:tcPr>
            <w:tcW w:w="720" w:type="dxa"/>
            <w:vAlign w:val="center"/>
          </w:tcPr>
          <w:p w:rsidR="00C1401B" w:rsidRPr="00D3304A" w:rsidRDefault="00C1401B" w:rsidP="00003597">
            <w:pPr>
              <w:ind w:right="-29"/>
              <w:jc w:val="center"/>
              <w:rPr>
                <w:noProof/>
                <w:sz w:val="18"/>
                <w:szCs w:val="18"/>
              </w:rPr>
            </w:pPr>
          </w:p>
        </w:tc>
        <w:tc>
          <w:tcPr>
            <w:tcW w:w="701" w:type="dxa"/>
            <w:vAlign w:val="center"/>
          </w:tcPr>
          <w:p w:rsidR="00C1401B" w:rsidRPr="00D3304A" w:rsidRDefault="00C1401B" w:rsidP="00003597">
            <w:pPr>
              <w:ind w:right="-29"/>
              <w:jc w:val="center"/>
              <w:rPr>
                <w:noProof/>
                <w:sz w:val="18"/>
                <w:szCs w:val="18"/>
              </w:rPr>
            </w:pPr>
          </w:p>
        </w:tc>
        <w:tc>
          <w:tcPr>
            <w:tcW w:w="1224" w:type="dxa"/>
            <w:gridSpan w:val="2"/>
            <w:tcBorders>
              <w:left w:val="nil"/>
            </w:tcBorders>
            <w:vAlign w:val="center"/>
          </w:tcPr>
          <w:p w:rsidR="00C1401B" w:rsidRPr="00D3304A" w:rsidRDefault="00C1401B" w:rsidP="00003597">
            <w:pPr>
              <w:ind w:right="-29"/>
              <w:jc w:val="center"/>
              <w:rPr>
                <w:noProof/>
                <w:sz w:val="18"/>
                <w:szCs w:val="18"/>
              </w:rPr>
            </w:pPr>
            <w:r w:rsidRPr="00D3304A">
              <w:rPr>
                <w:noProof/>
                <w:sz w:val="18"/>
              </w:rPr>
              <w:t>Jahr</w:t>
            </w:r>
            <w:r w:rsidRPr="00D3304A">
              <w:rPr>
                <w:noProof/>
                <w:sz w:val="22"/>
              </w:rPr>
              <w:br/>
            </w:r>
            <w:r w:rsidRPr="00D3304A">
              <w:rPr>
                <w:b/>
                <w:noProof/>
                <w:sz w:val="18"/>
              </w:rPr>
              <w:t>N</w:t>
            </w:r>
          </w:p>
        </w:tc>
        <w:tc>
          <w:tcPr>
            <w:tcW w:w="1260" w:type="dxa"/>
            <w:gridSpan w:val="2"/>
            <w:vAlign w:val="center"/>
          </w:tcPr>
          <w:p w:rsidR="00C1401B" w:rsidRPr="00D3304A" w:rsidRDefault="00C1401B" w:rsidP="00003597">
            <w:pPr>
              <w:ind w:right="-29"/>
              <w:jc w:val="center"/>
              <w:rPr>
                <w:noProof/>
                <w:sz w:val="18"/>
                <w:szCs w:val="18"/>
              </w:rPr>
            </w:pPr>
            <w:r w:rsidRPr="00D3304A">
              <w:rPr>
                <w:noProof/>
                <w:sz w:val="18"/>
              </w:rPr>
              <w:t>Jahr</w:t>
            </w:r>
            <w:r w:rsidRPr="00D3304A">
              <w:rPr>
                <w:noProof/>
                <w:sz w:val="22"/>
              </w:rPr>
              <w:br/>
            </w:r>
            <w:r w:rsidRPr="00D3304A">
              <w:rPr>
                <w:b/>
                <w:noProof/>
                <w:sz w:val="18"/>
              </w:rPr>
              <w:t>N+</w:t>
            </w:r>
            <w:r w:rsidRPr="00C24C00">
              <w:rPr>
                <w:b/>
                <w:noProof/>
                <w:sz w:val="18"/>
              </w:rPr>
              <w:t>1</w:t>
            </w:r>
          </w:p>
        </w:tc>
        <w:tc>
          <w:tcPr>
            <w:tcW w:w="1440" w:type="dxa"/>
            <w:gridSpan w:val="2"/>
            <w:vAlign w:val="center"/>
          </w:tcPr>
          <w:p w:rsidR="00C1401B" w:rsidRPr="00D3304A" w:rsidRDefault="00C1401B" w:rsidP="00003597">
            <w:pPr>
              <w:ind w:right="-29"/>
              <w:jc w:val="center"/>
              <w:rPr>
                <w:noProof/>
                <w:sz w:val="18"/>
                <w:szCs w:val="18"/>
              </w:rPr>
            </w:pPr>
            <w:r w:rsidRPr="00D3304A">
              <w:rPr>
                <w:noProof/>
                <w:sz w:val="18"/>
              </w:rPr>
              <w:t>Jahr</w:t>
            </w:r>
            <w:r w:rsidRPr="00D3304A">
              <w:rPr>
                <w:noProof/>
                <w:sz w:val="22"/>
              </w:rPr>
              <w:br/>
            </w:r>
            <w:r w:rsidRPr="00D3304A">
              <w:rPr>
                <w:b/>
                <w:noProof/>
                <w:sz w:val="18"/>
              </w:rPr>
              <w:t>N+</w:t>
            </w:r>
            <w:r w:rsidRPr="00C24C00">
              <w:rPr>
                <w:b/>
                <w:noProof/>
                <w:sz w:val="18"/>
              </w:rPr>
              <w:t>2</w:t>
            </w:r>
          </w:p>
        </w:tc>
        <w:tc>
          <w:tcPr>
            <w:tcW w:w="1620" w:type="dxa"/>
            <w:gridSpan w:val="3"/>
            <w:vAlign w:val="center"/>
          </w:tcPr>
          <w:p w:rsidR="00C1401B" w:rsidRPr="00D3304A" w:rsidRDefault="00C1401B" w:rsidP="00003597">
            <w:pPr>
              <w:ind w:right="-29"/>
              <w:jc w:val="center"/>
              <w:rPr>
                <w:noProof/>
                <w:sz w:val="18"/>
                <w:szCs w:val="18"/>
              </w:rPr>
            </w:pPr>
            <w:r w:rsidRPr="00D3304A">
              <w:rPr>
                <w:noProof/>
                <w:sz w:val="18"/>
              </w:rPr>
              <w:t>Jahr</w:t>
            </w:r>
            <w:r w:rsidRPr="00D3304A">
              <w:rPr>
                <w:noProof/>
                <w:sz w:val="22"/>
              </w:rPr>
              <w:br/>
            </w:r>
            <w:r w:rsidRPr="00D3304A">
              <w:rPr>
                <w:b/>
                <w:noProof/>
                <w:sz w:val="18"/>
              </w:rPr>
              <w:t>N+</w:t>
            </w:r>
            <w:r w:rsidRPr="00C24C00">
              <w:rPr>
                <w:b/>
                <w:noProof/>
                <w:sz w:val="18"/>
              </w:rPr>
              <w:t>3</w:t>
            </w:r>
          </w:p>
        </w:tc>
        <w:tc>
          <w:tcPr>
            <w:tcW w:w="3600" w:type="dxa"/>
            <w:gridSpan w:val="6"/>
            <w:vAlign w:val="center"/>
          </w:tcPr>
          <w:p w:rsidR="00C1401B" w:rsidRPr="00D3304A" w:rsidRDefault="00C1401B" w:rsidP="00003597">
            <w:pPr>
              <w:jc w:val="center"/>
              <w:rPr>
                <w:noProof/>
                <w:sz w:val="18"/>
                <w:szCs w:val="18"/>
              </w:rPr>
            </w:pPr>
            <w:r w:rsidRPr="00D3304A">
              <w:rPr>
                <w:noProof/>
                <w:sz w:val="18"/>
              </w:rPr>
              <w:t>Bei länger andauernden Auswirkungen bitte weitere Spalten einfügen (siehe </w:t>
            </w:r>
            <w:r w:rsidRPr="00C24C00">
              <w:rPr>
                <w:noProof/>
                <w:sz w:val="18"/>
              </w:rPr>
              <w:t>1</w:t>
            </w:r>
            <w:r w:rsidRPr="00D3304A">
              <w:rPr>
                <w:noProof/>
                <w:sz w:val="18"/>
              </w:rPr>
              <w:t>.</w:t>
            </w:r>
            <w:r w:rsidRPr="00C24C00">
              <w:rPr>
                <w:noProof/>
                <w:sz w:val="18"/>
              </w:rPr>
              <w:t>6</w:t>
            </w:r>
            <w:r w:rsidRPr="00D3304A">
              <w:rPr>
                <w:noProof/>
                <w:sz w:val="18"/>
              </w:rPr>
              <w:t>)</w:t>
            </w:r>
          </w:p>
        </w:tc>
        <w:tc>
          <w:tcPr>
            <w:tcW w:w="1620" w:type="dxa"/>
            <w:gridSpan w:val="2"/>
            <w:tcBorders>
              <w:left w:val="nil"/>
              <w:bottom w:val="nil"/>
            </w:tcBorders>
            <w:vAlign w:val="center"/>
          </w:tcPr>
          <w:p w:rsidR="00C1401B" w:rsidRPr="00D3304A" w:rsidRDefault="00C1401B" w:rsidP="00003597">
            <w:pPr>
              <w:ind w:right="-29"/>
              <w:jc w:val="center"/>
              <w:rPr>
                <w:noProof/>
                <w:sz w:val="18"/>
                <w:szCs w:val="18"/>
              </w:rPr>
            </w:pPr>
            <w:r w:rsidRPr="00D3304A">
              <w:rPr>
                <w:b/>
                <w:noProof/>
                <w:sz w:val="18"/>
              </w:rPr>
              <w:t>INSGESAMT</w:t>
            </w:r>
          </w:p>
        </w:tc>
      </w:tr>
      <w:tr w:rsidR="00C1401B" w:rsidRPr="00D3304A" w:rsidTr="00003597">
        <w:trPr>
          <w:jc w:val="center"/>
        </w:trPr>
        <w:tc>
          <w:tcPr>
            <w:tcW w:w="1423" w:type="dxa"/>
            <w:vMerge/>
            <w:vAlign w:val="center"/>
          </w:tcPr>
          <w:p w:rsidR="00C1401B" w:rsidRPr="00D3304A" w:rsidRDefault="00C1401B" w:rsidP="00003597">
            <w:pPr>
              <w:ind w:right="-29"/>
              <w:jc w:val="center"/>
              <w:rPr>
                <w:noProof/>
                <w:sz w:val="18"/>
                <w:szCs w:val="18"/>
              </w:rPr>
            </w:pPr>
          </w:p>
        </w:tc>
        <w:tc>
          <w:tcPr>
            <w:tcW w:w="12185" w:type="dxa"/>
            <w:gridSpan w:val="19"/>
            <w:vAlign w:val="center"/>
          </w:tcPr>
          <w:p w:rsidR="00C1401B" w:rsidRPr="00D3304A" w:rsidRDefault="00C1401B" w:rsidP="00003597">
            <w:pPr>
              <w:spacing w:before="60" w:after="60"/>
              <w:ind w:right="-29"/>
              <w:jc w:val="center"/>
              <w:rPr>
                <w:noProof/>
                <w:sz w:val="18"/>
                <w:szCs w:val="18"/>
              </w:rPr>
            </w:pPr>
            <w:r w:rsidRPr="00D3304A">
              <w:rPr>
                <w:b/>
                <w:noProof/>
                <w:sz w:val="18"/>
              </w:rPr>
              <w:t>ERGEBNISSE</w:t>
            </w:r>
          </w:p>
        </w:tc>
      </w:tr>
      <w:tr w:rsidR="00C1401B" w:rsidRPr="00D3304A" w:rsidTr="00003597">
        <w:trPr>
          <w:cantSplit/>
          <w:trHeight w:val="1134"/>
          <w:jc w:val="center"/>
        </w:trPr>
        <w:tc>
          <w:tcPr>
            <w:tcW w:w="1423" w:type="dxa"/>
            <w:vMerge/>
            <w:vAlign w:val="center"/>
          </w:tcPr>
          <w:p w:rsidR="00C1401B" w:rsidRPr="00D3304A" w:rsidRDefault="00C1401B" w:rsidP="00003597">
            <w:pPr>
              <w:rPr>
                <w:noProof/>
                <w:sz w:val="18"/>
                <w:szCs w:val="18"/>
              </w:rPr>
            </w:pPr>
          </w:p>
        </w:tc>
        <w:tc>
          <w:tcPr>
            <w:tcW w:w="720" w:type="dxa"/>
            <w:vAlign w:val="center"/>
          </w:tcPr>
          <w:p w:rsidR="00C1401B" w:rsidRPr="00D3304A" w:rsidRDefault="00C1401B" w:rsidP="00003597">
            <w:pPr>
              <w:jc w:val="center"/>
              <w:rPr>
                <w:noProof/>
                <w:sz w:val="18"/>
                <w:szCs w:val="18"/>
              </w:rPr>
            </w:pPr>
            <w:r w:rsidRPr="00D3304A">
              <w:rPr>
                <w:noProof/>
                <w:sz w:val="18"/>
              </w:rPr>
              <w:t>Art</w:t>
            </w:r>
            <w:r w:rsidRPr="00D3304A">
              <w:rPr>
                <w:rStyle w:val="FootnoteReference"/>
                <w:noProof/>
                <w:sz w:val="18"/>
              </w:rPr>
              <w:footnoteReference w:id="28"/>
            </w:r>
          </w:p>
          <w:p w:rsidR="00C1401B" w:rsidRPr="00D3304A" w:rsidRDefault="00C1401B" w:rsidP="00003597">
            <w:pPr>
              <w:spacing w:before="0" w:after="0"/>
              <w:jc w:val="center"/>
              <w:rPr>
                <w:noProof/>
                <w:sz w:val="18"/>
                <w:szCs w:val="18"/>
              </w:rPr>
            </w:pPr>
          </w:p>
        </w:tc>
        <w:tc>
          <w:tcPr>
            <w:tcW w:w="701" w:type="dxa"/>
            <w:vAlign w:val="center"/>
          </w:tcPr>
          <w:p w:rsidR="00C1401B" w:rsidRPr="00D3304A" w:rsidRDefault="00C1401B" w:rsidP="00003597">
            <w:pPr>
              <w:jc w:val="center"/>
              <w:rPr>
                <w:noProof/>
                <w:sz w:val="18"/>
                <w:szCs w:val="18"/>
              </w:rPr>
            </w:pPr>
            <w:r w:rsidRPr="00D3304A">
              <w:rPr>
                <w:noProof/>
                <w:sz w:val="18"/>
              </w:rPr>
              <w:t>Durchschnittskosten</w:t>
            </w:r>
          </w:p>
        </w:tc>
        <w:tc>
          <w:tcPr>
            <w:tcW w:w="504" w:type="dxa"/>
            <w:tcBorders>
              <w:left w:val="nil"/>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720"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540" w:type="dxa"/>
            <w:tcBorders>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720"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720" w:type="dxa"/>
            <w:tcBorders>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720"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900" w:type="dxa"/>
            <w:tcBorders>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720" w:type="dxa"/>
            <w:gridSpan w:val="2"/>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540" w:type="dxa"/>
            <w:tcBorders>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648"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432" w:type="dxa"/>
            <w:tcBorders>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720"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540" w:type="dxa"/>
            <w:tcBorders>
              <w:right w:val="dashSmallGap" w:sz="4" w:space="0" w:color="auto"/>
            </w:tcBorders>
            <w:shd w:val="pct10" w:color="auto" w:fill="auto"/>
            <w:textDirection w:val="btLr"/>
            <w:vAlign w:val="center"/>
          </w:tcPr>
          <w:p w:rsidR="00C1401B" w:rsidRPr="00D3304A" w:rsidRDefault="00C1401B" w:rsidP="00003597">
            <w:pPr>
              <w:ind w:left="113" w:right="113"/>
              <w:jc w:val="center"/>
              <w:rPr>
                <w:noProof/>
                <w:sz w:val="18"/>
                <w:szCs w:val="18"/>
              </w:rPr>
            </w:pPr>
            <w:r w:rsidRPr="00D3304A">
              <w:rPr>
                <w:noProof/>
                <w:sz w:val="18"/>
              </w:rPr>
              <w:t>Anzahl</w:t>
            </w:r>
          </w:p>
        </w:tc>
        <w:tc>
          <w:tcPr>
            <w:tcW w:w="720"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Kosten</w:t>
            </w:r>
          </w:p>
        </w:tc>
        <w:tc>
          <w:tcPr>
            <w:tcW w:w="720" w:type="dxa"/>
            <w:tcBorders>
              <w:righ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Gesamtzahl</w:t>
            </w:r>
          </w:p>
        </w:tc>
        <w:tc>
          <w:tcPr>
            <w:tcW w:w="900" w:type="dxa"/>
            <w:tcBorders>
              <w:left w:val="dashSmallGap" w:sz="4" w:space="0" w:color="auto"/>
            </w:tcBorders>
            <w:shd w:val="pct10" w:color="auto" w:fill="auto"/>
            <w:vAlign w:val="center"/>
          </w:tcPr>
          <w:p w:rsidR="00C1401B" w:rsidRPr="00D3304A" w:rsidRDefault="00C1401B" w:rsidP="00003597">
            <w:pPr>
              <w:jc w:val="center"/>
              <w:rPr>
                <w:noProof/>
                <w:sz w:val="18"/>
                <w:szCs w:val="18"/>
              </w:rPr>
            </w:pPr>
            <w:r w:rsidRPr="00D3304A">
              <w:rPr>
                <w:noProof/>
                <w:sz w:val="18"/>
              </w:rPr>
              <w:t>Gesamtkosten</w:t>
            </w:r>
          </w:p>
        </w:tc>
      </w:tr>
      <w:tr w:rsidR="00C1401B" w:rsidRPr="00D3304A" w:rsidTr="00003597">
        <w:trPr>
          <w:jc w:val="center"/>
        </w:trPr>
        <w:tc>
          <w:tcPr>
            <w:tcW w:w="2844" w:type="dxa"/>
            <w:gridSpan w:val="3"/>
            <w:vAlign w:val="center"/>
          </w:tcPr>
          <w:p w:rsidR="00C1401B" w:rsidRPr="00D3304A" w:rsidRDefault="00C1401B" w:rsidP="00003597">
            <w:pPr>
              <w:spacing w:before="60" w:after="60"/>
              <w:ind w:right="-29"/>
              <w:jc w:val="center"/>
              <w:rPr>
                <w:noProof/>
                <w:sz w:val="18"/>
                <w:szCs w:val="18"/>
              </w:rPr>
            </w:pPr>
            <w:r w:rsidRPr="00D3304A">
              <w:rPr>
                <w:noProof/>
                <w:sz w:val="18"/>
              </w:rPr>
              <w:t>EINZELZIEL Nr. </w:t>
            </w:r>
            <w:r w:rsidRPr="00C24C00">
              <w:rPr>
                <w:noProof/>
                <w:sz w:val="18"/>
              </w:rPr>
              <w:t>1</w:t>
            </w:r>
            <w:r w:rsidRPr="00D3304A">
              <w:rPr>
                <w:rStyle w:val="FootnoteReference"/>
                <w:noProof/>
                <w:sz w:val="18"/>
              </w:rPr>
              <w:footnoteReference w:id="29"/>
            </w:r>
            <w:r w:rsidRPr="00D3304A">
              <w:rPr>
                <w:noProof/>
                <w:sz w:val="18"/>
              </w:rPr>
              <w:t>…</w:t>
            </w:r>
          </w:p>
        </w:tc>
        <w:tc>
          <w:tcPr>
            <w:tcW w:w="504"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gridSpan w:val="2"/>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648"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432"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r>
      <w:tr w:rsidR="00C1401B" w:rsidRPr="00D3304A" w:rsidTr="00003597">
        <w:trPr>
          <w:trHeight w:hRule="exact" w:val="369"/>
          <w:jc w:val="center"/>
        </w:trPr>
        <w:tc>
          <w:tcPr>
            <w:tcW w:w="1423" w:type="dxa"/>
          </w:tcPr>
          <w:p w:rsidR="00C1401B" w:rsidRPr="00D3304A" w:rsidRDefault="00C1401B" w:rsidP="00003597">
            <w:pPr>
              <w:ind w:right="-29"/>
              <w:jc w:val="center"/>
              <w:rPr>
                <w:noProof/>
                <w:sz w:val="18"/>
                <w:szCs w:val="18"/>
              </w:rPr>
            </w:pPr>
            <w:r w:rsidRPr="00D3304A">
              <w:rPr>
                <w:noProof/>
                <w:sz w:val="18"/>
              </w:rPr>
              <w:t>- Ergebnis</w:t>
            </w:r>
          </w:p>
        </w:tc>
        <w:tc>
          <w:tcPr>
            <w:tcW w:w="720" w:type="dxa"/>
          </w:tcPr>
          <w:p w:rsidR="00C1401B" w:rsidRPr="00D3304A" w:rsidRDefault="00C1401B" w:rsidP="00003597">
            <w:pPr>
              <w:ind w:right="-29"/>
              <w:jc w:val="center"/>
              <w:rPr>
                <w:noProof/>
                <w:sz w:val="18"/>
                <w:szCs w:val="18"/>
              </w:rPr>
            </w:pPr>
          </w:p>
        </w:tc>
        <w:tc>
          <w:tcPr>
            <w:tcW w:w="701" w:type="dxa"/>
          </w:tcPr>
          <w:p w:rsidR="00C1401B" w:rsidRPr="00D3304A" w:rsidRDefault="00C1401B" w:rsidP="00003597">
            <w:pPr>
              <w:ind w:right="-29"/>
              <w:jc w:val="center"/>
              <w:rPr>
                <w:noProof/>
                <w:sz w:val="18"/>
                <w:szCs w:val="18"/>
              </w:rPr>
            </w:pPr>
          </w:p>
        </w:tc>
        <w:tc>
          <w:tcPr>
            <w:tcW w:w="504"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540"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720"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900" w:type="dxa"/>
            <w:tcBorders>
              <w:right w:val="dashSmallGap" w:sz="4" w:space="0" w:color="auto"/>
            </w:tcBorders>
          </w:tcPr>
          <w:p w:rsidR="00C1401B" w:rsidRPr="00D3304A" w:rsidRDefault="00C1401B" w:rsidP="00003597">
            <w:pPr>
              <w:ind w:right="-29"/>
              <w:jc w:val="center"/>
              <w:rPr>
                <w:noProof/>
                <w:sz w:val="18"/>
                <w:szCs w:val="18"/>
              </w:rPr>
            </w:pPr>
          </w:p>
        </w:tc>
        <w:tc>
          <w:tcPr>
            <w:tcW w:w="720" w:type="dxa"/>
            <w:gridSpan w:val="2"/>
            <w:tcBorders>
              <w:left w:val="dashSmallGap" w:sz="4" w:space="0" w:color="auto"/>
            </w:tcBorders>
          </w:tcPr>
          <w:p w:rsidR="00C1401B" w:rsidRPr="00D3304A" w:rsidRDefault="00C1401B" w:rsidP="00003597">
            <w:pPr>
              <w:ind w:right="-29"/>
              <w:jc w:val="center"/>
              <w:rPr>
                <w:noProof/>
                <w:sz w:val="18"/>
                <w:szCs w:val="18"/>
              </w:rPr>
            </w:pPr>
          </w:p>
        </w:tc>
        <w:tc>
          <w:tcPr>
            <w:tcW w:w="540" w:type="dxa"/>
            <w:tcBorders>
              <w:right w:val="dashSmallGap" w:sz="4" w:space="0" w:color="auto"/>
            </w:tcBorders>
          </w:tcPr>
          <w:p w:rsidR="00C1401B" w:rsidRPr="00D3304A" w:rsidRDefault="00C1401B" w:rsidP="00003597">
            <w:pPr>
              <w:ind w:right="-29"/>
              <w:jc w:val="center"/>
              <w:rPr>
                <w:noProof/>
                <w:sz w:val="18"/>
                <w:szCs w:val="18"/>
              </w:rPr>
            </w:pPr>
          </w:p>
        </w:tc>
        <w:tc>
          <w:tcPr>
            <w:tcW w:w="648" w:type="dxa"/>
            <w:tcBorders>
              <w:left w:val="dashSmallGap" w:sz="4" w:space="0" w:color="auto"/>
            </w:tcBorders>
          </w:tcPr>
          <w:p w:rsidR="00C1401B" w:rsidRPr="00D3304A" w:rsidRDefault="00C1401B" w:rsidP="00003597">
            <w:pPr>
              <w:ind w:right="-29"/>
              <w:jc w:val="center"/>
              <w:rPr>
                <w:noProof/>
                <w:sz w:val="18"/>
                <w:szCs w:val="18"/>
              </w:rPr>
            </w:pPr>
          </w:p>
        </w:tc>
        <w:tc>
          <w:tcPr>
            <w:tcW w:w="432"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540"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900" w:type="dxa"/>
          </w:tcPr>
          <w:p w:rsidR="00C1401B" w:rsidRPr="00D3304A" w:rsidRDefault="00C1401B" w:rsidP="00003597">
            <w:pPr>
              <w:ind w:right="-29"/>
              <w:jc w:val="center"/>
              <w:rPr>
                <w:noProof/>
                <w:sz w:val="18"/>
                <w:szCs w:val="18"/>
              </w:rPr>
            </w:pPr>
          </w:p>
        </w:tc>
      </w:tr>
      <w:tr w:rsidR="00C1401B" w:rsidRPr="00D3304A" w:rsidTr="00003597">
        <w:trPr>
          <w:trHeight w:hRule="exact" w:val="369"/>
          <w:jc w:val="center"/>
        </w:trPr>
        <w:tc>
          <w:tcPr>
            <w:tcW w:w="1423" w:type="dxa"/>
          </w:tcPr>
          <w:p w:rsidR="00C1401B" w:rsidRPr="00D3304A" w:rsidRDefault="00C1401B" w:rsidP="00003597">
            <w:pPr>
              <w:ind w:right="-29"/>
              <w:jc w:val="center"/>
              <w:rPr>
                <w:noProof/>
                <w:sz w:val="18"/>
                <w:szCs w:val="18"/>
              </w:rPr>
            </w:pPr>
            <w:r w:rsidRPr="00D3304A">
              <w:rPr>
                <w:noProof/>
                <w:sz w:val="18"/>
              </w:rPr>
              <w:t>- Ergebnis</w:t>
            </w:r>
          </w:p>
        </w:tc>
        <w:tc>
          <w:tcPr>
            <w:tcW w:w="720" w:type="dxa"/>
          </w:tcPr>
          <w:p w:rsidR="00C1401B" w:rsidRPr="00D3304A" w:rsidRDefault="00C1401B" w:rsidP="00003597">
            <w:pPr>
              <w:ind w:right="-29"/>
              <w:jc w:val="center"/>
              <w:rPr>
                <w:noProof/>
                <w:sz w:val="18"/>
                <w:szCs w:val="18"/>
              </w:rPr>
            </w:pPr>
          </w:p>
        </w:tc>
        <w:tc>
          <w:tcPr>
            <w:tcW w:w="701" w:type="dxa"/>
          </w:tcPr>
          <w:p w:rsidR="00C1401B" w:rsidRPr="00D3304A" w:rsidRDefault="00C1401B" w:rsidP="00003597">
            <w:pPr>
              <w:ind w:right="-29"/>
              <w:jc w:val="center"/>
              <w:rPr>
                <w:noProof/>
                <w:sz w:val="18"/>
                <w:szCs w:val="18"/>
              </w:rPr>
            </w:pPr>
          </w:p>
        </w:tc>
        <w:tc>
          <w:tcPr>
            <w:tcW w:w="504"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540"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720"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900" w:type="dxa"/>
            <w:tcBorders>
              <w:right w:val="dashSmallGap" w:sz="4" w:space="0" w:color="auto"/>
            </w:tcBorders>
          </w:tcPr>
          <w:p w:rsidR="00C1401B" w:rsidRPr="00D3304A" w:rsidRDefault="00C1401B" w:rsidP="00003597">
            <w:pPr>
              <w:ind w:right="-29"/>
              <w:jc w:val="center"/>
              <w:rPr>
                <w:noProof/>
                <w:sz w:val="18"/>
                <w:szCs w:val="18"/>
              </w:rPr>
            </w:pPr>
          </w:p>
        </w:tc>
        <w:tc>
          <w:tcPr>
            <w:tcW w:w="720" w:type="dxa"/>
            <w:gridSpan w:val="2"/>
            <w:tcBorders>
              <w:left w:val="dashSmallGap" w:sz="4" w:space="0" w:color="auto"/>
            </w:tcBorders>
          </w:tcPr>
          <w:p w:rsidR="00C1401B" w:rsidRPr="00D3304A" w:rsidRDefault="00C1401B" w:rsidP="00003597">
            <w:pPr>
              <w:ind w:right="-29"/>
              <w:jc w:val="center"/>
              <w:rPr>
                <w:noProof/>
                <w:sz w:val="18"/>
                <w:szCs w:val="18"/>
              </w:rPr>
            </w:pPr>
          </w:p>
        </w:tc>
        <w:tc>
          <w:tcPr>
            <w:tcW w:w="540" w:type="dxa"/>
            <w:tcBorders>
              <w:right w:val="dashSmallGap" w:sz="4" w:space="0" w:color="auto"/>
            </w:tcBorders>
          </w:tcPr>
          <w:p w:rsidR="00C1401B" w:rsidRPr="00D3304A" w:rsidRDefault="00C1401B" w:rsidP="00003597">
            <w:pPr>
              <w:ind w:right="-29"/>
              <w:jc w:val="center"/>
              <w:rPr>
                <w:noProof/>
                <w:sz w:val="18"/>
                <w:szCs w:val="18"/>
              </w:rPr>
            </w:pPr>
          </w:p>
        </w:tc>
        <w:tc>
          <w:tcPr>
            <w:tcW w:w="648" w:type="dxa"/>
            <w:tcBorders>
              <w:left w:val="dashSmallGap" w:sz="4" w:space="0" w:color="auto"/>
            </w:tcBorders>
          </w:tcPr>
          <w:p w:rsidR="00C1401B" w:rsidRPr="00D3304A" w:rsidRDefault="00C1401B" w:rsidP="00003597">
            <w:pPr>
              <w:ind w:right="-29"/>
              <w:jc w:val="center"/>
              <w:rPr>
                <w:noProof/>
                <w:sz w:val="18"/>
                <w:szCs w:val="18"/>
              </w:rPr>
            </w:pPr>
          </w:p>
        </w:tc>
        <w:tc>
          <w:tcPr>
            <w:tcW w:w="432"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540" w:type="dxa"/>
            <w:tcBorders>
              <w:right w:val="dashSmallGap" w:sz="4" w:space="0" w:color="auto"/>
            </w:tcBorders>
          </w:tcPr>
          <w:p w:rsidR="00C1401B" w:rsidRPr="00D3304A" w:rsidRDefault="00C1401B" w:rsidP="00003597">
            <w:pPr>
              <w:ind w:right="-29"/>
              <w:jc w:val="center"/>
              <w:rPr>
                <w:noProof/>
                <w:sz w:val="18"/>
                <w:szCs w:val="18"/>
              </w:rPr>
            </w:pPr>
          </w:p>
        </w:tc>
        <w:tc>
          <w:tcPr>
            <w:tcW w:w="720" w:type="dxa"/>
            <w:tcBorders>
              <w:left w:val="dashSmallGap" w:sz="4" w:space="0" w:color="auto"/>
            </w:tcBorders>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900" w:type="dxa"/>
          </w:tcPr>
          <w:p w:rsidR="00C1401B" w:rsidRPr="00D3304A" w:rsidRDefault="00C1401B" w:rsidP="00003597">
            <w:pPr>
              <w:ind w:right="-29"/>
              <w:jc w:val="center"/>
              <w:rPr>
                <w:noProof/>
                <w:sz w:val="18"/>
                <w:szCs w:val="18"/>
              </w:rPr>
            </w:pPr>
          </w:p>
        </w:tc>
      </w:tr>
      <w:tr w:rsidR="00C1401B" w:rsidRPr="00D3304A" w:rsidTr="00003597">
        <w:trPr>
          <w:trHeight w:hRule="exact" w:val="369"/>
          <w:jc w:val="center"/>
        </w:trPr>
        <w:tc>
          <w:tcPr>
            <w:tcW w:w="1423" w:type="dxa"/>
          </w:tcPr>
          <w:p w:rsidR="00C1401B" w:rsidRPr="00D3304A" w:rsidRDefault="00C1401B" w:rsidP="00003597">
            <w:pPr>
              <w:ind w:right="-29"/>
              <w:jc w:val="center"/>
              <w:rPr>
                <w:noProof/>
                <w:sz w:val="18"/>
                <w:szCs w:val="18"/>
              </w:rPr>
            </w:pPr>
            <w:r w:rsidRPr="00D3304A">
              <w:rPr>
                <w:noProof/>
                <w:sz w:val="18"/>
              </w:rPr>
              <w:t>- Ergebnis</w:t>
            </w:r>
          </w:p>
        </w:tc>
        <w:tc>
          <w:tcPr>
            <w:tcW w:w="720" w:type="dxa"/>
          </w:tcPr>
          <w:p w:rsidR="00C1401B" w:rsidRPr="00D3304A" w:rsidRDefault="00C1401B" w:rsidP="00003597">
            <w:pPr>
              <w:ind w:right="-29"/>
              <w:jc w:val="center"/>
              <w:rPr>
                <w:noProof/>
                <w:sz w:val="18"/>
                <w:szCs w:val="18"/>
              </w:rPr>
            </w:pPr>
          </w:p>
        </w:tc>
        <w:tc>
          <w:tcPr>
            <w:tcW w:w="701" w:type="dxa"/>
          </w:tcPr>
          <w:p w:rsidR="00C1401B" w:rsidRPr="00D3304A" w:rsidRDefault="00C1401B" w:rsidP="00003597">
            <w:pPr>
              <w:ind w:right="-29"/>
              <w:jc w:val="center"/>
              <w:rPr>
                <w:noProof/>
                <w:sz w:val="18"/>
                <w:szCs w:val="18"/>
              </w:rPr>
            </w:pPr>
          </w:p>
        </w:tc>
        <w:tc>
          <w:tcPr>
            <w:tcW w:w="504"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54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900" w:type="dxa"/>
          </w:tcPr>
          <w:p w:rsidR="00C1401B" w:rsidRPr="00D3304A" w:rsidRDefault="00C1401B" w:rsidP="00003597">
            <w:pPr>
              <w:ind w:right="-29"/>
              <w:jc w:val="center"/>
              <w:rPr>
                <w:noProof/>
                <w:sz w:val="18"/>
                <w:szCs w:val="18"/>
              </w:rPr>
            </w:pPr>
          </w:p>
        </w:tc>
        <w:tc>
          <w:tcPr>
            <w:tcW w:w="720" w:type="dxa"/>
            <w:gridSpan w:val="2"/>
          </w:tcPr>
          <w:p w:rsidR="00C1401B" w:rsidRPr="00D3304A" w:rsidRDefault="00C1401B" w:rsidP="00003597">
            <w:pPr>
              <w:ind w:right="-29"/>
              <w:jc w:val="center"/>
              <w:rPr>
                <w:noProof/>
                <w:sz w:val="18"/>
                <w:szCs w:val="18"/>
              </w:rPr>
            </w:pPr>
          </w:p>
        </w:tc>
        <w:tc>
          <w:tcPr>
            <w:tcW w:w="540" w:type="dxa"/>
          </w:tcPr>
          <w:p w:rsidR="00C1401B" w:rsidRPr="00D3304A" w:rsidRDefault="00C1401B" w:rsidP="00003597">
            <w:pPr>
              <w:ind w:right="-29"/>
              <w:jc w:val="center"/>
              <w:rPr>
                <w:noProof/>
                <w:sz w:val="18"/>
                <w:szCs w:val="18"/>
              </w:rPr>
            </w:pPr>
          </w:p>
        </w:tc>
        <w:tc>
          <w:tcPr>
            <w:tcW w:w="648" w:type="dxa"/>
          </w:tcPr>
          <w:p w:rsidR="00C1401B" w:rsidRPr="00D3304A" w:rsidRDefault="00C1401B" w:rsidP="00003597">
            <w:pPr>
              <w:ind w:right="-29"/>
              <w:jc w:val="center"/>
              <w:rPr>
                <w:noProof/>
                <w:sz w:val="18"/>
                <w:szCs w:val="18"/>
              </w:rPr>
            </w:pPr>
          </w:p>
        </w:tc>
        <w:tc>
          <w:tcPr>
            <w:tcW w:w="432"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54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900" w:type="dxa"/>
          </w:tcPr>
          <w:p w:rsidR="00C1401B" w:rsidRPr="00D3304A" w:rsidRDefault="00C1401B" w:rsidP="00003597">
            <w:pPr>
              <w:ind w:right="-29"/>
              <w:jc w:val="center"/>
              <w:rPr>
                <w:noProof/>
                <w:sz w:val="18"/>
                <w:szCs w:val="18"/>
              </w:rPr>
            </w:pPr>
          </w:p>
        </w:tc>
      </w:tr>
      <w:tr w:rsidR="00C1401B" w:rsidRPr="00D3304A" w:rsidTr="00003597">
        <w:trPr>
          <w:trHeight w:val="77"/>
          <w:jc w:val="center"/>
        </w:trPr>
        <w:tc>
          <w:tcPr>
            <w:tcW w:w="2844" w:type="dxa"/>
            <w:gridSpan w:val="3"/>
            <w:tcBorders>
              <w:bottom w:val="single" w:sz="12" w:space="0" w:color="auto"/>
            </w:tcBorders>
            <w:vAlign w:val="center"/>
          </w:tcPr>
          <w:p w:rsidR="00C1401B" w:rsidRPr="00D3304A" w:rsidRDefault="00C1401B" w:rsidP="00003597">
            <w:pPr>
              <w:ind w:right="-29"/>
              <w:jc w:val="center"/>
              <w:rPr>
                <w:noProof/>
                <w:sz w:val="18"/>
                <w:szCs w:val="18"/>
              </w:rPr>
            </w:pPr>
            <w:r w:rsidRPr="00D3304A">
              <w:rPr>
                <w:noProof/>
                <w:sz w:val="18"/>
              </w:rPr>
              <w:t>Zwischensumme für Einzelziel Nr. </w:t>
            </w:r>
            <w:r w:rsidRPr="00C24C00">
              <w:rPr>
                <w:noProof/>
                <w:sz w:val="18"/>
              </w:rPr>
              <w:t>1</w:t>
            </w:r>
          </w:p>
        </w:tc>
        <w:tc>
          <w:tcPr>
            <w:tcW w:w="504"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54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900" w:type="dxa"/>
            <w:tcBorders>
              <w:bottom w:val="single" w:sz="12" w:space="0" w:color="auto"/>
            </w:tcBorders>
          </w:tcPr>
          <w:p w:rsidR="00C1401B" w:rsidRPr="00D3304A" w:rsidRDefault="00C1401B" w:rsidP="00003597">
            <w:pPr>
              <w:ind w:right="-29"/>
              <w:jc w:val="center"/>
              <w:rPr>
                <w:noProof/>
                <w:sz w:val="18"/>
                <w:szCs w:val="18"/>
              </w:rPr>
            </w:pPr>
          </w:p>
        </w:tc>
        <w:tc>
          <w:tcPr>
            <w:tcW w:w="720" w:type="dxa"/>
            <w:gridSpan w:val="2"/>
            <w:tcBorders>
              <w:bottom w:val="single" w:sz="12" w:space="0" w:color="auto"/>
            </w:tcBorders>
          </w:tcPr>
          <w:p w:rsidR="00C1401B" w:rsidRPr="00D3304A" w:rsidRDefault="00C1401B" w:rsidP="00003597">
            <w:pPr>
              <w:ind w:right="-29"/>
              <w:jc w:val="center"/>
              <w:rPr>
                <w:noProof/>
                <w:sz w:val="18"/>
                <w:szCs w:val="18"/>
              </w:rPr>
            </w:pPr>
          </w:p>
        </w:tc>
        <w:tc>
          <w:tcPr>
            <w:tcW w:w="540" w:type="dxa"/>
            <w:tcBorders>
              <w:bottom w:val="single" w:sz="12" w:space="0" w:color="auto"/>
            </w:tcBorders>
          </w:tcPr>
          <w:p w:rsidR="00C1401B" w:rsidRPr="00D3304A" w:rsidRDefault="00C1401B" w:rsidP="00003597">
            <w:pPr>
              <w:ind w:right="-29"/>
              <w:jc w:val="center"/>
              <w:rPr>
                <w:noProof/>
                <w:sz w:val="18"/>
                <w:szCs w:val="18"/>
              </w:rPr>
            </w:pPr>
          </w:p>
        </w:tc>
        <w:tc>
          <w:tcPr>
            <w:tcW w:w="648" w:type="dxa"/>
            <w:tcBorders>
              <w:bottom w:val="single" w:sz="12" w:space="0" w:color="auto"/>
            </w:tcBorders>
          </w:tcPr>
          <w:p w:rsidR="00C1401B" w:rsidRPr="00D3304A" w:rsidRDefault="00C1401B" w:rsidP="00003597">
            <w:pPr>
              <w:ind w:right="-29"/>
              <w:jc w:val="center"/>
              <w:rPr>
                <w:noProof/>
                <w:sz w:val="18"/>
                <w:szCs w:val="18"/>
              </w:rPr>
            </w:pPr>
          </w:p>
        </w:tc>
        <w:tc>
          <w:tcPr>
            <w:tcW w:w="432"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54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900" w:type="dxa"/>
            <w:tcBorders>
              <w:bottom w:val="single" w:sz="12" w:space="0" w:color="auto"/>
            </w:tcBorders>
          </w:tcPr>
          <w:p w:rsidR="00C1401B" w:rsidRPr="00D3304A" w:rsidRDefault="00C1401B" w:rsidP="00003597">
            <w:pPr>
              <w:ind w:right="-29"/>
              <w:jc w:val="center"/>
              <w:rPr>
                <w:noProof/>
                <w:sz w:val="18"/>
                <w:szCs w:val="18"/>
              </w:rPr>
            </w:pPr>
          </w:p>
        </w:tc>
      </w:tr>
      <w:tr w:rsidR="00C1401B" w:rsidRPr="00D3304A" w:rsidTr="00003597">
        <w:trPr>
          <w:jc w:val="center"/>
        </w:trPr>
        <w:tc>
          <w:tcPr>
            <w:tcW w:w="2844" w:type="dxa"/>
            <w:gridSpan w:val="3"/>
            <w:vAlign w:val="center"/>
          </w:tcPr>
          <w:p w:rsidR="00C1401B" w:rsidRPr="00D3304A" w:rsidRDefault="00C1401B" w:rsidP="00003597">
            <w:pPr>
              <w:spacing w:before="60" w:after="60"/>
              <w:ind w:right="-29"/>
              <w:jc w:val="center"/>
              <w:rPr>
                <w:noProof/>
                <w:sz w:val="18"/>
                <w:szCs w:val="18"/>
              </w:rPr>
            </w:pPr>
            <w:r w:rsidRPr="00D3304A">
              <w:rPr>
                <w:noProof/>
                <w:sz w:val="18"/>
              </w:rPr>
              <w:t>EINZELZIEL Nr. </w:t>
            </w:r>
            <w:r w:rsidRPr="00C24C00">
              <w:rPr>
                <w:noProof/>
                <w:sz w:val="18"/>
              </w:rPr>
              <w:t>2</w:t>
            </w:r>
            <w:r w:rsidRPr="00D3304A">
              <w:rPr>
                <w:noProof/>
                <w:sz w:val="18"/>
              </w:rPr>
              <w:t> ...</w:t>
            </w:r>
          </w:p>
        </w:tc>
        <w:tc>
          <w:tcPr>
            <w:tcW w:w="504"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gridSpan w:val="2"/>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648"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432"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3304A" w:rsidRDefault="00C1401B" w:rsidP="00003597">
            <w:pPr>
              <w:spacing w:before="60" w:after="60"/>
              <w:ind w:right="-29"/>
              <w:jc w:val="center"/>
              <w:rPr>
                <w:noProof/>
                <w:sz w:val="18"/>
                <w:szCs w:val="18"/>
              </w:rPr>
            </w:pPr>
          </w:p>
        </w:tc>
      </w:tr>
      <w:tr w:rsidR="00C1401B" w:rsidRPr="00D3304A" w:rsidTr="00003597">
        <w:trPr>
          <w:trHeight w:hRule="exact" w:val="369"/>
          <w:jc w:val="center"/>
        </w:trPr>
        <w:tc>
          <w:tcPr>
            <w:tcW w:w="1423" w:type="dxa"/>
          </w:tcPr>
          <w:p w:rsidR="00C1401B" w:rsidRPr="00D3304A" w:rsidRDefault="00C1401B" w:rsidP="00003597">
            <w:pPr>
              <w:ind w:right="-29"/>
              <w:jc w:val="center"/>
              <w:rPr>
                <w:noProof/>
                <w:sz w:val="18"/>
                <w:szCs w:val="18"/>
              </w:rPr>
            </w:pPr>
            <w:r w:rsidRPr="00D3304A">
              <w:rPr>
                <w:noProof/>
                <w:sz w:val="18"/>
              </w:rPr>
              <w:t>- Ergebnis</w:t>
            </w:r>
          </w:p>
        </w:tc>
        <w:tc>
          <w:tcPr>
            <w:tcW w:w="720" w:type="dxa"/>
          </w:tcPr>
          <w:p w:rsidR="00C1401B" w:rsidRPr="00D3304A" w:rsidRDefault="00C1401B" w:rsidP="00003597">
            <w:pPr>
              <w:ind w:right="-29"/>
              <w:jc w:val="center"/>
              <w:rPr>
                <w:noProof/>
                <w:sz w:val="18"/>
                <w:szCs w:val="18"/>
              </w:rPr>
            </w:pPr>
          </w:p>
        </w:tc>
        <w:tc>
          <w:tcPr>
            <w:tcW w:w="701" w:type="dxa"/>
          </w:tcPr>
          <w:p w:rsidR="00C1401B" w:rsidRPr="00D3304A" w:rsidRDefault="00C1401B" w:rsidP="00003597">
            <w:pPr>
              <w:ind w:right="-29"/>
              <w:jc w:val="center"/>
              <w:rPr>
                <w:noProof/>
                <w:sz w:val="18"/>
                <w:szCs w:val="18"/>
              </w:rPr>
            </w:pPr>
          </w:p>
        </w:tc>
        <w:tc>
          <w:tcPr>
            <w:tcW w:w="504"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54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900" w:type="dxa"/>
          </w:tcPr>
          <w:p w:rsidR="00C1401B" w:rsidRPr="00D3304A" w:rsidRDefault="00C1401B" w:rsidP="00003597">
            <w:pPr>
              <w:ind w:right="-29"/>
              <w:jc w:val="center"/>
              <w:rPr>
                <w:noProof/>
                <w:sz w:val="18"/>
                <w:szCs w:val="18"/>
              </w:rPr>
            </w:pPr>
          </w:p>
        </w:tc>
        <w:tc>
          <w:tcPr>
            <w:tcW w:w="720" w:type="dxa"/>
            <w:gridSpan w:val="2"/>
          </w:tcPr>
          <w:p w:rsidR="00C1401B" w:rsidRPr="00D3304A" w:rsidRDefault="00C1401B" w:rsidP="00003597">
            <w:pPr>
              <w:ind w:right="-29"/>
              <w:jc w:val="center"/>
              <w:rPr>
                <w:noProof/>
                <w:sz w:val="18"/>
                <w:szCs w:val="18"/>
              </w:rPr>
            </w:pPr>
          </w:p>
        </w:tc>
        <w:tc>
          <w:tcPr>
            <w:tcW w:w="540" w:type="dxa"/>
          </w:tcPr>
          <w:p w:rsidR="00C1401B" w:rsidRPr="00D3304A" w:rsidRDefault="00C1401B" w:rsidP="00003597">
            <w:pPr>
              <w:ind w:right="-29"/>
              <w:jc w:val="center"/>
              <w:rPr>
                <w:noProof/>
                <w:sz w:val="18"/>
                <w:szCs w:val="18"/>
              </w:rPr>
            </w:pPr>
          </w:p>
        </w:tc>
        <w:tc>
          <w:tcPr>
            <w:tcW w:w="648" w:type="dxa"/>
          </w:tcPr>
          <w:p w:rsidR="00C1401B" w:rsidRPr="00D3304A" w:rsidRDefault="00C1401B" w:rsidP="00003597">
            <w:pPr>
              <w:ind w:right="-29"/>
              <w:jc w:val="center"/>
              <w:rPr>
                <w:noProof/>
                <w:sz w:val="18"/>
                <w:szCs w:val="18"/>
              </w:rPr>
            </w:pPr>
          </w:p>
        </w:tc>
        <w:tc>
          <w:tcPr>
            <w:tcW w:w="432"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54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720" w:type="dxa"/>
          </w:tcPr>
          <w:p w:rsidR="00C1401B" w:rsidRPr="00D3304A" w:rsidRDefault="00C1401B" w:rsidP="00003597">
            <w:pPr>
              <w:ind w:right="-29"/>
              <w:jc w:val="center"/>
              <w:rPr>
                <w:noProof/>
                <w:sz w:val="18"/>
                <w:szCs w:val="18"/>
              </w:rPr>
            </w:pPr>
          </w:p>
        </w:tc>
        <w:tc>
          <w:tcPr>
            <w:tcW w:w="900" w:type="dxa"/>
          </w:tcPr>
          <w:p w:rsidR="00C1401B" w:rsidRPr="00D3304A" w:rsidRDefault="00C1401B" w:rsidP="00003597">
            <w:pPr>
              <w:ind w:right="-29"/>
              <w:jc w:val="center"/>
              <w:rPr>
                <w:noProof/>
                <w:sz w:val="18"/>
                <w:szCs w:val="18"/>
              </w:rPr>
            </w:pPr>
          </w:p>
        </w:tc>
      </w:tr>
      <w:tr w:rsidR="00C1401B" w:rsidRPr="00D3304A" w:rsidTr="00003597">
        <w:trPr>
          <w:jc w:val="center"/>
        </w:trPr>
        <w:tc>
          <w:tcPr>
            <w:tcW w:w="2844" w:type="dxa"/>
            <w:gridSpan w:val="3"/>
            <w:tcBorders>
              <w:bottom w:val="single" w:sz="12" w:space="0" w:color="auto"/>
            </w:tcBorders>
            <w:vAlign w:val="center"/>
          </w:tcPr>
          <w:p w:rsidR="00C1401B" w:rsidRPr="00D3304A" w:rsidRDefault="00C1401B" w:rsidP="00003597">
            <w:pPr>
              <w:jc w:val="center"/>
              <w:rPr>
                <w:noProof/>
                <w:sz w:val="18"/>
                <w:szCs w:val="18"/>
              </w:rPr>
            </w:pPr>
            <w:r w:rsidRPr="00D3304A">
              <w:rPr>
                <w:noProof/>
                <w:sz w:val="18"/>
              </w:rPr>
              <w:t>Zwischensumme für Einzelziel Nr. </w:t>
            </w:r>
            <w:r w:rsidRPr="00C24C00">
              <w:rPr>
                <w:noProof/>
                <w:sz w:val="18"/>
              </w:rPr>
              <w:t>2</w:t>
            </w:r>
          </w:p>
        </w:tc>
        <w:tc>
          <w:tcPr>
            <w:tcW w:w="504"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54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951" w:type="dxa"/>
            <w:gridSpan w:val="2"/>
            <w:tcBorders>
              <w:bottom w:val="single" w:sz="12" w:space="0" w:color="auto"/>
            </w:tcBorders>
          </w:tcPr>
          <w:p w:rsidR="00C1401B" w:rsidRPr="00D3304A" w:rsidRDefault="00C1401B" w:rsidP="00003597">
            <w:pPr>
              <w:ind w:right="-29"/>
              <w:jc w:val="center"/>
              <w:rPr>
                <w:noProof/>
                <w:sz w:val="18"/>
                <w:szCs w:val="18"/>
              </w:rPr>
            </w:pPr>
          </w:p>
        </w:tc>
        <w:tc>
          <w:tcPr>
            <w:tcW w:w="669" w:type="dxa"/>
            <w:tcBorders>
              <w:bottom w:val="single" w:sz="12" w:space="0" w:color="auto"/>
            </w:tcBorders>
          </w:tcPr>
          <w:p w:rsidR="00C1401B" w:rsidRPr="00D3304A" w:rsidRDefault="00C1401B" w:rsidP="00003597">
            <w:pPr>
              <w:ind w:right="-29"/>
              <w:jc w:val="center"/>
              <w:rPr>
                <w:noProof/>
                <w:sz w:val="18"/>
                <w:szCs w:val="18"/>
              </w:rPr>
            </w:pPr>
          </w:p>
        </w:tc>
        <w:tc>
          <w:tcPr>
            <w:tcW w:w="540" w:type="dxa"/>
            <w:tcBorders>
              <w:bottom w:val="single" w:sz="12" w:space="0" w:color="auto"/>
            </w:tcBorders>
          </w:tcPr>
          <w:p w:rsidR="00C1401B" w:rsidRPr="00D3304A" w:rsidRDefault="00C1401B" w:rsidP="00003597">
            <w:pPr>
              <w:ind w:right="-29"/>
              <w:jc w:val="center"/>
              <w:rPr>
                <w:noProof/>
                <w:sz w:val="18"/>
                <w:szCs w:val="18"/>
              </w:rPr>
            </w:pPr>
          </w:p>
        </w:tc>
        <w:tc>
          <w:tcPr>
            <w:tcW w:w="648" w:type="dxa"/>
            <w:tcBorders>
              <w:bottom w:val="single" w:sz="12" w:space="0" w:color="auto"/>
            </w:tcBorders>
          </w:tcPr>
          <w:p w:rsidR="00C1401B" w:rsidRPr="00D3304A" w:rsidRDefault="00C1401B" w:rsidP="00003597">
            <w:pPr>
              <w:ind w:right="-29"/>
              <w:jc w:val="center"/>
              <w:rPr>
                <w:noProof/>
                <w:sz w:val="18"/>
                <w:szCs w:val="18"/>
              </w:rPr>
            </w:pPr>
          </w:p>
        </w:tc>
        <w:tc>
          <w:tcPr>
            <w:tcW w:w="432"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54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720" w:type="dxa"/>
            <w:tcBorders>
              <w:bottom w:val="single" w:sz="12" w:space="0" w:color="auto"/>
            </w:tcBorders>
          </w:tcPr>
          <w:p w:rsidR="00C1401B" w:rsidRPr="00D3304A" w:rsidRDefault="00C1401B" w:rsidP="00003597">
            <w:pPr>
              <w:ind w:right="-29"/>
              <w:jc w:val="center"/>
              <w:rPr>
                <w:noProof/>
                <w:sz w:val="18"/>
                <w:szCs w:val="18"/>
              </w:rPr>
            </w:pPr>
          </w:p>
        </w:tc>
        <w:tc>
          <w:tcPr>
            <w:tcW w:w="900" w:type="dxa"/>
            <w:tcBorders>
              <w:bottom w:val="single" w:sz="12" w:space="0" w:color="auto"/>
            </w:tcBorders>
          </w:tcPr>
          <w:p w:rsidR="00C1401B" w:rsidRPr="00D3304A" w:rsidRDefault="00C1401B" w:rsidP="00003597">
            <w:pPr>
              <w:ind w:right="-29"/>
              <w:jc w:val="center"/>
              <w:rPr>
                <w:noProof/>
                <w:sz w:val="18"/>
                <w:szCs w:val="18"/>
              </w:rPr>
            </w:pPr>
          </w:p>
        </w:tc>
      </w:tr>
      <w:tr w:rsidR="00C1401B" w:rsidRPr="00D3304A" w:rsidTr="00003597">
        <w:trPr>
          <w:jc w:val="center"/>
        </w:trPr>
        <w:tc>
          <w:tcPr>
            <w:tcW w:w="2844" w:type="dxa"/>
            <w:gridSpan w:val="3"/>
            <w:tcBorders>
              <w:top w:val="single" w:sz="12" w:space="0" w:color="auto"/>
              <w:left w:val="single" w:sz="12" w:space="0" w:color="auto"/>
              <w:bottom w:val="single" w:sz="12" w:space="0" w:color="auto"/>
            </w:tcBorders>
            <w:vAlign w:val="center"/>
          </w:tcPr>
          <w:p w:rsidR="00C1401B" w:rsidRPr="00D3304A" w:rsidRDefault="00C1401B" w:rsidP="00003597">
            <w:pPr>
              <w:ind w:right="-29"/>
              <w:jc w:val="center"/>
              <w:rPr>
                <w:noProof/>
                <w:sz w:val="18"/>
                <w:szCs w:val="18"/>
              </w:rPr>
            </w:pPr>
            <w:r w:rsidRPr="00D3304A">
              <w:rPr>
                <w:b/>
                <w:noProof/>
                <w:sz w:val="18"/>
              </w:rPr>
              <w:t>INSGESAMT</w:t>
            </w:r>
          </w:p>
        </w:tc>
        <w:tc>
          <w:tcPr>
            <w:tcW w:w="504"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54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90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54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648"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432"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54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3304A" w:rsidRDefault="00C1401B" w:rsidP="00003597">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C1401B" w:rsidRPr="00D3304A" w:rsidRDefault="00C1401B" w:rsidP="00003597">
            <w:pPr>
              <w:spacing w:before="180" w:after="180"/>
              <w:ind w:right="-29"/>
              <w:jc w:val="center"/>
              <w:rPr>
                <w:noProof/>
                <w:sz w:val="18"/>
                <w:szCs w:val="18"/>
              </w:rPr>
            </w:pPr>
          </w:p>
        </w:tc>
      </w:tr>
    </w:tbl>
    <w:p w:rsidR="00C1401B" w:rsidRPr="00D3304A" w:rsidRDefault="00C1401B" w:rsidP="00C1401B">
      <w:pPr>
        <w:rPr>
          <w:noProof/>
        </w:rPr>
        <w:sectPr w:rsidR="00C1401B" w:rsidRPr="00D3304A" w:rsidSect="00740C8C">
          <w:headerReference w:type="default" r:id="rId16"/>
          <w:footerReference w:type="default" r:id="rId17"/>
          <w:pgSz w:w="16840" w:h="11907" w:orient="landscape" w:code="9"/>
          <w:pgMar w:top="1134" w:right="1418" w:bottom="567" w:left="1418" w:header="709" w:footer="709" w:gutter="0"/>
          <w:cols w:space="708"/>
          <w:docGrid w:linePitch="360"/>
        </w:sectPr>
      </w:pPr>
    </w:p>
    <w:p w:rsidR="00C1401B" w:rsidRPr="00D3304A" w:rsidRDefault="00C1401B" w:rsidP="00C1401B">
      <w:pPr>
        <w:pStyle w:val="ManualHeading3"/>
        <w:rPr>
          <w:bCs/>
          <w:noProof/>
          <w:szCs w:val="24"/>
        </w:rPr>
      </w:pPr>
      <w:bookmarkStart w:id="69" w:name="_Toc514938055"/>
      <w:bookmarkStart w:id="70" w:name="_Toc520485054"/>
      <w:r w:rsidRPr="00C24C00">
        <w:rPr>
          <w:noProof/>
        </w:rPr>
        <w:t>3</w:t>
      </w:r>
      <w:r w:rsidRPr="00D3304A">
        <w:rPr>
          <w:noProof/>
        </w:rPr>
        <w:t>.</w:t>
      </w:r>
      <w:r w:rsidRPr="00C24C00">
        <w:rPr>
          <w:noProof/>
        </w:rPr>
        <w:t>2</w:t>
      </w:r>
      <w:r w:rsidRPr="00D3304A">
        <w:rPr>
          <w:noProof/>
        </w:rPr>
        <w:t>.</w:t>
      </w:r>
      <w:r w:rsidRPr="00C24C00">
        <w:rPr>
          <w:noProof/>
        </w:rPr>
        <w:t>3</w:t>
      </w:r>
      <w:r w:rsidRPr="00D3304A">
        <w:rPr>
          <w:noProof/>
        </w:rPr>
        <w:tab/>
        <w:t>Übersicht über die geschätzten Auswirkungen auf die Verwaltungsmittel</w:t>
      </w:r>
      <w:bookmarkEnd w:id="69"/>
      <w:bookmarkEnd w:id="70"/>
      <w:r w:rsidRPr="00D3304A">
        <w:rPr>
          <w:noProof/>
        </w:rPr>
        <w:t xml:space="preserve"> </w:t>
      </w:r>
    </w:p>
    <w:p w:rsidR="00C1401B" w:rsidRPr="00D3304A" w:rsidRDefault="00C1401B" w:rsidP="00C1401B">
      <w:pPr>
        <w:pStyle w:val="ListDash1"/>
        <w:rPr>
          <w:noProof/>
        </w:rPr>
      </w:pPr>
      <w:r w:rsidRPr="00D3304A">
        <w:rPr>
          <w:noProof/>
        </w:rPr>
        <w:sym w:font="Wingdings" w:char="F0A8"/>
      </w:r>
      <w:r w:rsidRPr="00D3304A">
        <w:rPr>
          <w:noProof/>
        </w:rPr>
        <w:tab/>
        <w:t xml:space="preserve">Für den Vorschlag/die Initiative werden keine Verwaltungsmittel benötigt. </w:t>
      </w:r>
    </w:p>
    <w:p w:rsidR="00C1401B" w:rsidRPr="00D3304A" w:rsidRDefault="00C1401B" w:rsidP="00C1401B">
      <w:pPr>
        <w:pStyle w:val="ListDash1"/>
        <w:rPr>
          <w:noProof/>
        </w:rPr>
      </w:pPr>
      <w:r w:rsidRPr="00D3304A">
        <w:rPr>
          <w:noProof/>
        </w:rPr>
        <w:sym w:font="Wingdings" w:char="F0FD"/>
      </w:r>
      <w:r w:rsidRPr="00D3304A">
        <w:rPr>
          <w:noProof/>
        </w:rPr>
        <w:tab/>
        <w:t>Für den Vorschlag/die Initiative werden die folgenden Verwaltungsmittel benötigt:</w:t>
      </w:r>
    </w:p>
    <w:p w:rsidR="00C1401B" w:rsidRPr="00D3304A" w:rsidRDefault="00C1401B" w:rsidP="00C1401B">
      <w:pPr>
        <w:jc w:val="right"/>
        <w:rPr>
          <w:noProof/>
          <w:sz w:val="20"/>
        </w:rPr>
      </w:pPr>
      <w:r w:rsidRPr="00D3304A">
        <w:rPr>
          <w:noProof/>
          <w:sz w:val="20"/>
        </w:rPr>
        <w:t>in Mio. EUR (</w:t>
      </w:r>
      <w:r w:rsidRPr="00C24C00">
        <w:rPr>
          <w:noProof/>
          <w:sz w:val="20"/>
        </w:rPr>
        <w:t>3</w:t>
      </w:r>
      <w:r w:rsidRPr="00D3304A">
        <w:rPr>
          <w:noProof/>
          <w:sz w:val="20"/>
        </w:rPr>
        <w:t>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1401B" w:rsidRPr="00D3304A" w:rsidTr="00003597">
        <w:trPr>
          <w:trHeight w:val="585"/>
        </w:trPr>
        <w:tc>
          <w:tcPr>
            <w:tcW w:w="1980" w:type="dxa"/>
          </w:tcPr>
          <w:p w:rsidR="00C1401B" w:rsidRPr="00D3304A" w:rsidRDefault="00C1401B" w:rsidP="00003597">
            <w:pPr>
              <w:spacing w:before="60" w:after="60" w:line="200" w:lineRule="exact"/>
              <w:rPr>
                <w:noProof/>
                <w:sz w:val="16"/>
                <w:szCs w:val="16"/>
              </w:rPr>
            </w:pPr>
          </w:p>
        </w:tc>
        <w:tc>
          <w:tcPr>
            <w:tcW w:w="1080" w:type="dxa"/>
            <w:vAlign w:val="center"/>
          </w:tcPr>
          <w:p w:rsidR="00C1401B" w:rsidRPr="00D3304A" w:rsidRDefault="00C1401B" w:rsidP="00003597">
            <w:pPr>
              <w:spacing w:before="20" w:after="20"/>
              <w:jc w:val="center"/>
              <w:rPr>
                <w:noProof/>
                <w:sz w:val="16"/>
                <w:szCs w:val="16"/>
              </w:rPr>
            </w:pPr>
            <w:r w:rsidRPr="00D3304A">
              <w:rPr>
                <w:noProof/>
                <w:sz w:val="16"/>
              </w:rPr>
              <w:t>Jahr</w:t>
            </w:r>
            <w:r w:rsidRPr="00D3304A">
              <w:rPr>
                <w:noProof/>
                <w:sz w:val="22"/>
              </w:rPr>
              <w:br/>
            </w:r>
            <w:r w:rsidRPr="00C24C00">
              <w:rPr>
                <w:b/>
                <w:noProof/>
                <w:sz w:val="18"/>
              </w:rPr>
              <w:t>2026</w:t>
            </w:r>
            <w:r w:rsidRPr="00D3304A">
              <w:rPr>
                <w:b/>
                <w:noProof/>
                <w:sz w:val="16"/>
              </w:rPr>
              <w:t xml:space="preserve"> </w:t>
            </w:r>
            <w:r w:rsidRPr="00D3304A">
              <w:rPr>
                <w:rStyle w:val="FootnoteReference"/>
                <w:b/>
                <w:noProof/>
                <w:sz w:val="16"/>
              </w:rPr>
              <w:footnoteReference w:id="30"/>
            </w:r>
          </w:p>
        </w:tc>
        <w:tc>
          <w:tcPr>
            <w:tcW w:w="1080" w:type="dxa"/>
            <w:vAlign w:val="center"/>
          </w:tcPr>
          <w:p w:rsidR="00C1401B" w:rsidRPr="00D3304A" w:rsidRDefault="00C1401B" w:rsidP="00003597">
            <w:pPr>
              <w:spacing w:before="20" w:after="20"/>
              <w:jc w:val="center"/>
              <w:rPr>
                <w:noProof/>
                <w:sz w:val="16"/>
                <w:szCs w:val="16"/>
              </w:rPr>
            </w:pPr>
            <w:r w:rsidRPr="00D3304A">
              <w:rPr>
                <w:noProof/>
                <w:sz w:val="16"/>
              </w:rPr>
              <w:t>Jahr</w:t>
            </w:r>
            <w:r w:rsidRPr="00D3304A">
              <w:rPr>
                <w:noProof/>
                <w:sz w:val="22"/>
              </w:rPr>
              <w:br/>
            </w:r>
            <w:r w:rsidRPr="00C24C00">
              <w:rPr>
                <w:b/>
                <w:noProof/>
                <w:sz w:val="18"/>
              </w:rPr>
              <w:t>2027</w:t>
            </w:r>
          </w:p>
        </w:tc>
        <w:tc>
          <w:tcPr>
            <w:tcW w:w="1080" w:type="dxa"/>
            <w:vAlign w:val="center"/>
          </w:tcPr>
          <w:p w:rsidR="00C1401B" w:rsidRPr="00D3304A" w:rsidRDefault="00C1401B" w:rsidP="00003597">
            <w:pPr>
              <w:spacing w:before="60" w:after="60" w:line="200" w:lineRule="exact"/>
              <w:jc w:val="center"/>
              <w:rPr>
                <w:noProof/>
                <w:sz w:val="16"/>
                <w:szCs w:val="16"/>
              </w:rPr>
            </w:pPr>
            <w:r w:rsidRPr="00D3304A">
              <w:rPr>
                <w:noProof/>
                <w:sz w:val="16"/>
              </w:rPr>
              <w:t>Jahr</w:t>
            </w:r>
            <w:r w:rsidRPr="00D3304A">
              <w:rPr>
                <w:noProof/>
                <w:sz w:val="22"/>
              </w:rPr>
              <w:br/>
            </w:r>
            <w:r w:rsidRPr="00D3304A">
              <w:rPr>
                <w:b/>
                <w:noProof/>
                <w:sz w:val="16"/>
              </w:rPr>
              <w:t>N+</w:t>
            </w:r>
            <w:r w:rsidRPr="00C24C00">
              <w:rPr>
                <w:b/>
                <w:noProof/>
                <w:sz w:val="16"/>
              </w:rPr>
              <w:t>2</w:t>
            </w:r>
          </w:p>
        </w:tc>
        <w:tc>
          <w:tcPr>
            <w:tcW w:w="1080" w:type="dxa"/>
            <w:vAlign w:val="center"/>
          </w:tcPr>
          <w:p w:rsidR="00C1401B" w:rsidRPr="00D3304A" w:rsidRDefault="00C1401B" w:rsidP="00003597">
            <w:pPr>
              <w:spacing w:before="60" w:after="60" w:line="200" w:lineRule="exact"/>
              <w:jc w:val="center"/>
              <w:rPr>
                <w:noProof/>
                <w:sz w:val="16"/>
                <w:szCs w:val="16"/>
              </w:rPr>
            </w:pPr>
            <w:r w:rsidRPr="00D3304A">
              <w:rPr>
                <w:noProof/>
                <w:sz w:val="16"/>
              </w:rPr>
              <w:t>Jahr</w:t>
            </w:r>
            <w:r w:rsidRPr="00D3304A">
              <w:rPr>
                <w:noProof/>
                <w:sz w:val="22"/>
              </w:rPr>
              <w:br/>
            </w:r>
            <w:r w:rsidRPr="00D3304A">
              <w:rPr>
                <w:b/>
                <w:noProof/>
                <w:sz w:val="16"/>
              </w:rPr>
              <w:t>N+</w:t>
            </w:r>
            <w:r w:rsidRPr="00C24C00">
              <w:rPr>
                <w:b/>
                <w:noProof/>
                <w:sz w:val="16"/>
              </w:rPr>
              <w:t>3</w:t>
            </w:r>
          </w:p>
        </w:tc>
        <w:tc>
          <w:tcPr>
            <w:tcW w:w="3240" w:type="dxa"/>
            <w:vAlign w:val="center"/>
          </w:tcPr>
          <w:p w:rsidR="00C1401B" w:rsidRPr="00D3304A" w:rsidRDefault="00C1401B" w:rsidP="00003597">
            <w:pPr>
              <w:spacing w:line="200" w:lineRule="exact"/>
              <w:jc w:val="center"/>
              <w:rPr>
                <w:b/>
                <w:noProof/>
                <w:sz w:val="16"/>
                <w:szCs w:val="16"/>
              </w:rPr>
            </w:pPr>
            <w:r w:rsidRPr="00D3304A">
              <w:rPr>
                <w:noProof/>
                <w:sz w:val="16"/>
              </w:rPr>
              <w:t>Bei länger andauernden Auswirkungen bitte weitere Spalten einfügen (siehe </w:t>
            </w:r>
            <w:r w:rsidRPr="00C24C00">
              <w:rPr>
                <w:noProof/>
                <w:sz w:val="16"/>
              </w:rPr>
              <w:t>1</w:t>
            </w:r>
            <w:r w:rsidRPr="00D3304A">
              <w:rPr>
                <w:noProof/>
                <w:sz w:val="16"/>
              </w:rPr>
              <w:t>.</w:t>
            </w:r>
            <w:r w:rsidRPr="00C24C00">
              <w:rPr>
                <w:noProof/>
                <w:sz w:val="16"/>
              </w:rPr>
              <w:t>6</w:t>
            </w:r>
            <w:r w:rsidRPr="00D3304A">
              <w:rPr>
                <w:noProof/>
                <w:sz w:val="16"/>
              </w:rPr>
              <w:t>)</w:t>
            </w:r>
          </w:p>
        </w:tc>
        <w:tc>
          <w:tcPr>
            <w:tcW w:w="1080" w:type="dxa"/>
            <w:vAlign w:val="center"/>
          </w:tcPr>
          <w:p w:rsidR="00C1401B" w:rsidRPr="00D3304A" w:rsidRDefault="00C1401B" w:rsidP="00003597">
            <w:pPr>
              <w:spacing w:before="60" w:after="60" w:line="200" w:lineRule="exact"/>
              <w:jc w:val="center"/>
              <w:rPr>
                <w:b/>
                <w:noProof/>
                <w:sz w:val="16"/>
                <w:szCs w:val="16"/>
              </w:rPr>
            </w:pPr>
            <w:r w:rsidRPr="00D3304A">
              <w:rPr>
                <w:b/>
                <w:noProof/>
                <w:sz w:val="16"/>
              </w:rPr>
              <w:t>INSGESAMT</w:t>
            </w:r>
          </w:p>
        </w:tc>
      </w:tr>
    </w:tbl>
    <w:p w:rsidR="00C1401B" w:rsidRPr="00D3304A" w:rsidRDefault="00C1401B" w:rsidP="00C1401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1401B" w:rsidRPr="00D3304A" w:rsidTr="00003597">
        <w:trPr>
          <w:trHeight w:val="585"/>
        </w:trPr>
        <w:tc>
          <w:tcPr>
            <w:tcW w:w="1980" w:type="dxa"/>
            <w:shd w:val="clear" w:color="auto" w:fill="CCCCCC"/>
            <w:vAlign w:val="center"/>
          </w:tcPr>
          <w:p w:rsidR="00C1401B" w:rsidRPr="00D3304A" w:rsidRDefault="00C1401B" w:rsidP="00EE11ED">
            <w:pPr>
              <w:spacing w:before="60" w:after="60" w:line="200" w:lineRule="exact"/>
              <w:ind w:left="328"/>
              <w:jc w:val="center"/>
              <w:rPr>
                <w:b/>
                <w:noProof/>
                <w:sz w:val="16"/>
                <w:szCs w:val="16"/>
              </w:rPr>
            </w:pPr>
            <w:r w:rsidRPr="00D3304A">
              <w:rPr>
                <w:b/>
                <w:noProof/>
                <w:sz w:val="16"/>
              </w:rPr>
              <w:t>RUBRIK </w:t>
            </w:r>
            <w:r w:rsidRPr="00C24C00">
              <w:rPr>
                <w:b/>
                <w:noProof/>
                <w:sz w:val="16"/>
              </w:rPr>
              <w:t>7</w:t>
            </w:r>
            <w:r w:rsidRPr="00D3304A">
              <w:rPr>
                <w:noProof/>
                <w:sz w:val="22"/>
              </w:rPr>
              <w:br/>
            </w:r>
            <w:r w:rsidRPr="00D3304A">
              <w:rPr>
                <w:b/>
                <w:noProof/>
                <w:sz w:val="16"/>
              </w:rPr>
              <w:t>des Mehrjährigen Finanzrahmens</w:t>
            </w:r>
          </w:p>
        </w:tc>
        <w:tc>
          <w:tcPr>
            <w:tcW w:w="1080" w:type="dxa"/>
            <w:vAlign w:val="center"/>
          </w:tcPr>
          <w:p w:rsidR="00C1401B" w:rsidRPr="00D3304A" w:rsidRDefault="00C1401B" w:rsidP="00003597">
            <w:pPr>
              <w:spacing w:before="60" w:after="60" w:line="200" w:lineRule="exact"/>
              <w:jc w:val="right"/>
              <w:rPr>
                <w:noProof/>
                <w:sz w:val="16"/>
                <w:szCs w:val="16"/>
              </w:rPr>
            </w:pPr>
          </w:p>
        </w:tc>
        <w:tc>
          <w:tcPr>
            <w:tcW w:w="1080" w:type="dxa"/>
            <w:vAlign w:val="center"/>
          </w:tcPr>
          <w:p w:rsidR="00C1401B" w:rsidRPr="00D3304A" w:rsidRDefault="00C1401B" w:rsidP="00003597">
            <w:pPr>
              <w:spacing w:before="60" w:after="60" w:line="200" w:lineRule="exact"/>
              <w:jc w:val="right"/>
              <w:rPr>
                <w:noProof/>
                <w:sz w:val="16"/>
                <w:szCs w:val="16"/>
              </w:rPr>
            </w:pPr>
          </w:p>
        </w:tc>
        <w:tc>
          <w:tcPr>
            <w:tcW w:w="1080" w:type="dxa"/>
            <w:vAlign w:val="center"/>
          </w:tcPr>
          <w:p w:rsidR="00C1401B" w:rsidRPr="00D3304A" w:rsidRDefault="00C1401B" w:rsidP="00003597">
            <w:pPr>
              <w:spacing w:before="60" w:after="60" w:line="200" w:lineRule="exact"/>
              <w:jc w:val="right"/>
              <w:rPr>
                <w:noProof/>
                <w:sz w:val="16"/>
                <w:szCs w:val="16"/>
              </w:rPr>
            </w:pPr>
          </w:p>
        </w:tc>
        <w:tc>
          <w:tcPr>
            <w:tcW w:w="1080" w:type="dxa"/>
            <w:vAlign w:val="center"/>
          </w:tcPr>
          <w:p w:rsidR="00C1401B" w:rsidRPr="00D3304A" w:rsidRDefault="00C1401B" w:rsidP="00003597">
            <w:pPr>
              <w:spacing w:before="60" w:after="60" w:line="200" w:lineRule="exact"/>
              <w:jc w:val="right"/>
              <w:rPr>
                <w:noProof/>
                <w:sz w:val="16"/>
                <w:szCs w:val="16"/>
              </w:rPr>
            </w:pPr>
          </w:p>
        </w:tc>
        <w:tc>
          <w:tcPr>
            <w:tcW w:w="1080" w:type="dxa"/>
            <w:vAlign w:val="center"/>
          </w:tcPr>
          <w:p w:rsidR="00C1401B" w:rsidRPr="00D3304A" w:rsidRDefault="00C1401B" w:rsidP="00003597">
            <w:pPr>
              <w:spacing w:before="60" w:after="60" w:line="200" w:lineRule="exact"/>
              <w:jc w:val="right"/>
              <w:rPr>
                <w:noProof/>
                <w:sz w:val="16"/>
                <w:szCs w:val="16"/>
              </w:rPr>
            </w:pPr>
          </w:p>
        </w:tc>
        <w:tc>
          <w:tcPr>
            <w:tcW w:w="1080" w:type="dxa"/>
            <w:vAlign w:val="center"/>
          </w:tcPr>
          <w:p w:rsidR="00C1401B" w:rsidRPr="00D3304A" w:rsidRDefault="00C1401B" w:rsidP="00003597">
            <w:pPr>
              <w:spacing w:before="60" w:after="60" w:line="200" w:lineRule="exact"/>
              <w:jc w:val="right"/>
              <w:rPr>
                <w:noProof/>
                <w:sz w:val="16"/>
                <w:szCs w:val="16"/>
              </w:rPr>
            </w:pPr>
          </w:p>
        </w:tc>
        <w:tc>
          <w:tcPr>
            <w:tcW w:w="1080" w:type="dxa"/>
            <w:vAlign w:val="center"/>
          </w:tcPr>
          <w:p w:rsidR="00C1401B" w:rsidRPr="00D3304A" w:rsidRDefault="00C1401B" w:rsidP="00003597">
            <w:pPr>
              <w:spacing w:before="60" w:after="60" w:line="200" w:lineRule="exact"/>
              <w:jc w:val="right"/>
              <w:rPr>
                <w:b/>
                <w:noProof/>
                <w:sz w:val="16"/>
                <w:szCs w:val="16"/>
              </w:rPr>
            </w:pPr>
          </w:p>
        </w:tc>
        <w:tc>
          <w:tcPr>
            <w:tcW w:w="1080" w:type="dxa"/>
            <w:vAlign w:val="center"/>
          </w:tcPr>
          <w:p w:rsidR="00C1401B" w:rsidRPr="00D3304A" w:rsidRDefault="00C1401B" w:rsidP="00003597">
            <w:pPr>
              <w:spacing w:before="60" w:after="60" w:line="200" w:lineRule="exact"/>
              <w:jc w:val="right"/>
              <w:rPr>
                <w:b/>
                <w:noProof/>
                <w:sz w:val="16"/>
                <w:szCs w:val="16"/>
              </w:rPr>
            </w:pPr>
          </w:p>
        </w:tc>
      </w:tr>
      <w:tr w:rsidR="00C1401B" w:rsidRPr="00D3304A" w:rsidTr="00003597">
        <w:trPr>
          <w:trHeight w:val="585"/>
        </w:trPr>
        <w:tc>
          <w:tcPr>
            <w:tcW w:w="1980" w:type="dxa"/>
            <w:vAlign w:val="center"/>
          </w:tcPr>
          <w:p w:rsidR="00C1401B" w:rsidRPr="00D3304A" w:rsidRDefault="00C1401B" w:rsidP="00EE11ED">
            <w:pPr>
              <w:spacing w:before="60" w:after="60" w:line="200" w:lineRule="exact"/>
              <w:ind w:left="284"/>
              <w:jc w:val="left"/>
              <w:rPr>
                <w:noProof/>
                <w:sz w:val="16"/>
                <w:szCs w:val="16"/>
              </w:rPr>
            </w:pPr>
            <w:r w:rsidRPr="00D3304A">
              <w:rPr>
                <w:noProof/>
                <w:sz w:val="16"/>
              </w:rPr>
              <w:t xml:space="preserve">Personalausgaben </w:t>
            </w: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r w:rsidRPr="00D3304A">
              <w:rPr>
                <w:noProof/>
                <w:sz w:val="18"/>
              </w:rPr>
              <w:t>,</w:t>
            </w:r>
            <w:r w:rsidRPr="00C24C00">
              <w:rPr>
                <w:noProof/>
                <w:sz w:val="18"/>
              </w:rPr>
              <w:t>550</w:t>
            </w: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r w:rsidRPr="00D3304A">
              <w:rPr>
                <w:noProof/>
                <w:sz w:val="18"/>
              </w:rPr>
              <w:t>,</w:t>
            </w:r>
            <w:r w:rsidRPr="00C24C00">
              <w:rPr>
                <w:noProof/>
                <w:sz w:val="18"/>
              </w:rPr>
              <w:t>550</w:t>
            </w: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1</w:t>
            </w:r>
            <w:r w:rsidRPr="00D3304A">
              <w:rPr>
                <w:noProof/>
                <w:sz w:val="18"/>
              </w:rPr>
              <w:t>,</w:t>
            </w:r>
            <w:r w:rsidRPr="00C24C00">
              <w:rPr>
                <w:noProof/>
                <w:sz w:val="18"/>
              </w:rPr>
              <w:t>100</w:t>
            </w:r>
          </w:p>
        </w:tc>
      </w:tr>
      <w:tr w:rsidR="00C1401B" w:rsidRPr="00D3304A" w:rsidTr="00003597">
        <w:trPr>
          <w:trHeight w:val="585"/>
        </w:trPr>
        <w:tc>
          <w:tcPr>
            <w:tcW w:w="1980" w:type="dxa"/>
            <w:vAlign w:val="center"/>
          </w:tcPr>
          <w:p w:rsidR="00C1401B" w:rsidRPr="00D3304A" w:rsidRDefault="00C1401B" w:rsidP="00EE11ED">
            <w:pPr>
              <w:spacing w:before="60" w:after="60" w:line="200" w:lineRule="exact"/>
              <w:ind w:left="284"/>
              <w:jc w:val="left"/>
              <w:rPr>
                <w:noProof/>
                <w:sz w:val="16"/>
                <w:szCs w:val="16"/>
              </w:rPr>
            </w:pPr>
            <w:r w:rsidRPr="00D3304A">
              <w:rPr>
                <w:noProof/>
                <w:sz w:val="16"/>
              </w:rPr>
              <w:t xml:space="preserve">Sonstige Verwaltungsausgaben </w:t>
            </w: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p>
        </w:tc>
      </w:tr>
      <w:tr w:rsidR="00C1401B" w:rsidRPr="00D3304A" w:rsidTr="00003597">
        <w:trPr>
          <w:trHeight w:val="585"/>
        </w:trPr>
        <w:tc>
          <w:tcPr>
            <w:tcW w:w="1980" w:type="dxa"/>
            <w:shd w:val="clear" w:color="auto" w:fill="CCCCCC"/>
            <w:vAlign w:val="center"/>
          </w:tcPr>
          <w:p w:rsidR="00C1401B" w:rsidRPr="00D3304A" w:rsidRDefault="00C1401B" w:rsidP="00EE11ED">
            <w:pPr>
              <w:spacing w:before="60" w:after="60" w:line="200" w:lineRule="exact"/>
              <w:ind w:left="284"/>
              <w:jc w:val="center"/>
              <w:rPr>
                <w:b/>
                <w:noProof/>
                <w:sz w:val="16"/>
                <w:szCs w:val="16"/>
              </w:rPr>
            </w:pPr>
            <w:r w:rsidRPr="00D3304A">
              <w:rPr>
                <w:b/>
                <w:noProof/>
                <w:sz w:val="16"/>
              </w:rPr>
              <w:t>Zwischensumme RUBRIK </w:t>
            </w:r>
            <w:r w:rsidRPr="00C24C00">
              <w:rPr>
                <w:b/>
                <w:noProof/>
                <w:sz w:val="16"/>
              </w:rPr>
              <w:t>7</w:t>
            </w:r>
            <w:r w:rsidRPr="00D3304A">
              <w:rPr>
                <w:noProof/>
                <w:sz w:val="22"/>
              </w:rPr>
              <w:br/>
            </w:r>
            <w:r w:rsidRPr="00D3304A">
              <w:rPr>
                <w:b/>
                <w:noProof/>
                <w:sz w:val="16"/>
              </w:rPr>
              <w:t xml:space="preserve">des Mehrjährigen Finanzrahmens </w:t>
            </w: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r w:rsidRPr="00D3304A">
              <w:rPr>
                <w:noProof/>
                <w:sz w:val="18"/>
              </w:rPr>
              <w:t>,</w:t>
            </w:r>
            <w:r w:rsidRPr="00C24C00">
              <w:rPr>
                <w:noProof/>
                <w:sz w:val="18"/>
              </w:rPr>
              <w:t>550</w:t>
            </w: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0</w:t>
            </w:r>
            <w:r w:rsidRPr="00D3304A">
              <w:rPr>
                <w:noProof/>
                <w:sz w:val="18"/>
              </w:rPr>
              <w:t>,</w:t>
            </w:r>
            <w:r w:rsidRPr="00C24C00">
              <w:rPr>
                <w:noProof/>
                <w:sz w:val="18"/>
              </w:rPr>
              <w:t>550</w:t>
            </w: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20" w:after="20"/>
              <w:ind w:left="284"/>
              <w:jc w:val="center"/>
              <w:rPr>
                <w:noProof/>
                <w:sz w:val="18"/>
                <w:szCs w:val="16"/>
              </w:rPr>
            </w:pPr>
            <w:r w:rsidRPr="00C24C00">
              <w:rPr>
                <w:noProof/>
                <w:sz w:val="18"/>
              </w:rPr>
              <w:t>1</w:t>
            </w:r>
            <w:r w:rsidRPr="00D3304A">
              <w:rPr>
                <w:noProof/>
                <w:sz w:val="18"/>
              </w:rPr>
              <w:t>,</w:t>
            </w:r>
            <w:r w:rsidRPr="00C24C00">
              <w:rPr>
                <w:noProof/>
                <w:sz w:val="18"/>
              </w:rPr>
              <w:t>100</w:t>
            </w:r>
          </w:p>
        </w:tc>
      </w:tr>
    </w:tbl>
    <w:p w:rsidR="00C1401B" w:rsidRPr="00D3304A" w:rsidRDefault="00C1401B" w:rsidP="00EE11ED">
      <w:pPr>
        <w:spacing w:line="200" w:lineRule="exact"/>
        <w:ind w:left="284"/>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1401B" w:rsidRPr="00D3304A" w:rsidTr="00003597">
        <w:trPr>
          <w:trHeight w:val="585"/>
        </w:trPr>
        <w:tc>
          <w:tcPr>
            <w:tcW w:w="1980" w:type="dxa"/>
            <w:shd w:val="clear" w:color="auto" w:fill="CCCCCC"/>
            <w:vAlign w:val="center"/>
          </w:tcPr>
          <w:p w:rsidR="00C1401B" w:rsidRPr="00D3304A" w:rsidRDefault="00C1401B" w:rsidP="00EE11ED">
            <w:pPr>
              <w:spacing w:before="60" w:after="60" w:line="200" w:lineRule="exact"/>
              <w:ind w:left="284"/>
              <w:jc w:val="center"/>
              <w:rPr>
                <w:noProof/>
                <w:sz w:val="16"/>
                <w:szCs w:val="16"/>
              </w:rPr>
            </w:pPr>
            <w:r w:rsidRPr="00D3304A">
              <w:rPr>
                <w:b/>
                <w:noProof/>
                <w:sz w:val="16"/>
              </w:rPr>
              <w:t>Außerhalb der RUBRIK </w:t>
            </w:r>
            <w:r w:rsidRPr="00C24C00">
              <w:rPr>
                <w:b/>
                <w:noProof/>
                <w:sz w:val="16"/>
              </w:rPr>
              <w:t>7</w:t>
            </w:r>
            <w:r w:rsidRPr="00D3304A">
              <w:rPr>
                <w:rStyle w:val="FootnoteReference"/>
                <w:b/>
                <w:noProof/>
                <w:sz w:val="16"/>
              </w:rPr>
              <w:footnoteReference w:id="31"/>
            </w:r>
            <w:r w:rsidRPr="00D3304A">
              <w:rPr>
                <w:noProof/>
                <w:sz w:val="22"/>
              </w:rPr>
              <w:br/>
            </w:r>
            <w:r w:rsidRPr="00D3304A">
              <w:rPr>
                <w:b/>
                <w:noProof/>
                <w:sz w:val="16"/>
              </w:rPr>
              <w:t xml:space="preserve">des Mehrjährigen Finanzrahmens </w:t>
            </w:r>
          </w:p>
          <w:p w:rsidR="00C1401B" w:rsidRPr="00D3304A" w:rsidRDefault="00C1401B" w:rsidP="00EE11ED">
            <w:pPr>
              <w:spacing w:before="0" w:after="0" w:line="200" w:lineRule="exact"/>
              <w:ind w:left="284"/>
              <w:jc w:val="center"/>
              <w:rPr>
                <w:b/>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r>
      <w:tr w:rsidR="00C1401B" w:rsidRPr="00D3304A" w:rsidTr="00003597">
        <w:trPr>
          <w:trHeight w:val="585"/>
        </w:trPr>
        <w:tc>
          <w:tcPr>
            <w:tcW w:w="1980" w:type="dxa"/>
            <w:vAlign w:val="center"/>
          </w:tcPr>
          <w:p w:rsidR="00C1401B" w:rsidRPr="00D3304A" w:rsidRDefault="00C1401B" w:rsidP="00EE11ED">
            <w:pPr>
              <w:spacing w:before="60" w:after="60" w:line="200" w:lineRule="exact"/>
              <w:ind w:left="284"/>
              <w:jc w:val="left"/>
              <w:rPr>
                <w:noProof/>
                <w:sz w:val="16"/>
                <w:szCs w:val="16"/>
              </w:rPr>
            </w:pPr>
            <w:r w:rsidRPr="00D3304A">
              <w:rPr>
                <w:noProof/>
                <w:sz w:val="16"/>
              </w:rPr>
              <w:t xml:space="preserve">Personalausgaben </w:t>
            </w: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r>
      <w:tr w:rsidR="00C1401B" w:rsidRPr="00D3304A" w:rsidTr="00003597">
        <w:trPr>
          <w:trHeight w:val="585"/>
        </w:trPr>
        <w:tc>
          <w:tcPr>
            <w:tcW w:w="1980" w:type="dxa"/>
            <w:vAlign w:val="center"/>
          </w:tcPr>
          <w:p w:rsidR="00C1401B" w:rsidRPr="00D3304A" w:rsidRDefault="00C1401B" w:rsidP="00EE11ED">
            <w:pPr>
              <w:spacing w:before="60" w:after="60" w:line="200" w:lineRule="exact"/>
              <w:ind w:left="284"/>
              <w:jc w:val="left"/>
              <w:rPr>
                <w:noProof/>
                <w:sz w:val="16"/>
                <w:szCs w:val="16"/>
              </w:rPr>
            </w:pPr>
            <w:r w:rsidRPr="00D3304A">
              <w:rPr>
                <w:noProof/>
                <w:sz w:val="16"/>
              </w:rPr>
              <w:t>Sonstige</w:t>
            </w:r>
            <w:r w:rsidRPr="00D3304A">
              <w:rPr>
                <w:noProof/>
                <w:sz w:val="22"/>
              </w:rPr>
              <w:br/>
            </w:r>
            <w:r w:rsidRPr="00D3304A">
              <w:rPr>
                <w:noProof/>
                <w:sz w:val="16"/>
              </w:rPr>
              <w:t>Verwaltungsausgaben</w:t>
            </w: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r>
      <w:tr w:rsidR="00C1401B" w:rsidRPr="00D3304A" w:rsidTr="00003597">
        <w:trPr>
          <w:trHeight w:val="585"/>
        </w:trPr>
        <w:tc>
          <w:tcPr>
            <w:tcW w:w="1980" w:type="dxa"/>
            <w:shd w:val="clear" w:color="auto" w:fill="CCCCCC"/>
            <w:vAlign w:val="center"/>
          </w:tcPr>
          <w:p w:rsidR="00C1401B" w:rsidRPr="00D3304A" w:rsidRDefault="00C1401B" w:rsidP="00EE11ED">
            <w:pPr>
              <w:spacing w:before="60" w:after="60" w:line="200" w:lineRule="exact"/>
              <w:ind w:left="284"/>
              <w:jc w:val="center"/>
              <w:rPr>
                <w:b/>
                <w:noProof/>
                <w:sz w:val="16"/>
                <w:szCs w:val="16"/>
              </w:rPr>
            </w:pPr>
            <w:r w:rsidRPr="00D3304A">
              <w:rPr>
                <w:b/>
                <w:noProof/>
                <w:sz w:val="16"/>
              </w:rPr>
              <w:t>Zwischensumme</w:t>
            </w:r>
            <w:r w:rsidRPr="00D3304A">
              <w:rPr>
                <w:noProof/>
                <w:sz w:val="22"/>
              </w:rPr>
              <w:br/>
            </w:r>
            <w:r w:rsidRPr="00D3304A">
              <w:rPr>
                <w:b/>
                <w:noProof/>
                <w:sz w:val="16"/>
              </w:rPr>
              <w:t>außerhalb der RUBRIK </w:t>
            </w:r>
            <w:r w:rsidRPr="00C24C00">
              <w:rPr>
                <w:b/>
                <w:noProof/>
                <w:sz w:val="16"/>
              </w:rPr>
              <w:t>7</w:t>
            </w:r>
            <w:r w:rsidRPr="00D3304A">
              <w:rPr>
                <w:noProof/>
                <w:sz w:val="22"/>
              </w:rPr>
              <w:br/>
            </w:r>
            <w:r w:rsidRPr="00D3304A">
              <w:rPr>
                <w:b/>
                <w:noProof/>
                <w:sz w:val="16"/>
              </w:rPr>
              <w:t xml:space="preserve">des Mehrjährigen Finanzrahmens </w:t>
            </w: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c>
          <w:tcPr>
            <w:tcW w:w="1080" w:type="dxa"/>
            <w:vAlign w:val="center"/>
          </w:tcPr>
          <w:p w:rsidR="00C1401B" w:rsidRPr="00D3304A" w:rsidRDefault="00C1401B" w:rsidP="00EE11ED">
            <w:pPr>
              <w:spacing w:before="60" w:after="60" w:line="200" w:lineRule="exact"/>
              <w:ind w:left="284"/>
              <w:jc w:val="right"/>
              <w:rPr>
                <w:b/>
                <w:noProof/>
                <w:sz w:val="16"/>
                <w:szCs w:val="16"/>
              </w:rPr>
            </w:pPr>
          </w:p>
        </w:tc>
      </w:tr>
    </w:tbl>
    <w:p w:rsidR="00C1401B" w:rsidRPr="00D3304A" w:rsidRDefault="00C1401B" w:rsidP="00EE11ED">
      <w:pPr>
        <w:spacing w:line="200" w:lineRule="exact"/>
        <w:ind w:left="284"/>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1401B" w:rsidRPr="00D3304A" w:rsidTr="0000359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1401B" w:rsidRPr="00D3304A" w:rsidRDefault="00C1401B" w:rsidP="00003597">
            <w:pPr>
              <w:spacing w:before="60" w:after="60" w:line="200" w:lineRule="exact"/>
              <w:jc w:val="center"/>
              <w:rPr>
                <w:noProof/>
                <w:sz w:val="16"/>
                <w:szCs w:val="16"/>
              </w:rPr>
            </w:pPr>
            <w:r w:rsidRPr="00D3304A">
              <w:rPr>
                <w:b/>
                <w:noProof/>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20" w:after="20"/>
              <w:jc w:val="center"/>
              <w:rPr>
                <w:noProof/>
                <w:sz w:val="18"/>
                <w:szCs w:val="16"/>
              </w:rPr>
            </w:pPr>
            <w:r w:rsidRPr="00C24C00">
              <w:rPr>
                <w:noProof/>
                <w:sz w:val="18"/>
              </w:rPr>
              <w:t>0</w:t>
            </w:r>
            <w:r w:rsidRPr="00D3304A">
              <w:rPr>
                <w:noProof/>
                <w:sz w:val="18"/>
              </w:rPr>
              <w:t>,</w:t>
            </w:r>
            <w:r w:rsidRPr="00C24C00">
              <w:rPr>
                <w:noProof/>
                <w:sz w:val="18"/>
              </w:rPr>
              <w:t>550</w:t>
            </w: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3304A"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C1401B" w:rsidRPr="00D3304A" w:rsidRDefault="00C1401B" w:rsidP="00003597">
            <w:pPr>
              <w:spacing w:before="20" w:after="20"/>
              <w:jc w:val="center"/>
              <w:rPr>
                <w:noProof/>
                <w:sz w:val="18"/>
                <w:szCs w:val="16"/>
              </w:rPr>
            </w:pPr>
            <w:r w:rsidRPr="00C24C00">
              <w:rPr>
                <w:noProof/>
                <w:sz w:val="18"/>
              </w:rPr>
              <w:t>1</w:t>
            </w:r>
            <w:r w:rsidRPr="00D3304A">
              <w:rPr>
                <w:noProof/>
                <w:sz w:val="18"/>
              </w:rPr>
              <w:t>,</w:t>
            </w:r>
            <w:r w:rsidRPr="00C24C00">
              <w:rPr>
                <w:noProof/>
                <w:sz w:val="18"/>
              </w:rPr>
              <w:t>100</w:t>
            </w:r>
          </w:p>
        </w:tc>
      </w:tr>
    </w:tbl>
    <w:p w:rsidR="00C1401B" w:rsidRPr="00D3304A" w:rsidRDefault="00C1401B" w:rsidP="00C1401B">
      <w:pPr>
        <w:rPr>
          <w:noProof/>
          <w:sz w:val="18"/>
        </w:rPr>
      </w:pPr>
      <w:r w:rsidRPr="00D3304A">
        <w:rPr>
          <w:noProof/>
          <w:sz w:val="18"/>
        </w:rPr>
        <w:t>Der Mittelbedarf für Personal- und sonstige Verwaltungsausgaben wird durch der Verwaltung der Maßnahme zugeordnete Mittel der GD oder/oder durch eine Umschichtung innerhalb der GD gedeckt. Hinzu kommen etwaige zusätzliche Mittel, die der für die Verwaltung der Maßnahme zuständigen GD nach Maßgabe der verfügbaren Mittel im Rahmen der jährlichen Mittelzuweisung zugeteilt werden.</w:t>
      </w:r>
    </w:p>
    <w:p w:rsidR="00C1401B" w:rsidRPr="00D3304A" w:rsidRDefault="00C1401B" w:rsidP="00C1401B">
      <w:pPr>
        <w:rPr>
          <w:noProof/>
          <w:sz w:val="18"/>
        </w:rPr>
        <w:sectPr w:rsidR="00C1401B" w:rsidRPr="00D3304A" w:rsidSect="00740C8C">
          <w:headerReference w:type="default" r:id="rId18"/>
          <w:footerReference w:type="default" r:id="rId19"/>
          <w:pgSz w:w="11907" w:h="16840"/>
          <w:pgMar w:top="1134" w:right="1418" w:bottom="1134" w:left="1418" w:header="709" w:footer="709" w:gutter="0"/>
          <w:cols w:space="708"/>
          <w:docGrid w:linePitch="360"/>
        </w:sectPr>
      </w:pPr>
    </w:p>
    <w:p w:rsidR="00C1401B" w:rsidRPr="00D3304A" w:rsidRDefault="00C1401B" w:rsidP="00C1401B">
      <w:pPr>
        <w:pStyle w:val="ManualHeading4"/>
        <w:rPr>
          <w:bCs/>
          <w:noProof/>
          <w:szCs w:val="24"/>
        </w:rPr>
      </w:pPr>
      <w:bookmarkStart w:id="71" w:name="_Toc82C9CE6E4E1F470F8F09B4938A67F539"/>
      <w:r w:rsidRPr="00C24C00">
        <w:rPr>
          <w:noProof/>
        </w:rPr>
        <w:t>3</w:t>
      </w:r>
      <w:r w:rsidRPr="00D3304A">
        <w:rPr>
          <w:noProof/>
        </w:rPr>
        <w:t>.</w:t>
      </w:r>
      <w:r w:rsidRPr="00C24C00">
        <w:rPr>
          <w:noProof/>
        </w:rPr>
        <w:t>2</w:t>
      </w:r>
      <w:r w:rsidRPr="00D3304A">
        <w:rPr>
          <w:noProof/>
        </w:rPr>
        <w:t>.</w:t>
      </w:r>
      <w:r w:rsidRPr="00C24C00">
        <w:rPr>
          <w:noProof/>
        </w:rPr>
        <w:t>3</w:t>
      </w:r>
      <w:r w:rsidRPr="00D3304A">
        <w:rPr>
          <w:noProof/>
        </w:rPr>
        <w:t>.</w:t>
      </w:r>
      <w:r w:rsidRPr="00C24C00">
        <w:rPr>
          <w:noProof/>
        </w:rPr>
        <w:t>1</w:t>
      </w:r>
      <w:r w:rsidRPr="00D3304A">
        <w:rPr>
          <w:noProof/>
        </w:rPr>
        <w:t>.</w:t>
      </w:r>
      <w:r w:rsidRPr="00D3304A">
        <w:rPr>
          <w:noProof/>
        </w:rPr>
        <w:tab/>
        <w:t xml:space="preserve">Geschätzter Personalbedarf </w:t>
      </w:r>
      <w:bookmarkEnd w:id="71"/>
    </w:p>
    <w:p w:rsidR="00C1401B" w:rsidRPr="00D3304A" w:rsidRDefault="00C1401B" w:rsidP="00C1401B">
      <w:pPr>
        <w:pStyle w:val="ListDash1"/>
        <w:rPr>
          <w:noProof/>
        </w:rPr>
      </w:pPr>
      <w:r w:rsidRPr="00D3304A">
        <w:rPr>
          <w:noProof/>
        </w:rPr>
        <w:sym w:font="Wingdings" w:char="F0A8"/>
      </w:r>
      <w:r w:rsidRPr="00D3304A">
        <w:rPr>
          <w:noProof/>
        </w:rPr>
        <w:tab/>
        <w:t xml:space="preserve">Für den Vorschlag/die Initiative wird kein Personal benötigt. </w:t>
      </w:r>
    </w:p>
    <w:p w:rsidR="00C1401B" w:rsidRPr="00D3304A" w:rsidRDefault="00C1401B" w:rsidP="00C1401B">
      <w:pPr>
        <w:pStyle w:val="ListDash1"/>
        <w:rPr>
          <w:noProof/>
        </w:rPr>
      </w:pPr>
      <w:r w:rsidRPr="00D3304A">
        <w:rPr>
          <w:noProof/>
        </w:rPr>
        <w:sym w:font="Wingdings" w:char="F0FD"/>
      </w:r>
      <w:r w:rsidRPr="00D3304A">
        <w:rPr>
          <w:noProof/>
        </w:rPr>
        <w:tab/>
        <w:t>Für den Vorschlag/die Initiative wird das folgende Personal benötigt:</w:t>
      </w:r>
    </w:p>
    <w:p w:rsidR="00C1401B" w:rsidRPr="00D3304A" w:rsidRDefault="00C1401B" w:rsidP="00C1401B">
      <w:pPr>
        <w:spacing w:after="60"/>
        <w:jc w:val="right"/>
        <w:rPr>
          <w:i/>
          <w:noProof/>
          <w:sz w:val="20"/>
        </w:rPr>
      </w:pPr>
      <w:r w:rsidRPr="00D3304A">
        <w:rPr>
          <w:i/>
          <w:noProof/>
          <w:sz w:val="20"/>
        </w:rPr>
        <w:t>Schätzung in Vollzeitäquivalenten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1401B" w:rsidRPr="00D3304A" w:rsidTr="00003597">
        <w:trPr>
          <w:gridBefore w:val="1"/>
          <w:wBefore w:w="15" w:type="dxa"/>
          <w:trHeight w:val="289"/>
          <w:jc w:val="center"/>
        </w:trPr>
        <w:tc>
          <w:tcPr>
            <w:tcW w:w="4754" w:type="dxa"/>
            <w:gridSpan w:val="2"/>
            <w:shd w:val="clear" w:color="auto" w:fill="auto"/>
          </w:tcPr>
          <w:p w:rsidR="00C1401B" w:rsidRPr="00D3304A" w:rsidRDefault="00C1401B" w:rsidP="00003597">
            <w:pPr>
              <w:pStyle w:val="Text1"/>
              <w:spacing w:before="40" w:after="40"/>
              <w:ind w:left="0"/>
              <w:jc w:val="center"/>
              <w:rPr>
                <w:i/>
                <w:noProof/>
                <w:sz w:val="16"/>
                <w:szCs w:val="16"/>
              </w:rPr>
            </w:pPr>
          </w:p>
        </w:tc>
        <w:tc>
          <w:tcPr>
            <w:tcW w:w="731" w:type="dxa"/>
            <w:shd w:val="clear" w:color="auto" w:fill="auto"/>
            <w:vAlign w:val="center"/>
          </w:tcPr>
          <w:p w:rsidR="00C1401B" w:rsidRPr="00D3304A" w:rsidRDefault="00C1401B" w:rsidP="00003597">
            <w:pPr>
              <w:spacing w:before="20" w:after="20"/>
              <w:jc w:val="center"/>
              <w:rPr>
                <w:noProof/>
                <w:sz w:val="16"/>
                <w:szCs w:val="16"/>
              </w:rPr>
            </w:pPr>
            <w:r w:rsidRPr="00D3304A">
              <w:rPr>
                <w:noProof/>
                <w:sz w:val="16"/>
              </w:rPr>
              <w:t>Jahr</w:t>
            </w:r>
            <w:r w:rsidRPr="00D3304A">
              <w:rPr>
                <w:noProof/>
                <w:sz w:val="22"/>
              </w:rPr>
              <w:br/>
            </w:r>
            <w:r w:rsidRPr="00C24C00">
              <w:rPr>
                <w:noProof/>
                <w:sz w:val="16"/>
              </w:rPr>
              <w:t>2026</w:t>
            </w:r>
          </w:p>
        </w:tc>
        <w:tc>
          <w:tcPr>
            <w:tcW w:w="731" w:type="dxa"/>
            <w:shd w:val="clear" w:color="auto" w:fill="auto"/>
            <w:vAlign w:val="center"/>
          </w:tcPr>
          <w:p w:rsidR="00C1401B" w:rsidRPr="00D3304A" w:rsidRDefault="00C1401B" w:rsidP="00003597">
            <w:pPr>
              <w:spacing w:before="20" w:after="20"/>
              <w:jc w:val="center"/>
              <w:rPr>
                <w:noProof/>
                <w:sz w:val="16"/>
                <w:szCs w:val="16"/>
              </w:rPr>
            </w:pPr>
            <w:r w:rsidRPr="00D3304A">
              <w:rPr>
                <w:noProof/>
                <w:sz w:val="16"/>
              </w:rPr>
              <w:t>Jahr</w:t>
            </w:r>
            <w:r w:rsidRPr="00D3304A">
              <w:rPr>
                <w:noProof/>
                <w:sz w:val="22"/>
              </w:rPr>
              <w:br/>
            </w:r>
            <w:r w:rsidRPr="00C24C00">
              <w:rPr>
                <w:noProof/>
                <w:sz w:val="16"/>
              </w:rPr>
              <w:t>2027</w:t>
            </w:r>
          </w:p>
        </w:tc>
        <w:tc>
          <w:tcPr>
            <w:tcW w:w="731" w:type="dxa"/>
            <w:shd w:val="clear" w:color="auto" w:fill="auto"/>
            <w:vAlign w:val="center"/>
          </w:tcPr>
          <w:p w:rsidR="00C1401B" w:rsidRPr="00D3304A" w:rsidRDefault="00C1401B" w:rsidP="00003597">
            <w:pPr>
              <w:spacing w:before="20" w:after="20"/>
              <w:jc w:val="center"/>
              <w:rPr>
                <w:noProof/>
                <w:sz w:val="16"/>
                <w:szCs w:val="16"/>
              </w:rPr>
            </w:pPr>
            <w:r w:rsidRPr="00D3304A">
              <w:rPr>
                <w:noProof/>
                <w:sz w:val="16"/>
              </w:rPr>
              <w:t>Jahr </w:t>
            </w:r>
            <w:r w:rsidRPr="00D3304A">
              <w:rPr>
                <w:b/>
                <w:noProof/>
                <w:sz w:val="16"/>
              </w:rPr>
              <w:t>N+</w:t>
            </w:r>
            <w:r w:rsidRPr="00C24C00">
              <w:rPr>
                <w:b/>
                <w:noProof/>
                <w:sz w:val="16"/>
              </w:rPr>
              <w:t>2</w:t>
            </w:r>
          </w:p>
        </w:tc>
        <w:tc>
          <w:tcPr>
            <w:tcW w:w="731" w:type="dxa"/>
            <w:shd w:val="clear" w:color="auto" w:fill="auto"/>
            <w:vAlign w:val="center"/>
          </w:tcPr>
          <w:p w:rsidR="00C1401B" w:rsidRPr="00D3304A" w:rsidRDefault="00C1401B" w:rsidP="00003597">
            <w:pPr>
              <w:spacing w:before="20" w:after="20"/>
              <w:jc w:val="center"/>
              <w:rPr>
                <w:noProof/>
                <w:sz w:val="16"/>
                <w:szCs w:val="16"/>
              </w:rPr>
            </w:pPr>
            <w:r w:rsidRPr="00D3304A">
              <w:rPr>
                <w:noProof/>
                <w:sz w:val="16"/>
              </w:rPr>
              <w:t>Jahr </w:t>
            </w:r>
            <w:r w:rsidRPr="00D3304A">
              <w:rPr>
                <w:b/>
                <w:noProof/>
                <w:sz w:val="16"/>
              </w:rPr>
              <w:t>N+</w:t>
            </w:r>
            <w:r w:rsidRPr="00C24C00">
              <w:rPr>
                <w:b/>
                <w:noProof/>
                <w:sz w:val="16"/>
              </w:rPr>
              <w:t>3</w:t>
            </w:r>
          </w:p>
        </w:tc>
        <w:tc>
          <w:tcPr>
            <w:tcW w:w="2193" w:type="dxa"/>
            <w:gridSpan w:val="3"/>
            <w:shd w:val="clear" w:color="auto" w:fill="auto"/>
            <w:vAlign w:val="center"/>
          </w:tcPr>
          <w:p w:rsidR="00C1401B" w:rsidRPr="00D3304A" w:rsidRDefault="00C1401B" w:rsidP="00003597">
            <w:pPr>
              <w:jc w:val="center"/>
              <w:rPr>
                <w:b/>
                <w:noProof/>
                <w:sz w:val="16"/>
                <w:szCs w:val="16"/>
              </w:rPr>
            </w:pPr>
            <w:r w:rsidRPr="00D3304A">
              <w:rPr>
                <w:noProof/>
                <w:sz w:val="16"/>
              </w:rPr>
              <w:t>Bei länger andauernden Auswirkungen bitte weitere Spalten einfügen (siehe </w:t>
            </w:r>
            <w:r w:rsidRPr="00C24C00">
              <w:rPr>
                <w:noProof/>
                <w:sz w:val="16"/>
              </w:rPr>
              <w:t>1</w:t>
            </w:r>
            <w:r w:rsidRPr="00D3304A">
              <w:rPr>
                <w:noProof/>
                <w:sz w:val="16"/>
              </w:rPr>
              <w:t>.</w:t>
            </w:r>
            <w:r w:rsidRPr="00C24C00">
              <w:rPr>
                <w:noProof/>
                <w:sz w:val="16"/>
              </w:rPr>
              <w:t>6</w:t>
            </w:r>
            <w:r w:rsidRPr="00D3304A">
              <w:rPr>
                <w:noProof/>
                <w:sz w:val="16"/>
              </w:rPr>
              <w:t>)</w:t>
            </w:r>
          </w:p>
        </w:tc>
      </w:tr>
      <w:tr w:rsidR="00C1401B" w:rsidRPr="00D3304A" w:rsidTr="00003597">
        <w:trPr>
          <w:gridBefore w:val="1"/>
          <w:wBefore w:w="15" w:type="dxa"/>
          <w:trHeight w:val="289"/>
          <w:jc w:val="center"/>
        </w:trPr>
        <w:tc>
          <w:tcPr>
            <w:tcW w:w="9871" w:type="dxa"/>
            <w:gridSpan w:val="9"/>
            <w:shd w:val="clear" w:color="auto" w:fill="auto"/>
          </w:tcPr>
          <w:p w:rsidR="00C1401B" w:rsidRPr="00D3304A" w:rsidRDefault="00C1401B" w:rsidP="00003597">
            <w:pPr>
              <w:jc w:val="left"/>
              <w:rPr>
                <w:noProof/>
                <w:sz w:val="16"/>
                <w:szCs w:val="16"/>
              </w:rPr>
            </w:pPr>
            <w:r w:rsidRPr="00D3304A">
              <w:rPr>
                <w:b/>
                <w:noProof/>
                <w:sz w:val="16"/>
              </w:rPr>
              <w:sym w:font="Wingdings" w:char="F09F"/>
            </w:r>
            <w:r w:rsidRPr="00D3304A">
              <w:rPr>
                <w:noProof/>
              </w:rPr>
              <w:t xml:space="preserve"> </w:t>
            </w:r>
            <w:r w:rsidRPr="00D3304A">
              <w:rPr>
                <w:b/>
                <w:noProof/>
                <w:sz w:val="16"/>
              </w:rPr>
              <w:t>Planstellen (Beamte und Bedienstete auf Zeit)</w:t>
            </w: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4"/>
              <w:jc w:val="left"/>
              <w:rPr>
                <w:b/>
                <w:noProof/>
                <w:sz w:val="16"/>
                <w:szCs w:val="16"/>
              </w:rPr>
            </w:pPr>
            <w:r w:rsidRPr="00C24C00">
              <w:rPr>
                <w:noProof/>
                <w:sz w:val="16"/>
              </w:rPr>
              <w:t>20</w:t>
            </w:r>
            <w:r w:rsidRPr="00D3304A">
              <w:rPr>
                <w:noProof/>
                <w:sz w:val="16"/>
              </w:rPr>
              <w:t> </w:t>
            </w:r>
            <w:r w:rsidRPr="00C24C00">
              <w:rPr>
                <w:noProof/>
                <w:sz w:val="16"/>
              </w:rPr>
              <w:t>01</w:t>
            </w:r>
            <w:r w:rsidRPr="00D3304A">
              <w:rPr>
                <w:noProof/>
                <w:sz w:val="16"/>
              </w:rPr>
              <w:t> </w:t>
            </w:r>
            <w:r w:rsidRPr="00C24C00">
              <w:rPr>
                <w:noProof/>
                <w:sz w:val="16"/>
              </w:rPr>
              <w:t>02</w:t>
            </w:r>
            <w:r w:rsidRPr="00D3304A">
              <w:rPr>
                <w:noProof/>
                <w:sz w:val="16"/>
              </w:rPr>
              <w:t> </w:t>
            </w:r>
            <w:r w:rsidRPr="00C24C00">
              <w:rPr>
                <w:noProof/>
                <w:sz w:val="16"/>
              </w:rPr>
              <w:t>01</w:t>
            </w:r>
            <w:r w:rsidRPr="00D3304A">
              <w:rPr>
                <w:rFonts w:ascii="Arial Narrow" w:hAnsi="Arial Narrow"/>
                <w:noProof/>
                <w:sz w:val="20"/>
              </w:rPr>
              <w:t xml:space="preserve"> </w:t>
            </w:r>
            <w:r w:rsidRPr="00D3304A">
              <w:rPr>
                <w:noProof/>
                <w:sz w:val="16"/>
              </w:rPr>
              <w:t>(Zentrale Dienststellen und Vertretungen der Kommission)</w:t>
            </w:r>
          </w:p>
        </w:tc>
        <w:tc>
          <w:tcPr>
            <w:tcW w:w="731" w:type="dxa"/>
            <w:shd w:val="clear" w:color="auto" w:fill="auto"/>
            <w:vAlign w:val="center"/>
          </w:tcPr>
          <w:p w:rsidR="00C1401B" w:rsidRPr="00D3304A" w:rsidRDefault="00C1401B" w:rsidP="00003597">
            <w:pPr>
              <w:spacing w:before="20" w:after="20"/>
              <w:jc w:val="center"/>
              <w:rPr>
                <w:noProof/>
                <w:sz w:val="16"/>
              </w:rPr>
            </w:pPr>
            <w:r w:rsidRPr="00C24C00">
              <w:rPr>
                <w:noProof/>
                <w:sz w:val="16"/>
              </w:rPr>
              <w:t>2</w:t>
            </w:r>
          </w:p>
        </w:tc>
        <w:tc>
          <w:tcPr>
            <w:tcW w:w="731" w:type="dxa"/>
            <w:shd w:val="clear" w:color="auto" w:fill="auto"/>
            <w:vAlign w:val="center"/>
          </w:tcPr>
          <w:p w:rsidR="00C1401B" w:rsidRPr="00D3304A" w:rsidRDefault="00C1401B" w:rsidP="00003597">
            <w:pPr>
              <w:spacing w:before="20" w:after="20"/>
              <w:jc w:val="center"/>
              <w:rPr>
                <w:noProof/>
                <w:sz w:val="16"/>
              </w:rPr>
            </w:pPr>
            <w:r w:rsidRPr="00C24C00">
              <w:rPr>
                <w:noProof/>
                <w:sz w:val="16"/>
              </w:rPr>
              <w:t>2</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4"/>
              <w:jc w:val="left"/>
              <w:rPr>
                <w:noProof/>
                <w:sz w:val="16"/>
              </w:rPr>
            </w:pPr>
            <w:r w:rsidRPr="00C24C00">
              <w:rPr>
                <w:noProof/>
                <w:sz w:val="16"/>
              </w:rPr>
              <w:t>20</w:t>
            </w:r>
            <w:r w:rsidRPr="00D3304A">
              <w:rPr>
                <w:noProof/>
                <w:sz w:val="16"/>
              </w:rPr>
              <w:t> </w:t>
            </w:r>
            <w:r w:rsidRPr="00C24C00">
              <w:rPr>
                <w:noProof/>
                <w:sz w:val="16"/>
              </w:rPr>
              <w:t>01</w:t>
            </w:r>
            <w:r w:rsidRPr="00D3304A">
              <w:rPr>
                <w:noProof/>
                <w:sz w:val="16"/>
              </w:rPr>
              <w:t> </w:t>
            </w:r>
            <w:r w:rsidRPr="00C24C00">
              <w:rPr>
                <w:noProof/>
                <w:sz w:val="16"/>
              </w:rPr>
              <w:t>02</w:t>
            </w:r>
            <w:r w:rsidRPr="00D3304A">
              <w:rPr>
                <w:noProof/>
                <w:sz w:val="16"/>
              </w:rPr>
              <w:t> </w:t>
            </w:r>
            <w:r w:rsidRPr="00C24C00">
              <w:rPr>
                <w:noProof/>
                <w:sz w:val="16"/>
              </w:rPr>
              <w:t>03</w:t>
            </w:r>
            <w:r w:rsidRPr="00D3304A">
              <w:rPr>
                <w:noProof/>
                <w:sz w:val="16"/>
              </w:rPr>
              <w:t xml:space="preserve"> (Delegationen)</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4"/>
              <w:jc w:val="left"/>
              <w:rPr>
                <w:noProof/>
                <w:sz w:val="16"/>
                <w:szCs w:val="16"/>
              </w:rPr>
            </w:pP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01</w:t>
            </w:r>
            <w:r w:rsidRPr="00D3304A">
              <w:rPr>
                <w:rFonts w:ascii="Arial Narrow" w:hAnsi="Arial Narrow"/>
                <w:noProof/>
                <w:sz w:val="20"/>
              </w:rPr>
              <w:t xml:space="preserve"> </w:t>
            </w:r>
            <w:r w:rsidRPr="00D3304A">
              <w:rPr>
                <w:noProof/>
                <w:sz w:val="16"/>
              </w:rPr>
              <w:t>(Indirekte Forschung)</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4"/>
              <w:jc w:val="left"/>
              <w:rPr>
                <w:noProof/>
                <w:sz w:val="16"/>
                <w:szCs w:val="16"/>
              </w:rPr>
            </w:pPr>
            <w:r w:rsidRPr="00D3304A">
              <w:rPr>
                <w:noProof/>
                <w:sz w:val="16"/>
              </w:rPr>
              <w:t xml:space="preserve"> </w:t>
            </w: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11</w:t>
            </w:r>
            <w:r w:rsidRPr="00D3304A">
              <w:rPr>
                <w:noProof/>
                <w:sz w:val="16"/>
              </w:rPr>
              <w:t xml:space="preserve"> (Direkte Forschung)</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4"/>
              <w:jc w:val="left"/>
              <w:rPr>
                <w:noProof/>
                <w:sz w:val="16"/>
              </w:rPr>
            </w:pPr>
            <w:r w:rsidRPr="00D3304A">
              <w:rPr>
                <w:noProof/>
                <w:sz w:val="16"/>
              </w:rPr>
              <w:t>Sonstige Haushaltslinien (bitte angeben)</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trHeight w:val="248"/>
          <w:jc w:val="center"/>
        </w:trPr>
        <w:tc>
          <w:tcPr>
            <w:tcW w:w="9886" w:type="dxa"/>
            <w:gridSpan w:val="10"/>
            <w:shd w:val="clear" w:color="auto" w:fill="auto"/>
            <w:vAlign w:val="center"/>
          </w:tcPr>
          <w:p w:rsidR="00C1401B" w:rsidRPr="00D3304A" w:rsidRDefault="00C1401B" w:rsidP="00003597">
            <w:pPr>
              <w:pStyle w:val="Text1"/>
              <w:spacing w:before="60" w:after="60"/>
              <w:ind w:left="0"/>
              <w:jc w:val="left"/>
              <w:rPr>
                <w:b/>
                <w:noProof/>
                <w:sz w:val="16"/>
                <w:szCs w:val="16"/>
              </w:rPr>
            </w:pPr>
            <w:r w:rsidRPr="00D3304A">
              <w:rPr>
                <w:b/>
                <w:noProof/>
                <w:sz w:val="16"/>
              </w:rPr>
              <w:sym w:font="Wingdings" w:char="F09F"/>
            </w:r>
            <w:r w:rsidRPr="00D3304A">
              <w:rPr>
                <w:b/>
                <w:noProof/>
                <w:sz w:val="16"/>
              </w:rPr>
              <w:t xml:space="preserve"> Externes Personal (in Vollzeitäquivalenten) VZÄ)</w:t>
            </w:r>
            <w:r w:rsidRPr="00D3304A">
              <w:rPr>
                <w:rStyle w:val="FootnoteReference"/>
                <w:b/>
                <w:noProof/>
                <w:sz w:val="16"/>
              </w:rPr>
              <w:footnoteReference w:id="32"/>
            </w:r>
          </w:p>
          <w:p w:rsidR="00C1401B" w:rsidRPr="00D3304A" w:rsidRDefault="00C1401B" w:rsidP="00003597">
            <w:pPr>
              <w:pStyle w:val="Text1"/>
              <w:spacing w:before="0" w:after="0"/>
              <w:ind w:left="0"/>
              <w:jc w:val="left"/>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6"/>
              <w:jc w:val="left"/>
              <w:rPr>
                <w:b/>
                <w:noProof/>
                <w:sz w:val="16"/>
                <w:szCs w:val="16"/>
              </w:rPr>
            </w:pPr>
            <w:r w:rsidRPr="00C24C00">
              <w:rPr>
                <w:noProof/>
                <w:sz w:val="16"/>
              </w:rPr>
              <w:t>20</w:t>
            </w:r>
            <w:r w:rsidRPr="00D3304A">
              <w:rPr>
                <w:noProof/>
                <w:sz w:val="16"/>
              </w:rPr>
              <w:t> </w:t>
            </w:r>
            <w:r w:rsidRPr="00C24C00">
              <w:rPr>
                <w:noProof/>
                <w:sz w:val="16"/>
              </w:rPr>
              <w:t>02</w:t>
            </w:r>
            <w:r w:rsidRPr="00D3304A">
              <w:rPr>
                <w:noProof/>
                <w:sz w:val="16"/>
              </w:rPr>
              <w:t> </w:t>
            </w:r>
            <w:r w:rsidRPr="00C24C00">
              <w:rPr>
                <w:noProof/>
                <w:sz w:val="16"/>
              </w:rPr>
              <w:t>01</w:t>
            </w:r>
            <w:r w:rsidRPr="00D3304A">
              <w:rPr>
                <w:noProof/>
                <w:sz w:val="16"/>
              </w:rPr>
              <w:t xml:space="preserve"> (VB und ANS und LAK der Globaldotation)</w:t>
            </w:r>
          </w:p>
        </w:tc>
        <w:tc>
          <w:tcPr>
            <w:tcW w:w="731" w:type="dxa"/>
            <w:shd w:val="clear" w:color="auto" w:fill="auto"/>
            <w:vAlign w:val="center"/>
          </w:tcPr>
          <w:p w:rsidR="00C1401B" w:rsidRPr="00D3304A" w:rsidRDefault="00C1401B" w:rsidP="00003597">
            <w:pPr>
              <w:spacing w:before="20" w:after="20"/>
              <w:jc w:val="center"/>
              <w:rPr>
                <w:noProof/>
                <w:sz w:val="16"/>
              </w:rPr>
            </w:pPr>
            <w:r w:rsidRPr="00C24C00">
              <w:rPr>
                <w:noProof/>
                <w:sz w:val="16"/>
              </w:rPr>
              <w:t>2</w:t>
            </w:r>
          </w:p>
        </w:tc>
        <w:tc>
          <w:tcPr>
            <w:tcW w:w="731" w:type="dxa"/>
            <w:shd w:val="clear" w:color="auto" w:fill="auto"/>
            <w:vAlign w:val="center"/>
          </w:tcPr>
          <w:p w:rsidR="00C1401B" w:rsidRPr="00D3304A" w:rsidRDefault="00C1401B" w:rsidP="00003597">
            <w:pPr>
              <w:spacing w:before="20" w:after="20"/>
              <w:jc w:val="center"/>
              <w:rPr>
                <w:noProof/>
                <w:sz w:val="16"/>
              </w:rPr>
            </w:pPr>
            <w:r w:rsidRPr="00C24C00">
              <w:rPr>
                <w:noProof/>
                <w:sz w:val="16"/>
              </w:rPr>
              <w:t>2</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6"/>
              <w:jc w:val="left"/>
              <w:rPr>
                <w:noProof/>
                <w:sz w:val="16"/>
              </w:rPr>
            </w:pPr>
            <w:r w:rsidRPr="00C24C00">
              <w:rPr>
                <w:noProof/>
                <w:sz w:val="16"/>
              </w:rPr>
              <w:t>20</w:t>
            </w:r>
            <w:r w:rsidRPr="00D3304A">
              <w:rPr>
                <w:noProof/>
                <w:sz w:val="16"/>
              </w:rPr>
              <w:t> </w:t>
            </w:r>
            <w:r w:rsidRPr="00C24C00">
              <w:rPr>
                <w:noProof/>
                <w:sz w:val="16"/>
              </w:rPr>
              <w:t>02</w:t>
            </w:r>
            <w:r w:rsidRPr="00D3304A">
              <w:rPr>
                <w:noProof/>
                <w:sz w:val="16"/>
              </w:rPr>
              <w:t> </w:t>
            </w:r>
            <w:r w:rsidRPr="00C24C00">
              <w:rPr>
                <w:noProof/>
                <w:sz w:val="16"/>
              </w:rPr>
              <w:t>03</w:t>
            </w:r>
            <w:r w:rsidRPr="00D3304A">
              <w:rPr>
                <w:noProof/>
                <w:sz w:val="16"/>
              </w:rPr>
              <w:t xml:space="preserve"> (VB, ÖB, ANS, LAK und JPD in den Delegationen)</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2376" w:type="dxa"/>
            <w:vMerge w:val="restart"/>
            <w:shd w:val="clear" w:color="auto" w:fill="auto"/>
            <w:vAlign w:val="center"/>
          </w:tcPr>
          <w:p w:rsidR="00C1401B" w:rsidRPr="00D3304A" w:rsidRDefault="00C1401B" w:rsidP="00003597">
            <w:pPr>
              <w:pStyle w:val="Text1"/>
              <w:spacing w:beforeLines="20" w:before="48" w:afterLines="20" w:after="48"/>
              <w:ind w:left="136"/>
              <w:jc w:val="left"/>
              <w:rPr>
                <w:b/>
                <w:noProof/>
                <w:sz w:val="16"/>
                <w:szCs w:val="16"/>
              </w:rPr>
            </w:pPr>
            <w:r w:rsidRPr="00D3304A">
              <w:rPr>
                <w:b/>
                <w:noProof/>
                <w:sz w:val="16"/>
              </w:rPr>
              <w:t>XX</w:t>
            </w:r>
            <w:r w:rsidRPr="00D3304A">
              <w:rPr>
                <w:noProof/>
                <w:sz w:val="16"/>
              </w:rPr>
              <w:t> </w:t>
            </w:r>
            <w:r w:rsidRPr="00C24C00">
              <w:rPr>
                <w:noProof/>
                <w:sz w:val="16"/>
              </w:rPr>
              <w:t>01</w:t>
            </w:r>
            <w:r w:rsidRPr="00D3304A">
              <w:rPr>
                <w:noProof/>
                <w:sz w:val="16"/>
              </w:rPr>
              <w:t xml:space="preserve"> xx </w:t>
            </w:r>
            <w:r w:rsidRPr="00D3304A">
              <w:rPr>
                <w:b/>
                <w:noProof/>
                <w:sz w:val="16"/>
              </w:rPr>
              <w:t xml:space="preserve">yy zz </w:t>
            </w:r>
            <w:r w:rsidRPr="00307C0D">
              <w:rPr>
                <w:rStyle w:val="FootnoteReference"/>
                <w:b/>
                <w:noProof/>
                <w:sz w:val="16"/>
              </w:rPr>
              <w:footnoteReference w:id="33"/>
            </w:r>
          </w:p>
          <w:p w:rsidR="00C1401B" w:rsidRPr="00D3304A" w:rsidRDefault="00C1401B" w:rsidP="00003597">
            <w:pPr>
              <w:pStyle w:val="Text1"/>
              <w:spacing w:beforeLines="20" w:before="48" w:afterLines="20" w:after="48"/>
              <w:ind w:left="136"/>
              <w:jc w:val="left"/>
              <w:rPr>
                <w:b/>
                <w:noProof/>
                <w:sz w:val="16"/>
                <w:szCs w:val="16"/>
              </w:rPr>
            </w:pPr>
          </w:p>
        </w:tc>
        <w:tc>
          <w:tcPr>
            <w:tcW w:w="2378" w:type="dxa"/>
            <w:shd w:val="clear" w:color="auto" w:fill="auto"/>
            <w:vAlign w:val="center"/>
          </w:tcPr>
          <w:p w:rsidR="00C1401B" w:rsidRPr="00D3304A" w:rsidRDefault="00C1401B" w:rsidP="00003597">
            <w:pPr>
              <w:pStyle w:val="Text1"/>
              <w:spacing w:beforeLines="20" w:before="48" w:afterLines="20" w:after="48"/>
              <w:ind w:left="136"/>
              <w:jc w:val="left"/>
              <w:rPr>
                <w:b/>
                <w:noProof/>
                <w:sz w:val="16"/>
                <w:szCs w:val="16"/>
              </w:rPr>
            </w:pPr>
            <w:r w:rsidRPr="00D3304A">
              <w:rPr>
                <w:noProof/>
                <w:sz w:val="16"/>
              </w:rPr>
              <w:t>- in den zentralen Dienststellen</w:t>
            </w:r>
          </w:p>
          <w:p w:rsidR="00C1401B" w:rsidRPr="00D3304A" w:rsidRDefault="00C1401B" w:rsidP="00003597">
            <w:pPr>
              <w:pStyle w:val="Text1"/>
              <w:spacing w:beforeLines="20" w:before="48" w:afterLines="20" w:after="48"/>
              <w:ind w:left="136"/>
              <w:jc w:val="left"/>
              <w:rPr>
                <w:b/>
                <w:noProof/>
                <w:sz w:val="16"/>
                <w:szCs w:val="16"/>
              </w:rPr>
            </w:pPr>
          </w:p>
        </w:tc>
        <w:tc>
          <w:tcPr>
            <w:tcW w:w="731" w:type="dxa"/>
            <w:shd w:val="clear" w:color="auto" w:fill="auto"/>
            <w:vAlign w:val="center"/>
          </w:tcPr>
          <w:p w:rsidR="00C1401B" w:rsidRPr="00D3304A" w:rsidRDefault="00C1401B" w:rsidP="00003597">
            <w:pPr>
              <w:pStyle w:val="Text1"/>
              <w:spacing w:beforeLines="20" w:before="48" w:afterLines="20" w:after="48"/>
              <w:ind w:left="0"/>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2376" w:type="dxa"/>
            <w:vMerge/>
            <w:shd w:val="clear" w:color="auto" w:fill="auto"/>
            <w:vAlign w:val="center"/>
          </w:tcPr>
          <w:p w:rsidR="00C1401B" w:rsidRPr="00D3304A" w:rsidRDefault="00C1401B" w:rsidP="00003597">
            <w:pPr>
              <w:pStyle w:val="Text1"/>
              <w:spacing w:beforeLines="20" w:before="48" w:afterLines="20" w:after="48"/>
              <w:ind w:left="136"/>
              <w:jc w:val="left"/>
              <w:rPr>
                <w:b/>
                <w:noProof/>
                <w:sz w:val="16"/>
                <w:szCs w:val="16"/>
              </w:rPr>
            </w:pPr>
          </w:p>
        </w:tc>
        <w:tc>
          <w:tcPr>
            <w:tcW w:w="2378" w:type="dxa"/>
            <w:shd w:val="clear" w:color="auto" w:fill="auto"/>
            <w:vAlign w:val="center"/>
          </w:tcPr>
          <w:p w:rsidR="00C1401B" w:rsidRPr="00D3304A" w:rsidRDefault="00C1401B" w:rsidP="00003597">
            <w:pPr>
              <w:pStyle w:val="Text1"/>
              <w:spacing w:beforeLines="20" w:before="48" w:afterLines="20" w:after="48"/>
              <w:ind w:left="136"/>
              <w:jc w:val="left"/>
              <w:rPr>
                <w:b/>
                <w:noProof/>
                <w:sz w:val="16"/>
                <w:szCs w:val="16"/>
              </w:rPr>
            </w:pPr>
            <w:r w:rsidRPr="00D3304A">
              <w:rPr>
                <w:noProof/>
                <w:sz w:val="16"/>
              </w:rPr>
              <w:t xml:space="preserve">- in den Delegationen </w:t>
            </w:r>
          </w:p>
        </w:tc>
        <w:tc>
          <w:tcPr>
            <w:tcW w:w="731" w:type="dxa"/>
            <w:shd w:val="clear" w:color="auto" w:fill="auto"/>
            <w:vAlign w:val="center"/>
          </w:tcPr>
          <w:p w:rsidR="00C1401B" w:rsidRPr="00D3304A" w:rsidRDefault="00C1401B" w:rsidP="00003597">
            <w:pPr>
              <w:pStyle w:val="Text1"/>
              <w:spacing w:beforeLines="20" w:before="48" w:afterLines="20" w:after="48"/>
              <w:ind w:left="0"/>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6"/>
              <w:jc w:val="left"/>
              <w:rPr>
                <w:noProof/>
                <w:sz w:val="16"/>
                <w:szCs w:val="16"/>
              </w:rPr>
            </w:pP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02</w:t>
            </w:r>
            <w:r w:rsidRPr="00D3304A">
              <w:rPr>
                <w:noProof/>
                <w:sz w:val="16"/>
              </w:rPr>
              <w:t xml:space="preserve"> (VB, ANS und LAK – indirekte Forschung)</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6"/>
              <w:jc w:val="left"/>
              <w:rPr>
                <w:noProof/>
                <w:sz w:val="16"/>
                <w:szCs w:val="16"/>
              </w:rPr>
            </w:pPr>
            <w:r w:rsidRPr="00D3304A">
              <w:rPr>
                <w:noProof/>
                <w:sz w:val="16"/>
              </w:rPr>
              <w:t xml:space="preserve"> </w:t>
            </w: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01</w:t>
            </w:r>
            <w:r w:rsidRPr="00D3304A">
              <w:rPr>
                <w:noProof/>
                <w:sz w:val="16"/>
              </w:rPr>
              <w:t> </w:t>
            </w:r>
            <w:r w:rsidRPr="00C24C00">
              <w:rPr>
                <w:noProof/>
                <w:sz w:val="16"/>
              </w:rPr>
              <w:t>12</w:t>
            </w:r>
            <w:r w:rsidRPr="00D3304A">
              <w:rPr>
                <w:noProof/>
                <w:sz w:val="16"/>
              </w:rPr>
              <w:t xml:space="preserve"> (VB, ANS und LAK – direkte Forschung)</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shd w:val="clear" w:color="auto" w:fill="auto"/>
            <w:vAlign w:val="center"/>
          </w:tcPr>
          <w:p w:rsidR="00C1401B" w:rsidRPr="00D3304A" w:rsidRDefault="00C1401B" w:rsidP="00003597">
            <w:pPr>
              <w:pStyle w:val="Text1"/>
              <w:spacing w:beforeLines="20" w:before="48" w:afterLines="20" w:after="48"/>
              <w:ind w:left="136"/>
              <w:jc w:val="left"/>
              <w:rPr>
                <w:noProof/>
                <w:sz w:val="16"/>
              </w:rPr>
            </w:pPr>
            <w:r w:rsidRPr="00D3304A">
              <w:rPr>
                <w:noProof/>
                <w:sz w:val="16"/>
              </w:rPr>
              <w:t>Sonstige Haushaltslinien (bitte angeben)</w:t>
            </w: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3304A" w:rsidRDefault="00C1401B" w:rsidP="00003597">
            <w:pPr>
              <w:spacing w:beforeLines="20" w:before="48" w:afterLines="20" w:after="48"/>
              <w:jc w:val="center"/>
              <w:rPr>
                <w:noProof/>
                <w:sz w:val="16"/>
                <w:szCs w:val="16"/>
              </w:rPr>
            </w:pPr>
          </w:p>
        </w:tc>
      </w:tr>
      <w:tr w:rsidR="00C1401B" w:rsidRPr="00D3304A" w:rsidTr="00003597">
        <w:trPr>
          <w:gridBefore w:val="1"/>
          <w:wBefore w:w="15" w:type="dxa"/>
          <w:trHeight w:val="289"/>
          <w:jc w:val="center"/>
        </w:trPr>
        <w:tc>
          <w:tcPr>
            <w:tcW w:w="4754" w:type="dxa"/>
            <w:gridSpan w:val="2"/>
            <w:tcBorders>
              <w:top w:val="double" w:sz="4" w:space="0" w:color="auto"/>
            </w:tcBorders>
            <w:shd w:val="clear" w:color="auto" w:fill="auto"/>
            <w:vAlign w:val="center"/>
          </w:tcPr>
          <w:p w:rsidR="00C1401B" w:rsidRPr="00D3304A" w:rsidRDefault="00C1401B" w:rsidP="00003597">
            <w:pPr>
              <w:pStyle w:val="Text1"/>
              <w:spacing w:beforeLines="20" w:before="48" w:afterLines="20" w:after="48"/>
              <w:ind w:left="136"/>
              <w:jc w:val="left"/>
              <w:rPr>
                <w:noProof/>
                <w:sz w:val="16"/>
                <w:szCs w:val="16"/>
              </w:rPr>
            </w:pPr>
            <w:r w:rsidRPr="00D3304A">
              <w:rPr>
                <w:b/>
                <w:noProof/>
                <w:sz w:val="16"/>
              </w:rPr>
              <w:t>INSGESAMT</w:t>
            </w: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3304A" w:rsidRDefault="00C1401B" w:rsidP="00003597">
            <w:pPr>
              <w:spacing w:beforeLines="20" w:before="48" w:afterLines="20" w:after="48"/>
              <w:jc w:val="center"/>
              <w:rPr>
                <w:b/>
                <w:noProof/>
                <w:sz w:val="16"/>
                <w:szCs w:val="16"/>
              </w:rPr>
            </w:pPr>
          </w:p>
        </w:tc>
      </w:tr>
    </w:tbl>
    <w:p w:rsidR="00C1401B" w:rsidRPr="00D3304A" w:rsidRDefault="00C1401B" w:rsidP="00C1401B">
      <w:pPr>
        <w:pStyle w:val="Text1"/>
        <w:spacing w:before="60" w:after="60"/>
        <w:ind w:left="851"/>
        <w:rPr>
          <w:noProof/>
          <w:sz w:val="18"/>
          <w:szCs w:val="18"/>
        </w:rPr>
      </w:pPr>
      <w:r w:rsidRPr="00D3304A">
        <w:rPr>
          <w:b/>
          <w:noProof/>
          <w:sz w:val="18"/>
        </w:rPr>
        <w:t>XX</w:t>
      </w:r>
      <w:r w:rsidRPr="00D3304A">
        <w:rPr>
          <w:noProof/>
          <w:sz w:val="18"/>
        </w:rPr>
        <w:t xml:space="preserve"> steht für den jeweiligen Politikbereich bzw. Haushaltstitel.</w:t>
      </w:r>
    </w:p>
    <w:p w:rsidR="00C1401B" w:rsidRPr="00D3304A" w:rsidRDefault="00C1401B" w:rsidP="00C1401B">
      <w:pPr>
        <w:pStyle w:val="Text1"/>
        <w:rPr>
          <w:noProof/>
          <w:sz w:val="18"/>
          <w:szCs w:val="18"/>
        </w:rPr>
      </w:pPr>
      <w:r w:rsidRPr="00D3304A">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rsidR="00C1401B" w:rsidRPr="00D3304A" w:rsidRDefault="00C1401B" w:rsidP="00C1401B">
      <w:pPr>
        <w:rPr>
          <w:noProof/>
          <w:sz w:val="20"/>
        </w:rPr>
      </w:pPr>
      <w:r w:rsidRPr="00D3304A">
        <w:rPr>
          <w:noProof/>
          <w:sz w:val="20"/>
        </w:rPr>
        <w:t>Beschreibung der Aufgaben, die ausgeführt werden sollen durch:</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1401B" w:rsidRPr="00D3304A" w:rsidTr="00003597">
        <w:tc>
          <w:tcPr>
            <w:tcW w:w="3240" w:type="dxa"/>
          </w:tcPr>
          <w:p w:rsidR="00C1401B" w:rsidRPr="00D3304A" w:rsidRDefault="00C1401B" w:rsidP="00EE11ED">
            <w:pPr>
              <w:ind w:left="290"/>
              <w:rPr>
                <w:noProof/>
                <w:sz w:val="20"/>
              </w:rPr>
            </w:pPr>
            <w:r w:rsidRPr="00D3304A">
              <w:rPr>
                <w:noProof/>
                <w:sz w:val="20"/>
              </w:rPr>
              <w:t>Beamte und Zeitbedienstete</w:t>
            </w:r>
          </w:p>
        </w:tc>
        <w:tc>
          <w:tcPr>
            <w:tcW w:w="7200" w:type="dxa"/>
          </w:tcPr>
          <w:p w:rsidR="00C1401B" w:rsidRPr="00D3304A" w:rsidRDefault="00C1401B" w:rsidP="00003597">
            <w:pPr>
              <w:spacing w:before="20" w:after="20"/>
              <w:jc w:val="left"/>
              <w:rPr>
                <w:noProof/>
                <w:sz w:val="20"/>
                <w:szCs w:val="28"/>
              </w:rPr>
            </w:pPr>
            <w:r w:rsidRPr="00D3304A">
              <w:rPr>
                <w:noProof/>
                <w:sz w:val="20"/>
              </w:rPr>
              <w:t>Methodische Arbeiten zur ordnungsgemäßen Umsetzung der Konzepte, Definitionen und statistischen Methoden</w:t>
            </w:r>
          </w:p>
          <w:p w:rsidR="00C1401B" w:rsidRPr="00D3304A" w:rsidRDefault="00C1401B" w:rsidP="00003597">
            <w:pPr>
              <w:spacing w:before="20" w:after="20"/>
              <w:jc w:val="left"/>
              <w:rPr>
                <w:noProof/>
                <w:sz w:val="20"/>
                <w:szCs w:val="28"/>
              </w:rPr>
            </w:pPr>
            <w:r w:rsidRPr="00D3304A">
              <w:rPr>
                <w:noProof/>
                <w:sz w:val="20"/>
              </w:rPr>
              <w:t>Datenproduktionsarbeiten zum Empfang, zur Verarbeitung, Validierung und Veröffentlichung der Daten und Metadaten</w:t>
            </w:r>
          </w:p>
          <w:p w:rsidR="00C1401B" w:rsidRPr="00D3304A" w:rsidRDefault="00C1401B" w:rsidP="00003597">
            <w:pPr>
              <w:spacing w:before="20" w:after="20"/>
              <w:jc w:val="left"/>
              <w:rPr>
                <w:noProof/>
                <w:sz w:val="20"/>
                <w:szCs w:val="28"/>
              </w:rPr>
            </w:pPr>
            <w:r w:rsidRPr="00D3304A">
              <w:rPr>
                <w:noProof/>
                <w:sz w:val="20"/>
              </w:rPr>
              <w:t>Datenanalyse, Veröffentlichungen und Nutzerunterstützung</w:t>
            </w:r>
          </w:p>
          <w:p w:rsidR="00C1401B" w:rsidRPr="00D3304A" w:rsidRDefault="00C1401B" w:rsidP="00003597">
            <w:pPr>
              <w:spacing w:before="20" w:after="20"/>
              <w:jc w:val="left"/>
              <w:rPr>
                <w:noProof/>
                <w:sz w:val="20"/>
              </w:rPr>
            </w:pPr>
            <w:r w:rsidRPr="00D3304A">
              <w:rPr>
                <w:noProof/>
                <w:sz w:val="20"/>
              </w:rPr>
              <w:t>interinstitutionelle und internationale Zusammenarbeit im Bereich Statistik</w:t>
            </w:r>
          </w:p>
        </w:tc>
      </w:tr>
      <w:tr w:rsidR="00C1401B" w:rsidRPr="00D3304A" w:rsidTr="00003597">
        <w:tc>
          <w:tcPr>
            <w:tcW w:w="3240" w:type="dxa"/>
          </w:tcPr>
          <w:p w:rsidR="00C1401B" w:rsidRPr="00D3304A" w:rsidRDefault="00C1401B" w:rsidP="00EE11ED">
            <w:pPr>
              <w:spacing w:before="60" w:after="60"/>
              <w:ind w:left="290"/>
              <w:rPr>
                <w:noProof/>
                <w:sz w:val="20"/>
              </w:rPr>
            </w:pPr>
            <w:r w:rsidRPr="00D3304A">
              <w:rPr>
                <w:noProof/>
                <w:sz w:val="20"/>
              </w:rPr>
              <w:t>Externes Personal</w:t>
            </w:r>
          </w:p>
        </w:tc>
        <w:tc>
          <w:tcPr>
            <w:tcW w:w="7200" w:type="dxa"/>
          </w:tcPr>
          <w:p w:rsidR="00C1401B" w:rsidRPr="00D3304A" w:rsidRDefault="00C1401B" w:rsidP="00003597">
            <w:pPr>
              <w:spacing w:before="20" w:after="20"/>
              <w:jc w:val="left"/>
              <w:rPr>
                <w:noProof/>
                <w:sz w:val="20"/>
                <w:szCs w:val="28"/>
              </w:rPr>
            </w:pPr>
            <w:r w:rsidRPr="00D3304A">
              <w:rPr>
                <w:noProof/>
                <w:sz w:val="20"/>
              </w:rPr>
              <w:t>Unterstützung der methodischen Arbeiten zur ordnungsgemäßen Umsetzung der Konzepte, Definitionen und statistischen Methoden</w:t>
            </w:r>
          </w:p>
          <w:p w:rsidR="00C1401B" w:rsidRPr="00D3304A" w:rsidRDefault="00C1401B" w:rsidP="00003597">
            <w:pPr>
              <w:spacing w:before="20" w:after="20"/>
              <w:jc w:val="left"/>
              <w:rPr>
                <w:noProof/>
                <w:sz w:val="20"/>
              </w:rPr>
            </w:pPr>
            <w:bookmarkStart w:id="72" w:name="_Hlk165566734"/>
            <w:r w:rsidRPr="00D3304A">
              <w:rPr>
                <w:noProof/>
                <w:sz w:val="20"/>
              </w:rPr>
              <w:t>IT und sonstige technische Arbeiten zur Unterstützung der Erstellung, Analyse und Verbreitung von Statistiken</w:t>
            </w:r>
            <w:bookmarkEnd w:id="72"/>
          </w:p>
        </w:tc>
      </w:tr>
    </w:tbl>
    <w:p w:rsidR="00C1401B" w:rsidRPr="00D3304A" w:rsidRDefault="00C1401B" w:rsidP="00C1401B">
      <w:pPr>
        <w:rPr>
          <w:noProof/>
        </w:rPr>
        <w:sectPr w:rsidR="00C1401B" w:rsidRPr="00D3304A" w:rsidSect="00740C8C">
          <w:pgSz w:w="11907" w:h="16840"/>
          <w:pgMar w:top="1134" w:right="1418" w:bottom="1134" w:left="1418" w:header="709" w:footer="709" w:gutter="0"/>
          <w:cols w:space="708"/>
          <w:docGrid w:linePitch="360"/>
        </w:sectPr>
      </w:pPr>
    </w:p>
    <w:p w:rsidR="00C1401B" w:rsidRPr="00D3304A" w:rsidRDefault="00C1401B" w:rsidP="00C1401B">
      <w:pPr>
        <w:pStyle w:val="ManualHeading3"/>
        <w:rPr>
          <w:noProof/>
        </w:rPr>
      </w:pPr>
      <w:bookmarkStart w:id="73" w:name="_Toc514938056"/>
      <w:bookmarkStart w:id="74" w:name="_Toc520485055"/>
      <w:r w:rsidRPr="00C24C00">
        <w:rPr>
          <w:noProof/>
        </w:rPr>
        <w:t>3</w:t>
      </w:r>
      <w:r w:rsidRPr="00D3304A">
        <w:rPr>
          <w:noProof/>
        </w:rPr>
        <w:t>.</w:t>
      </w:r>
      <w:r w:rsidRPr="00C24C00">
        <w:rPr>
          <w:noProof/>
        </w:rPr>
        <w:t>2</w:t>
      </w:r>
      <w:r w:rsidRPr="00D3304A">
        <w:rPr>
          <w:noProof/>
        </w:rPr>
        <w:t>.</w:t>
      </w:r>
      <w:r w:rsidRPr="00C24C00">
        <w:rPr>
          <w:noProof/>
        </w:rPr>
        <w:t>4</w:t>
      </w:r>
      <w:r w:rsidRPr="00D3304A">
        <w:rPr>
          <w:noProof/>
        </w:rPr>
        <w:t>.</w:t>
      </w:r>
      <w:r w:rsidRPr="00D3304A">
        <w:rPr>
          <w:noProof/>
        </w:rPr>
        <w:tab/>
        <w:t>Vereinbarkeit mit dem derzeitigen Mehrjährigen Finanzrahmen</w:t>
      </w:r>
      <w:bookmarkEnd w:id="73"/>
      <w:bookmarkEnd w:id="74"/>
      <w:r w:rsidRPr="00D3304A">
        <w:rPr>
          <w:noProof/>
        </w:rPr>
        <w:t xml:space="preserve"> </w:t>
      </w:r>
    </w:p>
    <w:p w:rsidR="00C1401B" w:rsidRPr="00D3304A" w:rsidRDefault="00C1401B" w:rsidP="00C1401B">
      <w:pPr>
        <w:pStyle w:val="Text1"/>
        <w:rPr>
          <w:noProof/>
        </w:rPr>
      </w:pPr>
      <w:r w:rsidRPr="00D3304A">
        <w:rPr>
          <w:noProof/>
        </w:rPr>
        <w:t>Der Vorschlag/Die Initiative</w:t>
      </w:r>
    </w:p>
    <w:p w:rsidR="00C1401B" w:rsidRPr="00D3304A" w:rsidRDefault="00C1401B" w:rsidP="00C1401B">
      <w:pPr>
        <w:pStyle w:val="ListDash1"/>
        <w:rPr>
          <w:noProof/>
        </w:rPr>
      </w:pPr>
      <w:r w:rsidRPr="00D3304A">
        <w:rPr>
          <w:noProof/>
        </w:rPr>
        <w:sym w:font="Wingdings" w:char="F0FD"/>
      </w:r>
      <w:r w:rsidRPr="00D3304A">
        <w:rPr>
          <w:noProof/>
        </w:rPr>
        <w:tab/>
        <w:t>kann durch Umschichtungen innerhalb der entsprechenden Rubrik des Mehrjährigen Finanzrahmens (MFR) in voller Höhe finanziert werden.</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szCs w:val="24"/>
        </w:rPr>
      </w:pPr>
      <w:r w:rsidRPr="00D3304A">
        <w:rPr>
          <w:noProof/>
        </w:rPr>
        <w:t xml:space="preserve">Der Finanzbedarf wird durch bestehende Mittel aus dem Binnenmarktprogramm gedeckt, wie in der Finanzplanung des MFR </w:t>
      </w:r>
      <w:r w:rsidRPr="00C24C00">
        <w:rPr>
          <w:noProof/>
        </w:rPr>
        <w:t>2021</w:t>
      </w:r>
      <w:r w:rsidRPr="00D3304A">
        <w:rPr>
          <w:noProof/>
        </w:rPr>
        <w:t>-</w:t>
      </w:r>
      <w:r w:rsidRPr="00C24C00">
        <w:rPr>
          <w:noProof/>
        </w:rPr>
        <w:t>2027</w:t>
      </w:r>
      <w:r w:rsidRPr="00D3304A">
        <w:rPr>
          <w:noProof/>
        </w:rPr>
        <w:t xml:space="preserve"> vorgesehen.</w:t>
      </w:r>
    </w:p>
    <w:p w:rsidR="00C1401B" w:rsidRPr="00D3304A" w:rsidRDefault="00C1401B" w:rsidP="00C1401B">
      <w:pPr>
        <w:pStyle w:val="ListDash1"/>
        <w:rPr>
          <w:noProof/>
        </w:rPr>
      </w:pPr>
      <w:r w:rsidRPr="00D3304A">
        <w:rPr>
          <w:noProof/>
        </w:rPr>
        <w:sym w:font="Wingdings" w:char="F0A8"/>
      </w:r>
      <w:r w:rsidRPr="00D3304A">
        <w:rPr>
          <w:noProof/>
        </w:rPr>
        <w:tab/>
        <w:t>erfordert die Inanspruchnahme des verbleibenden Spielraums unter der einschlägigen Rubrik des MFR und/oder den Einsatz der besonderen Instrumente im Sinne der MFR-Verordnung.</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sz w:val="20"/>
        </w:rPr>
      </w:pPr>
      <w:r w:rsidRPr="00D3304A">
        <w:rPr>
          <w:noProof/>
          <w:sz w:val="20"/>
        </w:rPr>
        <w:t>Bitte erläutern Sie den Bedarf unter Angabe der betreffenden Rubriken und Haushaltslinien, der entsprechenden Beträge und der vorgeschlagenen einzusetzenden Instrumente.</w:t>
      </w:r>
    </w:p>
    <w:p w:rsidR="00C1401B" w:rsidRPr="00D3304A" w:rsidRDefault="00C1401B" w:rsidP="00C1401B">
      <w:pPr>
        <w:pStyle w:val="ListDash1"/>
        <w:rPr>
          <w:noProof/>
        </w:rPr>
      </w:pPr>
      <w:r w:rsidRPr="00D3304A">
        <w:rPr>
          <w:noProof/>
        </w:rPr>
        <w:sym w:font="Wingdings" w:char="F0A8"/>
      </w:r>
      <w:r w:rsidRPr="00D3304A">
        <w:rPr>
          <w:noProof/>
        </w:rPr>
        <w:tab/>
        <w:t>erfordert eine Änderung des MFR.</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sz w:val="20"/>
        </w:rPr>
      </w:pPr>
      <w:r w:rsidRPr="00D3304A">
        <w:rPr>
          <w:noProof/>
          <w:sz w:val="20"/>
        </w:rPr>
        <w:t>Bitte erläutern Sie den Bedarf unter Angabe der betreffenden Rubriken und Haushaltslinien sowie der entsprechenden Beträge.</w:t>
      </w:r>
    </w:p>
    <w:p w:rsidR="00C1401B" w:rsidRPr="00D3304A" w:rsidRDefault="00C1401B" w:rsidP="00C1401B">
      <w:pPr>
        <w:pStyle w:val="ManualHeading3"/>
        <w:rPr>
          <w:bCs/>
          <w:noProof/>
          <w:szCs w:val="24"/>
        </w:rPr>
      </w:pPr>
      <w:bookmarkStart w:id="75" w:name="_Toc514938058"/>
      <w:bookmarkStart w:id="76" w:name="_Toc520485056"/>
      <w:r w:rsidRPr="00C24C00">
        <w:rPr>
          <w:noProof/>
        </w:rPr>
        <w:t>3</w:t>
      </w:r>
      <w:r w:rsidRPr="00D3304A">
        <w:rPr>
          <w:noProof/>
        </w:rPr>
        <w:t>.</w:t>
      </w:r>
      <w:r w:rsidRPr="00C24C00">
        <w:rPr>
          <w:noProof/>
        </w:rPr>
        <w:t>2</w:t>
      </w:r>
      <w:r w:rsidRPr="00D3304A">
        <w:rPr>
          <w:noProof/>
        </w:rPr>
        <w:t>.</w:t>
      </w:r>
      <w:r w:rsidRPr="00C24C00">
        <w:rPr>
          <w:noProof/>
        </w:rPr>
        <w:t>5</w:t>
      </w:r>
      <w:r w:rsidRPr="00D3304A">
        <w:rPr>
          <w:noProof/>
        </w:rPr>
        <w:t>.</w:t>
      </w:r>
      <w:r w:rsidRPr="00D3304A">
        <w:rPr>
          <w:noProof/>
        </w:rPr>
        <w:tab/>
        <w:t>Finanzierungsbeteiligung Dritter</w:t>
      </w:r>
      <w:bookmarkEnd w:id="75"/>
      <w:bookmarkEnd w:id="76"/>
      <w:r w:rsidRPr="00D3304A">
        <w:rPr>
          <w:noProof/>
        </w:rPr>
        <w:t xml:space="preserve"> </w:t>
      </w:r>
    </w:p>
    <w:p w:rsidR="00C1401B" w:rsidRPr="00D3304A" w:rsidRDefault="00C1401B" w:rsidP="00C1401B">
      <w:pPr>
        <w:pStyle w:val="Text1"/>
        <w:rPr>
          <w:noProof/>
        </w:rPr>
      </w:pPr>
      <w:r w:rsidRPr="00D3304A">
        <w:rPr>
          <w:noProof/>
        </w:rPr>
        <w:t>Der Vorschlag/Die Initiative</w:t>
      </w:r>
    </w:p>
    <w:p w:rsidR="00C1401B" w:rsidRPr="00D3304A" w:rsidRDefault="00C1401B" w:rsidP="00C1401B">
      <w:pPr>
        <w:pStyle w:val="ListDash1"/>
        <w:rPr>
          <w:noProof/>
        </w:rPr>
      </w:pPr>
      <w:r w:rsidRPr="00D3304A">
        <w:rPr>
          <w:noProof/>
        </w:rPr>
        <w:sym w:font="Wingdings" w:char="F0FD"/>
      </w:r>
      <w:r w:rsidRPr="00D3304A">
        <w:rPr>
          <w:noProof/>
        </w:rPr>
        <w:tab/>
        <w:t>sieht keine Kofinanzierung durch Dritte vor.</w:t>
      </w:r>
    </w:p>
    <w:p w:rsidR="00C1401B" w:rsidRPr="00D3304A" w:rsidRDefault="00C1401B" w:rsidP="00C1401B">
      <w:pPr>
        <w:pStyle w:val="ListDash1"/>
        <w:rPr>
          <w:noProof/>
        </w:rPr>
      </w:pPr>
      <w:r w:rsidRPr="00D3304A">
        <w:rPr>
          <w:noProof/>
        </w:rPr>
        <w:sym w:font="Wingdings" w:char="F0A8"/>
      </w:r>
      <w:r w:rsidRPr="00D3304A">
        <w:rPr>
          <w:noProof/>
        </w:rPr>
        <w:tab/>
        <w:t>sieht folgende Kofinanzierung durch Dritte vor:</w:t>
      </w:r>
    </w:p>
    <w:p w:rsidR="00C1401B" w:rsidRPr="00D3304A" w:rsidRDefault="00C1401B" w:rsidP="00C1401B">
      <w:pPr>
        <w:jc w:val="right"/>
        <w:rPr>
          <w:noProof/>
          <w:sz w:val="20"/>
        </w:rPr>
      </w:pPr>
      <w:r w:rsidRPr="00D3304A">
        <w:rPr>
          <w:noProof/>
          <w:sz w:val="20"/>
        </w:rPr>
        <w:t>Mittel in Mio. EUR (</w:t>
      </w:r>
      <w:r w:rsidRPr="00C24C00">
        <w:rPr>
          <w:noProof/>
          <w:sz w:val="20"/>
        </w:rPr>
        <w:t>3</w:t>
      </w:r>
      <w:r w:rsidRPr="00D3304A">
        <w:rPr>
          <w:noProof/>
          <w:sz w:val="20"/>
        </w:rPr>
        <w:t>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5"/>
        <w:gridCol w:w="779"/>
        <w:gridCol w:w="964"/>
        <w:gridCol w:w="964"/>
        <w:gridCol w:w="964"/>
        <w:gridCol w:w="964"/>
        <w:gridCol w:w="964"/>
        <w:gridCol w:w="964"/>
        <w:gridCol w:w="1158"/>
      </w:tblGrid>
      <w:tr w:rsidR="00C1401B" w:rsidRPr="00D3304A" w:rsidTr="00C1401B">
        <w:trPr>
          <w:cantSplit/>
        </w:trPr>
        <w:tc>
          <w:tcPr>
            <w:tcW w:w="2525" w:type="dxa"/>
          </w:tcPr>
          <w:p w:rsidR="00C1401B" w:rsidRPr="00D3304A" w:rsidRDefault="00C1401B" w:rsidP="00003597">
            <w:pPr>
              <w:spacing w:before="60" w:after="60"/>
              <w:rPr>
                <w:noProof/>
                <w:sz w:val="20"/>
              </w:rPr>
            </w:pPr>
          </w:p>
        </w:tc>
        <w:tc>
          <w:tcPr>
            <w:tcW w:w="779" w:type="dxa"/>
            <w:vAlign w:val="center"/>
          </w:tcPr>
          <w:p w:rsidR="00C1401B" w:rsidRPr="00D3304A" w:rsidRDefault="00C1401B" w:rsidP="00003597">
            <w:pPr>
              <w:jc w:val="center"/>
              <w:rPr>
                <w:noProof/>
                <w:sz w:val="20"/>
              </w:rPr>
            </w:pPr>
            <w:r w:rsidRPr="00D3304A">
              <w:rPr>
                <w:noProof/>
                <w:sz w:val="20"/>
              </w:rPr>
              <w:t>Jahr</w:t>
            </w:r>
            <w:r w:rsidRPr="00D3304A">
              <w:rPr>
                <w:noProof/>
                <w:sz w:val="22"/>
              </w:rPr>
              <w:br/>
            </w:r>
            <w:r w:rsidRPr="00D3304A">
              <w:rPr>
                <w:b/>
                <w:noProof/>
                <w:sz w:val="20"/>
              </w:rPr>
              <w:t>N</w:t>
            </w:r>
            <w:r w:rsidRPr="00D3304A">
              <w:rPr>
                <w:rStyle w:val="FootnoteReference"/>
                <w:b/>
                <w:noProof/>
                <w:sz w:val="20"/>
              </w:rPr>
              <w:footnoteReference w:id="34"/>
            </w:r>
          </w:p>
        </w:tc>
        <w:tc>
          <w:tcPr>
            <w:tcW w:w="964" w:type="dxa"/>
            <w:vAlign w:val="center"/>
          </w:tcPr>
          <w:p w:rsidR="00C1401B" w:rsidRPr="00D3304A" w:rsidRDefault="00C1401B" w:rsidP="00003597">
            <w:pPr>
              <w:jc w:val="center"/>
              <w:rPr>
                <w:noProof/>
                <w:sz w:val="20"/>
              </w:rPr>
            </w:pPr>
            <w:r w:rsidRPr="00D3304A">
              <w:rPr>
                <w:noProof/>
                <w:sz w:val="20"/>
              </w:rPr>
              <w:t>Jahr</w:t>
            </w:r>
            <w:r w:rsidRPr="00D3304A">
              <w:rPr>
                <w:noProof/>
                <w:sz w:val="22"/>
              </w:rPr>
              <w:br/>
            </w:r>
            <w:r w:rsidRPr="00D3304A">
              <w:rPr>
                <w:b/>
                <w:noProof/>
                <w:sz w:val="20"/>
              </w:rPr>
              <w:t>N+</w:t>
            </w:r>
            <w:r w:rsidRPr="00C24C00">
              <w:rPr>
                <w:b/>
                <w:noProof/>
                <w:sz w:val="20"/>
              </w:rPr>
              <w:t>1</w:t>
            </w:r>
          </w:p>
        </w:tc>
        <w:tc>
          <w:tcPr>
            <w:tcW w:w="964" w:type="dxa"/>
            <w:vAlign w:val="center"/>
          </w:tcPr>
          <w:p w:rsidR="00C1401B" w:rsidRPr="00D3304A" w:rsidRDefault="00C1401B" w:rsidP="00003597">
            <w:pPr>
              <w:jc w:val="center"/>
              <w:rPr>
                <w:noProof/>
                <w:sz w:val="20"/>
              </w:rPr>
            </w:pPr>
            <w:r w:rsidRPr="00D3304A">
              <w:rPr>
                <w:noProof/>
                <w:sz w:val="20"/>
              </w:rPr>
              <w:t>Jahr</w:t>
            </w:r>
            <w:r w:rsidRPr="00D3304A">
              <w:rPr>
                <w:noProof/>
                <w:sz w:val="22"/>
              </w:rPr>
              <w:br/>
            </w:r>
            <w:r w:rsidRPr="00D3304A">
              <w:rPr>
                <w:b/>
                <w:noProof/>
                <w:sz w:val="20"/>
              </w:rPr>
              <w:t>N+</w:t>
            </w:r>
            <w:r w:rsidRPr="00C24C00">
              <w:rPr>
                <w:b/>
                <w:noProof/>
                <w:sz w:val="20"/>
              </w:rPr>
              <w:t>2</w:t>
            </w:r>
          </w:p>
        </w:tc>
        <w:tc>
          <w:tcPr>
            <w:tcW w:w="964" w:type="dxa"/>
            <w:vAlign w:val="center"/>
          </w:tcPr>
          <w:p w:rsidR="00C1401B" w:rsidRPr="00D3304A" w:rsidRDefault="00C1401B" w:rsidP="00003597">
            <w:pPr>
              <w:jc w:val="center"/>
              <w:rPr>
                <w:noProof/>
                <w:sz w:val="20"/>
              </w:rPr>
            </w:pPr>
            <w:r w:rsidRPr="00D3304A">
              <w:rPr>
                <w:noProof/>
                <w:sz w:val="20"/>
              </w:rPr>
              <w:t>Jahr</w:t>
            </w:r>
            <w:r w:rsidRPr="00D3304A">
              <w:rPr>
                <w:noProof/>
                <w:sz w:val="22"/>
              </w:rPr>
              <w:br/>
            </w:r>
            <w:r w:rsidRPr="00D3304A">
              <w:rPr>
                <w:b/>
                <w:noProof/>
                <w:sz w:val="20"/>
              </w:rPr>
              <w:t>N+</w:t>
            </w:r>
            <w:r w:rsidRPr="00C24C00">
              <w:rPr>
                <w:b/>
                <w:noProof/>
                <w:sz w:val="20"/>
              </w:rPr>
              <w:t>3</w:t>
            </w:r>
          </w:p>
        </w:tc>
        <w:tc>
          <w:tcPr>
            <w:tcW w:w="2892" w:type="dxa"/>
            <w:gridSpan w:val="3"/>
            <w:vAlign w:val="center"/>
          </w:tcPr>
          <w:p w:rsidR="00C1401B" w:rsidRPr="00D3304A" w:rsidRDefault="00C1401B" w:rsidP="00003597">
            <w:pPr>
              <w:jc w:val="center"/>
              <w:rPr>
                <w:b/>
                <w:noProof/>
                <w:sz w:val="20"/>
              </w:rPr>
            </w:pPr>
            <w:r w:rsidRPr="00D3304A">
              <w:rPr>
                <w:noProof/>
                <w:sz w:val="20"/>
              </w:rPr>
              <w:t>Bei länger andauernden Auswirkungen bitte weitere Spalten einfügen (siehe </w:t>
            </w:r>
            <w:r w:rsidRPr="00C24C00">
              <w:rPr>
                <w:noProof/>
                <w:sz w:val="20"/>
              </w:rPr>
              <w:t>1</w:t>
            </w:r>
            <w:r w:rsidRPr="00D3304A">
              <w:rPr>
                <w:noProof/>
                <w:sz w:val="20"/>
              </w:rPr>
              <w:t>.</w:t>
            </w:r>
            <w:r w:rsidRPr="00C24C00">
              <w:rPr>
                <w:noProof/>
                <w:sz w:val="20"/>
              </w:rPr>
              <w:t>6</w:t>
            </w:r>
            <w:r w:rsidRPr="00D3304A">
              <w:rPr>
                <w:noProof/>
                <w:sz w:val="20"/>
              </w:rPr>
              <w:t>)</w:t>
            </w:r>
          </w:p>
        </w:tc>
        <w:tc>
          <w:tcPr>
            <w:tcW w:w="1158" w:type="dxa"/>
            <w:vAlign w:val="center"/>
          </w:tcPr>
          <w:p w:rsidR="00C1401B" w:rsidRPr="00D3304A" w:rsidRDefault="00C1401B" w:rsidP="00003597">
            <w:pPr>
              <w:spacing w:before="60" w:after="60"/>
              <w:jc w:val="center"/>
              <w:rPr>
                <w:noProof/>
                <w:sz w:val="20"/>
              </w:rPr>
            </w:pPr>
            <w:r w:rsidRPr="00D3304A">
              <w:rPr>
                <w:noProof/>
                <w:sz w:val="20"/>
              </w:rPr>
              <w:t>Insgesamt</w:t>
            </w:r>
          </w:p>
        </w:tc>
      </w:tr>
      <w:tr w:rsidR="00C1401B" w:rsidRPr="00D3304A" w:rsidTr="00C1401B">
        <w:trPr>
          <w:cantSplit/>
        </w:trPr>
        <w:tc>
          <w:tcPr>
            <w:tcW w:w="2525" w:type="dxa"/>
          </w:tcPr>
          <w:p w:rsidR="00C1401B" w:rsidRPr="00D3304A" w:rsidRDefault="00C1401B" w:rsidP="00C1401B">
            <w:pPr>
              <w:ind w:left="148"/>
              <w:rPr>
                <w:noProof/>
              </w:rPr>
            </w:pPr>
            <w:r w:rsidRPr="00D3304A">
              <w:rPr>
                <w:noProof/>
                <w:sz w:val="20"/>
              </w:rPr>
              <w:t>Kofinanzierende Einrichtung</w:t>
            </w:r>
            <w:r w:rsidRPr="00D3304A">
              <w:rPr>
                <w:i/>
                <w:noProof/>
                <w:sz w:val="20"/>
              </w:rPr>
              <w:t xml:space="preserve"> </w:t>
            </w:r>
          </w:p>
        </w:tc>
        <w:tc>
          <w:tcPr>
            <w:tcW w:w="779"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1158" w:type="dxa"/>
            <w:vAlign w:val="center"/>
          </w:tcPr>
          <w:p w:rsidR="00C1401B" w:rsidRPr="00D3304A" w:rsidRDefault="00C1401B" w:rsidP="00003597">
            <w:pPr>
              <w:spacing w:before="60" w:after="60"/>
              <w:jc w:val="center"/>
              <w:rPr>
                <w:noProof/>
                <w:sz w:val="20"/>
              </w:rPr>
            </w:pPr>
          </w:p>
        </w:tc>
      </w:tr>
      <w:tr w:rsidR="00C1401B" w:rsidRPr="00D3304A" w:rsidTr="00C1401B">
        <w:trPr>
          <w:cantSplit/>
        </w:trPr>
        <w:tc>
          <w:tcPr>
            <w:tcW w:w="2525" w:type="dxa"/>
          </w:tcPr>
          <w:p w:rsidR="00C1401B" w:rsidRPr="00D3304A" w:rsidRDefault="00C1401B" w:rsidP="00C1401B">
            <w:pPr>
              <w:spacing w:before="60" w:after="60"/>
              <w:ind w:left="148"/>
              <w:jc w:val="left"/>
              <w:rPr>
                <w:noProof/>
                <w:sz w:val="20"/>
              </w:rPr>
            </w:pPr>
            <w:r w:rsidRPr="00D3304A">
              <w:rPr>
                <w:noProof/>
                <w:sz w:val="20"/>
              </w:rPr>
              <w:t xml:space="preserve">Kofinanzierung INSGESAMT </w:t>
            </w:r>
          </w:p>
        </w:tc>
        <w:tc>
          <w:tcPr>
            <w:tcW w:w="779"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964" w:type="dxa"/>
            <w:vAlign w:val="center"/>
          </w:tcPr>
          <w:p w:rsidR="00C1401B" w:rsidRPr="00D3304A" w:rsidRDefault="00C1401B" w:rsidP="00003597">
            <w:pPr>
              <w:spacing w:before="60" w:after="60"/>
              <w:jc w:val="center"/>
              <w:rPr>
                <w:noProof/>
                <w:sz w:val="20"/>
              </w:rPr>
            </w:pPr>
          </w:p>
        </w:tc>
        <w:tc>
          <w:tcPr>
            <w:tcW w:w="1158" w:type="dxa"/>
            <w:vAlign w:val="center"/>
          </w:tcPr>
          <w:p w:rsidR="00C1401B" w:rsidRPr="00D3304A" w:rsidRDefault="00C1401B" w:rsidP="00003597">
            <w:pPr>
              <w:spacing w:before="60" w:after="60"/>
              <w:jc w:val="center"/>
              <w:rPr>
                <w:noProof/>
                <w:sz w:val="20"/>
              </w:rPr>
            </w:pPr>
          </w:p>
        </w:tc>
      </w:tr>
    </w:tbl>
    <w:p w:rsidR="00C1401B" w:rsidRPr="00D3304A" w:rsidRDefault="00C1401B" w:rsidP="00C1401B">
      <w:pPr>
        <w:rPr>
          <w:noProof/>
        </w:rPr>
      </w:pPr>
      <w:r w:rsidRPr="00D3304A">
        <w:rPr>
          <w:noProof/>
        </w:rPr>
        <w:br/>
      </w:r>
    </w:p>
    <w:p w:rsidR="00C1401B" w:rsidRPr="00D3304A" w:rsidRDefault="00C1401B" w:rsidP="00C1401B">
      <w:pPr>
        <w:pStyle w:val="ManualHeading2"/>
        <w:rPr>
          <w:bCs/>
          <w:noProof/>
          <w:szCs w:val="24"/>
        </w:rPr>
      </w:pPr>
      <w:r w:rsidRPr="00D3304A">
        <w:rPr>
          <w:noProof/>
        </w:rPr>
        <w:br w:type="page"/>
      </w:r>
      <w:bookmarkStart w:id="77" w:name="_Toc514938059"/>
      <w:bookmarkStart w:id="78" w:name="_Toc520485057"/>
      <w:r w:rsidRPr="00C24C00">
        <w:rPr>
          <w:noProof/>
        </w:rPr>
        <w:t>3</w:t>
      </w:r>
      <w:r w:rsidRPr="00D3304A">
        <w:rPr>
          <w:noProof/>
        </w:rPr>
        <w:t>.</w:t>
      </w:r>
      <w:r w:rsidRPr="00C24C00">
        <w:rPr>
          <w:noProof/>
        </w:rPr>
        <w:t>3</w:t>
      </w:r>
      <w:r w:rsidRPr="00D3304A">
        <w:rPr>
          <w:noProof/>
        </w:rPr>
        <w:tab/>
        <w:t>Geschätzte Auswirkungen auf die Einnahmen</w:t>
      </w:r>
      <w:bookmarkEnd w:id="77"/>
      <w:bookmarkEnd w:id="78"/>
      <w:r w:rsidRPr="00D3304A">
        <w:rPr>
          <w:noProof/>
        </w:rPr>
        <w:t xml:space="preserve"> </w:t>
      </w:r>
    </w:p>
    <w:p w:rsidR="00C1401B" w:rsidRPr="00D3304A" w:rsidRDefault="00C1401B" w:rsidP="00C1401B">
      <w:pPr>
        <w:pStyle w:val="ListDash1"/>
        <w:rPr>
          <w:noProof/>
        </w:rPr>
      </w:pPr>
      <w:r w:rsidRPr="00D3304A">
        <w:rPr>
          <w:noProof/>
        </w:rPr>
        <w:sym w:font="Wingdings" w:char="F0FD"/>
      </w:r>
      <w:r w:rsidRPr="00D3304A">
        <w:rPr>
          <w:noProof/>
        </w:rPr>
        <w:tab/>
        <w:t>Der Vorschlag/Die Initiative wirkt sich nicht auf die Einnahmen aus.</w:t>
      </w:r>
    </w:p>
    <w:p w:rsidR="00C1401B" w:rsidRPr="00D3304A" w:rsidRDefault="00C1401B" w:rsidP="00C1401B">
      <w:pPr>
        <w:pStyle w:val="ListDash1"/>
        <w:rPr>
          <w:noProof/>
        </w:rPr>
      </w:pPr>
      <w:r w:rsidRPr="00D3304A">
        <w:rPr>
          <w:noProof/>
        </w:rPr>
        <w:sym w:font="Wingdings" w:char="F0A8"/>
      </w:r>
      <w:r w:rsidRPr="00D3304A">
        <w:rPr>
          <w:noProof/>
        </w:rPr>
        <w:tab/>
        <w:t>Der Vorschlag/Die Initiative wirkt sich auf die Einnahmen aus, und zwar</w:t>
      </w:r>
    </w:p>
    <w:p w:rsidR="00C1401B" w:rsidRPr="00D3304A" w:rsidRDefault="00C1401B" w:rsidP="00C1401B">
      <w:pPr>
        <w:pStyle w:val="ListNumberLevel3"/>
        <w:rPr>
          <w:noProof/>
        </w:rPr>
      </w:pPr>
      <w:r w:rsidRPr="00D3304A">
        <w:rPr>
          <w:noProof/>
        </w:rPr>
        <w:sym w:font="Wingdings" w:char="F0A8"/>
      </w:r>
      <w:r w:rsidRPr="00D3304A">
        <w:rPr>
          <w:noProof/>
        </w:rPr>
        <w:tab/>
        <w:t xml:space="preserve">auf die Eigenmittel </w:t>
      </w:r>
    </w:p>
    <w:p w:rsidR="00C1401B" w:rsidRPr="00D3304A" w:rsidRDefault="00C1401B" w:rsidP="00C1401B">
      <w:pPr>
        <w:pStyle w:val="ListNumberLevel3"/>
        <w:rPr>
          <w:noProof/>
        </w:rPr>
      </w:pPr>
      <w:r w:rsidRPr="00D3304A">
        <w:rPr>
          <w:noProof/>
        </w:rPr>
        <w:sym w:font="Wingdings" w:char="F0A8"/>
      </w:r>
      <w:r w:rsidRPr="00D3304A">
        <w:rPr>
          <w:noProof/>
        </w:rPr>
        <w:tab/>
        <w:t>auf die übrigen Einnahmen</w:t>
      </w:r>
    </w:p>
    <w:p w:rsidR="00C1401B" w:rsidRPr="00D3304A" w:rsidRDefault="00C1401B" w:rsidP="00C1401B">
      <w:pPr>
        <w:pStyle w:val="ListNumberLevel3"/>
        <w:rPr>
          <w:noProof/>
        </w:rPr>
      </w:pPr>
      <w:r w:rsidRPr="00D3304A">
        <w:rPr>
          <w:noProof/>
        </w:rPr>
        <w:t>Bitte geben Sie an, ob die Einnahmen bestimmten Ausgabenlinien zugeordnet sind.</w:t>
      </w:r>
      <w:r w:rsidRPr="00D3304A">
        <w:rPr>
          <w:noProof/>
        </w:rPr>
        <w:sym w:font="Wingdings" w:char="F0A8"/>
      </w:r>
      <w:r w:rsidRPr="00D3304A">
        <w:rPr>
          <w:noProof/>
        </w:rPr>
        <w:tab/>
      </w:r>
    </w:p>
    <w:p w:rsidR="00C1401B" w:rsidRPr="00D3304A" w:rsidRDefault="00C1401B" w:rsidP="00C1401B">
      <w:pPr>
        <w:ind w:left="4320"/>
        <w:rPr>
          <w:i/>
          <w:noProof/>
          <w:sz w:val="20"/>
        </w:rPr>
      </w:pPr>
      <w:r w:rsidRPr="00D3304A">
        <w:rPr>
          <w:noProof/>
        </w:rPr>
        <w:t xml:space="preserve">     in Mio. EUR (</w:t>
      </w:r>
      <w:r w:rsidRPr="00C24C00">
        <w:rPr>
          <w:noProof/>
        </w:rPr>
        <w:t>3</w:t>
      </w:r>
      <w:r w:rsidRPr="00D3304A">
        <w:rPr>
          <w:noProof/>
        </w:rPr>
        <w:t>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1401B" w:rsidRPr="00D3304A" w:rsidTr="00003597">
        <w:trPr>
          <w:trHeight w:val="388"/>
        </w:trPr>
        <w:tc>
          <w:tcPr>
            <w:tcW w:w="2144" w:type="dxa"/>
            <w:vMerge w:val="restart"/>
            <w:vAlign w:val="center"/>
          </w:tcPr>
          <w:p w:rsidR="00C1401B" w:rsidRPr="00D3304A" w:rsidRDefault="00C1401B" w:rsidP="00C1401B">
            <w:pPr>
              <w:spacing w:before="40" w:after="40"/>
              <w:ind w:left="459"/>
              <w:rPr>
                <w:noProof/>
                <w:sz w:val="18"/>
              </w:rPr>
            </w:pPr>
            <w:r w:rsidRPr="00D3304A">
              <w:rPr>
                <w:noProof/>
                <w:sz w:val="18"/>
              </w:rPr>
              <w:t>Einnahmenlinie:</w:t>
            </w:r>
          </w:p>
        </w:tc>
        <w:tc>
          <w:tcPr>
            <w:tcW w:w="1325" w:type="dxa"/>
            <w:vMerge w:val="restart"/>
            <w:vAlign w:val="center"/>
          </w:tcPr>
          <w:p w:rsidR="00C1401B" w:rsidRPr="00D3304A" w:rsidRDefault="00C1401B" w:rsidP="00003597">
            <w:pPr>
              <w:jc w:val="center"/>
              <w:rPr>
                <w:noProof/>
                <w:sz w:val="18"/>
              </w:rPr>
            </w:pPr>
            <w:r w:rsidRPr="00D3304A">
              <w:rPr>
                <w:noProof/>
                <w:sz w:val="18"/>
              </w:rPr>
              <w:t>Für das laufende Haushaltsjahr zur Verfügung stehende Mittel</w:t>
            </w:r>
          </w:p>
        </w:tc>
        <w:tc>
          <w:tcPr>
            <w:tcW w:w="7151" w:type="dxa"/>
            <w:gridSpan w:val="7"/>
            <w:vAlign w:val="center"/>
          </w:tcPr>
          <w:p w:rsidR="00C1401B" w:rsidRPr="00D3304A" w:rsidRDefault="00C1401B" w:rsidP="00003597">
            <w:pPr>
              <w:jc w:val="center"/>
              <w:rPr>
                <w:noProof/>
                <w:sz w:val="18"/>
              </w:rPr>
            </w:pPr>
            <w:r w:rsidRPr="00D3304A">
              <w:rPr>
                <w:noProof/>
                <w:sz w:val="18"/>
              </w:rPr>
              <w:t>Auswirkungen des Vorschlags/der Initiative</w:t>
            </w:r>
            <w:r w:rsidRPr="00D3304A">
              <w:rPr>
                <w:rStyle w:val="FootnoteReference"/>
                <w:noProof/>
                <w:sz w:val="18"/>
              </w:rPr>
              <w:footnoteReference w:id="35"/>
            </w:r>
          </w:p>
        </w:tc>
      </w:tr>
      <w:tr w:rsidR="00C1401B" w:rsidRPr="00D3304A" w:rsidTr="00003597">
        <w:trPr>
          <w:trHeight w:val="388"/>
        </w:trPr>
        <w:tc>
          <w:tcPr>
            <w:tcW w:w="2144" w:type="dxa"/>
            <w:vMerge/>
          </w:tcPr>
          <w:p w:rsidR="00C1401B" w:rsidRPr="00D3304A" w:rsidRDefault="00C1401B" w:rsidP="00003597">
            <w:pPr>
              <w:spacing w:before="40" w:after="40"/>
              <w:rPr>
                <w:noProof/>
                <w:sz w:val="18"/>
              </w:rPr>
            </w:pPr>
          </w:p>
        </w:tc>
        <w:tc>
          <w:tcPr>
            <w:tcW w:w="1325" w:type="dxa"/>
            <w:vMerge/>
          </w:tcPr>
          <w:p w:rsidR="00C1401B" w:rsidRPr="00D3304A" w:rsidRDefault="00C1401B" w:rsidP="00003597">
            <w:pPr>
              <w:spacing w:beforeLines="40" w:before="96" w:afterLines="40" w:after="96"/>
              <w:rPr>
                <w:i/>
                <w:noProof/>
                <w:sz w:val="18"/>
              </w:rPr>
            </w:pPr>
          </w:p>
        </w:tc>
        <w:tc>
          <w:tcPr>
            <w:tcW w:w="1031" w:type="dxa"/>
            <w:vAlign w:val="center"/>
          </w:tcPr>
          <w:p w:rsidR="00C1401B" w:rsidRPr="00D3304A" w:rsidRDefault="00C1401B" w:rsidP="00003597">
            <w:pPr>
              <w:jc w:val="center"/>
              <w:rPr>
                <w:noProof/>
                <w:sz w:val="18"/>
              </w:rPr>
            </w:pPr>
            <w:r w:rsidRPr="00D3304A">
              <w:rPr>
                <w:noProof/>
                <w:sz w:val="18"/>
              </w:rPr>
              <w:t>Jahr</w:t>
            </w:r>
            <w:r w:rsidRPr="00D3304A">
              <w:rPr>
                <w:noProof/>
                <w:sz w:val="22"/>
              </w:rPr>
              <w:br/>
            </w:r>
            <w:r w:rsidRPr="00D3304A">
              <w:rPr>
                <w:b/>
                <w:noProof/>
                <w:sz w:val="18"/>
              </w:rPr>
              <w:t>N</w:t>
            </w:r>
          </w:p>
        </w:tc>
        <w:tc>
          <w:tcPr>
            <w:tcW w:w="900" w:type="dxa"/>
            <w:vAlign w:val="center"/>
          </w:tcPr>
          <w:p w:rsidR="00C1401B" w:rsidRPr="00D3304A" w:rsidRDefault="00C1401B" w:rsidP="00003597">
            <w:pPr>
              <w:jc w:val="center"/>
              <w:rPr>
                <w:noProof/>
                <w:sz w:val="18"/>
              </w:rPr>
            </w:pPr>
            <w:r w:rsidRPr="00D3304A">
              <w:rPr>
                <w:noProof/>
                <w:sz w:val="18"/>
              </w:rPr>
              <w:t>Jahr</w:t>
            </w:r>
            <w:r w:rsidRPr="00D3304A">
              <w:rPr>
                <w:noProof/>
                <w:sz w:val="22"/>
              </w:rPr>
              <w:br/>
            </w:r>
            <w:r w:rsidRPr="00D3304A">
              <w:rPr>
                <w:b/>
                <w:noProof/>
                <w:sz w:val="18"/>
              </w:rPr>
              <w:t>N+</w:t>
            </w:r>
            <w:r w:rsidRPr="00C24C00">
              <w:rPr>
                <w:b/>
                <w:noProof/>
                <w:sz w:val="18"/>
              </w:rPr>
              <w:t>1</w:t>
            </w:r>
          </w:p>
        </w:tc>
        <w:tc>
          <w:tcPr>
            <w:tcW w:w="900" w:type="dxa"/>
            <w:vAlign w:val="center"/>
          </w:tcPr>
          <w:p w:rsidR="00C1401B" w:rsidRPr="00D3304A" w:rsidRDefault="00C1401B" w:rsidP="00003597">
            <w:pPr>
              <w:jc w:val="center"/>
              <w:rPr>
                <w:noProof/>
                <w:sz w:val="18"/>
              </w:rPr>
            </w:pPr>
            <w:r w:rsidRPr="00D3304A">
              <w:rPr>
                <w:noProof/>
                <w:sz w:val="18"/>
              </w:rPr>
              <w:t>Jahr</w:t>
            </w:r>
            <w:r w:rsidRPr="00D3304A">
              <w:rPr>
                <w:noProof/>
                <w:sz w:val="22"/>
              </w:rPr>
              <w:br/>
            </w:r>
            <w:r w:rsidRPr="00D3304A">
              <w:rPr>
                <w:b/>
                <w:noProof/>
                <w:sz w:val="18"/>
              </w:rPr>
              <w:t>N+</w:t>
            </w:r>
            <w:r w:rsidRPr="00C24C00">
              <w:rPr>
                <w:b/>
                <w:noProof/>
                <w:sz w:val="18"/>
              </w:rPr>
              <w:t>2</w:t>
            </w:r>
          </w:p>
        </w:tc>
        <w:tc>
          <w:tcPr>
            <w:tcW w:w="1080" w:type="dxa"/>
            <w:vAlign w:val="center"/>
          </w:tcPr>
          <w:p w:rsidR="00C1401B" w:rsidRPr="00D3304A" w:rsidRDefault="00C1401B" w:rsidP="00003597">
            <w:pPr>
              <w:jc w:val="center"/>
              <w:rPr>
                <w:noProof/>
                <w:sz w:val="18"/>
              </w:rPr>
            </w:pPr>
            <w:r w:rsidRPr="00D3304A">
              <w:rPr>
                <w:noProof/>
                <w:sz w:val="18"/>
              </w:rPr>
              <w:t>Jahr</w:t>
            </w:r>
            <w:r w:rsidRPr="00D3304A">
              <w:rPr>
                <w:noProof/>
                <w:sz w:val="22"/>
              </w:rPr>
              <w:br/>
            </w:r>
            <w:r w:rsidRPr="00D3304A">
              <w:rPr>
                <w:b/>
                <w:noProof/>
                <w:sz w:val="18"/>
              </w:rPr>
              <w:t>N+</w:t>
            </w:r>
            <w:r w:rsidRPr="00C24C00">
              <w:rPr>
                <w:b/>
                <w:noProof/>
                <w:sz w:val="18"/>
              </w:rPr>
              <w:t>3</w:t>
            </w:r>
          </w:p>
        </w:tc>
        <w:tc>
          <w:tcPr>
            <w:tcW w:w="3240" w:type="dxa"/>
            <w:gridSpan w:val="3"/>
            <w:vAlign w:val="center"/>
          </w:tcPr>
          <w:p w:rsidR="00C1401B" w:rsidRPr="00D3304A" w:rsidRDefault="00C1401B" w:rsidP="00003597">
            <w:pPr>
              <w:jc w:val="center"/>
              <w:rPr>
                <w:b/>
                <w:noProof/>
                <w:sz w:val="18"/>
              </w:rPr>
            </w:pPr>
            <w:r w:rsidRPr="00D3304A">
              <w:rPr>
                <w:noProof/>
                <w:sz w:val="18"/>
              </w:rPr>
              <w:t>Bei länger andauernden Auswirkungen bitte weitere Spalten einfügen (siehe </w:t>
            </w:r>
            <w:r w:rsidRPr="00C24C00">
              <w:rPr>
                <w:noProof/>
                <w:sz w:val="18"/>
              </w:rPr>
              <w:t>1</w:t>
            </w:r>
            <w:r w:rsidRPr="00D3304A">
              <w:rPr>
                <w:noProof/>
                <w:sz w:val="18"/>
              </w:rPr>
              <w:t>.</w:t>
            </w:r>
            <w:r w:rsidRPr="00C24C00">
              <w:rPr>
                <w:noProof/>
                <w:sz w:val="18"/>
              </w:rPr>
              <w:t>6</w:t>
            </w:r>
            <w:r w:rsidRPr="00D3304A">
              <w:rPr>
                <w:noProof/>
                <w:sz w:val="18"/>
              </w:rPr>
              <w:t>)</w:t>
            </w:r>
          </w:p>
        </w:tc>
      </w:tr>
      <w:tr w:rsidR="00C1401B" w:rsidRPr="00D3304A" w:rsidTr="00003597">
        <w:trPr>
          <w:trHeight w:val="388"/>
        </w:trPr>
        <w:tc>
          <w:tcPr>
            <w:tcW w:w="2144" w:type="dxa"/>
            <w:vAlign w:val="center"/>
          </w:tcPr>
          <w:p w:rsidR="00C1401B" w:rsidRPr="00D3304A" w:rsidRDefault="00C1401B" w:rsidP="00C1401B">
            <w:pPr>
              <w:spacing w:before="40" w:after="40"/>
              <w:ind w:left="317"/>
              <w:rPr>
                <w:noProof/>
                <w:sz w:val="18"/>
              </w:rPr>
            </w:pPr>
            <w:r w:rsidRPr="00D3304A">
              <w:rPr>
                <w:noProof/>
                <w:sz w:val="18"/>
              </w:rPr>
              <w:t>Artikel ….</w:t>
            </w:r>
          </w:p>
        </w:tc>
        <w:tc>
          <w:tcPr>
            <w:tcW w:w="1325" w:type="dxa"/>
          </w:tcPr>
          <w:p w:rsidR="00C1401B" w:rsidRPr="00D3304A" w:rsidRDefault="00C1401B" w:rsidP="00003597">
            <w:pPr>
              <w:spacing w:beforeLines="40" w:before="96" w:afterLines="40" w:after="96"/>
              <w:jc w:val="center"/>
              <w:rPr>
                <w:i/>
                <w:noProof/>
                <w:sz w:val="18"/>
              </w:rPr>
            </w:pPr>
          </w:p>
        </w:tc>
        <w:tc>
          <w:tcPr>
            <w:tcW w:w="1031" w:type="dxa"/>
          </w:tcPr>
          <w:p w:rsidR="00C1401B" w:rsidRPr="00D3304A" w:rsidRDefault="00C1401B" w:rsidP="00003597">
            <w:pPr>
              <w:spacing w:beforeLines="40" w:before="96" w:afterLines="40" w:after="96"/>
              <w:jc w:val="center"/>
              <w:rPr>
                <w:noProof/>
                <w:sz w:val="18"/>
              </w:rPr>
            </w:pPr>
          </w:p>
        </w:tc>
        <w:tc>
          <w:tcPr>
            <w:tcW w:w="900" w:type="dxa"/>
          </w:tcPr>
          <w:p w:rsidR="00C1401B" w:rsidRPr="00D3304A" w:rsidRDefault="00C1401B" w:rsidP="00003597">
            <w:pPr>
              <w:spacing w:beforeLines="40" w:before="96" w:afterLines="40" w:after="96"/>
              <w:jc w:val="center"/>
              <w:rPr>
                <w:noProof/>
                <w:sz w:val="18"/>
              </w:rPr>
            </w:pPr>
          </w:p>
        </w:tc>
        <w:tc>
          <w:tcPr>
            <w:tcW w:w="900" w:type="dxa"/>
          </w:tcPr>
          <w:p w:rsidR="00C1401B" w:rsidRPr="00D3304A" w:rsidRDefault="00C1401B" w:rsidP="00003597">
            <w:pPr>
              <w:spacing w:beforeLines="40" w:before="96" w:afterLines="40" w:after="96"/>
              <w:jc w:val="center"/>
              <w:rPr>
                <w:noProof/>
                <w:sz w:val="18"/>
              </w:rPr>
            </w:pPr>
          </w:p>
        </w:tc>
        <w:tc>
          <w:tcPr>
            <w:tcW w:w="1080" w:type="dxa"/>
          </w:tcPr>
          <w:p w:rsidR="00C1401B" w:rsidRPr="00D3304A" w:rsidRDefault="00C1401B" w:rsidP="00003597">
            <w:pPr>
              <w:spacing w:beforeLines="40" w:before="96" w:afterLines="40" w:after="96"/>
              <w:jc w:val="center"/>
              <w:rPr>
                <w:noProof/>
                <w:sz w:val="18"/>
              </w:rPr>
            </w:pPr>
          </w:p>
        </w:tc>
        <w:tc>
          <w:tcPr>
            <w:tcW w:w="1080" w:type="dxa"/>
          </w:tcPr>
          <w:p w:rsidR="00C1401B" w:rsidRPr="00D3304A" w:rsidRDefault="00C1401B" w:rsidP="00003597">
            <w:pPr>
              <w:spacing w:beforeLines="40" w:before="96" w:afterLines="40" w:after="96"/>
              <w:jc w:val="center"/>
              <w:rPr>
                <w:noProof/>
                <w:sz w:val="18"/>
              </w:rPr>
            </w:pPr>
          </w:p>
        </w:tc>
        <w:tc>
          <w:tcPr>
            <w:tcW w:w="1080" w:type="dxa"/>
          </w:tcPr>
          <w:p w:rsidR="00C1401B" w:rsidRPr="00D3304A" w:rsidRDefault="00C1401B" w:rsidP="00003597">
            <w:pPr>
              <w:spacing w:beforeLines="40" w:before="96" w:afterLines="40" w:after="96"/>
              <w:jc w:val="center"/>
              <w:rPr>
                <w:noProof/>
                <w:sz w:val="18"/>
              </w:rPr>
            </w:pPr>
          </w:p>
        </w:tc>
        <w:tc>
          <w:tcPr>
            <w:tcW w:w="1080" w:type="dxa"/>
          </w:tcPr>
          <w:p w:rsidR="00C1401B" w:rsidRPr="00D3304A" w:rsidRDefault="00C1401B" w:rsidP="00003597">
            <w:pPr>
              <w:spacing w:beforeLines="40" w:before="96" w:afterLines="40" w:after="96"/>
              <w:jc w:val="center"/>
              <w:rPr>
                <w:noProof/>
                <w:sz w:val="18"/>
              </w:rPr>
            </w:pPr>
          </w:p>
        </w:tc>
      </w:tr>
    </w:tbl>
    <w:p w:rsidR="00C1401B" w:rsidRPr="00D3304A" w:rsidRDefault="00C1401B" w:rsidP="00C1401B">
      <w:pPr>
        <w:pStyle w:val="Text1"/>
        <w:rPr>
          <w:noProof/>
          <w:sz w:val="20"/>
        </w:rPr>
      </w:pPr>
      <w:r w:rsidRPr="00D3304A">
        <w:rPr>
          <w:noProof/>
          <w:sz w:val="20"/>
        </w:rPr>
        <w:t>Bitte geben Sie für die sonstigen zweckgebundenen Einnahmen die betreffende(n) Ausgabenlinie(n) im Haushaltsplan an.</w:t>
      </w:r>
    </w:p>
    <w:p w:rsidR="00C1401B" w:rsidRPr="00D3304A" w:rsidRDefault="00C1401B" w:rsidP="00C1401B">
      <w:pPr>
        <w:pStyle w:val="Text1"/>
        <w:pBdr>
          <w:top w:val="single" w:sz="4" w:space="1" w:color="auto"/>
          <w:left w:val="single" w:sz="4" w:space="4" w:color="auto"/>
          <w:bottom w:val="single" w:sz="4" w:space="1" w:color="auto"/>
          <w:right w:val="single" w:sz="4" w:space="4" w:color="auto"/>
        </w:pBdr>
        <w:rPr>
          <w:noProof/>
        </w:rPr>
      </w:pPr>
      <w:r w:rsidRPr="00D3304A">
        <w:rPr>
          <w:noProof/>
        </w:rPr>
        <w:t>Entfällt.</w:t>
      </w:r>
    </w:p>
    <w:p w:rsidR="00552A84" w:rsidRPr="00D3304A" w:rsidRDefault="00552A84" w:rsidP="00552A84">
      <w:pPr>
        <w:pStyle w:val="Text1"/>
        <w:rPr>
          <w:noProof/>
          <w:sz w:val="20"/>
        </w:rPr>
      </w:pPr>
      <w:r w:rsidRPr="00D3304A">
        <w:rPr>
          <w:noProof/>
          <w:sz w:val="20"/>
        </w:rPr>
        <w:t>Sonstige Anmerkungen (bei der Ermittlung der Auswirkungen auf die Einnahmen verwendete Methode/Formel oder weitere Informationen).</w:t>
      </w:r>
    </w:p>
    <w:p w:rsidR="00552A84" w:rsidRPr="00D3304A" w:rsidRDefault="00552A84" w:rsidP="00552A84">
      <w:pPr>
        <w:pStyle w:val="Text1"/>
        <w:pBdr>
          <w:top w:val="single" w:sz="4" w:space="1" w:color="auto"/>
          <w:left w:val="single" w:sz="4" w:space="4" w:color="auto"/>
          <w:bottom w:val="single" w:sz="4" w:space="1" w:color="auto"/>
          <w:right w:val="single" w:sz="4" w:space="4" w:color="auto"/>
        </w:pBdr>
        <w:rPr>
          <w:noProof/>
        </w:rPr>
      </w:pPr>
      <w:r w:rsidRPr="00D3304A">
        <w:rPr>
          <w:noProof/>
        </w:rPr>
        <w:t>Entfällt.</w:t>
      </w:r>
    </w:p>
    <w:p w:rsidR="00552A84" w:rsidRPr="00D3304A" w:rsidRDefault="00552A84" w:rsidP="00C1401B">
      <w:pPr>
        <w:pStyle w:val="Text1"/>
        <w:rPr>
          <w:noProof/>
          <w:sz w:val="20"/>
        </w:rPr>
      </w:pPr>
    </w:p>
    <w:p w:rsidR="00552A84" w:rsidRPr="00D3304A" w:rsidRDefault="00552A84" w:rsidP="00C1401B">
      <w:pPr>
        <w:pStyle w:val="Text1"/>
        <w:rPr>
          <w:noProof/>
          <w:sz w:val="20"/>
        </w:rPr>
        <w:sectPr w:rsidR="00552A84" w:rsidRPr="00D3304A" w:rsidSect="00740C8C">
          <w:pgSz w:w="11907" w:h="16839"/>
          <w:pgMar w:top="1134" w:right="1417" w:bottom="1134" w:left="1417" w:header="709" w:footer="709" w:gutter="0"/>
          <w:cols w:space="720"/>
          <w:docGrid w:linePitch="360"/>
        </w:sectPr>
      </w:pPr>
    </w:p>
    <w:p w:rsidR="00552A84" w:rsidRPr="00D3304A" w:rsidRDefault="00552A84" w:rsidP="00552A84">
      <w:pPr>
        <w:rPr>
          <w:b/>
          <w:bCs/>
          <w:noProof/>
        </w:rPr>
      </w:pPr>
      <w:r w:rsidRPr="00C24C00">
        <w:rPr>
          <w:b/>
          <w:noProof/>
        </w:rPr>
        <w:t>4</w:t>
      </w:r>
      <w:r w:rsidRPr="00D3304A">
        <w:rPr>
          <w:b/>
          <w:noProof/>
        </w:rPr>
        <w:t>. DIGITALE ASPEKTE</w:t>
      </w:r>
    </w:p>
    <w:p w:rsidR="00552A84" w:rsidRPr="00D3304A" w:rsidRDefault="00552A84" w:rsidP="00552A84">
      <w:pPr>
        <w:rPr>
          <w:b/>
          <w:bCs/>
          <w:noProof/>
          <w:szCs w:val="24"/>
        </w:rPr>
      </w:pPr>
      <w:r w:rsidRPr="00C24C00">
        <w:rPr>
          <w:b/>
          <w:noProof/>
        </w:rPr>
        <w:t>4</w:t>
      </w:r>
      <w:r w:rsidRPr="00D3304A">
        <w:rPr>
          <w:b/>
          <w:noProof/>
        </w:rPr>
        <w:t>.</w:t>
      </w:r>
      <w:r w:rsidRPr="00C24C00">
        <w:rPr>
          <w:b/>
          <w:noProof/>
        </w:rPr>
        <w:t>1</w:t>
      </w:r>
      <w:r w:rsidRPr="00D3304A">
        <w:rPr>
          <w:b/>
          <w:noProof/>
        </w:rPr>
        <w:t>.</w:t>
      </w:r>
      <w:r w:rsidRPr="00D3304A">
        <w:rPr>
          <w:noProof/>
        </w:rPr>
        <w:tab/>
      </w:r>
      <w:r w:rsidRPr="00D3304A">
        <w:rPr>
          <w:b/>
          <w:noProof/>
        </w:rPr>
        <w:t>Anforderungen von digitaler Relevanz</w:t>
      </w:r>
    </w:p>
    <w:p w:rsidR="00552A84" w:rsidRPr="00D3304A" w:rsidRDefault="00552A84" w:rsidP="00552A84">
      <w:pPr>
        <w:rPr>
          <w:noProof/>
          <w:szCs w:val="24"/>
        </w:rPr>
      </w:pPr>
      <w:r w:rsidRPr="00D3304A">
        <w:rPr>
          <w:noProof/>
        </w:rPr>
        <w:t>Wird festgestellt, dass die politische Initiative keine digitale Relevanz aufweist, erläutern Sie bitte, warum keine digitalen Mittel genutzt werden.</w:t>
      </w:r>
    </w:p>
    <w:tbl>
      <w:tblPr>
        <w:tblStyle w:val="TableGrid"/>
        <w:tblW w:w="0" w:type="auto"/>
        <w:tblLayout w:type="fixed"/>
        <w:tblLook w:val="04A0" w:firstRow="1" w:lastRow="0" w:firstColumn="1" w:lastColumn="0" w:noHBand="0" w:noVBand="1"/>
      </w:tblPr>
      <w:tblGrid>
        <w:gridCol w:w="14294"/>
      </w:tblGrid>
      <w:tr w:rsidR="00552A84" w:rsidRPr="00D3304A" w:rsidTr="00FE3C4C">
        <w:trPr>
          <w:trHeight w:val="300"/>
        </w:trPr>
        <w:tc>
          <w:tcPr>
            <w:tcW w:w="14294" w:type="dxa"/>
            <w:tcBorders>
              <w:top w:val="single" w:sz="8" w:space="0" w:color="auto"/>
              <w:left w:val="single" w:sz="8" w:space="0" w:color="auto"/>
              <w:bottom w:val="single" w:sz="8" w:space="0" w:color="auto"/>
              <w:right w:val="single" w:sz="8" w:space="0" w:color="auto"/>
            </w:tcBorders>
            <w:tcMar>
              <w:left w:w="108" w:type="dxa"/>
              <w:right w:w="108" w:type="dxa"/>
            </w:tcMar>
          </w:tcPr>
          <w:p w:rsidR="00552A84" w:rsidRPr="00D3304A" w:rsidRDefault="00552A84" w:rsidP="00FE3C4C">
            <w:pPr>
              <w:rPr>
                <w:noProof/>
                <w:szCs w:val="24"/>
              </w:rPr>
            </w:pPr>
            <w:r w:rsidRPr="00D3304A">
              <w:rPr>
                <w:noProof/>
              </w:rPr>
              <w:t xml:space="preserve"> </w:t>
            </w:r>
          </w:p>
        </w:tc>
      </w:tr>
    </w:tbl>
    <w:p w:rsidR="00552A84" w:rsidRPr="00D3304A" w:rsidRDefault="00552A84" w:rsidP="00552A84">
      <w:pPr>
        <w:rPr>
          <w:noProof/>
          <w:szCs w:val="24"/>
        </w:rPr>
      </w:pPr>
      <w:r w:rsidRPr="00D3304A">
        <w:rPr>
          <w:noProof/>
        </w:rPr>
        <w:t xml:space="preserve">Andernfalls führen Sie bitte die Anforderungen an die digitale Relevanz in der nachstehenden Tabelle auf: </w:t>
      </w:r>
    </w:p>
    <w:tbl>
      <w:tblPr>
        <w:tblStyle w:val="TableGrid"/>
        <w:tblW w:w="14952" w:type="dxa"/>
        <w:tblLayout w:type="fixed"/>
        <w:tblLook w:val="04A0" w:firstRow="1" w:lastRow="0" w:firstColumn="1" w:lastColumn="0" w:noHBand="0" w:noVBand="1"/>
      </w:tblPr>
      <w:tblGrid>
        <w:gridCol w:w="2286"/>
        <w:gridCol w:w="3091"/>
        <w:gridCol w:w="3544"/>
        <w:gridCol w:w="3265"/>
        <w:gridCol w:w="2766"/>
      </w:tblGrid>
      <w:tr w:rsidR="00552A84" w:rsidRPr="00D3304A" w:rsidTr="00FE3C4C">
        <w:trPr>
          <w:trHeight w:val="300"/>
        </w:trPr>
        <w:tc>
          <w:tcPr>
            <w:tcW w:w="22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3304A" w:rsidRDefault="00552A84" w:rsidP="00FE3C4C">
            <w:pPr>
              <w:jc w:val="left"/>
              <w:rPr>
                <w:b/>
                <w:bCs/>
                <w:noProof/>
              </w:rPr>
            </w:pPr>
            <w:bookmarkStart w:id="79" w:name="_Hlk189733531"/>
            <w:r w:rsidRPr="00D3304A">
              <w:rPr>
                <w:b/>
                <w:noProof/>
              </w:rPr>
              <w:t>Verweis auf die Anforderung</w:t>
            </w:r>
          </w:p>
        </w:tc>
        <w:tc>
          <w:tcPr>
            <w:tcW w:w="30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3304A" w:rsidRDefault="00552A84" w:rsidP="00FE3C4C">
            <w:pPr>
              <w:jc w:val="left"/>
              <w:rPr>
                <w:b/>
                <w:bCs/>
                <w:noProof/>
                <w:szCs w:val="24"/>
              </w:rPr>
            </w:pPr>
            <w:r w:rsidRPr="00D3304A">
              <w:rPr>
                <w:b/>
                <w:noProof/>
              </w:rPr>
              <w:t>Beschreibung der Anforderung</w:t>
            </w:r>
          </w:p>
        </w:tc>
        <w:tc>
          <w:tcPr>
            <w:tcW w:w="35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3304A" w:rsidRDefault="00552A84" w:rsidP="00FE3C4C">
            <w:pPr>
              <w:jc w:val="left"/>
              <w:rPr>
                <w:b/>
                <w:bCs/>
                <w:noProof/>
                <w:szCs w:val="24"/>
              </w:rPr>
            </w:pPr>
            <w:r w:rsidRPr="00D3304A">
              <w:rPr>
                <w:b/>
                <w:noProof/>
              </w:rPr>
              <w:t>Von der Anforderung betroffener oder betreffender Akteur</w:t>
            </w:r>
          </w:p>
        </w:tc>
        <w:tc>
          <w:tcPr>
            <w:tcW w:w="3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3304A" w:rsidRDefault="00552A84" w:rsidP="00FE3C4C">
            <w:pPr>
              <w:jc w:val="left"/>
              <w:rPr>
                <w:b/>
                <w:bCs/>
                <w:noProof/>
                <w:szCs w:val="24"/>
              </w:rPr>
            </w:pPr>
            <w:r w:rsidRPr="00D3304A">
              <w:rPr>
                <w:b/>
                <w:noProof/>
              </w:rPr>
              <w:t>Verfahren auf übergeordneter Ebene</w:t>
            </w:r>
          </w:p>
        </w:tc>
        <w:tc>
          <w:tcPr>
            <w:tcW w:w="27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3304A" w:rsidRDefault="00552A84" w:rsidP="00FE3C4C">
            <w:pPr>
              <w:jc w:val="left"/>
              <w:rPr>
                <w:b/>
                <w:bCs/>
                <w:noProof/>
                <w:szCs w:val="24"/>
              </w:rPr>
            </w:pPr>
            <w:r w:rsidRPr="00D3304A">
              <w:rPr>
                <w:b/>
                <w:noProof/>
              </w:rPr>
              <w:t>Kategorie</w:t>
            </w:r>
          </w:p>
        </w:tc>
      </w:tr>
      <w:tr w:rsidR="00552A84" w:rsidRPr="00D3304A" w:rsidTr="00FE3C4C">
        <w:tc>
          <w:tcPr>
            <w:tcW w:w="2286" w:type="dxa"/>
            <w:hideMark/>
          </w:tcPr>
          <w:p w:rsidR="00552A84" w:rsidRPr="00D3304A" w:rsidRDefault="00552A84" w:rsidP="00FE3C4C">
            <w:pPr>
              <w:spacing w:before="0" w:after="0"/>
              <w:jc w:val="left"/>
              <w:rPr>
                <w:noProof/>
                <w:sz w:val="20"/>
              </w:rPr>
            </w:pPr>
            <w:r w:rsidRPr="00D3304A">
              <w:rPr>
                <w:noProof/>
                <w:sz w:val="20"/>
              </w:rPr>
              <w:t>Artikel </w:t>
            </w:r>
            <w:r w:rsidRPr="00C24C00">
              <w:rPr>
                <w:noProof/>
                <w:sz w:val="20"/>
              </w:rPr>
              <w:t>3</w:t>
            </w:r>
          </w:p>
        </w:tc>
        <w:tc>
          <w:tcPr>
            <w:tcW w:w="3091" w:type="dxa"/>
            <w:hideMark/>
          </w:tcPr>
          <w:p w:rsidR="00552A84" w:rsidRPr="00D3304A" w:rsidRDefault="00552A84" w:rsidP="00FE3C4C">
            <w:pPr>
              <w:pStyle w:val="Titrearticle"/>
              <w:spacing w:before="0"/>
              <w:jc w:val="left"/>
              <w:rPr>
                <w:i w:val="0"/>
                <w:noProof/>
                <w:sz w:val="20"/>
              </w:rPr>
            </w:pPr>
            <w:r w:rsidRPr="00D3304A">
              <w:rPr>
                <w:i w:val="0"/>
                <w:noProof/>
                <w:sz w:val="20"/>
              </w:rPr>
              <w:t>Datenquellen und Methodik</w:t>
            </w:r>
          </w:p>
          <w:p w:rsidR="00552A84" w:rsidRPr="00D3304A" w:rsidRDefault="00552A84" w:rsidP="00FE3C4C">
            <w:pPr>
              <w:spacing w:before="0" w:after="0"/>
              <w:jc w:val="left"/>
              <w:rPr>
                <w:noProof/>
                <w:sz w:val="20"/>
                <w:lang w:eastAsia="en-IE"/>
              </w:rPr>
            </w:pPr>
          </w:p>
        </w:tc>
        <w:tc>
          <w:tcPr>
            <w:tcW w:w="3544" w:type="dxa"/>
            <w:hideMark/>
          </w:tcPr>
          <w:p w:rsidR="00552A84" w:rsidRPr="00D3304A" w:rsidRDefault="00552A84" w:rsidP="00FE3C4C">
            <w:pPr>
              <w:spacing w:before="0" w:after="0"/>
              <w:jc w:val="left"/>
              <w:rPr>
                <w:noProof/>
                <w:sz w:val="20"/>
              </w:rPr>
            </w:pPr>
            <w:r w:rsidRPr="00D3304A">
              <w:rPr>
                <w:noProof/>
                <w:sz w:val="20"/>
              </w:rPr>
              <w:t>Mitgliedstaaten (nationale statistische Stellen, die für die Erstellung nichtfinanzieller Statistiken zu Gewerbeimmobilien zuständig sind)</w:t>
            </w:r>
          </w:p>
        </w:tc>
        <w:tc>
          <w:tcPr>
            <w:tcW w:w="3265" w:type="dxa"/>
            <w:hideMark/>
          </w:tcPr>
          <w:p w:rsidR="00552A84" w:rsidRPr="00D3304A" w:rsidRDefault="00552A84" w:rsidP="00FE3C4C">
            <w:pPr>
              <w:spacing w:before="0" w:after="0"/>
              <w:jc w:val="left"/>
              <w:rPr>
                <w:noProof/>
                <w:sz w:val="20"/>
              </w:rPr>
            </w:pPr>
            <w:r w:rsidRPr="00D3304A">
              <w:rPr>
                <w:noProof/>
                <w:sz w:val="20"/>
              </w:rPr>
              <w:t>Datenerhebung, Datenverarbeitung, Datenerstellung</w:t>
            </w:r>
          </w:p>
        </w:tc>
        <w:tc>
          <w:tcPr>
            <w:tcW w:w="2766" w:type="dxa"/>
            <w:hideMark/>
          </w:tcPr>
          <w:p w:rsidR="00552A84" w:rsidRPr="00D3304A" w:rsidRDefault="00552A84" w:rsidP="00FE3C4C">
            <w:pPr>
              <w:spacing w:before="0" w:after="0"/>
              <w:jc w:val="left"/>
              <w:rPr>
                <w:noProof/>
                <w:sz w:val="20"/>
              </w:rPr>
            </w:pPr>
            <w:r w:rsidRPr="00D3304A">
              <w:rPr>
                <w:noProof/>
                <w:sz w:val="20"/>
              </w:rPr>
              <w:t xml:space="preserve">Daten, digitale öffentliche Dienste </w:t>
            </w:r>
          </w:p>
        </w:tc>
      </w:tr>
      <w:tr w:rsidR="00552A84" w:rsidRPr="00D3304A" w:rsidTr="00FE3C4C">
        <w:tc>
          <w:tcPr>
            <w:tcW w:w="2286" w:type="dxa"/>
            <w:hideMark/>
          </w:tcPr>
          <w:p w:rsidR="00552A84" w:rsidRPr="00D3304A" w:rsidRDefault="00552A84" w:rsidP="00FE3C4C">
            <w:pPr>
              <w:spacing w:before="0" w:after="0"/>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1</w:t>
            </w:r>
          </w:p>
        </w:tc>
        <w:tc>
          <w:tcPr>
            <w:tcW w:w="3091" w:type="dxa"/>
            <w:hideMark/>
          </w:tcPr>
          <w:p w:rsidR="00552A84" w:rsidRPr="00D3304A" w:rsidRDefault="00552A84" w:rsidP="00FE3C4C">
            <w:pPr>
              <w:pStyle w:val="Titrearticle"/>
              <w:spacing w:before="0"/>
              <w:jc w:val="left"/>
              <w:rPr>
                <w:i w:val="0"/>
                <w:noProof/>
                <w:sz w:val="20"/>
              </w:rPr>
            </w:pPr>
            <w:r w:rsidRPr="00D3304A">
              <w:rPr>
                <w:i w:val="0"/>
                <w:noProof/>
                <w:sz w:val="20"/>
              </w:rPr>
              <w:t>Akteure für die Gewährung von Zugang zu Datenquellen</w:t>
            </w:r>
          </w:p>
          <w:p w:rsidR="00552A84" w:rsidRPr="00D3304A" w:rsidRDefault="00552A84" w:rsidP="00FE3C4C">
            <w:pPr>
              <w:spacing w:before="0" w:after="0"/>
              <w:jc w:val="left"/>
              <w:rPr>
                <w:noProof/>
                <w:sz w:val="20"/>
                <w:lang w:eastAsia="en-IE"/>
              </w:rPr>
            </w:pPr>
          </w:p>
        </w:tc>
        <w:tc>
          <w:tcPr>
            <w:tcW w:w="3544" w:type="dxa"/>
            <w:hideMark/>
          </w:tcPr>
          <w:p w:rsidR="00552A84" w:rsidRPr="00D3304A" w:rsidRDefault="00552A84" w:rsidP="00FE3C4C">
            <w:pPr>
              <w:spacing w:before="0" w:after="0"/>
              <w:jc w:val="left"/>
              <w:rPr>
                <w:noProof/>
                <w:sz w:val="20"/>
              </w:rPr>
            </w:pPr>
            <w:r w:rsidRPr="00D3304A">
              <w:rPr>
                <w:noProof/>
                <w:sz w:val="20"/>
              </w:rPr>
              <w:t>Statistische Einheiten gemäß der Verordnung (EWG) Nr. </w:t>
            </w:r>
            <w:r w:rsidRPr="00C24C00">
              <w:rPr>
                <w:noProof/>
                <w:sz w:val="20"/>
              </w:rPr>
              <w:t>696</w:t>
            </w:r>
            <w:r w:rsidRPr="00D3304A">
              <w:rPr>
                <w:noProof/>
                <w:sz w:val="20"/>
              </w:rPr>
              <w:t>/</w:t>
            </w:r>
            <w:r w:rsidRPr="00C24C00">
              <w:rPr>
                <w:noProof/>
                <w:sz w:val="20"/>
              </w:rPr>
              <w:t>93</w:t>
            </w:r>
            <w:r w:rsidRPr="00D3304A">
              <w:rPr>
                <w:noProof/>
                <w:sz w:val="20"/>
              </w:rPr>
              <w:t xml:space="preserve"> des Rates;</w:t>
            </w:r>
          </w:p>
          <w:p w:rsidR="00552A84" w:rsidRPr="00D3304A" w:rsidRDefault="00552A84" w:rsidP="00FE3C4C">
            <w:pPr>
              <w:spacing w:before="0" w:after="0"/>
              <w:jc w:val="left"/>
              <w:rPr>
                <w:noProof/>
                <w:sz w:val="20"/>
              </w:rPr>
            </w:pPr>
            <w:r w:rsidRPr="00D3304A">
              <w:rPr>
                <w:noProof/>
                <w:sz w:val="20"/>
              </w:rPr>
              <w:t>Inhaber von Verwaltungsunterlagen;</w:t>
            </w:r>
          </w:p>
          <w:p w:rsidR="00552A84" w:rsidRPr="00D3304A" w:rsidRDefault="00552A84" w:rsidP="00FE3C4C">
            <w:pPr>
              <w:spacing w:before="0" w:after="0"/>
              <w:jc w:val="left"/>
              <w:rPr>
                <w:noProof/>
                <w:sz w:val="20"/>
              </w:rPr>
            </w:pPr>
            <w:r w:rsidRPr="00D3304A">
              <w:rPr>
                <w:noProof/>
                <w:sz w:val="20"/>
              </w:rPr>
              <w:t>private Dateninhaber;</w:t>
            </w:r>
          </w:p>
          <w:p w:rsidR="00552A84" w:rsidRPr="00D3304A" w:rsidRDefault="00552A84" w:rsidP="00FE3C4C">
            <w:pPr>
              <w:spacing w:before="0" w:after="0"/>
              <w:jc w:val="left"/>
              <w:rPr>
                <w:noProof/>
                <w:sz w:val="20"/>
                <w:lang w:eastAsia="en-IE"/>
              </w:rPr>
            </w:pPr>
          </w:p>
        </w:tc>
        <w:tc>
          <w:tcPr>
            <w:tcW w:w="3265" w:type="dxa"/>
            <w:hideMark/>
          </w:tcPr>
          <w:p w:rsidR="00552A84" w:rsidRPr="00D3304A" w:rsidRDefault="00552A84" w:rsidP="00FE3C4C">
            <w:pPr>
              <w:spacing w:before="0" w:after="0"/>
              <w:jc w:val="left"/>
              <w:rPr>
                <w:noProof/>
                <w:sz w:val="20"/>
              </w:rPr>
            </w:pPr>
            <w:r w:rsidRPr="00D3304A">
              <w:rPr>
                <w:noProof/>
                <w:sz w:val="20"/>
              </w:rPr>
              <w:t>Datenerhebung, Datenverarbeitung</w:t>
            </w:r>
          </w:p>
        </w:tc>
        <w:tc>
          <w:tcPr>
            <w:tcW w:w="2766" w:type="dxa"/>
          </w:tcPr>
          <w:p w:rsidR="00552A84" w:rsidRPr="00D3304A" w:rsidRDefault="00552A84" w:rsidP="00FE3C4C">
            <w:pPr>
              <w:spacing w:before="0" w:after="0"/>
              <w:jc w:val="left"/>
              <w:rPr>
                <w:noProof/>
                <w:sz w:val="20"/>
              </w:rPr>
            </w:pPr>
            <w:r w:rsidRPr="00D3304A">
              <w:rPr>
                <w:noProof/>
                <w:sz w:val="20"/>
              </w:rPr>
              <w:t>Daten, digitale öffentliche Dienste</w:t>
            </w:r>
          </w:p>
        </w:tc>
      </w:tr>
      <w:tr w:rsidR="00552A84" w:rsidRPr="00D3304A" w:rsidTr="00FE3C4C">
        <w:tc>
          <w:tcPr>
            <w:tcW w:w="2286" w:type="dxa"/>
          </w:tcPr>
          <w:p w:rsidR="00552A84" w:rsidRPr="00D3304A" w:rsidRDefault="00552A84" w:rsidP="00FE3C4C">
            <w:pPr>
              <w:spacing w:before="0" w:after="0"/>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2</w:t>
            </w:r>
            <w:r w:rsidRPr="00D3304A">
              <w:rPr>
                <w:noProof/>
                <w:sz w:val="20"/>
              </w:rPr>
              <w:t>;</w:t>
            </w:r>
          </w:p>
          <w:p w:rsidR="00552A84" w:rsidRPr="00D3304A" w:rsidRDefault="00552A84" w:rsidP="00FE3C4C">
            <w:pPr>
              <w:spacing w:before="0" w:after="0"/>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3</w:t>
            </w:r>
          </w:p>
        </w:tc>
        <w:tc>
          <w:tcPr>
            <w:tcW w:w="3091" w:type="dxa"/>
          </w:tcPr>
          <w:p w:rsidR="00552A84" w:rsidRPr="00D3304A" w:rsidRDefault="00552A84" w:rsidP="00FE3C4C">
            <w:pPr>
              <w:pStyle w:val="Titrearticle"/>
              <w:spacing w:before="0"/>
              <w:jc w:val="left"/>
              <w:rPr>
                <w:i w:val="0"/>
                <w:noProof/>
                <w:sz w:val="20"/>
              </w:rPr>
            </w:pPr>
            <w:r w:rsidRPr="00D3304A">
              <w:rPr>
                <w:i w:val="0"/>
                <w:noProof/>
                <w:sz w:val="20"/>
              </w:rPr>
              <w:t>Quelldaten und Informationen, die von den statistischen Einheiten gemäß der Verordnung (EWG) Nr. </w:t>
            </w:r>
            <w:r w:rsidRPr="00C24C00">
              <w:rPr>
                <w:i w:val="0"/>
                <w:noProof/>
                <w:sz w:val="20"/>
              </w:rPr>
              <w:t>696</w:t>
            </w:r>
            <w:r w:rsidRPr="00D3304A">
              <w:rPr>
                <w:i w:val="0"/>
                <w:noProof/>
                <w:sz w:val="20"/>
              </w:rPr>
              <w:t>/</w:t>
            </w:r>
            <w:r w:rsidRPr="00C24C00">
              <w:rPr>
                <w:i w:val="0"/>
                <w:noProof/>
                <w:sz w:val="20"/>
              </w:rPr>
              <w:t>93</w:t>
            </w:r>
            <w:r w:rsidRPr="00D3304A">
              <w:rPr>
                <w:i w:val="0"/>
                <w:noProof/>
                <w:sz w:val="20"/>
              </w:rPr>
              <w:t xml:space="preserve"> des Rates bereitzustellen sind</w:t>
            </w:r>
          </w:p>
        </w:tc>
        <w:tc>
          <w:tcPr>
            <w:tcW w:w="3544" w:type="dxa"/>
          </w:tcPr>
          <w:p w:rsidR="00552A84" w:rsidRPr="00D3304A" w:rsidRDefault="00552A84" w:rsidP="00FE3C4C">
            <w:pPr>
              <w:spacing w:before="0" w:after="0"/>
              <w:jc w:val="left"/>
              <w:rPr>
                <w:noProof/>
                <w:sz w:val="20"/>
              </w:rPr>
            </w:pPr>
            <w:r w:rsidRPr="00D3304A">
              <w:rPr>
                <w:noProof/>
                <w:sz w:val="20"/>
              </w:rPr>
              <w:t>Nationale statistische Stellen, die für die Erstellung nichtfinanzieller Statistiken zu Gewerbeimmobilien zuständig sind;</w:t>
            </w:r>
          </w:p>
          <w:p w:rsidR="00552A84" w:rsidRPr="00D3304A" w:rsidRDefault="00552A84" w:rsidP="00FE3C4C">
            <w:pPr>
              <w:spacing w:before="0" w:after="0"/>
              <w:jc w:val="left"/>
              <w:rPr>
                <w:noProof/>
                <w:sz w:val="20"/>
              </w:rPr>
            </w:pPr>
            <w:r w:rsidRPr="00D3304A">
              <w:rPr>
                <w:noProof/>
                <w:sz w:val="20"/>
              </w:rPr>
              <w:t>Statistische Einheiten gemäß der Verordnung (EWG) Nr. </w:t>
            </w:r>
            <w:r w:rsidRPr="00C24C00">
              <w:rPr>
                <w:noProof/>
                <w:sz w:val="20"/>
              </w:rPr>
              <w:t>696</w:t>
            </w:r>
            <w:r w:rsidRPr="00D3304A">
              <w:rPr>
                <w:noProof/>
                <w:sz w:val="20"/>
              </w:rPr>
              <w:t>/</w:t>
            </w:r>
            <w:r w:rsidRPr="00C24C00">
              <w:rPr>
                <w:noProof/>
                <w:sz w:val="20"/>
              </w:rPr>
              <w:t>93</w:t>
            </w:r>
            <w:r w:rsidRPr="00D3304A">
              <w:rPr>
                <w:noProof/>
                <w:sz w:val="20"/>
              </w:rPr>
              <w:t xml:space="preserve"> des Rates;</w:t>
            </w:r>
          </w:p>
        </w:tc>
        <w:tc>
          <w:tcPr>
            <w:tcW w:w="3265" w:type="dxa"/>
          </w:tcPr>
          <w:p w:rsidR="00552A84" w:rsidRPr="00D3304A" w:rsidRDefault="00552A84" w:rsidP="00FE3C4C">
            <w:pPr>
              <w:spacing w:before="0" w:after="0"/>
              <w:jc w:val="left"/>
              <w:rPr>
                <w:noProof/>
                <w:sz w:val="20"/>
              </w:rPr>
            </w:pPr>
            <w:r w:rsidRPr="00D3304A">
              <w:rPr>
                <w:noProof/>
                <w:sz w:val="20"/>
              </w:rPr>
              <w:t>Datenerhebung</w:t>
            </w:r>
          </w:p>
        </w:tc>
        <w:tc>
          <w:tcPr>
            <w:tcW w:w="2766" w:type="dxa"/>
          </w:tcPr>
          <w:p w:rsidR="00552A84" w:rsidRPr="00D3304A" w:rsidRDefault="00552A84" w:rsidP="00FE3C4C">
            <w:pPr>
              <w:spacing w:before="0" w:after="0"/>
              <w:jc w:val="left"/>
              <w:rPr>
                <w:noProof/>
                <w:sz w:val="20"/>
              </w:rPr>
            </w:pPr>
            <w:r w:rsidRPr="00D3304A">
              <w:rPr>
                <w:noProof/>
                <w:sz w:val="20"/>
              </w:rPr>
              <w:t>Daten, digitale öffentliche Dienste</w:t>
            </w:r>
          </w:p>
        </w:tc>
      </w:tr>
      <w:tr w:rsidR="00552A84" w:rsidRPr="00D3304A" w:rsidTr="00FE3C4C">
        <w:tc>
          <w:tcPr>
            <w:tcW w:w="2286" w:type="dxa"/>
          </w:tcPr>
          <w:p w:rsidR="00552A84" w:rsidRPr="00D3304A" w:rsidRDefault="00552A84" w:rsidP="00FE3C4C">
            <w:pPr>
              <w:spacing w:before="0" w:after="0"/>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4</w:t>
            </w:r>
          </w:p>
        </w:tc>
        <w:tc>
          <w:tcPr>
            <w:tcW w:w="3091" w:type="dxa"/>
          </w:tcPr>
          <w:p w:rsidR="00552A84" w:rsidRPr="00D3304A" w:rsidRDefault="00552A84" w:rsidP="00FE3C4C">
            <w:pPr>
              <w:pStyle w:val="Titrearticle"/>
              <w:spacing w:before="0"/>
              <w:jc w:val="left"/>
              <w:rPr>
                <w:i w:val="0"/>
                <w:noProof/>
                <w:sz w:val="20"/>
              </w:rPr>
            </w:pPr>
            <w:r w:rsidRPr="00D3304A">
              <w:rPr>
                <w:i w:val="0"/>
                <w:noProof/>
                <w:sz w:val="20"/>
              </w:rPr>
              <w:t>Verwendung von Quelldaten</w:t>
            </w:r>
          </w:p>
        </w:tc>
        <w:tc>
          <w:tcPr>
            <w:tcW w:w="3544" w:type="dxa"/>
          </w:tcPr>
          <w:p w:rsidR="00552A84" w:rsidRPr="00D3304A" w:rsidRDefault="00552A84" w:rsidP="00FE3C4C">
            <w:pPr>
              <w:spacing w:before="0" w:after="0"/>
              <w:jc w:val="left"/>
              <w:rPr>
                <w:noProof/>
                <w:sz w:val="20"/>
              </w:rPr>
            </w:pPr>
            <w:r w:rsidRPr="00D3304A">
              <w:rPr>
                <w:noProof/>
                <w:sz w:val="20"/>
              </w:rPr>
              <w:t>Die NSÄ und andere einzelstaatliche Stellen; private Dateninhaber</w:t>
            </w:r>
          </w:p>
        </w:tc>
        <w:tc>
          <w:tcPr>
            <w:tcW w:w="3265" w:type="dxa"/>
          </w:tcPr>
          <w:p w:rsidR="00552A84" w:rsidRPr="00D3304A" w:rsidRDefault="00552A84" w:rsidP="00FE3C4C">
            <w:pPr>
              <w:spacing w:before="0" w:after="0"/>
              <w:jc w:val="left"/>
              <w:rPr>
                <w:noProof/>
                <w:sz w:val="20"/>
              </w:rPr>
            </w:pPr>
            <w:r w:rsidRPr="00D3304A">
              <w:rPr>
                <w:noProof/>
                <w:sz w:val="20"/>
              </w:rPr>
              <w:t>Datenerhebung; Weiterverwendung von Daten;</w:t>
            </w:r>
          </w:p>
        </w:tc>
        <w:tc>
          <w:tcPr>
            <w:tcW w:w="2766" w:type="dxa"/>
          </w:tcPr>
          <w:p w:rsidR="00552A84" w:rsidRPr="00D3304A" w:rsidRDefault="00552A84" w:rsidP="00FE3C4C">
            <w:pPr>
              <w:spacing w:before="0" w:after="0"/>
              <w:jc w:val="left"/>
              <w:rPr>
                <w:noProof/>
                <w:sz w:val="20"/>
              </w:rPr>
            </w:pPr>
            <w:r w:rsidRPr="00D3304A">
              <w:rPr>
                <w:noProof/>
                <w:sz w:val="20"/>
              </w:rPr>
              <w:t>Daten, digitale öffentliche Dienste Digitale Lösungen</w:t>
            </w:r>
          </w:p>
        </w:tc>
      </w:tr>
      <w:tr w:rsidR="00552A84" w:rsidRPr="00D3304A" w:rsidTr="00FE3C4C">
        <w:tc>
          <w:tcPr>
            <w:tcW w:w="2286" w:type="dxa"/>
          </w:tcPr>
          <w:p w:rsidR="00552A84" w:rsidRPr="00D3304A" w:rsidRDefault="00552A84" w:rsidP="00FE3C4C">
            <w:pPr>
              <w:spacing w:before="0" w:after="0"/>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5</w:t>
            </w:r>
          </w:p>
        </w:tc>
        <w:tc>
          <w:tcPr>
            <w:tcW w:w="3091" w:type="dxa"/>
          </w:tcPr>
          <w:p w:rsidR="00552A84" w:rsidRPr="00D3304A" w:rsidRDefault="00552A84" w:rsidP="00FE3C4C">
            <w:pPr>
              <w:pStyle w:val="Titrearticle"/>
              <w:spacing w:before="0"/>
              <w:jc w:val="left"/>
              <w:rPr>
                <w:i w:val="0"/>
                <w:noProof/>
                <w:sz w:val="20"/>
              </w:rPr>
            </w:pPr>
            <w:r w:rsidRPr="00D3304A">
              <w:rPr>
                <w:i w:val="0"/>
                <w:noProof/>
                <w:sz w:val="20"/>
              </w:rPr>
              <w:t>Zugang zu und Verwendung von Quelldaten</w:t>
            </w:r>
          </w:p>
        </w:tc>
        <w:tc>
          <w:tcPr>
            <w:tcW w:w="3544" w:type="dxa"/>
          </w:tcPr>
          <w:p w:rsidR="00552A84" w:rsidRPr="00D3304A" w:rsidRDefault="00552A84" w:rsidP="00FE3C4C">
            <w:pPr>
              <w:spacing w:before="0" w:after="0"/>
              <w:jc w:val="left"/>
              <w:rPr>
                <w:noProof/>
                <w:sz w:val="20"/>
              </w:rPr>
            </w:pPr>
            <w:r w:rsidRPr="00D3304A">
              <w:rPr>
                <w:noProof/>
                <w:sz w:val="20"/>
              </w:rPr>
              <w:t>Nationales statistisches Amt</w:t>
            </w:r>
          </w:p>
          <w:p w:rsidR="00552A84" w:rsidRPr="00D3304A" w:rsidRDefault="00552A84" w:rsidP="00FE3C4C">
            <w:pPr>
              <w:spacing w:before="0" w:after="0"/>
              <w:jc w:val="left"/>
              <w:rPr>
                <w:noProof/>
                <w:sz w:val="20"/>
              </w:rPr>
            </w:pPr>
            <w:r w:rsidRPr="00D3304A">
              <w:rPr>
                <w:noProof/>
                <w:sz w:val="20"/>
              </w:rPr>
              <w:t>Kommission (Eurostat)</w:t>
            </w:r>
          </w:p>
          <w:p w:rsidR="00552A84" w:rsidRPr="00D3304A" w:rsidRDefault="00552A84" w:rsidP="00FE3C4C">
            <w:pPr>
              <w:spacing w:before="0" w:after="0"/>
              <w:jc w:val="left"/>
              <w:rPr>
                <w:noProof/>
                <w:sz w:val="20"/>
              </w:rPr>
            </w:pPr>
            <w:r w:rsidRPr="00D3304A">
              <w:rPr>
                <w:noProof/>
                <w:sz w:val="20"/>
              </w:rPr>
              <w:t>Privater Dateninhaber</w:t>
            </w:r>
          </w:p>
          <w:p w:rsidR="00552A84" w:rsidRPr="00D3304A" w:rsidRDefault="00552A84" w:rsidP="00FE3C4C">
            <w:pPr>
              <w:spacing w:before="0" w:after="0"/>
              <w:jc w:val="left"/>
              <w:rPr>
                <w:noProof/>
                <w:sz w:val="20"/>
                <w:lang w:eastAsia="en-IE"/>
              </w:rPr>
            </w:pPr>
          </w:p>
        </w:tc>
        <w:tc>
          <w:tcPr>
            <w:tcW w:w="3265" w:type="dxa"/>
          </w:tcPr>
          <w:p w:rsidR="00552A84" w:rsidRPr="00D3304A" w:rsidRDefault="00552A84" w:rsidP="00FE3C4C">
            <w:pPr>
              <w:spacing w:before="0" w:after="0"/>
              <w:jc w:val="left"/>
              <w:rPr>
                <w:noProof/>
                <w:sz w:val="20"/>
              </w:rPr>
            </w:pPr>
            <w:r w:rsidRPr="00D3304A">
              <w:rPr>
                <w:noProof/>
                <w:sz w:val="20"/>
              </w:rPr>
              <w:t>Weiterverwendung von Daten; Datenverarbeitung; Datenerstellung</w:t>
            </w:r>
          </w:p>
        </w:tc>
        <w:tc>
          <w:tcPr>
            <w:tcW w:w="2766" w:type="dxa"/>
          </w:tcPr>
          <w:p w:rsidR="00552A84" w:rsidRPr="00D3304A" w:rsidRDefault="00552A84" w:rsidP="00FE3C4C">
            <w:pPr>
              <w:spacing w:before="0" w:after="0"/>
              <w:jc w:val="left"/>
              <w:rPr>
                <w:noProof/>
                <w:sz w:val="20"/>
              </w:rPr>
            </w:pPr>
            <w:r w:rsidRPr="00D3304A">
              <w:rPr>
                <w:noProof/>
                <w:sz w:val="20"/>
              </w:rPr>
              <w:t>Daten, digitale öffentliche Dienste Digitale Lösungen</w:t>
            </w:r>
          </w:p>
        </w:tc>
      </w:tr>
      <w:tr w:rsidR="00552A84" w:rsidRPr="00D3304A" w:rsidTr="00FE3C4C">
        <w:tc>
          <w:tcPr>
            <w:tcW w:w="2286" w:type="dxa"/>
          </w:tcPr>
          <w:p w:rsidR="00552A84" w:rsidRPr="00D3304A" w:rsidRDefault="00552A84" w:rsidP="00FE3C4C">
            <w:pPr>
              <w:spacing w:before="0" w:after="0"/>
              <w:jc w:val="left"/>
              <w:rPr>
                <w:noProof/>
                <w:sz w:val="20"/>
              </w:rPr>
            </w:pPr>
            <w:r w:rsidRPr="00D3304A">
              <w:rPr>
                <w:noProof/>
                <w:sz w:val="20"/>
              </w:rPr>
              <w:t>Artikel </w:t>
            </w:r>
            <w:r w:rsidRPr="00C24C00">
              <w:rPr>
                <w:noProof/>
                <w:sz w:val="20"/>
              </w:rPr>
              <w:t>5</w:t>
            </w:r>
          </w:p>
        </w:tc>
        <w:tc>
          <w:tcPr>
            <w:tcW w:w="3091" w:type="dxa"/>
          </w:tcPr>
          <w:p w:rsidR="00552A84" w:rsidRPr="00D3304A" w:rsidRDefault="00552A84" w:rsidP="00FE3C4C">
            <w:pPr>
              <w:pStyle w:val="Titrearticle"/>
              <w:spacing w:before="0"/>
              <w:jc w:val="left"/>
              <w:rPr>
                <w:i w:val="0"/>
                <w:noProof/>
                <w:sz w:val="20"/>
              </w:rPr>
            </w:pPr>
            <w:r w:rsidRPr="00D3304A">
              <w:rPr>
                <w:i w:val="0"/>
                <w:noProof/>
                <w:sz w:val="20"/>
              </w:rPr>
              <w:t>Anforderungen an statistische Daten</w:t>
            </w:r>
          </w:p>
        </w:tc>
        <w:tc>
          <w:tcPr>
            <w:tcW w:w="3544" w:type="dxa"/>
          </w:tcPr>
          <w:p w:rsidR="00552A84" w:rsidRPr="00D3304A" w:rsidRDefault="00552A84" w:rsidP="00FE3C4C">
            <w:pPr>
              <w:spacing w:before="0" w:after="0"/>
              <w:jc w:val="left"/>
              <w:rPr>
                <w:noProof/>
                <w:sz w:val="20"/>
              </w:rPr>
            </w:pPr>
            <w:r w:rsidRPr="00D3304A">
              <w:rPr>
                <w:noProof/>
                <w:sz w:val="20"/>
              </w:rPr>
              <w:t>Mitgliedstaaten;</w:t>
            </w:r>
          </w:p>
          <w:p w:rsidR="00552A84" w:rsidRPr="00D3304A" w:rsidRDefault="00552A84" w:rsidP="00FE3C4C">
            <w:pPr>
              <w:spacing w:before="0" w:after="0"/>
              <w:jc w:val="left"/>
              <w:rPr>
                <w:noProof/>
                <w:sz w:val="20"/>
              </w:rPr>
            </w:pPr>
            <w:r w:rsidRPr="00D3304A">
              <w:rPr>
                <w:noProof/>
                <w:sz w:val="20"/>
              </w:rPr>
              <w:t>Europäische Kommission</w:t>
            </w:r>
          </w:p>
        </w:tc>
        <w:tc>
          <w:tcPr>
            <w:tcW w:w="3265" w:type="dxa"/>
          </w:tcPr>
          <w:p w:rsidR="00552A84" w:rsidRPr="00D3304A" w:rsidRDefault="00552A84" w:rsidP="00FE3C4C">
            <w:pPr>
              <w:spacing w:before="0" w:after="0"/>
              <w:jc w:val="left"/>
              <w:rPr>
                <w:noProof/>
                <w:sz w:val="20"/>
              </w:rPr>
            </w:pPr>
            <w:r w:rsidRPr="00D3304A">
              <w:rPr>
                <w:noProof/>
                <w:sz w:val="20"/>
              </w:rPr>
              <w:t>Datenverarbeitung, Datenerstellung; Datenübermittlung</w:t>
            </w:r>
          </w:p>
        </w:tc>
        <w:tc>
          <w:tcPr>
            <w:tcW w:w="2766" w:type="dxa"/>
          </w:tcPr>
          <w:p w:rsidR="00552A84" w:rsidRPr="00D3304A" w:rsidRDefault="00552A84" w:rsidP="00FE3C4C">
            <w:pPr>
              <w:spacing w:before="0" w:after="0"/>
              <w:jc w:val="left"/>
              <w:rPr>
                <w:noProof/>
                <w:sz w:val="20"/>
              </w:rPr>
            </w:pPr>
            <w:r w:rsidRPr="00D3304A">
              <w:rPr>
                <w:noProof/>
                <w:sz w:val="20"/>
              </w:rPr>
              <w:t>Daten, digitale öffentliche Dienste Digitale Lösungen</w:t>
            </w:r>
          </w:p>
        </w:tc>
      </w:tr>
      <w:tr w:rsidR="00552A84" w:rsidRPr="00D3304A" w:rsidTr="00FE3C4C">
        <w:tc>
          <w:tcPr>
            <w:tcW w:w="2286" w:type="dxa"/>
          </w:tcPr>
          <w:p w:rsidR="00552A84" w:rsidRPr="00D3304A" w:rsidRDefault="00552A84" w:rsidP="00FE3C4C">
            <w:pPr>
              <w:spacing w:before="0" w:after="0"/>
              <w:jc w:val="left"/>
              <w:rPr>
                <w:noProof/>
                <w:sz w:val="20"/>
              </w:rPr>
            </w:pPr>
            <w:r w:rsidRPr="00D3304A">
              <w:rPr>
                <w:noProof/>
                <w:sz w:val="20"/>
              </w:rPr>
              <w:t>Artikel </w:t>
            </w:r>
            <w:r w:rsidRPr="00C24C00">
              <w:rPr>
                <w:noProof/>
                <w:sz w:val="20"/>
              </w:rPr>
              <w:t>6</w:t>
            </w:r>
          </w:p>
        </w:tc>
        <w:tc>
          <w:tcPr>
            <w:tcW w:w="3091" w:type="dxa"/>
          </w:tcPr>
          <w:p w:rsidR="00552A84" w:rsidRPr="00D3304A" w:rsidRDefault="00552A84" w:rsidP="00FE3C4C">
            <w:pPr>
              <w:spacing w:before="0" w:after="0"/>
              <w:jc w:val="left"/>
              <w:rPr>
                <w:noProof/>
                <w:sz w:val="20"/>
              </w:rPr>
            </w:pPr>
            <w:r w:rsidRPr="00D3304A">
              <w:rPr>
                <w:noProof/>
                <w:sz w:val="20"/>
              </w:rPr>
              <w:t>Qualitätsanforderungen und Qualitätsberichterstattung in Bezug auf Statistiken</w:t>
            </w:r>
          </w:p>
        </w:tc>
        <w:tc>
          <w:tcPr>
            <w:tcW w:w="3544" w:type="dxa"/>
          </w:tcPr>
          <w:p w:rsidR="00552A84" w:rsidRPr="00D3304A" w:rsidRDefault="00552A84" w:rsidP="00FE3C4C">
            <w:pPr>
              <w:spacing w:before="0" w:after="0"/>
              <w:jc w:val="left"/>
              <w:rPr>
                <w:noProof/>
                <w:sz w:val="20"/>
              </w:rPr>
            </w:pPr>
            <w:r w:rsidRPr="00D3304A">
              <w:rPr>
                <w:noProof/>
                <w:sz w:val="20"/>
              </w:rPr>
              <w:t xml:space="preserve">Mitgliedstaaten; </w:t>
            </w:r>
          </w:p>
          <w:p w:rsidR="00552A84" w:rsidRPr="00D3304A" w:rsidRDefault="00552A84" w:rsidP="00FE3C4C">
            <w:pPr>
              <w:spacing w:before="0" w:after="0"/>
              <w:jc w:val="left"/>
              <w:rPr>
                <w:noProof/>
                <w:sz w:val="20"/>
              </w:rPr>
            </w:pPr>
            <w:r w:rsidRPr="00D3304A">
              <w:rPr>
                <w:noProof/>
                <w:sz w:val="20"/>
              </w:rPr>
              <w:t>Europäische Kommission</w:t>
            </w:r>
          </w:p>
        </w:tc>
        <w:tc>
          <w:tcPr>
            <w:tcW w:w="3265" w:type="dxa"/>
          </w:tcPr>
          <w:p w:rsidR="00552A84" w:rsidRPr="00D3304A" w:rsidRDefault="00552A84" w:rsidP="00FE3C4C">
            <w:pPr>
              <w:spacing w:before="0" w:after="0"/>
              <w:jc w:val="left"/>
              <w:rPr>
                <w:noProof/>
                <w:sz w:val="20"/>
              </w:rPr>
            </w:pPr>
            <w:r w:rsidRPr="00D3304A">
              <w:rPr>
                <w:noProof/>
                <w:sz w:val="20"/>
              </w:rPr>
              <w:t>Datenqualität; Datenerhebung; Datenerstellung; Datenübermittlung;</w:t>
            </w:r>
          </w:p>
        </w:tc>
        <w:tc>
          <w:tcPr>
            <w:tcW w:w="2766" w:type="dxa"/>
          </w:tcPr>
          <w:p w:rsidR="00552A84" w:rsidRPr="00D3304A" w:rsidRDefault="00552A84" w:rsidP="00FE3C4C">
            <w:pPr>
              <w:spacing w:before="0" w:after="0"/>
              <w:jc w:val="left"/>
              <w:rPr>
                <w:noProof/>
                <w:sz w:val="20"/>
              </w:rPr>
            </w:pPr>
            <w:r w:rsidRPr="00D3304A">
              <w:rPr>
                <w:noProof/>
                <w:sz w:val="20"/>
              </w:rPr>
              <w:t xml:space="preserve">Daten, digitale öffentliche Dienste </w:t>
            </w:r>
          </w:p>
        </w:tc>
      </w:tr>
      <w:bookmarkEnd w:id="79"/>
    </w:tbl>
    <w:p w:rsidR="00552A84" w:rsidRPr="00D3304A" w:rsidRDefault="00552A84" w:rsidP="00552A84">
      <w:pPr>
        <w:rPr>
          <w:noProof/>
        </w:rPr>
      </w:pPr>
    </w:p>
    <w:p w:rsidR="00552A84" w:rsidRPr="00D3304A" w:rsidRDefault="00552A84" w:rsidP="00552A84">
      <w:pPr>
        <w:rPr>
          <w:rFonts w:eastAsia="Calibri"/>
          <w:noProof/>
          <w:sz w:val="28"/>
          <w:szCs w:val="28"/>
        </w:rPr>
      </w:pPr>
      <w:r w:rsidRPr="00C24C00">
        <w:rPr>
          <w:b/>
          <w:noProof/>
          <w:sz w:val="28"/>
        </w:rPr>
        <w:t>4</w:t>
      </w:r>
      <w:r w:rsidRPr="00D3304A">
        <w:rPr>
          <w:b/>
          <w:noProof/>
          <w:sz w:val="28"/>
        </w:rPr>
        <w:t>.</w:t>
      </w:r>
      <w:r w:rsidRPr="00C24C00">
        <w:rPr>
          <w:b/>
          <w:noProof/>
          <w:sz w:val="28"/>
        </w:rPr>
        <w:t>2</w:t>
      </w:r>
      <w:r w:rsidRPr="00D3304A">
        <w:rPr>
          <w:b/>
          <w:noProof/>
          <w:sz w:val="28"/>
        </w:rPr>
        <w:t>.</w:t>
      </w:r>
      <w:r w:rsidRPr="00D3304A">
        <w:rPr>
          <w:noProof/>
        </w:rPr>
        <w:tab/>
      </w:r>
      <w:r w:rsidRPr="00D3304A">
        <w:rPr>
          <w:b/>
          <w:noProof/>
          <w:sz w:val="28"/>
        </w:rPr>
        <w:t>Daten</w:t>
      </w:r>
    </w:p>
    <w:p w:rsidR="00552A84" w:rsidRPr="00D3304A" w:rsidRDefault="00552A84" w:rsidP="00552A84">
      <w:pPr>
        <w:rPr>
          <w:rFonts w:eastAsia="Calibri"/>
          <w:noProof/>
        </w:rPr>
      </w:pPr>
      <w:r w:rsidRPr="00D3304A">
        <w:rPr>
          <w:i/>
          <w:noProof/>
          <w:sz w:val="20"/>
        </w:rPr>
        <w:t>Übergeordnete Beschreibung der erfassten Daten und aller damit zusammenhängenden Normen/Spezifikationen</w:t>
      </w:r>
    </w:p>
    <w:tbl>
      <w:tblPr>
        <w:tblStyle w:val="TableGrid"/>
        <w:tblW w:w="14767" w:type="dxa"/>
        <w:tblLook w:val="04A0" w:firstRow="1" w:lastRow="0" w:firstColumn="1" w:lastColumn="0" w:noHBand="0" w:noVBand="1"/>
      </w:tblPr>
      <w:tblGrid>
        <w:gridCol w:w="4390"/>
        <w:gridCol w:w="5802"/>
        <w:gridCol w:w="4575"/>
      </w:tblGrid>
      <w:tr w:rsidR="00552A84" w:rsidRPr="00D3304A" w:rsidTr="00FE3C4C">
        <w:trPr>
          <w:trHeight w:val="300"/>
        </w:trPr>
        <w:tc>
          <w:tcPr>
            <w:tcW w:w="4390" w:type="dxa"/>
          </w:tcPr>
          <w:p w:rsidR="00552A84" w:rsidRPr="00D3304A" w:rsidRDefault="00552A84" w:rsidP="00FE3C4C">
            <w:pPr>
              <w:jc w:val="left"/>
              <w:rPr>
                <w:b/>
                <w:bCs/>
                <w:noProof/>
              </w:rPr>
            </w:pPr>
            <w:r w:rsidRPr="00D3304A">
              <w:rPr>
                <w:b/>
                <w:noProof/>
              </w:rPr>
              <w:t>Art der Daten</w:t>
            </w:r>
          </w:p>
        </w:tc>
        <w:tc>
          <w:tcPr>
            <w:tcW w:w="5802" w:type="dxa"/>
          </w:tcPr>
          <w:p w:rsidR="00552A84" w:rsidRPr="00D3304A" w:rsidRDefault="00552A84" w:rsidP="00FE3C4C">
            <w:pPr>
              <w:jc w:val="left"/>
              <w:rPr>
                <w:b/>
                <w:bCs/>
                <w:noProof/>
              </w:rPr>
            </w:pPr>
            <w:r w:rsidRPr="00D3304A">
              <w:rPr>
                <w:b/>
                <w:noProof/>
              </w:rPr>
              <w:t>Verweis(e) auf die Anforderung</w:t>
            </w:r>
          </w:p>
        </w:tc>
        <w:tc>
          <w:tcPr>
            <w:tcW w:w="4575" w:type="dxa"/>
          </w:tcPr>
          <w:p w:rsidR="00552A84" w:rsidRPr="00D3304A" w:rsidRDefault="00552A84" w:rsidP="00FE3C4C">
            <w:pPr>
              <w:jc w:val="left"/>
              <w:rPr>
                <w:b/>
                <w:bCs/>
                <w:noProof/>
              </w:rPr>
            </w:pPr>
            <w:r w:rsidRPr="00D3304A">
              <w:rPr>
                <w:b/>
                <w:noProof/>
              </w:rPr>
              <w:t>Standard und/oder Spezifikation (falls zutreffend)</w:t>
            </w:r>
          </w:p>
        </w:tc>
      </w:tr>
      <w:tr w:rsidR="00552A84" w:rsidRPr="00D3304A" w:rsidTr="00FE3C4C">
        <w:tc>
          <w:tcPr>
            <w:tcW w:w="4390" w:type="dxa"/>
            <w:hideMark/>
          </w:tcPr>
          <w:p w:rsidR="00552A84" w:rsidRPr="00D3304A" w:rsidRDefault="00552A84" w:rsidP="00FE3C4C">
            <w:pPr>
              <w:pStyle w:val="Point0letter"/>
              <w:numPr>
                <w:ilvl w:val="1"/>
                <w:numId w:val="0"/>
              </w:numPr>
              <w:rPr>
                <w:noProof/>
                <w:sz w:val="20"/>
              </w:rPr>
            </w:pPr>
            <w:r w:rsidRPr="00D3304A">
              <w:rPr>
                <w:noProof/>
                <w:sz w:val="20"/>
              </w:rPr>
              <w:t>Nichtfinanzielle Statistiken zu Gewerbeimmobilien, die folgende Indikatoren umfassen:</w:t>
            </w:r>
          </w:p>
          <w:p w:rsidR="00552A84" w:rsidRPr="00307C0D" w:rsidRDefault="00307C0D" w:rsidP="00307C0D">
            <w:pPr>
              <w:pStyle w:val="Point0"/>
              <w:rPr>
                <w:noProof/>
                <w:sz w:val="20"/>
              </w:rPr>
            </w:pPr>
            <w:r w:rsidRPr="00307C0D">
              <w:rPr>
                <w:noProof/>
                <w:sz w:val="20"/>
              </w:rPr>
              <w:t>a)</w:t>
            </w:r>
            <w:r w:rsidRPr="00307C0D">
              <w:rPr>
                <w:noProof/>
                <w:sz w:val="20"/>
              </w:rPr>
              <w:tab/>
            </w:r>
            <w:r w:rsidR="00552A84" w:rsidRPr="00307C0D">
              <w:rPr>
                <w:noProof/>
                <w:sz w:val="20"/>
              </w:rPr>
              <w:t>Baugenehmigungen (Anzahl der Wohnungen, nutzbare Grundfläche)</w:t>
            </w:r>
          </w:p>
          <w:p w:rsidR="00552A84" w:rsidRPr="00307C0D" w:rsidRDefault="00307C0D" w:rsidP="00307C0D">
            <w:pPr>
              <w:pStyle w:val="Point0"/>
              <w:rPr>
                <w:noProof/>
                <w:sz w:val="20"/>
              </w:rPr>
            </w:pPr>
            <w:r w:rsidRPr="00307C0D">
              <w:rPr>
                <w:noProof/>
                <w:sz w:val="20"/>
              </w:rPr>
              <w:t>b)</w:t>
            </w:r>
            <w:r w:rsidRPr="00307C0D">
              <w:rPr>
                <w:noProof/>
                <w:sz w:val="20"/>
              </w:rPr>
              <w:tab/>
            </w:r>
            <w:r w:rsidR="00552A84" w:rsidRPr="00307C0D">
              <w:rPr>
                <w:noProof/>
                <w:sz w:val="20"/>
              </w:rPr>
              <w:t>Neu begonnene Bauten und Fertigstellung der Bauarbeiten (Nutzfläche)</w:t>
            </w:r>
          </w:p>
          <w:p w:rsidR="00552A84" w:rsidRPr="00307C0D" w:rsidRDefault="00307C0D" w:rsidP="00307C0D">
            <w:pPr>
              <w:pStyle w:val="Point0"/>
              <w:rPr>
                <w:noProof/>
                <w:sz w:val="20"/>
              </w:rPr>
            </w:pPr>
            <w:r w:rsidRPr="00307C0D">
              <w:rPr>
                <w:noProof/>
                <w:sz w:val="20"/>
              </w:rPr>
              <w:t>c)</w:t>
            </w:r>
            <w:r w:rsidRPr="00307C0D">
              <w:rPr>
                <w:noProof/>
                <w:sz w:val="20"/>
              </w:rPr>
              <w:tab/>
            </w:r>
            <w:r w:rsidR="00552A84" w:rsidRPr="00307C0D">
              <w:rPr>
                <w:noProof/>
                <w:sz w:val="20"/>
              </w:rPr>
              <w:t>Preisindizes zu Gewerbeimmobilien</w:t>
            </w:r>
          </w:p>
          <w:p w:rsidR="00552A84" w:rsidRPr="00307C0D" w:rsidRDefault="00307C0D" w:rsidP="00307C0D">
            <w:pPr>
              <w:pStyle w:val="Point0"/>
              <w:rPr>
                <w:noProof/>
                <w:sz w:val="20"/>
              </w:rPr>
            </w:pPr>
            <w:r w:rsidRPr="00307C0D">
              <w:rPr>
                <w:noProof/>
                <w:sz w:val="20"/>
              </w:rPr>
              <w:t>d)</w:t>
            </w:r>
            <w:r w:rsidRPr="00307C0D">
              <w:rPr>
                <w:noProof/>
                <w:sz w:val="20"/>
              </w:rPr>
              <w:tab/>
            </w:r>
            <w:r w:rsidR="00552A84" w:rsidRPr="00307C0D">
              <w:rPr>
                <w:noProof/>
                <w:sz w:val="20"/>
              </w:rPr>
              <w:t>Mietindizes zu Gewerbeimmobilien</w:t>
            </w:r>
          </w:p>
          <w:p w:rsidR="00552A84" w:rsidRPr="00307C0D" w:rsidRDefault="00307C0D" w:rsidP="00307C0D">
            <w:pPr>
              <w:pStyle w:val="Point0"/>
              <w:rPr>
                <w:noProof/>
                <w:sz w:val="20"/>
              </w:rPr>
            </w:pPr>
            <w:r w:rsidRPr="00307C0D">
              <w:rPr>
                <w:noProof/>
                <w:sz w:val="20"/>
              </w:rPr>
              <w:t>e)</w:t>
            </w:r>
            <w:r w:rsidRPr="00307C0D">
              <w:rPr>
                <w:noProof/>
                <w:sz w:val="20"/>
              </w:rPr>
              <w:tab/>
            </w:r>
            <w:r w:rsidR="00552A84" w:rsidRPr="00307C0D">
              <w:rPr>
                <w:noProof/>
                <w:sz w:val="20"/>
              </w:rPr>
              <w:t>Wert der Transaktionen von Gewerbeimmobilien.</w:t>
            </w:r>
          </w:p>
          <w:p w:rsidR="00552A84" w:rsidRPr="00D3304A" w:rsidRDefault="00552A84" w:rsidP="00FE3C4C">
            <w:pPr>
              <w:spacing w:before="0" w:after="0"/>
              <w:jc w:val="left"/>
              <w:rPr>
                <w:noProof/>
                <w:sz w:val="20"/>
                <w:lang w:eastAsia="en-IE"/>
              </w:rPr>
            </w:pPr>
          </w:p>
        </w:tc>
        <w:tc>
          <w:tcPr>
            <w:tcW w:w="5802" w:type="dxa"/>
            <w:hideMark/>
          </w:tcPr>
          <w:p w:rsidR="00552A84" w:rsidRPr="00D3304A" w:rsidRDefault="00552A84" w:rsidP="00FE3C4C">
            <w:pPr>
              <w:spacing w:before="0" w:after="0"/>
              <w:jc w:val="left"/>
              <w:rPr>
                <w:noProof/>
                <w:sz w:val="20"/>
              </w:rPr>
            </w:pPr>
            <w:r w:rsidRPr="00D3304A">
              <w:rPr>
                <w:noProof/>
                <w:sz w:val="20"/>
              </w:rPr>
              <w:t>Artikel </w:t>
            </w:r>
            <w:r w:rsidRPr="00C24C00">
              <w:rPr>
                <w:noProof/>
                <w:sz w:val="20"/>
              </w:rPr>
              <w:t>3</w:t>
            </w:r>
            <w:r w:rsidRPr="00D3304A">
              <w:rPr>
                <w:noProof/>
                <w:sz w:val="20"/>
              </w:rPr>
              <w:t>; Artikel </w:t>
            </w:r>
            <w:r w:rsidRPr="00C24C00">
              <w:rPr>
                <w:noProof/>
                <w:sz w:val="20"/>
              </w:rPr>
              <w:t>4</w:t>
            </w:r>
            <w:r w:rsidRPr="00D3304A">
              <w:rPr>
                <w:noProof/>
                <w:sz w:val="20"/>
              </w:rPr>
              <w:t xml:space="preserve"> Absatz </w:t>
            </w:r>
            <w:r w:rsidRPr="00C24C00">
              <w:rPr>
                <w:noProof/>
                <w:sz w:val="20"/>
              </w:rPr>
              <w:t>1</w:t>
            </w:r>
            <w:r w:rsidRPr="00D3304A">
              <w:rPr>
                <w:noProof/>
                <w:sz w:val="20"/>
              </w:rPr>
              <w:t>; Artikel </w:t>
            </w:r>
            <w:r w:rsidRPr="00C24C00">
              <w:rPr>
                <w:noProof/>
                <w:sz w:val="20"/>
              </w:rPr>
              <w:t>4</w:t>
            </w:r>
            <w:r w:rsidRPr="00D3304A">
              <w:rPr>
                <w:noProof/>
                <w:sz w:val="20"/>
              </w:rPr>
              <w:t xml:space="preserve"> Absatz </w:t>
            </w:r>
            <w:r w:rsidRPr="00C24C00">
              <w:rPr>
                <w:noProof/>
                <w:sz w:val="20"/>
              </w:rPr>
              <w:t>2</w:t>
            </w:r>
            <w:r w:rsidRPr="00D3304A">
              <w:rPr>
                <w:noProof/>
                <w:sz w:val="20"/>
              </w:rPr>
              <w:t>; Artikel </w:t>
            </w:r>
            <w:r w:rsidRPr="00C24C00">
              <w:rPr>
                <w:noProof/>
                <w:sz w:val="20"/>
              </w:rPr>
              <w:t>4</w:t>
            </w:r>
            <w:r w:rsidRPr="00D3304A">
              <w:rPr>
                <w:noProof/>
                <w:sz w:val="20"/>
              </w:rPr>
              <w:t xml:space="preserve"> Absatz </w:t>
            </w:r>
            <w:r w:rsidRPr="00C24C00">
              <w:rPr>
                <w:noProof/>
                <w:sz w:val="20"/>
              </w:rPr>
              <w:t>3</w:t>
            </w:r>
            <w:r w:rsidRPr="00D3304A">
              <w:rPr>
                <w:noProof/>
                <w:sz w:val="20"/>
              </w:rPr>
              <w:t>; Artikel </w:t>
            </w:r>
            <w:r w:rsidRPr="00C24C00">
              <w:rPr>
                <w:noProof/>
                <w:sz w:val="20"/>
              </w:rPr>
              <w:t>5</w:t>
            </w:r>
            <w:r w:rsidRPr="00D3304A">
              <w:rPr>
                <w:noProof/>
                <w:sz w:val="20"/>
              </w:rPr>
              <w:t xml:space="preserve"> Artikel </w:t>
            </w:r>
            <w:r w:rsidRPr="00C24C00">
              <w:rPr>
                <w:noProof/>
                <w:sz w:val="20"/>
              </w:rPr>
              <w:t>6</w:t>
            </w:r>
          </w:p>
        </w:tc>
        <w:tc>
          <w:tcPr>
            <w:tcW w:w="4575" w:type="dxa"/>
            <w:hideMark/>
          </w:tcPr>
          <w:p w:rsidR="00552A84" w:rsidRPr="00D3304A" w:rsidRDefault="00552A84" w:rsidP="00FE3C4C">
            <w:pPr>
              <w:spacing w:before="0" w:after="0"/>
              <w:jc w:val="left"/>
              <w:rPr>
                <w:noProof/>
                <w:sz w:val="20"/>
              </w:rPr>
            </w:pPr>
            <w:r w:rsidRPr="00D3304A">
              <w:rPr>
                <w:noProof/>
                <w:sz w:val="20"/>
              </w:rPr>
              <w:t xml:space="preserve">Im Anhang dieser Verordnung aufgeführte Variablen; </w:t>
            </w:r>
          </w:p>
          <w:p w:rsidR="00552A84" w:rsidRPr="00D3304A" w:rsidRDefault="00552A84" w:rsidP="00FE3C4C">
            <w:pPr>
              <w:spacing w:before="0" w:after="0"/>
              <w:jc w:val="left"/>
              <w:rPr>
                <w:noProof/>
                <w:sz w:val="20"/>
              </w:rPr>
            </w:pPr>
            <w:r w:rsidRPr="00D3304A">
              <w:rPr>
                <w:noProof/>
                <w:sz w:val="20"/>
              </w:rPr>
              <w:t>Im Wege von Durchführungsrechtsakten der Kommission werden zusätzliche Elemente der von den Mitgliedstaaten an Eurostat zu übermittelnden Daten gemäß Artikel </w:t>
            </w:r>
            <w:r w:rsidRPr="00C24C00">
              <w:rPr>
                <w:noProof/>
                <w:sz w:val="20"/>
              </w:rPr>
              <w:t>5</w:t>
            </w:r>
            <w:r w:rsidRPr="00D3304A">
              <w:rPr>
                <w:noProof/>
                <w:sz w:val="20"/>
              </w:rPr>
              <w:t xml:space="preserve"> Absatz </w:t>
            </w:r>
            <w:r w:rsidRPr="00C24C00">
              <w:rPr>
                <w:noProof/>
                <w:sz w:val="20"/>
              </w:rPr>
              <w:t>4</w:t>
            </w:r>
            <w:r w:rsidRPr="00D3304A">
              <w:rPr>
                <w:noProof/>
                <w:sz w:val="20"/>
              </w:rPr>
              <w:t xml:space="preserve"> festgelegt.</w:t>
            </w:r>
          </w:p>
        </w:tc>
      </w:tr>
    </w:tbl>
    <w:p w:rsidR="00552A84" w:rsidRPr="00D3304A" w:rsidRDefault="00552A84" w:rsidP="00552A84">
      <w:pPr>
        <w:rPr>
          <w:rFonts w:eastAsia="Calibri"/>
          <w:b/>
          <w:bCs/>
          <w:i/>
          <w:iCs/>
          <w:noProof/>
        </w:rPr>
      </w:pPr>
    </w:p>
    <w:p w:rsidR="00552A84" w:rsidRPr="00D3304A" w:rsidRDefault="00552A84" w:rsidP="00552A84">
      <w:pPr>
        <w:rPr>
          <w:rFonts w:eastAsia="Calibri"/>
          <w:noProof/>
        </w:rPr>
      </w:pPr>
      <w:r w:rsidRPr="00D3304A">
        <w:rPr>
          <w:b/>
          <w:i/>
          <w:noProof/>
          <w:sz w:val="20"/>
        </w:rPr>
        <w:t>Angleichung an die europäische Datenstrategie</w:t>
      </w:r>
    </w:p>
    <w:p w:rsidR="00552A84" w:rsidRPr="00D3304A" w:rsidRDefault="00552A84" w:rsidP="00552A84">
      <w:pPr>
        <w:rPr>
          <w:rFonts w:eastAsia="Calibri"/>
          <w:noProof/>
        </w:rPr>
      </w:pPr>
      <w:r w:rsidRPr="00D3304A">
        <w:rPr>
          <w:i/>
          <w:noProof/>
          <w:sz w:val="20"/>
        </w:rPr>
        <w:t>Erläutern Sie, wie die Anforderung(en) mit der europäischen Datenstrategie in Einklang gebracht werden.</w:t>
      </w:r>
    </w:p>
    <w:tbl>
      <w:tblPr>
        <w:tblStyle w:val="TableGrid"/>
        <w:tblW w:w="0" w:type="auto"/>
        <w:tblLayout w:type="fixed"/>
        <w:tblLook w:val="06A0" w:firstRow="1" w:lastRow="0" w:firstColumn="1" w:lastColumn="0" w:noHBand="1" w:noVBand="1"/>
      </w:tblPr>
      <w:tblGrid>
        <w:gridCol w:w="14748"/>
      </w:tblGrid>
      <w:tr w:rsidR="00552A84" w:rsidRPr="00D3304A" w:rsidTr="00552A84">
        <w:trPr>
          <w:trHeight w:val="300"/>
        </w:trPr>
        <w:tc>
          <w:tcPr>
            <w:tcW w:w="14748" w:type="dxa"/>
          </w:tcPr>
          <w:p w:rsidR="00552A84" w:rsidRPr="00D3304A" w:rsidRDefault="00552A84" w:rsidP="00FE3C4C">
            <w:pPr>
              <w:rPr>
                <w:noProof/>
                <w:sz w:val="20"/>
              </w:rPr>
            </w:pPr>
            <w:r w:rsidRPr="00D3304A">
              <w:rPr>
                <w:noProof/>
                <w:sz w:val="20"/>
              </w:rPr>
              <w:t>Im Vorschlag für eine Verordnung ist die Entwicklung nichtfinanzieller Statistiken zu Gewerbeimmobilien vorgesehen, indem sichergestellt wird, dass die nationalen statistischen Ämter (NSÄ) und andere einschlägige Stellen Zugang zu den erforderlichen Datenquellen haben, darunter Verwaltungsunterlagen und Daten in privatem Besitz. Dies steht im Einklang mit dem Ziel der europäischen Datenstrategie, die Daten-Governance und den Zugang zu Daten zu verbessern. Ferner steht es im Einklang mit den Artikeln </w:t>
            </w:r>
            <w:r w:rsidRPr="00C24C00">
              <w:rPr>
                <w:noProof/>
                <w:sz w:val="20"/>
              </w:rPr>
              <w:t>17</w:t>
            </w:r>
            <w:r w:rsidRPr="00D3304A">
              <w:rPr>
                <w:noProof/>
                <w:sz w:val="20"/>
              </w:rPr>
              <w:t xml:space="preserve">a bis </w:t>
            </w:r>
            <w:r w:rsidRPr="00C24C00">
              <w:rPr>
                <w:noProof/>
                <w:sz w:val="20"/>
              </w:rPr>
              <w:t>17</w:t>
            </w:r>
            <w:r w:rsidRPr="00D3304A">
              <w:rPr>
                <w:noProof/>
                <w:sz w:val="20"/>
              </w:rPr>
              <w:t>c der Verordnung (EG) Nr. </w:t>
            </w:r>
            <w:r w:rsidRPr="00C24C00">
              <w:rPr>
                <w:noProof/>
                <w:sz w:val="20"/>
              </w:rPr>
              <w:t>223</w:t>
            </w:r>
            <w:r w:rsidRPr="00D3304A">
              <w:rPr>
                <w:noProof/>
                <w:sz w:val="20"/>
              </w:rPr>
              <w:t>/</w:t>
            </w:r>
            <w:r w:rsidRPr="00C24C00">
              <w:rPr>
                <w:noProof/>
                <w:sz w:val="20"/>
              </w:rPr>
              <w:t>2009</w:t>
            </w:r>
            <w:r w:rsidRPr="00D3304A">
              <w:rPr>
                <w:noProof/>
                <w:sz w:val="20"/>
              </w:rPr>
              <w:t xml:space="preserve"> in Bezug auf den Zugang zu Datenquellen für die Zwecke europäischer Statistiken.</w:t>
            </w:r>
          </w:p>
          <w:p w:rsidR="00552A84" w:rsidRPr="00D3304A" w:rsidRDefault="00552A84" w:rsidP="00FE3C4C">
            <w:pPr>
              <w:rPr>
                <w:noProof/>
                <w:sz w:val="20"/>
              </w:rPr>
            </w:pPr>
            <w:r w:rsidRPr="00D3304A">
              <w:rPr>
                <w:noProof/>
                <w:sz w:val="20"/>
              </w:rPr>
              <w:t xml:space="preserve">Durch die Schaffung eines Rahmens für die Entwicklung und Erstellung nichtfinanzieller Statistiken zu Gewerbeimmobilien unterstützt die Verordnung datengesteuerte Innovationen im Immobiliensektor. Hochwertige Statistiken können in Politikgestaltung, Investitionsentscheidungen und Forschung einfließen und so Innovation und Wachstum fördern. Durch die Schaffung eines gemeinsamen Rahmens für die Erstellung dieser Statistiken erleichtert die Verordnung den Vergleich und die Kombination von Daten über Mitgliedstaaten hinweg, was ein zentrales Ziel der europäischen Datenstrategie ist. </w:t>
            </w:r>
          </w:p>
          <w:p w:rsidR="00552A84" w:rsidRPr="00D3304A" w:rsidRDefault="00552A84" w:rsidP="00FE3C4C">
            <w:pPr>
              <w:rPr>
                <w:noProof/>
                <w:sz w:val="20"/>
              </w:rPr>
            </w:pPr>
            <w:r w:rsidRPr="00D3304A">
              <w:rPr>
                <w:noProof/>
                <w:sz w:val="20"/>
              </w:rPr>
              <w:t>Der Einsatz digitaler Instrumente und Methoden für die Erhebung, Verarbeitung und Übermittlung von Statistiken zu Gewerbeimmobilien kann die Effizienz steigern und den Aufwand für die Datenanbieter, die NSÄ und die Kommission (Eurostat) verringern.</w:t>
            </w:r>
          </w:p>
        </w:tc>
      </w:tr>
    </w:tbl>
    <w:p w:rsidR="00552A84" w:rsidRPr="00D3304A" w:rsidRDefault="00552A84" w:rsidP="00552A84">
      <w:pPr>
        <w:rPr>
          <w:rFonts w:eastAsia="Calibri"/>
          <w:noProof/>
        </w:rPr>
      </w:pPr>
      <w:r w:rsidRPr="00D3304A">
        <w:rPr>
          <w:b/>
          <w:noProof/>
          <w:sz w:val="20"/>
        </w:rPr>
        <w:t>Anpassung an den Grundsatz der einmaligen Erfassung</w:t>
      </w:r>
    </w:p>
    <w:p w:rsidR="00552A84" w:rsidRPr="00D3304A" w:rsidRDefault="00552A84" w:rsidP="00552A84">
      <w:pPr>
        <w:rPr>
          <w:rFonts w:eastAsia="Calibri"/>
          <w:noProof/>
        </w:rPr>
      </w:pPr>
      <w:r w:rsidRPr="00D3304A">
        <w:rPr>
          <w:i/>
          <w:noProof/>
          <w:sz w:val="20"/>
        </w:rPr>
        <w:t>Erläutern Sie, wie der Grundsatz der einmaligen Erfassung berücksichtigt wurde und wie die Möglichkeit der Weiterverwendung vorhandener Daten geprüft wurde.</w:t>
      </w:r>
    </w:p>
    <w:tbl>
      <w:tblPr>
        <w:tblStyle w:val="TableGrid"/>
        <w:tblW w:w="0" w:type="auto"/>
        <w:tblLayout w:type="fixed"/>
        <w:tblLook w:val="06A0" w:firstRow="1" w:lastRow="0" w:firstColumn="1" w:lastColumn="0" w:noHBand="1" w:noVBand="1"/>
      </w:tblPr>
      <w:tblGrid>
        <w:gridCol w:w="14748"/>
      </w:tblGrid>
      <w:tr w:rsidR="00552A84" w:rsidRPr="00D3304A" w:rsidTr="00552A84">
        <w:trPr>
          <w:trHeight w:val="300"/>
        </w:trPr>
        <w:tc>
          <w:tcPr>
            <w:tcW w:w="14748" w:type="dxa"/>
          </w:tcPr>
          <w:p w:rsidR="00552A84" w:rsidRPr="00D3304A" w:rsidRDefault="00552A84" w:rsidP="00FE3C4C">
            <w:pPr>
              <w:rPr>
                <w:noProof/>
                <w:sz w:val="20"/>
              </w:rPr>
            </w:pPr>
            <w:r w:rsidRPr="00D3304A">
              <w:rPr>
                <w:noProof/>
                <w:sz w:val="20"/>
              </w:rPr>
              <w:t>Im Einklang mit dem in der Verordnung (EG) Nr. </w:t>
            </w:r>
            <w:r w:rsidRPr="00C24C00">
              <w:rPr>
                <w:noProof/>
                <w:sz w:val="20"/>
              </w:rPr>
              <w:t>223</w:t>
            </w:r>
            <w:r w:rsidRPr="00D3304A">
              <w:rPr>
                <w:noProof/>
                <w:sz w:val="20"/>
              </w:rPr>
              <w:t>/</w:t>
            </w:r>
            <w:r w:rsidRPr="00C24C00">
              <w:rPr>
                <w:noProof/>
                <w:sz w:val="20"/>
              </w:rPr>
              <w:t>2009</w:t>
            </w:r>
            <w:r w:rsidRPr="00D3304A">
              <w:rPr>
                <w:noProof/>
                <w:sz w:val="20"/>
              </w:rPr>
              <w:t xml:space="preserve"> festgelegten und für europäische Statistiken geltenden Grundsatz der Kostenwirksamkeit zielt die Verordnung darauf ab, vorhandene Daten weiterzuverwenden, um den Aufwand für die Datenanbieter so gering wie möglich zu halten. </w:t>
            </w:r>
          </w:p>
          <w:p w:rsidR="00552A84" w:rsidRPr="00D3304A" w:rsidRDefault="00552A84" w:rsidP="00922FBE">
            <w:pPr>
              <w:pStyle w:val="ListParagraph"/>
              <w:numPr>
                <w:ilvl w:val="0"/>
                <w:numId w:val="18"/>
              </w:numPr>
              <w:spacing w:before="120" w:after="120"/>
              <w:jc w:val="both"/>
              <w:rPr>
                <w:rFonts w:ascii="Times New Roman" w:hAnsi="Times New Roman"/>
                <w:noProof/>
                <w:szCs w:val="20"/>
              </w:rPr>
            </w:pPr>
            <w:r w:rsidRPr="00D3304A">
              <w:rPr>
                <w:rFonts w:ascii="Times New Roman" w:hAnsi="Times New Roman"/>
                <w:noProof/>
              </w:rPr>
              <w:t>Gemäß Artikel </w:t>
            </w:r>
            <w:r w:rsidRPr="00C24C00">
              <w:rPr>
                <w:rFonts w:ascii="Times New Roman" w:hAnsi="Times New Roman"/>
                <w:noProof/>
              </w:rPr>
              <w:t>3</w:t>
            </w:r>
            <w:r w:rsidRPr="00D3304A">
              <w:rPr>
                <w:rFonts w:ascii="Times New Roman" w:hAnsi="Times New Roman"/>
                <w:noProof/>
              </w:rPr>
              <w:t xml:space="preserve"> der Verordnung erstellen die Mitgliedstaaten die Statistiken unter Verwendung aller relevanten Datenquellen und wissenschaftlich fundierter, gut dokumentierter und öffentlich zugänglicher Methoden. </w:t>
            </w:r>
          </w:p>
          <w:p w:rsidR="00552A84" w:rsidRPr="00D3304A" w:rsidRDefault="00552A84" w:rsidP="00922FBE">
            <w:pPr>
              <w:pStyle w:val="ListParagraph"/>
              <w:numPr>
                <w:ilvl w:val="0"/>
                <w:numId w:val="18"/>
              </w:numPr>
              <w:spacing w:before="120" w:after="120"/>
              <w:jc w:val="both"/>
              <w:rPr>
                <w:rFonts w:ascii="Times New Roman" w:hAnsi="Times New Roman"/>
                <w:noProof/>
                <w:szCs w:val="20"/>
              </w:rPr>
            </w:pPr>
            <w:r w:rsidRPr="00D3304A">
              <w:rPr>
                <w:rFonts w:ascii="Times New Roman" w:hAnsi="Times New Roman"/>
                <w:noProof/>
              </w:rPr>
              <w:t>Artikel </w:t>
            </w:r>
            <w:r w:rsidRPr="00C24C00">
              <w:rPr>
                <w:rFonts w:ascii="Times New Roman" w:hAnsi="Times New Roman"/>
                <w:noProof/>
              </w:rPr>
              <w:t>4</w:t>
            </w:r>
            <w:r w:rsidRPr="00D3304A">
              <w:rPr>
                <w:rFonts w:ascii="Times New Roman" w:hAnsi="Times New Roman"/>
                <w:noProof/>
              </w:rPr>
              <w:t xml:space="preserve"> der Verordnung sieht vor, dass die nationalen statistischen Stellen Zugang zu Verwaltungsdatenquellen erhalten. Durch diesen Zugang wird die Weiterverwendung vorhandener Daten ermöglicht, wodurch die Notwendigkeit der Erhebung von Primärdaten verringert und der Grundsatz der einmaligen Erfassung unterstützt wird.</w:t>
            </w:r>
          </w:p>
          <w:p w:rsidR="00552A84" w:rsidRPr="00D3304A" w:rsidRDefault="00552A84" w:rsidP="00922FBE">
            <w:pPr>
              <w:pStyle w:val="ListParagraph"/>
              <w:numPr>
                <w:ilvl w:val="0"/>
                <w:numId w:val="18"/>
              </w:numPr>
              <w:spacing w:before="120" w:after="120"/>
              <w:jc w:val="both"/>
              <w:rPr>
                <w:noProof/>
                <w:szCs w:val="20"/>
              </w:rPr>
            </w:pPr>
            <w:r w:rsidRPr="00D3304A">
              <w:rPr>
                <w:rFonts w:ascii="Times New Roman" w:hAnsi="Times New Roman"/>
                <w:noProof/>
              </w:rPr>
              <w:t>Nach Artikel </w:t>
            </w:r>
            <w:r w:rsidRPr="00C24C00">
              <w:rPr>
                <w:rFonts w:ascii="Times New Roman" w:hAnsi="Times New Roman"/>
                <w:noProof/>
              </w:rPr>
              <w:t>4</w:t>
            </w:r>
            <w:r w:rsidRPr="00D3304A">
              <w:rPr>
                <w:rFonts w:ascii="Times New Roman" w:hAnsi="Times New Roman"/>
                <w:noProof/>
              </w:rPr>
              <w:t xml:space="preserve"> Absatz </w:t>
            </w:r>
            <w:r w:rsidRPr="00C24C00">
              <w:rPr>
                <w:rFonts w:ascii="Times New Roman" w:hAnsi="Times New Roman"/>
                <w:noProof/>
              </w:rPr>
              <w:t>5</w:t>
            </w:r>
            <w:r w:rsidRPr="00D3304A">
              <w:rPr>
                <w:rFonts w:ascii="Times New Roman" w:hAnsi="Times New Roman"/>
                <w:noProof/>
              </w:rPr>
              <w:t xml:space="preserve"> kann eine nationale statistische Stelle oder die Kommission (Eurostat) von einem privaten Dateninhaber verlangen, Daten und die entsprechenden Metadaten kostenlos zur Verfügung zu stellen, wenn die angeforderten Daten für die Entwicklung, Erstellung und Verbreitung von Statistiken zu Gewerbeimmobilien unbedingt erforderlich sind.</w:t>
            </w:r>
            <w:r w:rsidRPr="00D3304A">
              <w:rPr>
                <w:noProof/>
              </w:rPr>
              <w:t xml:space="preserve"> </w:t>
            </w:r>
          </w:p>
        </w:tc>
      </w:tr>
    </w:tbl>
    <w:p w:rsidR="00552A84" w:rsidRPr="00D3304A" w:rsidRDefault="00552A84" w:rsidP="00552A84">
      <w:pPr>
        <w:rPr>
          <w:rFonts w:eastAsia="Calibri"/>
          <w:noProof/>
        </w:rPr>
      </w:pPr>
      <w:r w:rsidRPr="00D3304A">
        <w:rPr>
          <w:i/>
          <w:noProof/>
          <w:sz w:val="20"/>
        </w:rPr>
        <w:t>Erläutern Sie, wie neu geschaffene Daten auffindbar, zugänglich, interoperabel und wiederverwendbar (FAIR) sind und hochwertigen Standards entsprechen.</w:t>
      </w:r>
    </w:p>
    <w:tbl>
      <w:tblPr>
        <w:tblStyle w:val="TableGrid"/>
        <w:tblW w:w="0" w:type="auto"/>
        <w:tblLayout w:type="fixed"/>
        <w:tblLook w:val="06A0" w:firstRow="1" w:lastRow="0" w:firstColumn="1" w:lastColumn="0" w:noHBand="1" w:noVBand="1"/>
      </w:tblPr>
      <w:tblGrid>
        <w:gridCol w:w="14748"/>
      </w:tblGrid>
      <w:tr w:rsidR="00552A84" w:rsidRPr="00D3304A" w:rsidTr="00552A84">
        <w:trPr>
          <w:trHeight w:val="300"/>
        </w:trPr>
        <w:tc>
          <w:tcPr>
            <w:tcW w:w="14748" w:type="dxa"/>
          </w:tcPr>
          <w:p w:rsidR="00552A84" w:rsidRPr="00D3304A" w:rsidRDefault="00552A84" w:rsidP="00FE3C4C">
            <w:pPr>
              <w:rPr>
                <w:rFonts w:eastAsia="Calibri"/>
                <w:noProof/>
                <w:sz w:val="20"/>
              </w:rPr>
            </w:pPr>
            <w:r w:rsidRPr="00D3304A">
              <w:rPr>
                <w:noProof/>
                <w:sz w:val="20"/>
              </w:rPr>
              <w:t>Gemäß den Artikeln </w:t>
            </w:r>
            <w:r w:rsidRPr="00C24C00">
              <w:rPr>
                <w:noProof/>
                <w:sz w:val="20"/>
              </w:rPr>
              <w:t>3</w:t>
            </w:r>
            <w:r w:rsidRPr="00D3304A">
              <w:rPr>
                <w:noProof/>
                <w:sz w:val="20"/>
              </w:rPr>
              <w:t xml:space="preserve"> und </w:t>
            </w:r>
            <w:r w:rsidRPr="00C24C00">
              <w:rPr>
                <w:noProof/>
                <w:sz w:val="20"/>
              </w:rPr>
              <w:t>6</w:t>
            </w:r>
            <w:r w:rsidRPr="00D3304A">
              <w:rPr>
                <w:noProof/>
                <w:sz w:val="20"/>
              </w:rPr>
              <w:t xml:space="preserve"> der Verordnung müssen die Mitgliedstaaten die Qualität der Datenquellen bewerten, die Qualitätskriterien für europäische Statistiken gemäß Artikel </w:t>
            </w:r>
            <w:r w:rsidRPr="00C24C00">
              <w:rPr>
                <w:noProof/>
                <w:sz w:val="20"/>
              </w:rPr>
              <w:t>12</w:t>
            </w:r>
            <w:r w:rsidRPr="00D3304A">
              <w:rPr>
                <w:noProof/>
                <w:sz w:val="20"/>
              </w:rPr>
              <w:t xml:space="preserve"> der Verordnung (EG) Nr. </w:t>
            </w:r>
            <w:r w:rsidRPr="00C24C00">
              <w:rPr>
                <w:noProof/>
                <w:sz w:val="20"/>
              </w:rPr>
              <w:t>223</w:t>
            </w:r>
            <w:r w:rsidRPr="00D3304A">
              <w:rPr>
                <w:noProof/>
                <w:sz w:val="20"/>
              </w:rPr>
              <w:t>/</w:t>
            </w:r>
            <w:r w:rsidRPr="00C24C00">
              <w:rPr>
                <w:noProof/>
                <w:sz w:val="20"/>
              </w:rPr>
              <w:t>2009</w:t>
            </w:r>
            <w:r w:rsidRPr="00D3304A">
              <w:rPr>
                <w:noProof/>
                <w:sz w:val="20"/>
              </w:rPr>
              <w:t xml:space="preserve"> anwenden und der Kommission (Eurostat) regelmäßig über die Qualität der übermittelten Daten Bericht erstatten. Gemäß Artikel </w:t>
            </w:r>
            <w:r w:rsidRPr="00C24C00">
              <w:rPr>
                <w:noProof/>
                <w:sz w:val="20"/>
              </w:rPr>
              <w:t>6</w:t>
            </w:r>
            <w:r w:rsidRPr="00D3304A">
              <w:rPr>
                <w:noProof/>
                <w:sz w:val="20"/>
              </w:rPr>
              <w:t xml:space="preserve"> sind die Mitgliedstaaten ferner verpflichtet, Metadaten gemäß der einheitlichen integrierten Metadatenstruktur (SIMS) bereitzustellen, und die Verwendung standardisierter Datenformate wie SDMX (Statistical Data and Metadata Exchange) wird gefördert, um den Austausch und die Weiterverwendung von Daten zwischen verschiedenen Systemen und Organisationen zu erleichtern.</w:t>
            </w:r>
          </w:p>
        </w:tc>
      </w:tr>
    </w:tbl>
    <w:p w:rsidR="00552A84" w:rsidRPr="00D3304A" w:rsidRDefault="00552A84" w:rsidP="00552A84">
      <w:pPr>
        <w:rPr>
          <w:rFonts w:eastAsia="Calibri"/>
          <w:b/>
          <w:bCs/>
          <w:noProof/>
          <w:sz w:val="20"/>
          <w:szCs w:val="20"/>
        </w:rPr>
      </w:pPr>
    </w:p>
    <w:p w:rsidR="00552A84" w:rsidRPr="00D3304A" w:rsidRDefault="00552A84" w:rsidP="00552A84">
      <w:pPr>
        <w:rPr>
          <w:rFonts w:eastAsia="Calibri"/>
          <w:noProof/>
        </w:rPr>
      </w:pPr>
      <w:r w:rsidRPr="00D3304A">
        <w:rPr>
          <w:b/>
          <w:noProof/>
          <w:sz w:val="20"/>
        </w:rPr>
        <w:t>Datenströme</w:t>
      </w:r>
    </w:p>
    <w:tbl>
      <w:tblPr>
        <w:tblStyle w:val="TableGrid"/>
        <w:tblW w:w="14769" w:type="dxa"/>
        <w:tblLook w:val="04A0" w:firstRow="1" w:lastRow="0" w:firstColumn="1" w:lastColumn="0" w:noHBand="0" w:noVBand="1"/>
      </w:tblPr>
      <w:tblGrid>
        <w:gridCol w:w="4207"/>
        <w:gridCol w:w="1672"/>
        <w:gridCol w:w="2138"/>
        <w:gridCol w:w="2081"/>
        <w:gridCol w:w="3032"/>
        <w:gridCol w:w="1639"/>
      </w:tblGrid>
      <w:tr w:rsidR="00552A84" w:rsidRPr="00D3304A" w:rsidTr="00552A84">
        <w:trPr>
          <w:trHeight w:val="300"/>
        </w:trPr>
        <w:tc>
          <w:tcPr>
            <w:tcW w:w="4458" w:type="dxa"/>
          </w:tcPr>
          <w:p w:rsidR="00552A84" w:rsidRPr="00D3304A" w:rsidRDefault="00552A84" w:rsidP="00FE3C4C">
            <w:pPr>
              <w:jc w:val="left"/>
              <w:rPr>
                <w:rFonts w:eastAsia="Calibri"/>
                <w:noProof/>
              </w:rPr>
            </w:pPr>
            <w:r w:rsidRPr="00D3304A">
              <w:rPr>
                <w:b/>
                <w:noProof/>
                <w:sz w:val="20"/>
              </w:rPr>
              <w:t>Art der Daten</w:t>
            </w:r>
          </w:p>
        </w:tc>
        <w:tc>
          <w:tcPr>
            <w:tcW w:w="1494" w:type="dxa"/>
          </w:tcPr>
          <w:p w:rsidR="00552A84" w:rsidRPr="00D3304A" w:rsidRDefault="00552A84" w:rsidP="00FE3C4C">
            <w:pPr>
              <w:jc w:val="left"/>
              <w:rPr>
                <w:rFonts w:eastAsia="Calibri"/>
                <w:noProof/>
              </w:rPr>
            </w:pPr>
            <w:r w:rsidRPr="00D3304A">
              <w:rPr>
                <w:b/>
                <w:noProof/>
                <w:sz w:val="20"/>
              </w:rPr>
              <w:t>Verweis(e) auf die Anforderung(en)</w:t>
            </w:r>
          </w:p>
        </w:tc>
        <w:tc>
          <w:tcPr>
            <w:tcW w:w="1885" w:type="dxa"/>
          </w:tcPr>
          <w:p w:rsidR="00552A84" w:rsidRPr="00D3304A" w:rsidRDefault="00552A84" w:rsidP="00FE3C4C">
            <w:pPr>
              <w:jc w:val="left"/>
              <w:rPr>
                <w:rFonts w:eastAsia="Calibri"/>
                <w:noProof/>
              </w:rPr>
            </w:pPr>
            <w:r w:rsidRPr="00D3304A">
              <w:rPr>
                <w:b/>
                <w:noProof/>
                <w:sz w:val="20"/>
              </w:rPr>
              <w:t>Akteur, der die Daten bereitstellt</w:t>
            </w:r>
          </w:p>
        </w:tc>
        <w:tc>
          <w:tcPr>
            <w:tcW w:w="2111" w:type="dxa"/>
          </w:tcPr>
          <w:p w:rsidR="00552A84" w:rsidRPr="00D3304A" w:rsidRDefault="00552A84" w:rsidP="00FE3C4C">
            <w:pPr>
              <w:jc w:val="left"/>
              <w:rPr>
                <w:rFonts w:eastAsia="Calibri"/>
                <w:noProof/>
              </w:rPr>
            </w:pPr>
            <w:r w:rsidRPr="00D3304A">
              <w:rPr>
                <w:b/>
                <w:noProof/>
                <w:sz w:val="20"/>
              </w:rPr>
              <w:t>Akteur, der die Daten empfängt</w:t>
            </w:r>
          </w:p>
        </w:tc>
        <w:tc>
          <w:tcPr>
            <w:tcW w:w="3120" w:type="dxa"/>
          </w:tcPr>
          <w:p w:rsidR="00552A84" w:rsidRPr="00D3304A" w:rsidRDefault="00552A84" w:rsidP="00FE3C4C">
            <w:pPr>
              <w:jc w:val="left"/>
              <w:rPr>
                <w:rFonts w:eastAsia="Calibri"/>
                <w:noProof/>
              </w:rPr>
            </w:pPr>
            <w:r w:rsidRPr="00D3304A">
              <w:rPr>
                <w:b/>
                <w:noProof/>
                <w:sz w:val="20"/>
              </w:rPr>
              <w:t>Auslöser für den Datenaustausch</w:t>
            </w:r>
          </w:p>
        </w:tc>
        <w:tc>
          <w:tcPr>
            <w:tcW w:w="1701" w:type="dxa"/>
          </w:tcPr>
          <w:p w:rsidR="00552A84" w:rsidRPr="00D3304A" w:rsidRDefault="00552A84" w:rsidP="00FE3C4C">
            <w:pPr>
              <w:jc w:val="left"/>
              <w:rPr>
                <w:rFonts w:eastAsia="Calibri"/>
                <w:noProof/>
              </w:rPr>
            </w:pPr>
            <w:r w:rsidRPr="00D3304A">
              <w:rPr>
                <w:b/>
                <w:noProof/>
                <w:sz w:val="20"/>
              </w:rPr>
              <w:t>Häufigkeit (falls zutreffend)</w:t>
            </w:r>
          </w:p>
        </w:tc>
      </w:tr>
      <w:tr w:rsidR="00552A84" w:rsidRPr="00D3304A" w:rsidTr="00552A84">
        <w:trPr>
          <w:trHeight w:val="300"/>
        </w:trPr>
        <w:tc>
          <w:tcPr>
            <w:tcW w:w="4458" w:type="dxa"/>
          </w:tcPr>
          <w:p w:rsidR="00552A84" w:rsidRPr="00D3304A" w:rsidRDefault="00552A84" w:rsidP="00FE3C4C">
            <w:pPr>
              <w:jc w:val="left"/>
              <w:rPr>
                <w:rFonts w:eastAsia="Calibri"/>
                <w:noProof/>
                <w:sz w:val="20"/>
              </w:rPr>
            </w:pPr>
            <w:r w:rsidRPr="00D3304A">
              <w:rPr>
                <w:noProof/>
                <w:sz w:val="20"/>
              </w:rPr>
              <w:t>Für die Erstellung nichtfinanzieller Statistiken zu Gewerbeimmobilien erforderliche Informationen</w:t>
            </w:r>
          </w:p>
        </w:tc>
        <w:tc>
          <w:tcPr>
            <w:tcW w:w="1494" w:type="dxa"/>
          </w:tcPr>
          <w:p w:rsidR="00552A84" w:rsidRPr="00D3304A" w:rsidRDefault="00552A84" w:rsidP="00FE3C4C">
            <w:pPr>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2</w:t>
            </w:r>
            <w:r w:rsidRPr="00D3304A">
              <w:rPr>
                <w:noProof/>
                <w:sz w:val="20"/>
              </w:rPr>
              <w:t xml:space="preserve"> und Absatz </w:t>
            </w:r>
            <w:r w:rsidRPr="00C24C00">
              <w:rPr>
                <w:noProof/>
                <w:sz w:val="20"/>
              </w:rPr>
              <w:t>3</w:t>
            </w:r>
          </w:p>
        </w:tc>
        <w:tc>
          <w:tcPr>
            <w:tcW w:w="1885" w:type="dxa"/>
          </w:tcPr>
          <w:p w:rsidR="00552A84" w:rsidRPr="00D3304A" w:rsidRDefault="00552A84" w:rsidP="00FE3C4C">
            <w:pPr>
              <w:jc w:val="left"/>
              <w:rPr>
                <w:noProof/>
                <w:sz w:val="20"/>
              </w:rPr>
            </w:pPr>
            <w:r w:rsidRPr="00D3304A">
              <w:rPr>
                <w:noProof/>
                <w:sz w:val="20"/>
              </w:rPr>
              <w:t>Statistische Einheiten gemäß der Verordnung (EWG) Nr. </w:t>
            </w:r>
            <w:r w:rsidRPr="00C24C00">
              <w:rPr>
                <w:noProof/>
                <w:sz w:val="20"/>
              </w:rPr>
              <w:t>696</w:t>
            </w:r>
            <w:r w:rsidRPr="00D3304A">
              <w:rPr>
                <w:noProof/>
                <w:sz w:val="20"/>
              </w:rPr>
              <w:t>/</w:t>
            </w:r>
            <w:r w:rsidRPr="00C24C00">
              <w:rPr>
                <w:noProof/>
                <w:sz w:val="20"/>
              </w:rPr>
              <w:t>93</w:t>
            </w:r>
            <w:r w:rsidRPr="00D3304A">
              <w:rPr>
                <w:noProof/>
                <w:sz w:val="20"/>
              </w:rPr>
              <w:t xml:space="preserve"> des Rates;</w:t>
            </w:r>
          </w:p>
          <w:p w:rsidR="00552A84" w:rsidRPr="00D3304A" w:rsidRDefault="00552A84" w:rsidP="00FE3C4C">
            <w:pPr>
              <w:jc w:val="left"/>
              <w:rPr>
                <w:noProof/>
                <w:sz w:val="20"/>
              </w:rPr>
            </w:pPr>
            <w:r w:rsidRPr="00D3304A">
              <w:rPr>
                <w:noProof/>
                <w:sz w:val="20"/>
              </w:rPr>
              <w:t>Inhaber von Verwaltungsunterlagen;</w:t>
            </w:r>
          </w:p>
          <w:p w:rsidR="00552A84" w:rsidRPr="00D3304A" w:rsidRDefault="00552A84" w:rsidP="00FE3C4C">
            <w:pPr>
              <w:jc w:val="left"/>
              <w:rPr>
                <w:noProof/>
                <w:sz w:val="20"/>
              </w:rPr>
            </w:pPr>
            <w:r w:rsidRPr="00D3304A">
              <w:rPr>
                <w:noProof/>
                <w:sz w:val="20"/>
              </w:rPr>
              <w:t>private Dateninhaber</w:t>
            </w:r>
          </w:p>
        </w:tc>
        <w:tc>
          <w:tcPr>
            <w:tcW w:w="2111" w:type="dxa"/>
          </w:tcPr>
          <w:p w:rsidR="00552A84" w:rsidRPr="00D3304A" w:rsidRDefault="00552A84" w:rsidP="00FE3C4C">
            <w:pPr>
              <w:jc w:val="left"/>
              <w:rPr>
                <w:noProof/>
                <w:sz w:val="20"/>
              </w:rPr>
            </w:pPr>
            <w:r w:rsidRPr="00D3304A">
              <w:rPr>
                <w:noProof/>
                <w:sz w:val="20"/>
              </w:rPr>
              <w:t>Nationale statistische Stellen, die für die Erstellung nichtfinanzieller Statistiken zu Gewerbeimmobilien zuständig sind</w:t>
            </w:r>
          </w:p>
        </w:tc>
        <w:tc>
          <w:tcPr>
            <w:tcW w:w="3120" w:type="dxa"/>
          </w:tcPr>
          <w:p w:rsidR="00552A84" w:rsidRPr="00D3304A" w:rsidRDefault="00552A84" w:rsidP="00FE3C4C">
            <w:pPr>
              <w:jc w:val="left"/>
              <w:rPr>
                <w:noProof/>
                <w:sz w:val="20"/>
              </w:rPr>
            </w:pPr>
            <w:r w:rsidRPr="00D3304A">
              <w:rPr>
                <w:noProof/>
                <w:sz w:val="20"/>
              </w:rPr>
              <w:t>Auf Anfrage der nationalen statistischen Stellen, die für die Erstellung nichtfinanzieller Statistiken zu Gewerbeimmobilien zuständig sind</w:t>
            </w:r>
          </w:p>
        </w:tc>
        <w:tc>
          <w:tcPr>
            <w:tcW w:w="1701" w:type="dxa"/>
          </w:tcPr>
          <w:p w:rsidR="00552A84" w:rsidRPr="00D3304A" w:rsidRDefault="00552A84" w:rsidP="00FE3C4C">
            <w:pPr>
              <w:jc w:val="left"/>
              <w:rPr>
                <w:noProof/>
                <w:sz w:val="20"/>
              </w:rPr>
            </w:pPr>
            <w:r w:rsidRPr="00D3304A">
              <w:rPr>
                <w:noProof/>
                <w:sz w:val="20"/>
              </w:rPr>
              <w:t>Entfällt</w:t>
            </w:r>
          </w:p>
        </w:tc>
      </w:tr>
      <w:tr w:rsidR="00552A84" w:rsidRPr="00D3304A" w:rsidTr="00552A84">
        <w:trPr>
          <w:trHeight w:val="300"/>
        </w:trPr>
        <w:tc>
          <w:tcPr>
            <w:tcW w:w="4458" w:type="dxa"/>
          </w:tcPr>
          <w:p w:rsidR="00552A84" w:rsidRPr="00D3304A" w:rsidRDefault="00552A84" w:rsidP="00FE3C4C">
            <w:pPr>
              <w:jc w:val="left"/>
              <w:rPr>
                <w:noProof/>
                <w:sz w:val="20"/>
              </w:rPr>
            </w:pPr>
            <w:r w:rsidRPr="00D3304A">
              <w:rPr>
                <w:noProof/>
                <w:sz w:val="20"/>
              </w:rPr>
              <w:t>Quelldaten aus Verwaltungsdatenquellen, Datenbanken, Interoperabilitätssystemen usw., einschließlich elektronischer Aufzeichnungen von Transaktionen in der für die Erstellung nichtfinanzieller Statistiken zu Gewerbeimmobilien erforderlichen Detailtiefe</w:t>
            </w:r>
          </w:p>
        </w:tc>
        <w:tc>
          <w:tcPr>
            <w:tcW w:w="1494" w:type="dxa"/>
          </w:tcPr>
          <w:p w:rsidR="00552A84" w:rsidRPr="00D3304A" w:rsidRDefault="00552A84" w:rsidP="00FE3C4C">
            <w:pPr>
              <w:jc w:val="left"/>
              <w:rPr>
                <w:noProof/>
                <w:sz w:val="20"/>
              </w:rPr>
            </w:pPr>
            <w:r w:rsidRPr="00D3304A">
              <w:rPr>
                <w:noProof/>
                <w:sz w:val="20"/>
              </w:rPr>
              <w:t>Artikel </w:t>
            </w:r>
            <w:r w:rsidRPr="00C24C00">
              <w:rPr>
                <w:noProof/>
                <w:sz w:val="20"/>
              </w:rPr>
              <w:t>4</w:t>
            </w:r>
            <w:r w:rsidRPr="00D3304A">
              <w:rPr>
                <w:noProof/>
                <w:sz w:val="20"/>
              </w:rPr>
              <w:t xml:space="preserve"> Absatz </w:t>
            </w:r>
            <w:r w:rsidRPr="00C24C00">
              <w:rPr>
                <w:noProof/>
                <w:sz w:val="20"/>
              </w:rPr>
              <w:t>2</w:t>
            </w:r>
            <w:r w:rsidRPr="00D3304A">
              <w:rPr>
                <w:noProof/>
                <w:sz w:val="20"/>
              </w:rPr>
              <w:t xml:space="preserve"> Absatz </w:t>
            </w:r>
            <w:r w:rsidRPr="00C24C00">
              <w:rPr>
                <w:noProof/>
                <w:sz w:val="20"/>
              </w:rPr>
              <w:t>3</w:t>
            </w:r>
          </w:p>
        </w:tc>
        <w:tc>
          <w:tcPr>
            <w:tcW w:w="1885" w:type="dxa"/>
          </w:tcPr>
          <w:p w:rsidR="00552A84" w:rsidRPr="00D3304A" w:rsidRDefault="00552A84" w:rsidP="00FE3C4C">
            <w:pPr>
              <w:jc w:val="left"/>
              <w:rPr>
                <w:noProof/>
                <w:sz w:val="20"/>
              </w:rPr>
            </w:pPr>
            <w:r w:rsidRPr="00D3304A">
              <w:rPr>
                <w:noProof/>
                <w:sz w:val="20"/>
              </w:rPr>
              <w:t>Statistische Einheiten</w:t>
            </w:r>
          </w:p>
        </w:tc>
        <w:tc>
          <w:tcPr>
            <w:tcW w:w="2111" w:type="dxa"/>
          </w:tcPr>
          <w:p w:rsidR="00552A84" w:rsidRPr="00D3304A" w:rsidRDefault="00552A84" w:rsidP="00FE3C4C">
            <w:pPr>
              <w:jc w:val="left"/>
              <w:rPr>
                <w:noProof/>
                <w:sz w:val="20"/>
              </w:rPr>
            </w:pPr>
            <w:r w:rsidRPr="00D3304A">
              <w:rPr>
                <w:noProof/>
                <w:sz w:val="20"/>
              </w:rPr>
              <w:t>Nationale statistische Stellen, die für die Erstellung nichtfinanzieller Statistiken zu Gewerbeimmobilien zuständig sind</w:t>
            </w:r>
          </w:p>
        </w:tc>
        <w:tc>
          <w:tcPr>
            <w:tcW w:w="3120" w:type="dxa"/>
          </w:tcPr>
          <w:p w:rsidR="00552A84" w:rsidRPr="00D3304A" w:rsidRDefault="00552A84" w:rsidP="00FE3C4C">
            <w:pPr>
              <w:jc w:val="left"/>
              <w:rPr>
                <w:noProof/>
                <w:sz w:val="20"/>
              </w:rPr>
            </w:pPr>
            <w:r w:rsidRPr="00D3304A">
              <w:rPr>
                <w:noProof/>
                <w:sz w:val="20"/>
              </w:rPr>
              <w:t>Auf Anfrage der nationalen statistischen Stellen, die für die Erstellung nichtfinanzieller Statistiken zu Gewerbeimmobilien zuständig sind</w:t>
            </w:r>
          </w:p>
        </w:tc>
        <w:tc>
          <w:tcPr>
            <w:tcW w:w="1701" w:type="dxa"/>
          </w:tcPr>
          <w:p w:rsidR="00552A84" w:rsidRPr="00D3304A" w:rsidRDefault="00552A84" w:rsidP="00FE3C4C">
            <w:pPr>
              <w:jc w:val="left"/>
              <w:rPr>
                <w:noProof/>
                <w:sz w:val="20"/>
              </w:rPr>
            </w:pPr>
            <w:r w:rsidRPr="00D3304A">
              <w:rPr>
                <w:noProof/>
                <w:sz w:val="20"/>
              </w:rPr>
              <w:t>Entfällt</w:t>
            </w:r>
          </w:p>
        </w:tc>
      </w:tr>
      <w:tr w:rsidR="00552A84" w:rsidRPr="00D3304A" w:rsidTr="00552A84">
        <w:trPr>
          <w:trHeight w:val="300"/>
        </w:trPr>
        <w:tc>
          <w:tcPr>
            <w:tcW w:w="4458" w:type="dxa"/>
          </w:tcPr>
          <w:p w:rsidR="00552A84" w:rsidRPr="00D3304A" w:rsidRDefault="00552A84" w:rsidP="00FE3C4C">
            <w:pPr>
              <w:pStyle w:val="NumPar1"/>
              <w:numPr>
                <w:ilvl w:val="0"/>
                <w:numId w:val="0"/>
              </w:numPr>
              <w:jc w:val="left"/>
              <w:rPr>
                <w:noProof/>
                <w:sz w:val="20"/>
              </w:rPr>
            </w:pPr>
            <w:r w:rsidRPr="00D3304A">
              <w:rPr>
                <w:noProof/>
                <w:sz w:val="20"/>
              </w:rPr>
              <w:t>Nichtfinanzielle statistische Indikatoren zu Gewerbeimmobilien für die im Anhang der Verordnung genannten Variablen</w:t>
            </w:r>
          </w:p>
        </w:tc>
        <w:tc>
          <w:tcPr>
            <w:tcW w:w="1494" w:type="dxa"/>
          </w:tcPr>
          <w:p w:rsidR="00552A84" w:rsidRPr="00D3304A" w:rsidRDefault="00552A84" w:rsidP="00FE3C4C">
            <w:pPr>
              <w:jc w:val="left"/>
              <w:rPr>
                <w:noProof/>
                <w:sz w:val="20"/>
              </w:rPr>
            </w:pPr>
            <w:r w:rsidRPr="00D3304A">
              <w:rPr>
                <w:noProof/>
                <w:sz w:val="20"/>
              </w:rPr>
              <w:t>Artikel </w:t>
            </w:r>
            <w:r w:rsidRPr="00C24C00">
              <w:rPr>
                <w:noProof/>
                <w:sz w:val="20"/>
              </w:rPr>
              <w:t>5</w:t>
            </w:r>
            <w:r w:rsidRPr="00D3304A">
              <w:rPr>
                <w:noProof/>
                <w:sz w:val="20"/>
              </w:rPr>
              <w:t xml:space="preserve"> Absatz </w:t>
            </w:r>
            <w:r w:rsidRPr="00C24C00">
              <w:rPr>
                <w:noProof/>
                <w:sz w:val="20"/>
              </w:rPr>
              <w:t>2</w:t>
            </w:r>
          </w:p>
        </w:tc>
        <w:tc>
          <w:tcPr>
            <w:tcW w:w="1885" w:type="dxa"/>
          </w:tcPr>
          <w:p w:rsidR="00552A84" w:rsidRPr="00D3304A" w:rsidRDefault="00552A84" w:rsidP="00FE3C4C">
            <w:pPr>
              <w:jc w:val="left"/>
              <w:rPr>
                <w:noProof/>
                <w:sz w:val="20"/>
              </w:rPr>
            </w:pPr>
            <w:r w:rsidRPr="00D3304A">
              <w:rPr>
                <w:noProof/>
                <w:sz w:val="20"/>
              </w:rPr>
              <w:t>Mitgliedstaaten</w:t>
            </w:r>
          </w:p>
        </w:tc>
        <w:tc>
          <w:tcPr>
            <w:tcW w:w="2111" w:type="dxa"/>
          </w:tcPr>
          <w:p w:rsidR="00552A84" w:rsidRPr="00D3304A" w:rsidRDefault="00552A84" w:rsidP="00FE3C4C">
            <w:pPr>
              <w:jc w:val="left"/>
              <w:rPr>
                <w:noProof/>
                <w:sz w:val="20"/>
              </w:rPr>
            </w:pPr>
            <w:r w:rsidRPr="00D3304A">
              <w:rPr>
                <w:noProof/>
                <w:sz w:val="20"/>
              </w:rPr>
              <w:t>Europäische Kommission (Eurostat)</w:t>
            </w:r>
          </w:p>
        </w:tc>
        <w:tc>
          <w:tcPr>
            <w:tcW w:w="3120" w:type="dxa"/>
          </w:tcPr>
          <w:p w:rsidR="00552A84" w:rsidRPr="00D3304A" w:rsidRDefault="00552A84" w:rsidP="00FE3C4C">
            <w:pPr>
              <w:jc w:val="left"/>
              <w:rPr>
                <w:noProof/>
                <w:sz w:val="20"/>
              </w:rPr>
            </w:pPr>
            <w:r w:rsidRPr="00D3304A">
              <w:rPr>
                <w:noProof/>
                <w:sz w:val="20"/>
              </w:rPr>
              <w:t>//</w:t>
            </w:r>
          </w:p>
        </w:tc>
        <w:tc>
          <w:tcPr>
            <w:tcW w:w="1701" w:type="dxa"/>
          </w:tcPr>
          <w:p w:rsidR="00552A84" w:rsidRPr="00D3304A" w:rsidRDefault="00552A84" w:rsidP="00FE3C4C">
            <w:pPr>
              <w:jc w:val="left"/>
              <w:rPr>
                <w:noProof/>
                <w:sz w:val="20"/>
              </w:rPr>
            </w:pPr>
            <w:r w:rsidRPr="00D3304A">
              <w:rPr>
                <w:noProof/>
                <w:sz w:val="20"/>
              </w:rPr>
              <w:t>Entfällt</w:t>
            </w:r>
          </w:p>
        </w:tc>
      </w:tr>
      <w:tr w:rsidR="00552A84" w:rsidRPr="00D3304A" w:rsidTr="00552A84">
        <w:trPr>
          <w:trHeight w:val="300"/>
        </w:trPr>
        <w:tc>
          <w:tcPr>
            <w:tcW w:w="4458" w:type="dxa"/>
          </w:tcPr>
          <w:p w:rsidR="00552A84" w:rsidRPr="00D3304A" w:rsidRDefault="00552A84" w:rsidP="00FE3C4C">
            <w:pPr>
              <w:pStyle w:val="Point0letter"/>
              <w:numPr>
                <w:ilvl w:val="1"/>
                <w:numId w:val="0"/>
              </w:numPr>
              <w:jc w:val="left"/>
              <w:rPr>
                <w:noProof/>
                <w:sz w:val="20"/>
              </w:rPr>
            </w:pPr>
            <w:r w:rsidRPr="00D3304A">
              <w:rPr>
                <w:noProof/>
                <w:sz w:val="20"/>
              </w:rPr>
              <w:t>Jährliche Referenz-Metadaten und Qualitätsberichte sowie jährlich aktualisierte Inventare mit Einzelheiten zu Datenquellen, Definitionen und Methoden.)</w:t>
            </w:r>
          </w:p>
        </w:tc>
        <w:tc>
          <w:tcPr>
            <w:tcW w:w="1494" w:type="dxa"/>
          </w:tcPr>
          <w:p w:rsidR="00552A84" w:rsidRPr="00D3304A" w:rsidRDefault="00552A84" w:rsidP="00FE3C4C">
            <w:pPr>
              <w:jc w:val="left"/>
              <w:rPr>
                <w:noProof/>
                <w:sz w:val="20"/>
              </w:rPr>
            </w:pPr>
            <w:r w:rsidRPr="00D3304A">
              <w:rPr>
                <w:noProof/>
                <w:sz w:val="20"/>
              </w:rPr>
              <w:t>Artikel </w:t>
            </w:r>
            <w:r w:rsidRPr="00C24C00">
              <w:rPr>
                <w:noProof/>
                <w:sz w:val="20"/>
              </w:rPr>
              <w:t>6</w:t>
            </w:r>
            <w:r w:rsidRPr="00D3304A">
              <w:rPr>
                <w:noProof/>
                <w:sz w:val="20"/>
              </w:rPr>
              <w:t xml:space="preserve"> Absatz </w:t>
            </w:r>
            <w:r w:rsidRPr="00C24C00">
              <w:rPr>
                <w:noProof/>
                <w:sz w:val="20"/>
              </w:rPr>
              <w:t>4</w:t>
            </w:r>
          </w:p>
        </w:tc>
        <w:tc>
          <w:tcPr>
            <w:tcW w:w="1885" w:type="dxa"/>
          </w:tcPr>
          <w:p w:rsidR="00552A84" w:rsidRPr="00D3304A" w:rsidRDefault="00552A84" w:rsidP="00FE3C4C">
            <w:pPr>
              <w:jc w:val="left"/>
              <w:rPr>
                <w:noProof/>
                <w:sz w:val="20"/>
              </w:rPr>
            </w:pPr>
            <w:r w:rsidRPr="00D3304A">
              <w:rPr>
                <w:noProof/>
                <w:sz w:val="20"/>
              </w:rPr>
              <w:t>Mitgliedstaaten</w:t>
            </w:r>
          </w:p>
        </w:tc>
        <w:tc>
          <w:tcPr>
            <w:tcW w:w="2111" w:type="dxa"/>
          </w:tcPr>
          <w:p w:rsidR="00552A84" w:rsidRPr="00D3304A" w:rsidRDefault="00552A84" w:rsidP="00FE3C4C">
            <w:pPr>
              <w:jc w:val="left"/>
              <w:rPr>
                <w:noProof/>
                <w:sz w:val="20"/>
              </w:rPr>
            </w:pPr>
            <w:r w:rsidRPr="00D3304A">
              <w:rPr>
                <w:noProof/>
                <w:sz w:val="20"/>
              </w:rPr>
              <w:t>Europäische Kommission (Eurostat)</w:t>
            </w:r>
          </w:p>
        </w:tc>
        <w:tc>
          <w:tcPr>
            <w:tcW w:w="3120" w:type="dxa"/>
          </w:tcPr>
          <w:p w:rsidR="00552A84" w:rsidRPr="00D3304A" w:rsidRDefault="00552A84" w:rsidP="00FE3C4C">
            <w:pPr>
              <w:jc w:val="left"/>
              <w:rPr>
                <w:noProof/>
                <w:sz w:val="20"/>
              </w:rPr>
            </w:pPr>
            <w:r w:rsidRPr="00D3304A">
              <w:rPr>
                <w:noProof/>
                <w:sz w:val="20"/>
              </w:rPr>
              <w:t>Gemäß Artikel </w:t>
            </w:r>
            <w:r w:rsidRPr="00C24C00">
              <w:rPr>
                <w:noProof/>
                <w:sz w:val="20"/>
              </w:rPr>
              <w:t>5</w:t>
            </w:r>
            <w:r w:rsidRPr="00D3304A">
              <w:rPr>
                <w:noProof/>
                <w:sz w:val="20"/>
              </w:rPr>
              <w:t xml:space="preserve"> Absatz </w:t>
            </w:r>
            <w:r w:rsidRPr="00C24C00">
              <w:rPr>
                <w:noProof/>
                <w:sz w:val="20"/>
              </w:rPr>
              <w:t>4</w:t>
            </w:r>
            <w:r w:rsidRPr="00D3304A">
              <w:rPr>
                <w:noProof/>
                <w:sz w:val="20"/>
              </w:rPr>
              <w:t xml:space="preserve"> der Verordnung können die Durchführungsmodalitäten Durchführungsrechtsakten der Kommission festgelegt werden.</w:t>
            </w:r>
          </w:p>
        </w:tc>
        <w:tc>
          <w:tcPr>
            <w:tcW w:w="1701" w:type="dxa"/>
          </w:tcPr>
          <w:p w:rsidR="00552A84" w:rsidRPr="00D3304A" w:rsidRDefault="00552A84" w:rsidP="00FE3C4C">
            <w:pPr>
              <w:jc w:val="left"/>
              <w:rPr>
                <w:noProof/>
                <w:sz w:val="20"/>
              </w:rPr>
            </w:pPr>
            <w:r w:rsidRPr="00D3304A">
              <w:rPr>
                <w:noProof/>
                <w:sz w:val="20"/>
              </w:rPr>
              <w:t>Entfällt</w:t>
            </w:r>
          </w:p>
        </w:tc>
      </w:tr>
      <w:tr w:rsidR="00552A84" w:rsidRPr="00D3304A" w:rsidTr="00552A84">
        <w:trPr>
          <w:trHeight w:val="300"/>
        </w:trPr>
        <w:tc>
          <w:tcPr>
            <w:tcW w:w="4458" w:type="dxa"/>
          </w:tcPr>
          <w:p w:rsidR="00552A84" w:rsidRPr="00D3304A" w:rsidRDefault="00552A84" w:rsidP="00FE3C4C">
            <w:pPr>
              <w:jc w:val="left"/>
              <w:rPr>
                <w:noProof/>
                <w:sz w:val="20"/>
              </w:rPr>
            </w:pPr>
            <w:r w:rsidRPr="00D3304A">
              <w:rPr>
                <w:noProof/>
                <w:sz w:val="20"/>
              </w:rPr>
              <w:t>Informationen über oder Veränderungen bei der Durchführung dieser Verordnung, die sich auf die Qualität der übermittelten Daten auswirken würden.</w:t>
            </w:r>
          </w:p>
        </w:tc>
        <w:tc>
          <w:tcPr>
            <w:tcW w:w="1494" w:type="dxa"/>
          </w:tcPr>
          <w:p w:rsidR="00552A84" w:rsidRPr="00D3304A" w:rsidRDefault="00552A84" w:rsidP="00FE3C4C">
            <w:pPr>
              <w:jc w:val="left"/>
              <w:rPr>
                <w:noProof/>
                <w:sz w:val="20"/>
              </w:rPr>
            </w:pPr>
            <w:r w:rsidRPr="00D3304A">
              <w:rPr>
                <w:noProof/>
                <w:sz w:val="20"/>
              </w:rPr>
              <w:t>Artikel </w:t>
            </w:r>
            <w:r w:rsidRPr="00C24C00">
              <w:rPr>
                <w:noProof/>
                <w:sz w:val="20"/>
              </w:rPr>
              <w:t>6</w:t>
            </w:r>
            <w:r w:rsidRPr="00D3304A">
              <w:rPr>
                <w:noProof/>
                <w:sz w:val="20"/>
              </w:rPr>
              <w:t xml:space="preserve"> Absatz </w:t>
            </w:r>
            <w:r w:rsidRPr="00C24C00">
              <w:rPr>
                <w:noProof/>
                <w:sz w:val="20"/>
              </w:rPr>
              <w:t>6</w:t>
            </w:r>
          </w:p>
        </w:tc>
        <w:tc>
          <w:tcPr>
            <w:tcW w:w="1885" w:type="dxa"/>
          </w:tcPr>
          <w:p w:rsidR="00552A84" w:rsidRPr="00D3304A" w:rsidRDefault="00552A84" w:rsidP="00FE3C4C">
            <w:pPr>
              <w:jc w:val="left"/>
              <w:rPr>
                <w:noProof/>
                <w:sz w:val="20"/>
              </w:rPr>
            </w:pPr>
            <w:r w:rsidRPr="00D3304A">
              <w:rPr>
                <w:noProof/>
                <w:sz w:val="20"/>
              </w:rPr>
              <w:t>Mitgliedstaaten</w:t>
            </w:r>
          </w:p>
        </w:tc>
        <w:tc>
          <w:tcPr>
            <w:tcW w:w="2111" w:type="dxa"/>
          </w:tcPr>
          <w:p w:rsidR="00552A84" w:rsidRPr="00D3304A" w:rsidRDefault="00552A84" w:rsidP="00FE3C4C">
            <w:pPr>
              <w:jc w:val="left"/>
              <w:rPr>
                <w:noProof/>
                <w:sz w:val="20"/>
              </w:rPr>
            </w:pPr>
            <w:r w:rsidRPr="00D3304A">
              <w:rPr>
                <w:noProof/>
                <w:sz w:val="20"/>
              </w:rPr>
              <w:t>Europäische Kommission (Eurostat)</w:t>
            </w:r>
          </w:p>
        </w:tc>
        <w:tc>
          <w:tcPr>
            <w:tcW w:w="3120" w:type="dxa"/>
          </w:tcPr>
          <w:p w:rsidR="00552A84" w:rsidRPr="00D3304A" w:rsidRDefault="00552A84" w:rsidP="00FE3C4C">
            <w:pPr>
              <w:jc w:val="left"/>
              <w:rPr>
                <w:noProof/>
                <w:sz w:val="20"/>
              </w:rPr>
            </w:pPr>
            <w:r w:rsidRPr="00D3304A">
              <w:rPr>
                <w:noProof/>
                <w:sz w:val="20"/>
              </w:rPr>
              <w:t>Nach einem Ereignis, das die Qualität der an die Kommission (Eurostat) übermittelten Daten beeinflussen würde</w:t>
            </w:r>
          </w:p>
        </w:tc>
        <w:tc>
          <w:tcPr>
            <w:tcW w:w="1701" w:type="dxa"/>
          </w:tcPr>
          <w:p w:rsidR="00552A84" w:rsidRPr="00D3304A" w:rsidRDefault="00552A84" w:rsidP="00FE3C4C">
            <w:pPr>
              <w:jc w:val="left"/>
              <w:rPr>
                <w:noProof/>
                <w:sz w:val="20"/>
              </w:rPr>
            </w:pPr>
            <w:r w:rsidRPr="00D3304A">
              <w:rPr>
                <w:noProof/>
                <w:sz w:val="20"/>
              </w:rPr>
              <w:t>Entfällt</w:t>
            </w:r>
          </w:p>
        </w:tc>
      </w:tr>
      <w:tr w:rsidR="00552A84" w:rsidRPr="00D3304A" w:rsidTr="00552A84">
        <w:trPr>
          <w:trHeight w:val="300"/>
        </w:trPr>
        <w:tc>
          <w:tcPr>
            <w:tcW w:w="4458" w:type="dxa"/>
          </w:tcPr>
          <w:p w:rsidR="00552A84" w:rsidRPr="00D3304A" w:rsidRDefault="00552A84" w:rsidP="00FE3C4C">
            <w:pPr>
              <w:pStyle w:val="NumPar1"/>
              <w:numPr>
                <w:ilvl w:val="0"/>
                <w:numId w:val="0"/>
              </w:numPr>
              <w:jc w:val="left"/>
              <w:rPr>
                <w:noProof/>
                <w:sz w:val="20"/>
              </w:rPr>
            </w:pPr>
            <w:r w:rsidRPr="00D3304A">
              <w:rPr>
                <w:noProof/>
                <w:sz w:val="20"/>
              </w:rPr>
              <w:t>Alle zusätzlichen Informationen, die für die Bewertung der Qualität der Daten und Metadaten erforderlich sind.</w:t>
            </w:r>
          </w:p>
          <w:p w:rsidR="00552A84" w:rsidRPr="00D3304A" w:rsidRDefault="00552A84" w:rsidP="00FE3C4C">
            <w:pPr>
              <w:ind w:firstLine="720"/>
              <w:jc w:val="left"/>
              <w:rPr>
                <w:noProof/>
                <w:sz w:val="20"/>
              </w:rPr>
            </w:pPr>
          </w:p>
        </w:tc>
        <w:tc>
          <w:tcPr>
            <w:tcW w:w="1494" w:type="dxa"/>
          </w:tcPr>
          <w:p w:rsidR="00552A84" w:rsidRPr="00D3304A" w:rsidRDefault="00552A84" w:rsidP="00FE3C4C">
            <w:pPr>
              <w:jc w:val="left"/>
              <w:rPr>
                <w:noProof/>
                <w:sz w:val="20"/>
              </w:rPr>
            </w:pPr>
            <w:r w:rsidRPr="00D3304A">
              <w:rPr>
                <w:noProof/>
                <w:sz w:val="20"/>
              </w:rPr>
              <w:t>Artikel </w:t>
            </w:r>
            <w:r w:rsidRPr="00C24C00">
              <w:rPr>
                <w:noProof/>
                <w:sz w:val="20"/>
              </w:rPr>
              <w:t>6</w:t>
            </w:r>
            <w:r w:rsidRPr="00D3304A">
              <w:rPr>
                <w:noProof/>
                <w:sz w:val="20"/>
              </w:rPr>
              <w:t xml:space="preserve"> Absatz </w:t>
            </w:r>
            <w:r w:rsidRPr="00C24C00">
              <w:rPr>
                <w:noProof/>
                <w:sz w:val="20"/>
              </w:rPr>
              <w:t>7</w:t>
            </w:r>
          </w:p>
        </w:tc>
        <w:tc>
          <w:tcPr>
            <w:tcW w:w="1885" w:type="dxa"/>
          </w:tcPr>
          <w:p w:rsidR="00552A84" w:rsidRPr="00D3304A" w:rsidRDefault="00552A84" w:rsidP="00FE3C4C">
            <w:pPr>
              <w:jc w:val="left"/>
              <w:rPr>
                <w:noProof/>
                <w:sz w:val="20"/>
              </w:rPr>
            </w:pPr>
            <w:r w:rsidRPr="00D3304A">
              <w:rPr>
                <w:noProof/>
                <w:sz w:val="20"/>
              </w:rPr>
              <w:t>Mitgliedstaaten</w:t>
            </w:r>
          </w:p>
        </w:tc>
        <w:tc>
          <w:tcPr>
            <w:tcW w:w="2111" w:type="dxa"/>
          </w:tcPr>
          <w:p w:rsidR="00552A84" w:rsidRPr="00D3304A" w:rsidRDefault="00552A84" w:rsidP="00FE3C4C">
            <w:pPr>
              <w:jc w:val="left"/>
              <w:rPr>
                <w:noProof/>
                <w:sz w:val="20"/>
              </w:rPr>
            </w:pPr>
            <w:r w:rsidRPr="00D3304A">
              <w:rPr>
                <w:noProof/>
                <w:sz w:val="20"/>
              </w:rPr>
              <w:t>Europäische Kommission (Eurostat)</w:t>
            </w:r>
          </w:p>
        </w:tc>
        <w:tc>
          <w:tcPr>
            <w:tcW w:w="3120" w:type="dxa"/>
          </w:tcPr>
          <w:p w:rsidR="00552A84" w:rsidRPr="00D3304A" w:rsidRDefault="00552A84" w:rsidP="00FE3C4C">
            <w:pPr>
              <w:jc w:val="left"/>
              <w:rPr>
                <w:noProof/>
                <w:sz w:val="20"/>
              </w:rPr>
            </w:pPr>
            <w:r w:rsidRPr="00D3304A">
              <w:rPr>
                <w:noProof/>
                <w:sz w:val="20"/>
              </w:rPr>
              <w:t>Auf ordnungsgemäß begründeten Antrag der Kommission (Eurostat)</w:t>
            </w:r>
          </w:p>
        </w:tc>
        <w:tc>
          <w:tcPr>
            <w:tcW w:w="1701" w:type="dxa"/>
          </w:tcPr>
          <w:p w:rsidR="00552A84" w:rsidRPr="00D3304A" w:rsidRDefault="00552A84" w:rsidP="00FE3C4C">
            <w:pPr>
              <w:jc w:val="left"/>
              <w:rPr>
                <w:noProof/>
                <w:sz w:val="20"/>
              </w:rPr>
            </w:pPr>
            <w:r w:rsidRPr="00D3304A">
              <w:rPr>
                <w:noProof/>
                <w:sz w:val="20"/>
              </w:rPr>
              <w:t>Entfällt</w:t>
            </w:r>
          </w:p>
        </w:tc>
      </w:tr>
    </w:tbl>
    <w:p w:rsidR="00552A84" w:rsidRPr="00D3304A" w:rsidRDefault="00552A84" w:rsidP="00552A84">
      <w:pPr>
        <w:rPr>
          <w:b/>
          <w:bCs/>
          <w:noProof/>
        </w:rPr>
      </w:pPr>
    </w:p>
    <w:p w:rsidR="00552A84" w:rsidRPr="00D3304A" w:rsidRDefault="00552A84" w:rsidP="00552A84">
      <w:pPr>
        <w:rPr>
          <w:b/>
          <w:bCs/>
          <w:noProof/>
          <w:sz w:val="28"/>
          <w:szCs w:val="28"/>
        </w:rPr>
      </w:pPr>
      <w:r w:rsidRPr="00C24C00">
        <w:rPr>
          <w:b/>
          <w:noProof/>
          <w:sz w:val="28"/>
        </w:rPr>
        <w:t>4</w:t>
      </w:r>
      <w:r w:rsidRPr="00D3304A">
        <w:rPr>
          <w:b/>
          <w:noProof/>
          <w:sz w:val="28"/>
        </w:rPr>
        <w:t>.</w:t>
      </w:r>
      <w:r w:rsidRPr="00C24C00">
        <w:rPr>
          <w:b/>
          <w:noProof/>
          <w:sz w:val="28"/>
        </w:rPr>
        <w:t>3</w:t>
      </w:r>
      <w:r w:rsidRPr="00D3304A">
        <w:rPr>
          <w:noProof/>
        </w:rPr>
        <w:tab/>
      </w:r>
      <w:r w:rsidRPr="00D3304A">
        <w:rPr>
          <w:b/>
          <w:noProof/>
          <w:sz w:val="28"/>
        </w:rPr>
        <w:t>Digitale Lösungen</w:t>
      </w:r>
    </w:p>
    <w:p w:rsidR="00552A84" w:rsidRPr="00D3304A" w:rsidRDefault="00552A84" w:rsidP="00552A84">
      <w:pPr>
        <w:rPr>
          <w:rFonts w:eastAsia="Calibri"/>
          <w:noProof/>
          <w:sz w:val="20"/>
          <w:szCs w:val="20"/>
        </w:rPr>
      </w:pPr>
      <w:r w:rsidRPr="00D3304A">
        <w:rPr>
          <w:i/>
          <w:noProof/>
          <w:sz w:val="20"/>
        </w:rPr>
        <w:t>Bitte geben Sie für jede digitale Lösung einen Verweis auf die sie betreffende(n) Anforderung(en) von digitaler Relevanz, eine Beschreibung der vorgeschriebenen Funktionalität der digitalen Lösung, die dafür zuständige Stelle und andere relevante Aspekte wie Weiterverwendbarkeit und Zugänglichkeit an. Erläutern Sie, abschließend, ob im Rahmen der digitalen Lösung KI-Technologien verwendet werden sollen.</w:t>
      </w:r>
      <w:r w:rsidRPr="00D3304A">
        <w:rPr>
          <w:noProof/>
          <w:sz w:val="20"/>
        </w:rPr>
        <w:t xml:space="preserve"> </w:t>
      </w:r>
    </w:p>
    <w:p w:rsidR="00552A84" w:rsidRPr="00D3304A" w:rsidRDefault="00552A84" w:rsidP="00552A84">
      <w:pPr>
        <w:rPr>
          <w:rFonts w:eastAsia="Calibri"/>
          <w:noProof/>
          <w:sz w:val="20"/>
          <w:szCs w:val="20"/>
        </w:rPr>
      </w:pPr>
    </w:p>
    <w:tbl>
      <w:tblPr>
        <w:tblStyle w:val="TableGrid"/>
        <w:tblW w:w="14754" w:type="dxa"/>
        <w:tblLayout w:type="fixed"/>
        <w:tblLook w:val="04A0" w:firstRow="1" w:lastRow="0" w:firstColumn="1" w:lastColumn="0" w:noHBand="0" w:noVBand="1"/>
      </w:tblPr>
      <w:tblGrid>
        <w:gridCol w:w="4390"/>
        <w:gridCol w:w="1480"/>
        <w:gridCol w:w="2063"/>
        <w:gridCol w:w="1618"/>
        <w:gridCol w:w="1821"/>
        <w:gridCol w:w="1592"/>
        <w:gridCol w:w="1790"/>
      </w:tblGrid>
      <w:tr w:rsidR="00552A84" w:rsidRPr="00D3304A" w:rsidTr="00FE3C4C">
        <w:trPr>
          <w:trHeight w:val="300"/>
        </w:trPr>
        <w:tc>
          <w:tcPr>
            <w:tcW w:w="4390" w:type="dxa"/>
          </w:tcPr>
          <w:p w:rsidR="00552A84" w:rsidRPr="00D3304A" w:rsidRDefault="00552A84" w:rsidP="00FE3C4C">
            <w:pPr>
              <w:spacing w:before="0" w:after="0"/>
              <w:jc w:val="center"/>
              <w:rPr>
                <w:rFonts w:eastAsia="Calibri"/>
                <w:noProof/>
                <w:sz w:val="22"/>
              </w:rPr>
            </w:pPr>
            <w:r w:rsidRPr="00D3304A">
              <w:rPr>
                <w:b/>
                <w:noProof/>
                <w:sz w:val="22"/>
              </w:rPr>
              <w:t>Digitale Lösung</w:t>
            </w:r>
          </w:p>
        </w:tc>
        <w:tc>
          <w:tcPr>
            <w:tcW w:w="1480" w:type="dxa"/>
          </w:tcPr>
          <w:p w:rsidR="00552A84" w:rsidRPr="00D3304A" w:rsidRDefault="00552A84" w:rsidP="00FE3C4C">
            <w:pPr>
              <w:jc w:val="center"/>
              <w:rPr>
                <w:rFonts w:eastAsia="Calibri"/>
                <w:noProof/>
                <w:sz w:val="22"/>
              </w:rPr>
            </w:pPr>
            <w:r w:rsidRPr="00D3304A">
              <w:rPr>
                <w:b/>
                <w:noProof/>
                <w:sz w:val="22"/>
              </w:rPr>
              <w:t>Verweis(e) auf die Anforderung(en)</w:t>
            </w:r>
          </w:p>
        </w:tc>
        <w:tc>
          <w:tcPr>
            <w:tcW w:w="2063" w:type="dxa"/>
          </w:tcPr>
          <w:p w:rsidR="00552A84" w:rsidRPr="00D3304A" w:rsidRDefault="00552A84" w:rsidP="00FE3C4C">
            <w:pPr>
              <w:spacing w:before="0" w:after="0"/>
              <w:jc w:val="center"/>
              <w:rPr>
                <w:rFonts w:eastAsia="Calibri"/>
                <w:noProof/>
                <w:sz w:val="22"/>
              </w:rPr>
            </w:pPr>
            <w:r w:rsidRPr="00D3304A">
              <w:rPr>
                <w:b/>
                <w:noProof/>
                <w:sz w:val="22"/>
              </w:rPr>
              <w:t>Wichtigste vorgeschriebene Funktionen</w:t>
            </w:r>
          </w:p>
        </w:tc>
        <w:tc>
          <w:tcPr>
            <w:tcW w:w="1618" w:type="dxa"/>
          </w:tcPr>
          <w:p w:rsidR="00552A84" w:rsidRPr="00D3304A" w:rsidRDefault="00552A84" w:rsidP="00FE3C4C">
            <w:pPr>
              <w:jc w:val="center"/>
              <w:rPr>
                <w:rFonts w:eastAsia="Calibri"/>
                <w:noProof/>
                <w:sz w:val="22"/>
              </w:rPr>
            </w:pPr>
            <w:r w:rsidRPr="00D3304A">
              <w:rPr>
                <w:b/>
                <w:noProof/>
                <w:sz w:val="22"/>
              </w:rPr>
              <w:t>Zuständige Stelle</w:t>
            </w:r>
          </w:p>
        </w:tc>
        <w:tc>
          <w:tcPr>
            <w:tcW w:w="1821" w:type="dxa"/>
          </w:tcPr>
          <w:p w:rsidR="00552A84" w:rsidRPr="00D3304A" w:rsidRDefault="00552A84" w:rsidP="00FE3C4C">
            <w:pPr>
              <w:spacing w:before="0" w:after="0"/>
              <w:jc w:val="center"/>
              <w:rPr>
                <w:rFonts w:eastAsia="Calibri"/>
                <w:noProof/>
                <w:sz w:val="22"/>
              </w:rPr>
            </w:pPr>
            <w:r w:rsidRPr="00D3304A">
              <w:rPr>
                <w:b/>
                <w:noProof/>
                <w:sz w:val="22"/>
              </w:rPr>
              <w:t>Wie wird Barrierefreiheit gewährleistet?</w:t>
            </w:r>
          </w:p>
        </w:tc>
        <w:tc>
          <w:tcPr>
            <w:tcW w:w="1592" w:type="dxa"/>
          </w:tcPr>
          <w:p w:rsidR="00552A84" w:rsidRPr="00D3304A" w:rsidRDefault="00552A84" w:rsidP="00FE3C4C">
            <w:pPr>
              <w:spacing w:before="0" w:after="0"/>
              <w:jc w:val="center"/>
              <w:rPr>
                <w:rFonts w:eastAsia="Calibri"/>
                <w:noProof/>
                <w:sz w:val="22"/>
              </w:rPr>
            </w:pPr>
            <w:r w:rsidRPr="00D3304A">
              <w:rPr>
                <w:b/>
                <w:noProof/>
                <w:sz w:val="22"/>
              </w:rPr>
              <w:t>Wie wird die Weiterverwendbarkeit berücksichtigt?</w:t>
            </w:r>
          </w:p>
        </w:tc>
        <w:tc>
          <w:tcPr>
            <w:tcW w:w="1790" w:type="dxa"/>
          </w:tcPr>
          <w:p w:rsidR="00552A84" w:rsidRPr="00D3304A" w:rsidRDefault="00552A84" w:rsidP="00FE3C4C">
            <w:pPr>
              <w:spacing w:before="0" w:after="0"/>
              <w:jc w:val="center"/>
              <w:rPr>
                <w:rFonts w:eastAsia="Calibri"/>
                <w:noProof/>
                <w:sz w:val="22"/>
              </w:rPr>
            </w:pPr>
            <w:r w:rsidRPr="00D3304A">
              <w:rPr>
                <w:b/>
                <w:noProof/>
                <w:sz w:val="22"/>
              </w:rPr>
              <w:t>Verwendung von KI-Technologien (falls zutreffend)</w:t>
            </w:r>
          </w:p>
        </w:tc>
      </w:tr>
      <w:tr w:rsidR="00552A84" w:rsidRPr="00D3304A" w:rsidTr="00FE3C4C">
        <w:trPr>
          <w:trHeight w:val="300"/>
        </w:trPr>
        <w:tc>
          <w:tcPr>
            <w:tcW w:w="4390" w:type="dxa"/>
          </w:tcPr>
          <w:p w:rsidR="00552A84" w:rsidRPr="00D3304A" w:rsidRDefault="00552A84" w:rsidP="00FE3C4C">
            <w:pPr>
              <w:spacing w:line="259" w:lineRule="auto"/>
              <w:jc w:val="left"/>
              <w:rPr>
                <w:noProof/>
                <w:sz w:val="20"/>
              </w:rPr>
            </w:pPr>
            <w:r w:rsidRPr="00D3304A">
              <w:rPr>
                <w:noProof/>
                <w:sz w:val="20"/>
              </w:rPr>
              <w:t>Europäische statistische Systeme, die mit nichtfinanziellen Gewerbeimmobilien arbeiten</w:t>
            </w:r>
          </w:p>
          <w:p w:rsidR="00552A84" w:rsidRPr="00D3304A" w:rsidRDefault="00552A84" w:rsidP="00FE3C4C">
            <w:pPr>
              <w:spacing w:before="0" w:after="0"/>
              <w:jc w:val="left"/>
              <w:rPr>
                <w:rFonts w:eastAsia="Calibri"/>
                <w:noProof/>
                <w:sz w:val="20"/>
              </w:rPr>
            </w:pPr>
          </w:p>
        </w:tc>
        <w:tc>
          <w:tcPr>
            <w:tcW w:w="1480" w:type="dxa"/>
          </w:tcPr>
          <w:p w:rsidR="00552A84" w:rsidRPr="00D3304A" w:rsidRDefault="00552A84" w:rsidP="00FE3C4C">
            <w:pPr>
              <w:jc w:val="left"/>
              <w:rPr>
                <w:rFonts w:eastAsia="Calibri"/>
                <w:noProof/>
                <w:sz w:val="20"/>
              </w:rPr>
            </w:pPr>
            <w:r w:rsidRPr="00D3304A">
              <w:rPr>
                <w:noProof/>
                <w:sz w:val="20"/>
              </w:rPr>
              <w:t>Artikel </w:t>
            </w:r>
            <w:r w:rsidRPr="00C24C00">
              <w:rPr>
                <w:noProof/>
                <w:sz w:val="20"/>
              </w:rPr>
              <w:t>4</w:t>
            </w:r>
            <w:r w:rsidRPr="00D3304A">
              <w:rPr>
                <w:noProof/>
                <w:sz w:val="20"/>
              </w:rPr>
              <w:t>; Artikel </w:t>
            </w:r>
            <w:r w:rsidRPr="00C24C00">
              <w:rPr>
                <w:noProof/>
                <w:sz w:val="20"/>
              </w:rPr>
              <w:t>5</w:t>
            </w:r>
            <w:r w:rsidRPr="00D3304A">
              <w:rPr>
                <w:noProof/>
                <w:sz w:val="20"/>
              </w:rPr>
              <w:t>; Artikel </w:t>
            </w:r>
            <w:r w:rsidRPr="00C24C00">
              <w:rPr>
                <w:noProof/>
                <w:sz w:val="20"/>
              </w:rPr>
              <w:t>6</w:t>
            </w:r>
          </w:p>
        </w:tc>
        <w:tc>
          <w:tcPr>
            <w:tcW w:w="2063" w:type="dxa"/>
          </w:tcPr>
          <w:p w:rsidR="00552A84" w:rsidRPr="00D3304A" w:rsidRDefault="00552A84" w:rsidP="00FE3C4C">
            <w:pPr>
              <w:spacing w:before="0" w:after="0"/>
              <w:jc w:val="left"/>
              <w:rPr>
                <w:rFonts w:eastAsia="Calibri"/>
                <w:noProof/>
                <w:sz w:val="20"/>
              </w:rPr>
            </w:pPr>
            <w:r w:rsidRPr="00D3304A">
              <w:rPr>
                <w:noProof/>
                <w:sz w:val="20"/>
              </w:rPr>
              <w:t>Empfang von Daten, Referenz-Metadatenqualitätsberichte über nichtfinanzielle Statistiken zu Gewerbeimmobilien der Mitgliedstaaten</w:t>
            </w:r>
          </w:p>
        </w:tc>
        <w:tc>
          <w:tcPr>
            <w:tcW w:w="1618" w:type="dxa"/>
          </w:tcPr>
          <w:p w:rsidR="00552A84" w:rsidRPr="00D3304A" w:rsidRDefault="00552A84" w:rsidP="00FE3C4C">
            <w:pPr>
              <w:jc w:val="left"/>
              <w:rPr>
                <w:rFonts w:eastAsia="Calibri"/>
                <w:noProof/>
                <w:sz w:val="20"/>
              </w:rPr>
            </w:pPr>
            <w:r w:rsidRPr="00D3304A">
              <w:rPr>
                <w:noProof/>
                <w:sz w:val="20"/>
              </w:rPr>
              <w:t>Europäische Kommission (Eurostat)</w:t>
            </w:r>
          </w:p>
        </w:tc>
        <w:tc>
          <w:tcPr>
            <w:tcW w:w="1821" w:type="dxa"/>
          </w:tcPr>
          <w:p w:rsidR="00552A84" w:rsidRPr="00D3304A" w:rsidRDefault="00552A84" w:rsidP="00FE3C4C">
            <w:pPr>
              <w:spacing w:before="0" w:after="0"/>
              <w:jc w:val="left"/>
              <w:rPr>
                <w:rFonts w:eastAsia="Calibri"/>
                <w:noProof/>
                <w:sz w:val="20"/>
              </w:rPr>
            </w:pPr>
            <w:r w:rsidRPr="00D3304A">
              <w:rPr>
                <w:noProof/>
                <w:sz w:val="20"/>
              </w:rPr>
              <w:t>Verwendung bestehender Infrastruktur</w:t>
            </w:r>
          </w:p>
        </w:tc>
        <w:tc>
          <w:tcPr>
            <w:tcW w:w="1592" w:type="dxa"/>
          </w:tcPr>
          <w:p w:rsidR="00552A84" w:rsidRPr="00D3304A" w:rsidRDefault="00552A84" w:rsidP="00FE3C4C">
            <w:pPr>
              <w:spacing w:before="0" w:after="0"/>
              <w:jc w:val="left"/>
              <w:rPr>
                <w:rFonts w:eastAsia="Calibri"/>
                <w:noProof/>
                <w:sz w:val="20"/>
              </w:rPr>
            </w:pPr>
            <w:r w:rsidRPr="00D3304A">
              <w:rPr>
                <w:noProof/>
                <w:sz w:val="20"/>
              </w:rPr>
              <w:t>Verwendung bestehender Infrastruktur</w:t>
            </w:r>
          </w:p>
        </w:tc>
        <w:tc>
          <w:tcPr>
            <w:tcW w:w="1790" w:type="dxa"/>
          </w:tcPr>
          <w:p w:rsidR="00552A84" w:rsidRPr="00D3304A" w:rsidRDefault="00552A84" w:rsidP="00FE3C4C">
            <w:pPr>
              <w:spacing w:before="0" w:after="0"/>
              <w:jc w:val="left"/>
              <w:rPr>
                <w:rFonts w:eastAsia="Calibri"/>
                <w:noProof/>
                <w:sz w:val="20"/>
              </w:rPr>
            </w:pPr>
            <w:r w:rsidRPr="00D3304A">
              <w:rPr>
                <w:noProof/>
                <w:sz w:val="20"/>
              </w:rPr>
              <w:t>Keine Angabe</w:t>
            </w:r>
          </w:p>
        </w:tc>
      </w:tr>
      <w:tr w:rsidR="00552A84" w:rsidRPr="00D3304A" w:rsidTr="00FE3C4C">
        <w:trPr>
          <w:trHeight w:val="300"/>
        </w:trPr>
        <w:tc>
          <w:tcPr>
            <w:tcW w:w="4390" w:type="dxa"/>
          </w:tcPr>
          <w:p w:rsidR="00552A84" w:rsidRPr="00D3304A" w:rsidRDefault="00552A84" w:rsidP="00FE3C4C">
            <w:pPr>
              <w:spacing w:line="259" w:lineRule="auto"/>
              <w:jc w:val="left"/>
              <w:rPr>
                <w:noProof/>
                <w:sz w:val="20"/>
              </w:rPr>
            </w:pPr>
            <w:r w:rsidRPr="00D3304A">
              <w:rPr>
                <w:noProof/>
                <w:sz w:val="20"/>
              </w:rPr>
              <w:t>Nationale statistische Systeme, die mit nichtfinanziellen Gewerbeimmobilien arbeiten</w:t>
            </w:r>
          </w:p>
          <w:p w:rsidR="00552A84" w:rsidRPr="00D3304A" w:rsidRDefault="00552A84" w:rsidP="00FE3C4C">
            <w:pPr>
              <w:jc w:val="left"/>
              <w:rPr>
                <w:noProof/>
                <w:sz w:val="20"/>
              </w:rPr>
            </w:pPr>
          </w:p>
        </w:tc>
        <w:tc>
          <w:tcPr>
            <w:tcW w:w="1480" w:type="dxa"/>
          </w:tcPr>
          <w:p w:rsidR="00552A84" w:rsidRPr="00D3304A" w:rsidRDefault="00552A84" w:rsidP="00FE3C4C">
            <w:pPr>
              <w:jc w:val="left"/>
              <w:rPr>
                <w:noProof/>
                <w:sz w:val="20"/>
              </w:rPr>
            </w:pPr>
            <w:r w:rsidRPr="00D3304A">
              <w:rPr>
                <w:noProof/>
                <w:sz w:val="20"/>
              </w:rPr>
              <w:t>Artikel </w:t>
            </w:r>
            <w:r w:rsidRPr="00C24C00">
              <w:rPr>
                <w:noProof/>
                <w:sz w:val="20"/>
              </w:rPr>
              <w:t>4</w:t>
            </w:r>
            <w:r w:rsidRPr="00D3304A">
              <w:rPr>
                <w:noProof/>
                <w:sz w:val="20"/>
              </w:rPr>
              <w:t>; Artikel </w:t>
            </w:r>
            <w:r w:rsidRPr="00C24C00">
              <w:rPr>
                <w:noProof/>
                <w:sz w:val="20"/>
              </w:rPr>
              <w:t>5</w:t>
            </w:r>
            <w:r w:rsidRPr="00D3304A">
              <w:rPr>
                <w:noProof/>
                <w:sz w:val="20"/>
              </w:rPr>
              <w:t>; Artikel </w:t>
            </w:r>
            <w:r w:rsidRPr="00C24C00">
              <w:rPr>
                <w:noProof/>
                <w:sz w:val="20"/>
              </w:rPr>
              <w:t>6</w:t>
            </w:r>
          </w:p>
        </w:tc>
        <w:tc>
          <w:tcPr>
            <w:tcW w:w="2063" w:type="dxa"/>
          </w:tcPr>
          <w:p w:rsidR="00552A84" w:rsidRPr="00D3304A" w:rsidRDefault="00552A84" w:rsidP="00FE3C4C">
            <w:pPr>
              <w:jc w:val="left"/>
              <w:rPr>
                <w:noProof/>
                <w:sz w:val="20"/>
              </w:rPr>
            </w:pPr>
            <w:r w:rsidRPr="00D3304A">
              <w:rPr>
                <w:noProof/>
                <w:sz w:val="20"/>
              </w:rPr>
              <w:t>Empfang, Speicherung und Verarbeitung von Quelldaten und Erstellung von nichtfinanziellen Statistiken zu Gewerbeimmobilien</w:t>
            </w:r>
          </w:p>
        </w:tc>
        <w:tc>
          <w:tcPr>
            <w:tcW w:w="1618" w:type="dxa"/>
          </w:tcPr>
          <w:p w:rsidR="00552A84" w:rsidRPr="00D3304A" w:rsidRDefault="00552A84" w:rsidP="00FE3C4C">
            <w:pPr>
              <w:jc w:val="left"/>
              <w:rPr>
                <w:noProof/>
                <w:sz w:val="20"/>
              </w:rPr>
            </w:pPr>
            <w:r w:rsidRPr="00D3304A">
              <w:rPr>
                <w:noProof/>
                <w:sz w:val="20"/>
              </w:rPr>
              <w:t>Mitgliedstaat</w:t>
            </w:r>
          </w:p>
        </w:tc>
        <w:tc>
          <w:tcPr>
            <w:tcW w:w="1821" w:type="dxa"/>
          </w:tcPr>
          <w:p w:rsidR="00552A84" w:rsidRPr="00D3304A" w:rsidRDefault="00552A84" w:rsidP="00FE3C4C">
            <w:pPr>
              <w:jc w:val="left"/>
              <w:rPr>
                <w:noProof/>
                <w:sz w:val="20"/>
              </w:rPr>
            </w:pPr>
            <w:r w:rsidRPr="00D3304A">
              <w:rPr>
                <w:noProof/>
                <w:sz w:val="20"/>
              </w:rPr>
              <w:t>Verwendung bestehender Infrastruktur</w:t>
            </w:r>
          </w:p>
        </w:tc>
        <w:tc>
          <w:tcPr>
            <w:tcW w:w="1592" w:type="dxa"/>
          </w:tcPr>
          <w:p w:rsidR="00552A84" w:rsidRPr="00D3304A" w:rsidRDefault="00552A84" w:rsidP="00FE3C4C">
            <w:pPr>
              <w:jc w:val="left"/>
              <w:rPr>
                <w:noProof/>
                <w:sz w:val="20"/>
              </w:rPr>
            </w:pPr>
            <w:r w:rsidRPr="00D3304A">
              <w:rPr>
                <w:noProof/>
                <w:sz w:val="20"/>
              </w:rPr>
              <w:t>Verwendung bestehender Infrastruktur</w:t>
            </w:r>
          </w:p>
        </w:tc>
        <w:tc>
          <w:tcPr>
            <w:tcW w:w="1790" w:type="dxa"/>
          </w:tcPr>
          <w:p w:rsidR="00552A84" w:rsidRPr="00D3304A" w:rsidRDefault="00552A84" w:rsidP="00FE3C4C">
            <w:pPr>
              <w:jc w:val="left"/>
              <w:rPr>
                <w:noProof/>
                <w:sz w:val="20"/>
              </w:rPr>
            </w:pPr>
            <w:r w:rsidRPr="00D3304A">
              <w:rPr>
                <w:noProof/>
                <w:sz w:val="20"/>
              </w:rPr>
              <w:t>Keine Angabe</w:t>
            </w:r>
          </w:p>
        </w:tc>
      </w:tr>
    </w:tbl>
    <w:p w:rsidR="00552A84" w:rsidRPr="00D3304A" w:rsidRDefault="00552A84" w:rsidP="00552A84">
      <w:pPr>
        <w:rPr>
          <w:b/>
          <w:bCs/>
          <w:noProof/>
          <w:u w:val="single"/>
        </w:rPr>
      </w:pPr>
      <w:r w:rsidRPr="00D3304A">
        <w:rPr>
          <w:i/>
          <w:noProof/>
          <w:sz w:val="20"/>
        </w:rPr>
        <w:t>Erläutern Sie für jede digitale Lösung, wie die digitale Lösung mit den Anforderungen und Verpflichtungen des EU-Rahmens für Cybersicherheit und anderen geltenden digitalen Strategien und Rechtsvorschriften (z. B. eIDAS, zentrales digitales Zugangstor usw.) im Einklang steht.</w:t>
      </w:r>
    </w:p>
    <w:p w:rsidR="00552A84" w:rsidRPr="00D3304A" w:rsidRDefault="00552A84" w:rsidP="00552A84">
      <w:pPr>
        <w:spacing w:line="259" w:lineRule="auto"/>
        <w:rPr>
          <w:b/>
          <w:bCs/>
          <w:noProof/>
          <w:sz w:val="22"/>
        </w:rPr>
      </w:pPr>
      <w:r w:rsidRPr="00D3304A">
        <w:rPr>
          <w:b/>
          <w:noProof/>
          <w:sz w:val="22"/>
        </w:rPr>
        <w:t>Europäische statistische Systeme, die mit nichtfinanziellen Gewerbeimmobilien arbeiten</w:t>
      </w:r>
    </w:p>
    <w:tbl>
      <w:tblPr>
        <w:tblStyle w:val="TableGrid"/>
        <w:tblW w:w="14748" w:type="dxa"/>
        <w:tblLook w:val="04A0" w:firstRow="1" w:lastRow="0" w:firstColumn="1" w:lastColumn="0" w:noHBand="0" w:noVBand="1"/>
      </w:tblPr>
      <w:tblGrid>
        <w:gridCol w:w="5753"/>
        <w:gridCol w:w="8995"/>
      </w:tblGrid>
      <w:tr w:rsidR="00552A84" w:rsidRPr="00D3304A" w:rsidTr="00552A84">
        <w:tc>
          <w:tcPr>
            <w:tcW w:w="5753" w:type="dxa"/>
          </w:tcPr>
          <w:p w:rsidR="00552A84" w:rsidRPr="00D3304A" w:rsidRDefault="00552A84" w:rsidP="00FE3C4C">
            <w:pPr>
              <w:jc w:val="left"/>
              <w:rPr>
                <w:rFonts w:eastAsia="Calibri"/>
                <w:noProof/>
                <w:sz w:val="22"/>
              </w:rPr>
            </w:pPr>
            <w:r w:rsidRPr="00D3304A">
              <w:rPr>
                <w:b/>
                <w:noProof/>
                <w:sz w:val="22"/>
              </w:rPr>
              <w:t>Digital- und/oder sektorspezifische Politik (falls zutreffend)</w:t>
            </w:r>
          </w:p>
        </w:tc>
        <w:tc>
          <w:tcPr>
            <w:tcW w:w="8995" w:type="dxa"/>
          </w:tcPr>
          <w:p w:rsidR="00552A84" w:rsidRPr="00D3304A" w:rsidRDefault="00552A84" w:rsidP="00FE3C4C">
            <w:pPr>
              <w:jc w:val="left"/>
              <w:rPr>
                <w:rFonts w:eastAsia="Calibri"/>
                <w:noProof/>
                <w:sz w:val="22"/>
              </w:rPr>
            </w:pPr>
            <w:r w:rsidRPr="00D3304A">
              <w:rPr>
                <w:b/>
                <w:noProof/>
                <w:sz w:val="22"/>
              </w:rPr>
              <w:t>Erläuterung der Angleichung</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KI-Gesetz</w:t>
            </w:r>
          </w:p>
        </w:tc>
        <w:tc>
          <w:tcPr>
            <w:tcW w:w="8995" w:type="dxa"/>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EU-Rahmen für Cybersicherheit</w:t>
            </w:r>
          </w:p>
        </w:tc>
        <w:tc>
          <w:tcPr>
            <w:tcW w:w="8995" w:type="dxa"/>
          </w:tcPr>
          <w:p w:rsidR="00552A84" w:rsidRPr="00D3304A" w:rsidRDefault="00552A84" w:rsidP="00FE3C4C">
            <w:pPr>
              <w:jc w:val="left"/>
              <w:rPr>
                <w:rFonts w:eastAsia="Calibri"/>
                <w:noProof/>
                <w:sz w:val="20"/>
              </w:rPr>
            </w:pPr>
            <w:r w:rsidRPr="00D3304A">
              <w:rPr>
                <w:noProof/>
                <w:sz w:val="20"/>
              </w:rPr>
              <w:t>Auf der Grundlage der bestehenden statistischen Infrastruktur</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eIDAS</w:t>
            </w:r>
          </w:p>
        </w:tc>
        <w:tc>
          <w:tcPr>
            <w:tcW w:w="8995" w:type="dxa"/>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Zentrales digitales Zugangstor und IMI</w:t>
            </w:r>
          </w:p>
        </w:tc>
        <w:tc>
          <w:tcPr>
            <w:tcW w:w="8995" w:type="dxa"/>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Sonstige</w:t>
            </w:r>
          </w:p>
        </w:tc>
        <w:tc>
          <w:tcPr>
            <w:tcW w:w="8995" w:type="dxa"/>
          </w:tcPr>
          <w:p w:rsidR="00552A84" w:rsidRPr="00D3304A" w:rsidRDefault="00552A84" w:rsidP="00FE3C4C">
            <w:pPr>
              <w:jc w:val="left"/>
              <w:rPr>
                <w:rFonts w:eastAsia="Calibri"/>
                <w:noProof/>
                <w:sz w:val="20"/>
              </w:rPr>
            </w:pPr>
            <w:r w:rsidRPr="00D3304A">
              <w:rPr>
                <w:noProof/>
                <w:sz w:val="20"/>
              </w:rPr>
              <w:t xml:space="preserve">Weiterverwendung relevanter Datenquellen, die durch sektorspezifische Strategien festgelegt wurden </w:t>
            </w:r>
          </w:p>
        </w:tc>
      </w:tr>
    </w:tbl>
    <w:p w:rsidR="00552A84" w:rsidRPr="00D3304A" w:rsidRDefault="00552A84" w:rsidP="00552A84">
      <w:pPr>
        <w:spacing w:line="259" w:lineRule="auto"/>
        <w:rPr>
          <w:b/>
          <w:bCs/>
          <w:noProof/>
          <w:sz w:val="22"/>
        </w:rPr>
      </w:pPr>
      <w:r w:rsidRPr="00D3304A">
        <w:rPr>
          <w:b/>
          <w:noProof/>
          <w:sz w:val="22"/>
        </w:rPr>
        <w:t>Nationale statistische Systeme, die mit nichtfinanziellen Gewerbeimmobilien arbeiten</w:t>
      </w:r>
    </w:p>
    <w:tbl>
      <w:tblPr>
        <w:tblStyle w:val="TableGrid"/>
        <w:tblW w:w="14748" w:type="dxa"/>
        <w:tblLook w:val="04A0" w:firstRow="1" w:lastRow="0" w:firstColumn="1" w:lastColumn="0" w:noHBand="0" w:noVBand="1"/>
      </w:tblPr>
      <w:tblGrid>
        <w:gridCol w:w="5753"/>
        <w:gridCol w:w="8995"/>
      </w:tblGrid>
      <w:tr w:rsidR="00552A84" w:rsidRPr="00D3304A" w:rsidTr="00552A84">
        <w:tc>
          <w:tcPr>
            <w:tcW w:w="5753" w:type="dxa"/>
          </w:tcPr>
          <w:p w:rsidR="00552A84" w:rsidRPr="00D3304A" w:rsidRDefault="00552A84" w:rsidP="00FE3C4C">
            <w:pPr>
              <w:jc w:val="left"/>
              <w:rPr>
                <w:rFonts w:eastAsia="Calibri"/>
                <w:noProof/>
                <w:sz w:val="22"/>
              </w:rPr>
            </w:pPr>
            <w:r w:rsidRPr="00D3304A">
              <w:rPr>
                <w:b/>
                <w:noProof/>
                <w:sz w:val="22"/>
              </w:rPr>
              <w:t>Digital- und/oder sektorspezifische Politik (falls zutreffend)</w:t>
            </w:r>
          </w:p>
        </w:tc>
        <w:tc>
          <w:tcPr>
            <w:tcW w:w="8995" w:type="dxa"/>
          </w:tcPr>
          <w:p w:rsidR="00552A84" w:rsidRPr="00D3304A" w:rsidRDefault="00552A84" w:rsidP="00FE3C4C">
            <w:pPr>
              <w:jc w:val="left"/>
              <w:rPr>
                <w:rFonts w:eastAsia="Calibri"/>
                <w:noProof/>
                <w:sz w:val="22"/>
              </w:rPr>
            </w:pPr>
            <w:r w:rsidRPr="00D3304A">
              <w:rPr>
                <w:b/>
                <w:noProof/>
                <w:sz w:val="22"/>
              </w:rPr>
              <w:t>Erläuterung der Angleichung</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KI-Gesetz</w:t>
            </w:r>
          </w:p>
        </w:tc>
        <w:tc>
          <w:tcPr>
            <w:tcW w:w="8995" w:type="dxa"/>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EU-Rahmen für Cybersicherheit</w:t>
            </w:r>
          </w:p>
        </w:tc>
        <w:tc>
          <w:tcPr>
            <w:tcW w:w="8995" w:type="dxa"/>
          </w:tcPr>
          <w:p w:rsidR="00552A84" w:rsidRPr="00D3304A" w:rsidRDefault="00552A84" w:rsidP="00FE3C4C">
            <w:pPr>
              <w:jc w:val="left"/>
              <w:rPr>
                <w:rFonts w:eastAsia="Calibri"/>
                <w:noProof/>
                <w:sz w:val="20"/>
              </w:rPr>
            </w:pPr>
            <w:r w:rsidRPr="00D3304A">
              <w:rPr>
                <w:noProof/>
                <w:sz w:val="20"/>
              </w:rPr>
              <w:t>Auf der Grundlage der bestehenden statistischen Infrastruktur</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eIDAS</w:t>
            </w:r>
          </w:p>
        </w:tc>
        <w:tc>
          <w:tcPr>
            <w:tcW w:w="8995" w:type="dxa"/>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Zentrales digitales Zugangstor und IMI</w:t>
            </w:r>
          </w:p>
        </w:tc>
        <w:tc>
          <w:tcPr>
            <w:tcW w:w="8995" w:type="dxa"/>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552A84">
        <w:tc>
          <w:tcPr>
            <w:tcW w:w="5753" w:type="dxa"/>
          </w:tcPr>
          <w:p w:rsidR="00552A84" w:rsidRPr="00D3304A" w:rsidRDefault="00552A84" w:rsidP="00FE3C4C">
            <w:pPr>
              <w:jc w:val="left"/>
              <w:rPr>
                <w:rFonts w:eastAsia="Calibri"/>
                <w:noProof/>
                <w:sz w:val="20"/>
              </w:rPr>
            </w:pPr>
            <w:r w:rsidRPr="00D3304A">
              <w:rPr>
                <w:b/>
                <w:i/>
                <w:noProof/>
                <w:sz w:val="20"/>
              </w:rPr>
              <w:t>Sonstige</w:t>
            </w:r>
          </w:p>
        </w:tc>
        <w:tc>
          <w:tcPr>
            <w:tcW w:w="8995" w:type="dxa"/>
          </w:tcPr>
          <w:p w:rsidR="00552A84" w:rsidRPr="00D3304A" w:rsidRDefault="00552A84" w:rsidP="00FE3C4C">
            <w:pPr>
              <w:jc w:val="left"/>
              <w:rPr>
                <w:rFonts w:eastAsia="Calibri"/>
                <w:noProof/>
                <w:sz w:val="20"/>
              </w:rPr>
            </w:pPr>
            <w:r w:rsidRPr="00D3304A">
              <w:rPr>
                <w:noProof/>
                <w:sz w:val="20"/>
              </w:rPr>
              <w:t xml:space="preserve">Weiterverwendung relevanter Datenquellen, die durch sektorspezifische Strategien festgelegt wurden </w:t>
            </w:r>
          </w:p>
        </w:tc>
      </w:tr>
    </w:tbl>
    <w:p w:rsidR="00552A84" w:rsidRPr="00D3304A" w:rsidRDefault="00552A84" w:rsidP="00552A84">
      <w:pPr>
        <w:rPr>
          <w:b/>
          <w:bCs/>
          <w:noProof/>
          <w:sz w:val="28"/>
          <w:szCs w:val="28"/>
        </w:rPr>
      </w:pPr>
    </w:p>
    <w:p w:rsidR="00552A84" w:rsidRPr="00D3304A" w:rsidRDefault="00552A84" w:rsidP="00552A84">
      <w:pPr>
        <w:rPr>
          <w:noProof/>
        </w:rPr>
      </w:pPr>
      <w:r w:rsidRPr="00C24C00">
        <w:rPr>
          <w:b/>
          <w:noProof/>
          <w:sz w:val="28"/>
        </w:rPr>
        <w:t>4</w:t>
      </w:r>
      <w:r w:rsidRPr="00D3304A">
        <w:rPr>
          <w:b/>
          <w:noProof/>
          <w:sz w:val="28"/>
        </w:rPr>
        <w:t>.</w:t>
      </w:r>
      <w:r w:rsidRPr="00C24C00">
        <w:rPr>
          <w:b/>
          <w:noProof/>
          <w:sz w:val="28"/>
        </w:rPr>
        <w:t>4</w:t>
      </w:r>
      <w:r w:rsidRPr="00D3304A">
        <w:rPr>
          <w:noProof/>
        </w:rPr>
        <w:tab/>
      </w:r>
      <w:r w:rsidRPr="00D3304A">
        <w:rPr>
          <w:b/>
          <w:noProof/>
          <w:sz w:val="28"/>
        </w:rPr>
        <w:t>Interoperabilitätsbewertung</w:t>
      </w:r>
    </w:p>
    <w:p w:rsidR="00552A84" w:rsidRPr="00D3304A" w:rsidRDefault="00552A84" w:rsidP="00552A84">
      <w:pPr>
        <w:rPr>
          <w:i/>
          <w:iCs/>
          <w:noProof/>
        </w:rPr>
      </w:pPr>
      <w:r w:rsidRPr="00D3304A">
        <w:rPr>
          <w:i/>
          <w:noProof/>
        </w:rPr>
        <w:t>Beschreiben Sie die von der Anforderung betroffenen digitalen öffentlichen Dienste</w:t>
      </w:r>
    </w:p>
    <w:tbl>
      <w:tblPr>
        <w:tblStyle w:val="TableGrid"/>
        <w:tblW w:w="14454" w:type="dxa"/>
        <w:tblLook w:val="04A0" w:firstRow="1" w:lastRow="0" w:firstColumn="1" w:lastColumn="0" w:noHBand="0" w:noVBand="1"/>
      </w:tblPr>
      <w:tblGrid>
        <w:gridCol w:w="1558"/>
        <w:gridCol w:w="3666"/>
        <w:gridCol w:w="1818"/>
        <w:gridCol w:w="1850"/>
        <w:gridCol w:w="5562"/>
      </w:tblGrid>
      <w:tr w:rsidR="00552A84" w:rsidRPr="00D3304A" w:rsidTr="00FE3C4C">
        <w:trPr>
          <w:trHeight w:val="300"/>
        </w:trPr>
        <w:tc>
          <w:tcPr>
            <w:tcW w:w="2325" w:type="dxa"/>
          </w:tcPr>
          <w:p w:rsidR="00552A84" w:rsidRPr="00D3304A" w:rsidRDefault="00552A84" w:rsidP="00FE3C4C">
            <w:pPr>
              <w:spacing w:before="0" w:after="0"/>
              <w:jc w:val="left"/>
              <w:rPr>
                <w:b/>
                <w:bCs/>
                <w:noProof/>
                <w:sz w:val="22"/>
              </w:rPr>
            </w:pPr>
            <w:r w:rsidRPr="00D3304A">
              <w:rPr>
                <w:b/>
                <w:noProof/>
                <w:sz w:val="22"/>
              </w:rPr>
              <w:t>Digitaler öffentlicher Dienst oder Kategorie digitaler öffentlicher Dienste</w:t>
            </w:r>
          </w:p>
        </w:tc>
        <w:tc>
          <w:tcPr>
            <w:tcW w:w="3505" w:type="dxa"/>
          </w:tcPr>
          <w:p w:rsidR="00552A84" w:rsidRPr="00D3304A" w:rsidRDefault="00552A84" w:rsidP="00FE3C4C">
            <w:pPr>
              <w:jc w:val="left"/>
              <w:rPr>
                <w:b/>
                <w:bCs/>
                <w:noProof/>
                <w:sz w:val="22"/>
              </w:rPr>
            </w:pPr>
            <w:r w:rsidRPr="00D3304A">
              <w:rPr>
                <w:b/>
                <w:noProof/>
                <w:sz w:val="22"/>
              </w:rPr>
              <w:t>Beschreibung</w:t>
            </w:r>
          </w:p>
        </w:tc>
        <w:tc>
          <w:tcPr>
            <w:tcW w:w="1637" w:type="dxa"/>
          </w:tcPr>
          <w:p w:rsidR="00552A84" w:rsidRPr="00D3304A" w:rsidRDefault="00552A84" w:rsidP="00FE3C4C">
            <w:pPr>
              <w:jc w:val="left"/>
              <w:rPr>
                <w:b/>
                <w:bCs/>
                <w:noProof/>
                <w:sz w:val="22"/>
              </w:rPr>
            </w:pPr>
            <w:r w:rsidRPr="00D3304A">
              <w:rPr>
                <w:b/>
                <w:noProof/>
                <w:sz w:val="22"/>
              </w:rPr>
              <w:t>Verweis(e) auf die Anforderung(en)</w:t>
            </w:r>
          </w:p>
        </w:tc>
        <w:tc>
          <w:tcPr>
            <w:tcW w:w="2689" w:type="dxa"/>
            <w:shd w:val="clear" w:color="auto" w:fill="7F7F7F" w:themeFill="text1" w:themeFillTint="80"/>
          </w:tcPr>
          <w:p w:rsidR="00552A84" w:rsidRPr="00D3304A" w:rsidRDefault="00552A84" w:rsidP="00FE3C4C">
            <w:pPr>
              <w:jc w:val="left"/>
              <w:rPr>
                <w:b/>
                <w:bCs/>
                <w:noProof/>
                <w:sz w:val="22"/>
              </w:rPr>
            </w:pPr>
            <w:r w:rsidRPr="00D3304A">
              <w:rPr>
                <w:b/>
                <w:noProof/>
                <w:sz w:val="22"/>
              </w:rPr>
              <w:t xml:space="preserve">Lösung(en) für ein interoperables Europa </w:t>
            </w:r>
          </w:p>
          <w:p w:rsidR="00552A84" w:rsidRPr="00D3304A" w:rsidRDefault="00552A84" w:rsidP="00FE3C4C">
            <w:pPr>
              <w:jc w:val="left"/>
              <w:rPr>
                <w:b/>
                <w:bCs/>
                <w:noProof/>
                <w:sz w:val="22"/>
              </w:rPr>
            </w:pPr>
            <w:r w:rsidRPr="00D3304A">
              <w:rPr>
                <w:b/>
                <w:noProof/>
                <w:sz w:val="22"/>
              </w:rPr>
              <w:t>(ENTFÄLLT)</w:t>
            </w:r>
          </w:p>
        </w:tc>
        <w:tc>
          <w:tcPr>
            <w:tcW w:w="4298" w:type="dxa"/>
          </w:tcPr>
          <w:p w:rsidR="00552A84" w:rsidRPr="00D3304A" w:rsidRDefault="00552A84" w:rsidP="00FE3C4C">
            <w:pPr>
              <w:jc w:val="left"/>
              <w:rPr>
                <w:b/>
                <w:bCs/>
                <w:noProof/>
                <w:sz w:val="22"/>
              </w:rPr>
            </w:pPr>
            <w:r w:rsidRPr="00D3304A">
              <w:rPr>
                <w:b/>
                <w:noProof/>
                <w:sz w:val="22"/>
              </w:rPr>
              <w:t>Andere Interoperabilitätslösung(en)</w:t>
            </w:r>
          </w:p>
        </w:tc>
      </w:tr>
      <w:tr w:rsidR="00552A84" w:rsidRPr="00D3304A" w:rsidTr="00FE3C4C">
        <w:tc>
          <w:tcPr>
            <w:tcW w:w="0" w:type="auto"/>
            <w:hideMark/>
          </w:tcPr>
          <w:p w:rsidR="00552A84" w:rsidRPr="00D3304A" w:rsidRDefault="00552A84" w:rsidP="00FE3C4C">
            <w:pPr>
              <w:spacing w:before="0" w:after="0"/>
              <w:jc w:val="left"/>
              <w:rPr>
                <w:noProof/>
                <w:sz w:val="20"/>
              </w:rPr>
            </w:pPr>
            <w:r w:rsidRPr="00D3304A">
              <w:rPr>
                <w:noProof/>
                <w:sz w:val="20"/>
              </w:rPr>
              <w:t>Statistische Dienste</w:t>
            </w:r>
          </w:p>
        </w:tc>
        <w:tc>
          <w:tcPr>
            <w:tcW w:w="0" w:type="auto"/>
          </w:tcPr>
          <w:p w:rsidR="00552A84" w:rsidRPr="00D3304A" w:rsidRDefault="00552A84" w:rsidP="00FE3C4C">
            <w:pPr>
              <w:spacing w:before="0"/>
              <w:jc w:val="left"/>
              <w:rPr>
                <w:noProof/>
                <w:sz w:val="20"/>
              </w:rPr>
            </w:pPr>
            <w:r w:rsidRPr="00D3304A">
              <w:rPr>
                <w:noProof/>
                <w:sz w:val="20"/>
              </w:rPr>
              <w:t>Übermittlung und Verbreitung nichtfinanzieller Statistiken zu Gewerbeimmobilien erforderliche Informationen</w:t>
            </w:r>
          </w:p>
          <w:p w:rsidR="00552A84" w:rsidRPr="00D3304A" w:rsidRDefault="00552A84" w:rsidP="00FE3C4C">
            <w:pPr>
              <w:spacing w:before="0" w:after="0"/>
              <w:jc w:val="left"/>
              <w:rPr>
                <w:noProof/>
                <w:sz w:val="20"/>
                <w:lang w:eastAsia="en-IE"/>
              </w:rPr>
            </w:pPr>
          </w:p>
        </w:tc>
        <w:tc>
          <w:tcPr>
            <w:tcW w:w="0" w:type="auto"/>
          </w:tcPr>
          <w:p w:rsidR="00552A84" w:rsidRPr="00D3304A" w:rsidRDefault="00552A84" w:rsidP="00FE3C4C">
            <w:pPr>
              <w:spacing w:before="0" w:after="0"/>
              <w:jc w:val="left"/>
              <w:rPr>
                <w:noProof/>
                <w:sz w:val="20"/>
              </w:rPr>
            </w:pPr>
            <w:r w:rsidRPr="00D3304A">
              <w:rPr>
                <w:noProof/>
                <w:sz w:val="20"/>
              </w:rPr>
              <w:t>Artikel </w:t>
            </w:r>
            <w:r w:rsidRPr="00C24C00">
              <w:rPr>
                <w:noProof/>
                <w:sz w:val="20"/>
              </w:rPr>
              <w:t>5</w:t>
            </w:r>
            <w:r w:rsidRPr="00D3304A">
              <w:rPr>
                <w:noProof/>
                <w:sz w:val="20"/>
              </w:rPr>
              <w:t>; Artikel </w:t>
            </w:r>
            <w:r w:rsidRPr="00C24C00">
              <w:rPr>
                <w:noProof/>
                <w:sz w:val="20"/>
              </w:rPr>
              <w:t>6</w:t>
            </w:r>
          </w:p>
        </w:tc>
        <w:tc>
          <w:tcPr>
            <w:tcW w:w="0" w:type="auto"/>
          </w:tcPr>
          <w:p w:rsidR="00552A84" w:rsidRPr="00D3304A" w:rsidRDefault="00552A84" w:rsidP="00FE3C4C">
            <w:pPr>
              <w:spacing w:before="0" w:after="0"/>
              <w:jc w:val="left"/>
              <w:rPr>
                <w:noProof/>
                <w:sz w:val="20"/>
              </w:rPr>
            </w:pPr>
            <w:r w:rsidRPr="00D3304A">
              <w:rPr>
                <w:noProof/>
                <w:sz w:val="20"/>
              </w:rPr>
              <w:t>Entfällt</w:t>
            </w:r>
            <w:r w:rsidRPr="00D3304A">
              <w:rPr>
                <w:noProof/>
              </w:rPr>
              <w:t xml:space="preserve"> </w:t>
            </w:r>
          </w:p>
        </w:tc>
        <w:tc>
          <w:tcPr>
            <w:tcW w:w="0" w:type="auto"/>
          </w:tcPr>
          <w:p w:rsidR="00552A84" w:rsidRPr="00D3304A" w:rsidRDefault="00552A84" w:rsidP="00FE3C4C">
            <w:pPr>
              <w:spacing w:before="0" w:after="0"/>
              <w:jc w:val="left"/>
              <w:rPr>
                <w:noProof/>
                <w:sz w:val="20"/>
              </w:rPr>
            </w:pPr>
            <w:r w:rsidRPr="00D3304A">
              <w:rPr>
                <w:noProof/>
                <w:sz w:val="20"/>
              </w:rPr>
              <w:t>Eurostat unterhält eine einzige Anlaufstelle (eDAMIS), die von den NSÄ und anderen einzelstaatlichen Stellen für die Übermittlung von Daten an Eurostat genutzt wird.</w:t>
            </w:r>
          </w:p>
          <w:p w:rsidR="00552A84" w:rsidRPr="00D3304A" w:rsidRDefault="00552A84" w:rsidP="00FE3C4C">
            <w:pPr>
              <w:spacing w:before="0" w:after="0"/>
              <w:jc w:val="left"/>
              <w:rPr>
                <w:noProof/>
                <w:sz w:val="20"/>
              </w:rPr>
            </w:pPr>
            <w:r w:rsidRPr="00D3304A">
              <w:rPr>
                <w:noProof/>
                <w:sz w:val="20"/>
              </w:rPr>
              <w:t>Europäische Statistiken werden in einer öffentlich zugänglichen, kostenlosen Datenbank auf der Eurostat-Website verbreitet.</w:t>
            </w:r>
          </w:p>
        </w:tc>
      </w:tr>
    </w:tbl>
    <w:p w:rsidR="00552A84" w:rsidRPr="00D3304A" w:rsidRDefault="00552A84" w:rsidP="00552A84">
      <w:pPr>
        <w:rPr>
          <w:i/>
          <w:iCs/>
          <w:noProof/>
          <w:sz w:val="22"/>
        </w:rPr>
      </w:pPr>
      <w:r w:rsidRPr="00D3304A">
        <w:rPr>
          <w:i/>
          <w:noProof/>
          <w:sz w:val="22"/>
        </w:rPr>
        <w:t>Bewerten Sie die Auswirkungen der Anforderung auf die grenzüberschreitende Interoperabilität</w:t>
      </w:r>
    </w:p>
    <w:p w:rsidR="00552A84" w:rsidRPr="00D3304A" w:rsidRDefault="00552A84" w:rsidP="00552A84">
      <w:pPr>
        <w:rPr>
          <w:b/>
          <w:bCs/>
          <w:noProof/>
          <w:sz w:val="22"/>
        </w:rPr>
      </w:pPr>
      <w:r w:rsidRPr="00D3304A">
        <w:rPr>
          <w:b/>
          <w:noProof/>
          <w:sz w:val="22"/>
        </w:rPr>
        <w:t>Statistische Dienste</w:t>
      </w:r>
    </w:p>
    <w:tbl>
      <w:tblPr>
        <w:tblStyle w:val="TableGrid"/>
        <w:tblW w:w="144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5530"/>
        <w:gridCol w:w="4961"/>
      </w:tblGrid>
      <w:tr w:rsidR="00552A84" w:rsidRPr="00D3304A" w:rsidTr="00FE3C4C">
        <w:trPr>
          <w:trHeight w:val="300"/>
        </w:trPr>
        <w:tc>
          <w:tcPr>
            <w:tcW w:w="3960" w:type="dxa"/>
            <w:tcMar>
              <w:left w:w="105" w:type="dxa"/>
              <w:right w:w="105" w:type="dxa"/>
            </w:tcMar>
          </w:tcPr>
          <w:p w:rsidR="00552A84" w:rsidRPr="00D3304A" w:rsidRDefault="00552A84" w:rsidP="00FE3C4C">
            <w:pPr>
              <w:jc w:val="left"/>
              <w:rPr>
                <w:rFonts w:eastAsia="Calibri"/>
                <w:noProof/>
                <w:sz w:val="22"/>
              </w:rPr>
            </w:pPr>
            <w:r w:rsidRPr="00D3304A">
              <w:rPr>
                <w:b/>
                <w:noProof/>
                <w:sz w:val="22"/>
              </w:rPr>
              <w:t>Bewertung</w:t>
            </w:r>
          </w:p>
        </w:tc>
        <w:tc>
          <w:tcPr>
            <w:tcW w:w="5530" w:type="dxa"/>
            <w:tcMar>
              <w:left w:w="105" w:type="dxa"/>
              <w:right w:w="105" w:type="dxa"/>
            </w:tcMar>
          </w:tcPr>
          <w:p w:rsidR="00552A84" w:rsidRPr="00D3304A" w:rsidRDefault="00552A84" w:rsidP="00FE3C4C">
            <w:pPr>
              <w:jc w:val="left"/>
              <w:rPr>
                <w:rFonts w:eastAsia="Calibri"/>
                <w:noProof/>
                <w:sz w:val="22"/>
              </w:rPr>
            </w:pPr>
            <w:r w:rsidRPr="00D3304A">
              <w:rPr>
                <w:b/>
                <w:noProof/>
                <w:sz w:val="22"/>
              </w:rPr>
              <w:t>Maßnahmen</w:t>
            </w:r>
          </w:p>
        </w:tc>
        <w:tc>
          <w:tcPr>
            <w:tcW w:w="4961" w:type="dxa"/>
            <w:tcMar>
              <w:left w:w="105" w:type="dxa"/>
              <w:right w:w="105" w:type="dxa"/>
            </w:tcMar>
          </w:tcPr>
          <w:p w:rsidR="00552A84" w:rsidRPr="00D3304A" w:rsidRDefault="00552A84" w:rsidP="00FE3C4C">
            <w:pPr>
              <w:jc w:val="left"/>
              <w:rPr>
                <w:rFonts w:eastAsia="Calibri"/>
                <w:noProof/>
                <w:sz w:val="22"/>
              </w:rPr>
            </w:pPr>
            <w:r w:rsidRPr="00D3304A">
              <w:rPr>
                <w:b/>
                <w:noProof/>
                <w:sz w:val="22"/>
              </w:rPr>
              <w:t>Mögliche verbleibende Hindernisse</w:t>
            </w:r>
          </w:p>
        </w:tc>
      </w:tr>
      <w:tr w:rsidR="00552A84" w:rsidRPr="00D3304A" w:rsidTr="00FE3C4C">
        <w:trPr>
          <w:trHeight w:val="300"/>
        </w:trPr>
        <w:tc>
          <w:tcPr>
            <w:tcW w:w="3960" w:type="dxa"/>
            <w:tcMar>
              <w:left w:w="105" w:type="dxa"/>
              <w:right w:w="105" w:type="dxa"/>
            </w:tcMar>
          </w:tcPr>
          <w:p w:rsidR="00552A84" w:rsidRPr="00D3304A" w:rsidRDefault="00552A84" w:rsidP="00FE3C4C">
            <w:pPr>
              <w:spacing w:before="0"/>
              <w:jc w:val="left"/>
              <w:rPr>
                <w:rFonts w:eastAsia="Calibri"/>
                <w:noProof/>
                <w:sz w:val="22"/>
              </w:rPr>
            </w:pPr>
            <w:r w:rsidRPr="00D3304A">
              <w:rPr>
                <w:b/>
                <w:noProof/>
                <w:sz w:val="22"/>
              </w:rPr>
              <w:t xml:space="preserve">Bewerten Sie die Angleichung an bestehende digitale und sektorspezifische Strategien </w:t>
            </w:r>
          </w:p>
          <w:p w:rsidR="00552A84" w:rsidRPr="00D3304A" w:rsidRDefault="00552A84" w:rsidP="00FE3C4C">
            <w:pPr>
              <w:spacing w:before="0"/>
              <w:jc w:val="left"/>
              <w:rPr>
                <w:rFonts w:eastAsia="Calibri"/>
                <w:noProof/>
                <w:sz w:val="22"/>
              </w:rPr>
            </w:pPr>
            <w:r w:rsidRPr="00D3304A">
              <w:rPr>
                <w:b/>
                <w:noProof/>
                <w:sz w:val="22"/>
              </w:rPr>
              <w:t>Bitte führen Sie die ermittelten anwendbaren digitalen und sektorspezifischen Strategien auf</w:t>
            </w:r>
          </w:p>
        </w:tc>
        <w:tc>
          <w:tcPr>
            <w:tcW w:w="5530" w:type="dxa"/>
            <w:tcMar>
              <w:left w:w="105" w:type="dxa"/>
              <w:right w:w="105" w:type="dxa"/>
            </w:tcMar>
          </w:tcPr>
          <w:p w:rsidR="00552A84" w:rsidRPr="00D3304A" w:rsidRDefault="00552A84" w:rsidP="00FE3C4C">
            <w:pPr>
              <w:spacing w:before="0"/>
              <w:jc w:val="left"/>
              <w:rPr>
                <w:rFonts w:eastAsia="Calibri"/>
                <w:noProof/>
                <w:sz w:val="20"/>
              </w:rPr>
            </w:pPr>
            <w:r w:rsidRPr="00D3304A">
              <w:rPr>
                <w:noProof/>
                <w:sz w:val="20"/>
              </w:rPr>
              <w:t>Diese Verordnung steht im Einklang mit der Verordnung (EG) Nr. </w:t>
            </w:r>
            <w:r w:rsidRPr="00C24C00">
              <w:rPr>
                <w:noProof/>
                <w:sz w:val="20"/>
              </w:rPr>
              <w:t>223</w:t>
            </w:r>
            <w:r w:rsidRPr="00D3304A">
              <w:rPr>
                <w:noProof/>
                <w:sz w:val="20"/>
              </w:rPr>
              <w:t>/</w:t>
            </w:r>
            <w:r w:rsidRPr="00C24C00">
              <w:rPr>
                <w:noProof/>
                <w:sz w:val="20"/>
              </w:rPr>
              <w:t>2009</w:t>
            </w:r>
            <w:r w:rsidRPr="00D3304A">
              <w:rPr>
                <w:noProof/>
                <w:sz w:val="20"/>
              </w:rPr>
              <w:t xml:space="preserve"> des Europäischen Parlaments und des Rates über europäische Statistiken. Es handelt sich um sektorspezifische Rechtsvorschriften, die für den Bereich der europäischen nichtfinanziellen Statistik zu Gewerbeimmobilien gelten.</w:t>
            </w:r>
          </w:p>
          <w:p w:rsidR="00552A84" w:rsidRPr="00D3304A" w:rsidRDefault="00552A84" w:rsidP="00FE3C4C">
            <w:pPr>
              <w:spacing w:before="0"/>
              <w:jc w:val="left"/>
              <w:rPr>
                <w:rFonts w:eastAsia="Calibri"/>
                <w:noProof/>
                <w:sz w:val="20"/>
              </w:rPr>
            </w:pPr>
            <w:r w:rsidRPr="00D3304A">
              <w:rPr>
                <w:noProof/>
                <w:sz w:val="20"/>
              </w:rPr>
              <w:t xml:space="preserve">Diese Verordnung folgt den Empfehlungen der Empfehlung (EU) </w:t>
            </w:r>
            <w:r w:rsidRPr="00C24C00">
              <w:rPr>
                <w:noProof/>
                <w:sz w:val="20"/>
              </w:rPr>
              <w:t>2023</w:t>
            </w:r>
            <w:r w:rsidRPr="00D3304A">
              <w:rPr>
                <w:noProof/>
                <w:sz w:val="20"/>
              </w:rPr>
              <w:t>/</w:t>
            </w:r>
            <w:r w:rsidRPr="00C24C00">
              <w:rPr>
                <w:noProof/>
                <w:sz w:val="20"/>
              </w:rPr>
              <w:t>397</w:t>
            </w:r>
            <w:r w:rsidRPr="00D3304A">
              <w:rPr>
                <w:noProof/>
                <w:sz w:val="20"/>
              </w:rPr>
              <w:t xml:space="preserve"> der Kommission vom </w:t>
            </w:r>
            <w:r w:rsidRPr="00C24C00">
              <w:rPr>
                <w:noProof/>
                <w:sz w:val="20"/>
              </w:rPr>
              <w:t>17</w:t>
            </w:r>
            <w:r w:rsidRPr="00D3304A">
              <w:rPr>
                <w:noProof/>
                <w:sz w:val="20"/>
              </w:rPr>
              <w:t xml:space="preserve">. Februar </w:t>
            </w:r>
            <w:r w:rsidRPr="00C24C00">
              <w:rPr>
                <w:noProof/>
                <w:sz w:val="20"/>
              </w:rPr>
              <w:t>2023</w:t>
            </w:r>
            <w:r w:rsidRPr="00D3304A">
              <w:rPr>
                <w:noProof/>
                <w:sz w:val="20"/>
              </w:rPr>
              <w:t xml:space="preserve"> zu Referenz-Metadaten und Qualitätsberichten für das Europäische Statistische System.</w:t>
            </w:r>
          </w:p>
          <w:p w:rsidR="00552A84" w:rsidRPr="00D3304A" w:rsidRDefault="00552A84" w:rsidP="00FE3C4C">
            <w:pPr>
              <w:spacing w:before="0"/>
              <w:jc w:val="left"/>
              <w:rPr>
                <w:rFonts w:eastAsia="Calibri"/>
                <w:noProof/>
                <w:sz w:val="20"/>
              </w:rPr>
            </w:pPr>
            <w:r w:rsidRPr="00D3304A">
              <w:rPr>
                <w:noProof/>
                <w:sz w:val="20"/>
              </w:rPr>
              <w:t>Mit der vorgeschlagenen Verordnung wird ein gemeinsamer Mindestrahmen für die Entwicklung, Erstellung und Verbreitung einer Datenbank für Indikatoren, die den Markt für physische Gewerbeimmobilien betreffen, geschaffen.</w:t>
            </w:r>
          </w:p>
          <w:p w:rsidR="00552A84" w:rsidRPr="00D3304A" w:rsidRDefault="00552A84" w:rsidP="00552A84">
            <w:pPr>
              <w:spacing w:before="0"/>
              <w:jc w:val="left"/>
              <w:rPr>
                <w:noProof/>
                <w:sz w:val="20"/>
              </w:rPr>
            </w:pPr>
            <w:r w:rsidRPr="00D3304A">
              <w:rPr>
                <w:noProof/>
                <w:sz w:val="20"/>
              </w:rPr>
              <w:t>Die NSÄ sollten unverzüglichen und kostenlosen Zugang zu sämtlichen nationalen Verwaltungsunterlagen haben und diese Unterlagen verwenden und in die Statistiken integrieren dürfen, soweit dies zur Entwicklung und Erstellung und Verbreitung nichtfinanzieller Statistiken zu Gewerbeimmobilien erforderlich ist.</w:t>
            </w:r>
          </w:p>
        </w:tc>
        <w:tc>
          <w:tcPr>
            <w:tcW w:w="4961" w:type="dxa"/>
            <w:tcMar>
              <w:left w:w="105" w:type="dxa"/>
              <w:right w:w="105" w:type="dxa"/>
            </w:tcMar>
          </w:tcPr>
          <w:p w:rsidR="00552A84" w:rsidRPr="00D3304A" w:rsidRDefault="00552A84" w:rsidP="00FE3C4C">
            <w:pPr>
              <w:tabs>
                <w:tab w:val="left" w:pos="5678"/>
              </w:tabs>
              <w:spacing w:before="0" w:line="259" w:lineRule="auto"/>
              <w:jc w:val="left"/>
              <w:rPr>
                <w:noProof/>
                <w:sz w:val="20"/>
              </w:rPr>
            </w:pPr>
            <w:r w:rsidRPr="00D3304A">
              <w:rPr>
                <w:noProof/>
                <w:sz w:val="20"/>
              </w:rPr>
              <w:t>keine</w:t>
            </w:r>
          </w:p>
        </w:tc>
      </w:tr>
      <w:tr w:rsidR="00552A84" w:rsidRPr="00D3304A" w:rsidTr="00FE3C4C">
        <w:trPr>
          <w:trHeight w:val="300"/>
        </w:trPr>
        <w:tc>
          <w:tcPr>
            <w:tcW w:w="3960" w:type="dxa"/>
            <w:tcMar>
              <w:left w:w="105" w:type="dxa"/>
              <w:right w:w="105" w:type="dxa"/>
            </w:tcMar>
          </w:tcPr>
          <w:p w:rsidR="00552A84" w:rsidRPr="00D3304A" w:rsidRDefault="00552A84" w:rsidP="00FE3C4C">
            <w:pPr>
              <w:jc w:val="left"/>
              <w:rPr>
                <w:rFonts w:eastAsia="Calibri"/>
                <w:noProof/>
                <w:sz w:val="22"/>
              </w:rPr>
            </w:pPr>
            <w:r w:rsidRPr="00D3304A">
              <w:rPr>
                <w:b/>
                <w:noProof/>
                <w:sz w:val="22"/>
              </w:rPr>
              <w:t>Bewerten Sie die organisatorischen Maßnahmen für eine reibungslose grenzüberschreitende Erbringung digitaler öffentlicher Dienste</w:t>
            </w:r>
          </w:p>
          <w:p w:rsidR="00552A84" w:rsidRPr="00D3304A" w:rsidRDefault="00552A84" w:rsidP="00FE3C4C">
            <w:pPr>
              <w:jc w:val="left"/>
              <w:rPr>
                <w:rFonts w:eastAsia="Calibri"/>
                <w:noProof/>
                <w:sz w:val="22"/>
              </w:rPr>
            </w:pPr>
            <w:r w:rsidRPr="00D3304A">
              <w:rPr>
                <w:b/>
                <w:noProof/>
                <w:sz w:val="22"/>
              </w:rPr>
              <w:t>Bitte führen Sie die geplanten Governance-Maßnahmen auf</w:t>
            </w:r>
          </w:p>
        </w:tc>
        <w:tc>
          <w:tcPr>
            <w:tcW w:w="5530" w:type="dxa"/>
            <w:tcMar>
              <w:left w:w="105" w:type="dxa"/>
              <w:right w:w="105" w:type="dxa"/>
            </w:tcMar>
          </w:tcPr>
          <w:p w:rsidR="00552A84" w:rsidRPr="00D3304A" w:rsidRDefault="00552A84" w:rsidP="00552A84">
            <w:pPr>
              <w:spacing w:line="259" w:lineRule="auto"/>
              <w:rPr>
                <w:noProof/>
                <w:sz w:val="20"/>
              </w:rPr>
            </w:pPr>
            <w:r w:rsidRPr="00D3304A">
              <w:rPr>
                <w:noProof/>
                <w:sz w:val="20"/>
              </w:rPr>
              <w:t>Gemäß Artikel </w:t>
            </w:r>
            <w:r w:rsidRPr="00C24C00">
              <w:rPr>
                <w:noProof/>
                <w:sz w:val="20"/>
              </w:rPr>
              <w:t>5</w:t>
            </w:r>
            <w:r w:rsidRPr="00D3304A">
              <w:rPr>
                <w:noProof/>
                <w:sz w:val="20"/>
              </w:rPr>
              <w:t xml:space="preserve"> Absatz </w:t>
            </w:r>
            <w:r w:rsidRPr="00C24C00">
              <w:rPr>
                <w:noProof/>
                <w:sz w:val="20"/>
              </w:rPr>
              <w:t>4</w:t>
            </w:r>
            <w:r w:rsidRPr="00D3304A">
              <w:rPr>
                <w:noProof/>
                <w:sz w:val="20"/>
              </w:rPr>
              <w:t xml:space="preserve"> ist die Kommission befugt, Durchführungsrechtsakte zu erlassen, um Elemente der zu übermittelnden Daten, deren technische Definitionen und Vereinfachungen festzulegen.</w:t>
            </w:r>
          </w:p>
          <w:p w:rsidR="00552A84" w:rsidRPr="00D3304A" w:rsidRDefault="00552A84" w:rsidP="00552A84">
            <w:pPr>
              <w:spacing w:line="259" w:lineRule="auto"/>
              <w:rPr>
                <w:noProof/>
                <w:sz w:val="20"/>
              </w:rPr>
            </w:pPr>
            <w:r w:rsidRPr="00D3304A">
              <w:rPr>
                <w:noProof/>
                <w:sz w:val="20"/>
              </w:rPr>
              <w:t>Gemäß Artikel </w:t>
            </w:r>
            <w:r w:rsidRPr="00C24C00">
              <w:rPr>
                <w:noProof/>
                <w:sz w:val="20"/>
              </w:rPr>
              <w:t>6</w:t>
            </w:r>
            <w:r w:rsidRPr="00D3304A">
              <w:rPr>
                <w:noProof/>
                <w:sz w:val="20"/>
              </w:rPr>
              <w:t xml:space="preserve"> Absatz </w:t>
            </w:r>
            <w:r w:rsidRPr="00C24C00">
              <w:rPr>
                <w:noProof/>
                <w:sz w:val="20"/>
              </w:rPr>
              <w:t>4</w:t>
            </w:r>
            <w:r w:rsidRPr="00D3304A">
              <w:rPr>
                <w:noProof/>
                <w:sz w:val="20"/>
              </w:rPr>
              <w:t xml:space="preserve"> ist die Kommission ferner befugt, Durchführungsrechtsakte zu erlassen, um die Einzelheiten der Variablen sowie des Formats, der Maßnahmen im Hinblick auf Sicherheit und Vertraulichkeit und des Verfahrens für den Austausch vertraulicher Daten, der praktischen Modalitäten hinsichtlich der Übermittlung, des Inhalts der Metadaten- und Qualitätsberichte sowie der Fristen für deren Übermittlung, der Standards für die Übermittlung von Daten und Metadaten und der diesbezüglichen Ausnahmen von den Anforderungen dieser Verordnung festzulegen.</w:t>
            </w:r>
          </w:p>
        </w:tc>
        <w:tc>
          <w:tcPr>
            <w:tcW w:w="4961" w:type="dxa"/>
            <w:tcMar>
              <w:left w:w="105" w:type="dxa"/>
              <w:right w:w="105" w:type="dxa"/>
            </w:tcMar>
          </w:tcPr>
          <w:p w:rsidR="00552A84" w:rsidRPr="00D3304A" w:rsidRDefault="00552A84" w:rsidP="00FE3C4C">
            <w:pPr>
              <w:tabs>
                <w:tab w:val="left" w:pos="5678"/>
              </w:tabs>
              <w:spacing w:before="0" w:line="259" w:lineRule="auto"/>
              <w:jc w:val="left"/>
              <w:rPr>
                <w:noProof/>
                <w:sz w:val="20"/>
              </w:rPr>
            </w:pPr>
            <w:r w:rsidRPr="00D3304A">
              <w:rPr>
                <w:noProof/>
                <w:sz w:val="20"/>
              </w:rPr>
              <w:t>keine</w:t>
            </w:r>
          </w:p>
        </w:tc>
      </w:tr>
      <w:tr w:rsidR="00552A84" w:rsidRPr="00D3304A" w:rsidTr="00FE3C4C">
        <w:trPr>
          <w:trHeight w:val="300"/>
        </w:trPr>
        <w:tc>
          <w:tcPr>
            <w:tcW w:w="3960" w:type="dxa"/>
            <w:tcMar>
              <w:left w:w="105" w:type="dxa"/>
              <w:right w:w="105" w:type="dxa"/>
            </w:tcMar>
          </w:tcPr>
          <w:p w:rsidR="00552A84" w:rsidRPr="00D3304A" w:rsidRDefault="00552A84" w:rsidP="00FE3C4C">
            <w:pPr>
              <w:jc w:val="left"/>
              <w:rPr>
                <w:rFonts w:eastAsia="Calibri"/>
                <w:noProof/>
                <w:sz w:val="22"/>
              </w:rPr>
            </w:pPr>
            <w:r w:rsidRPr="00D3304A">
              <w:rPr>
                <w:b/>
                <w:noProof/>
                <w:sz w:val="22"/>
              </w:rPr>
              <w:t>Bewerten Sie die Maßnahmen, die ergriffen wurden, um ein gemeinsames Verständnis der Daten zu gewährleisten</w:t>
            </w:r>
          </w:p>
          <w:p w:rsidR="00552A84" w:rsidRPr="00D3304A" w:rsidRDefault="00552A84" w:rsidP="00FE3C4C">
            <w:pPr>
              <w:jc w:val="left"/>
              <w:rPr>
                <w:rFonts w:eastAsia="Calibri"/>
                <w:noProof/>
                <w:sz w:val="22"/>
              </w:rPr>
            </w:pPr>
            <w:r w:rsidRPr="00D3304A">
              <w:rPr>
                <w:b/>
                <w:noProof/>
                <w:sz w:val="22"/>
              </w:rPr>
              <w:t>Bitte führen Sie solche Maßnahmen auf</w:t>
            </w:r>
          </w:p>
        </w:tc>
        <w:tc>
          <w:tcPr>
            <w:tcW w:w="5530" w:type="dxa"/>
            <w:tcMar>
              <w:left w:w="105" w:type="dxa"/>
              <w:right w:w="105" w:type="dxa"/>
            </w:tcMar>
          </w:tcPr>
          <w:p w:rsidR="00552A84" w:rsidRPr="00D3304A" w:rsidRDefault="00552A84" w:rsidP="00FE3C4C">
            <w:pPr>
              <w:rPr>
                <w:rFonts w:eastAsia="Calibri"/>
                <w:noProof/>
                <w:sz w:val="20"/>
              </w:rPr>
            </w:pPr>
            <w:r w:rsidRPr="00D3304A">
              <w:rPr>
                <w:noProof/>
                <w:sz w:val="20"/>
              </w:rPr>
              <w:t>Im Einklang mit Artikel </w:t>
            </w:r>
            <w:r w:rsidRPr="00C24C00">
              <w:rPr>
                <w:noProof/>
                <w:sz w:val="20"/>
              </w:rPr>
              <w:t>6</w:t>
            </w:r>
            <w:r w:rsidRPr="00D3304A">
              <w:rPr>
                <w:noProof/>
                <w:sz w:val="20"/>
              </w:rPr>
              <w:t xml:space="preserve"> der Verordnung werden Referenz-Metadaten und Qualitätsberichte zur Verfügung stehen, um das Verständnis der europäischen nichtfinanziellen Statistiken zu Gewerbeimmobilien zu verbessern;</w:t>
            </w:r>
          </w:p>
          <w:p w:rsidR="00552A84" w:rsidRPr="00D3304A" w:rsidRDefault="00552A84" w:rsidP="00552A84">
            <w:pPr>
              <w:rPr>
                <w:rFonts w:eastAsia="Calibri"/>
                <w:i/>
                <w:noProof/>
                <w:sz w:val="20"/>
              </w:rPr>
            </w:pPr>
            <w:r w:rsidRPr="00D3304A">
              <w:rPr>
                <w:noProof/>
                <w:sz w:val="20"/>
              </w:rPr>
              <w:t>die Nutzung der einheitlichen integrierten Metadatenstruktur (SIMS) und internationaler Standards wie der zum Austausch statistischer Daten und Metadaten (SDMX) wird gefördert.</w:t>
            </w:r>
          </w:p>
        </w:tc>
        <w:tc>
          <w:tcPr>
            <w:tcW w:w="4961" w:type="dxa"/>
            <w:tcMar>
              <w:left w:w="105" w:type="dxa"/>
              <w:right w:w="105" w:type="dxa"/>
            </w:tcMar>
          </w:tcPr>
          <w:p w:rsidR="00552A84" w:rsidRPr="00D3304A" w:rsidRDefault="00552A84" w:rsidP="00FE3C4C">
            <w:pPr>
              <w:tabs>
                <w:tab w:val="left" w:pos="5678"/>
              </w:tabs>
              <w:spacing w:before="0" w:line="259" w:lineRule="auto"/>
              <w:jc w:val="left"/>
              <w:rPr>
                <w:noProof/>
                <w:sz w:val="20"/>
              </w:rPr>
            </w:pPr>
            <w:r w:rsidRPr="00D3304A">
              <w:rPr>
                <w:noProof/>
                <w:sz w:val="20"/>
              </w:rPr>
              <w:t>Keine.</w:t>
            </w:r>
          </w:p>
        </w:tc>
      </w:tr>
      <w:tr w:rsidR="00552A84" w:rsidRPr="00D3304A" w:rsidTr="00FE3C4C">
        <w:trPr>
          <w:trHeight w:val="300"/>
        </w:trPr>
        <w:tc>
          <w:tcPr>
            <w:tcW w:w="3960" w:type="dxa"/>
            <w:tcMar>
              <w:left w:w="105" w:type="dxa"/>
              <w:right w:w="105" w:type="dxa"/>
            </w:tcMar>
          </w:tcPr>
          <w:p w:rsidR="00552A84" w:rsidRPr="00D3304A" w:rsidRDefault="00552A84" w:rsidP="00FE3C4C">
            <w:pPr>
              <w:jc w:val="left"/>
              <w:rPr>
                <w:rFonts w:eastAsia="Calibri"/>
                <w:noProof/>
                <w:sz w:val="22"/>
              </w:rPr>
            </w:pPr>
            <w:r w:rsidRPr="00D3304A">
              <w:rPr>
                <w:b/>
                <w:noProof/>
                <w:sz w:val="22"/>
              </w:rPr>
              <w:t>Bewerten Sie die Verwendung gemeinsam vereinbarter offener technischer Spezifikationen und Standards</w:t>
            </w:r>
          </w:p>
          <w:p w:rsidR="00552A84" w:rsidRPr="00D3304A" w:rsidRDefault="00552A84" w:rsidP="00FE3C4C">
            <w:pPr>
              <w:jc w:val="left"/>
              <w:rPr>
                <w:rFonts w:eastAsia="Calibri"/>
                <w:noProof/>
                <w:sz w:val="22"/>
              </w:rPr>
            </w:pPr>
            <w:r w:rsidRPr="00D3304A">
              <w:rPr>
                <w:b/>
                <w:noProof/>
                <w:sz w:val="22"/>
              </w:rPr>
              <w:t>Bitte führen Sie solche Maßnahmen auf</w:t>
            </w:r>
          </w:p>
        </w:tc>
        <w:tc>
          <w:tcPr>
            <w:tcW w:w="5530" w:type="dxa"/>
            <w:tcMar>
              <w:left w:w="105" w:type="dxa"/>
              <w:right w:w="105" w:type="dxa"/>
            </w:tcMar>
          </w:tcPr>
          <w:p w:rsidR="00552A84" w:rsidRPr="00D3304A" w:rsidRDefault="00552A84" w:rsidP="00552A84">
            <w:pPr>
              <w:rPr>
                <w:rFonts w:eastAsia="Calibri"/>
                <w:i/>
                <w:noProof/>
                <w:sz w:val="20"/>
              </w:rPr>
            </w:pPr>
            <w:r w:rsidRPr="00D3304A">
              <w:rPr>
                <w:noProof/>
                <w:sz w:val="20"/>
              </w:rPr>
              <w:t>Die Nutzung etablierter statistischer oder technischer Standards und Infrastrukturen, die im Rahmen des Europäischen Statistischen Systems ausgearbeitet wurden, wird gefördert, soweit dies für die nichtfinanzielle Statistik zu Gewerbeimmobilien relevant ist.</w:t>
            </w:r>
          </w:p>
        </w:tc>
        <w:tc>
          <w:tcPr>
            <w:tcW w:w="4961" w:type="dxa"/>
            <w:tcMar>
              <w:left w:w="105" w:type="dxa"/>
              <w:right w:w="105" w:type="dxa"/>
            </w:tcMar>
          </w:tcPr>
          <w:p w:rsidR="00552A84" w:rsidRPr="00D3304A" w:rsidRDefault="00552A84" w:rsidP="00FE3C4C">
            <w:pPr>
              <w:tabs>
                <w:tab w:val="left" w:pos="5678"/>
              </w:tabs>
              <w:spacing w:before="0" w:line="259" w:lineRule="auto"/>
              <w:jc w:val="left"/>
              <w:rPr>
                <w:noProof/>
                <w:sz w:val="22"/>
              </w:rPr>
            </w:pPr>
            <w:r w:rsidRPr="00D3304A">
              <w:rPr>
                <w:noProof/>
                <w:sz w:val="22"/>
              </w:rPr>
              <w:t>keine</w:t>
            </w:r>
          </w:p>
        </w:tc>
      </w:tr>
    </w:tbl>
    <w:p w:rsidR="00552A84" w:rsidRPr="00D3304A" w:rsidRDefault="00552A84" w:rsidP="00552A84">
      <w:pPr>
        <w:rPr>
          <w:rFonts w:eastAsia="Calibri"/>
          <w:noProof/>
          <w:sz w:val="20"/>
          <w:szCs w:val="20"/>
        </w:rPr>
      </w:pPr>
    </w:p>
    <w:p w:rsidR="00552A84" w:rsidRPr="00D3304A" w:rsidRDefault="00552A84" w:rsidP="00552A84">
      <w:pPr>
        <w:spacing w:before="0" w:after="0"/>
        <w:jc w:val="left"/>
        <w:rPr>
          <w:b/>
          <w:bCs/>
          <w:noProof/>
          <w:sz w:val="28"/>
          <w:szCs w:val="28"/>
        </w:rPr>
      </w:pPr>
      <w:r w:rsidRPr="00D3304A">
        <w:rPr>
          <w:noProof/>
        </w:rPr>
        <w:br w:type="page"/>
      </w:r>
    </w:p>
    <w:p w:rsidR="00552A84" w:rsidRPr="00D3304A" w:rsidRDefault="00552A84" w:rsidP="00552A84">
      <w:pPr>
        <w:rPr>
          <w:b/>
          <w:bCs/>
          <w:noProof/>
          <w:sz w:val="28"/>
          <w:szCs w:val="28"/>
        </w:rPr>
      </w:pPr>
      <w:r w:rsidRPr="00C24C00">
        <w:rPr>
          <w:b/>
          <w:noProof/>
          <w:sz w:val="28"/>
        </w:rPr>
        <w:t>4</w:t>
      </w:r>
      <w:r w:rsidRPr="00D3304A">
        <w:rPr>
          <w:b/>
          <w:noProof/>
          <w:sz w:val="28"/>
        </w:rPr>
        <w:t>.</w:t>
      </w:r>
      <w:r w:rsidRPr="00C24C00">
        <w:rPr>
          <w:b/>
          <w:noProof/>
          <w:sz w:val="28"/>
        </w:rPr>
        <w:t>5</w:t>
      </w:r>
      <w:r w:rsidRPr="00D3304A">
        <w:rPr>
          <w:noProof/>
        </w:rPr>
        <w:tab/>
      </w:r>
      <w:r w:rsidRPr="00D3304A">
        <w:rPr>
          <w:b/>
          <w:noProof/>
          <w:sz w:val="28"/>
        </w:rPr>
        <w:t>Unterstützungsmaßnahmen für die digitale Umsetzung</w:t>
      </w:r>
    </w:p>
    <w:p w:rsidR="00552A84" w:rsidRPr="00D3304A" w:rsidRDefault="00552A84" w:rsidP="00552A84">
      <w:pPr>
        <w:rPr>
          <w:b/>
          <w:bCs/>
          <w:noProof/>
          <w:sz w:val="28"/>
          <w:szCs w:val="28"/>
        </w:rPr>
      </w:pPr>
    </w:p>
    <w:tbl>
      <w:tblPr>
        <w:tblStyle w:val="TableGrid"/>
        <w:tblW w:w="14454" w:type="dxa"/>
        <w:tblLook w:val="04A0" w:firstRow="1" w:lastRow="0" w:firstColumn="1" w:lastColumn="0" w:noHBand="0" w:noVBand="1"/>
      </w:tblPr>
      <w:tblGrid>
        <w:gridCol w:w="2953"/>
        <w:gridCol w:w="3497"/>
        <w:gridCol w:w="2388"/>
        <w:gridCol w:w="2383"/>
        <w:gridCol w:w="3233"/>
      </w:tblGrid>
      <w:tr w:rsidR="00552A84" w:rsidRPr="00D3304A" w:rsidTr="00FE3C4C">
        <w:trPr>
          <w:trHeight w:val="300"/>
        </w:trPr>
        <w:tc>
          <w:tcPr>
            <w:tcW w:w="2972" w:type="dxa"/>
          </w:tcPr>
          <w:p w:rsidR="00552A84" w:rsidRPr="00D3304A" w:rsidRDefault="00552A84" w:rsidP="00FE3C4C">
            <w:pPr>
              <w:spacing w:before="0" w:after="0"/>
              <w:jc w:val="left"/>
              <w:rPr>
                <w:rFonts w:eastAsia="Calibri"/>
                <w:noProof/>
                <w:sz w:val="22"/>
              </w:rPr>
            </w:pPr>
            <w:r w:rsidRPr="00D3304A">
              <w:rPr>
                <w:b/>
                <w:noProof/>
                <w:sz w:val="22"/>
              </w:rPr>
              <w:t>Beschreibung der Maßnahme</w:t>
            </w:r>
          </w:p>
        </w:tc>
        <w:tc>
          <w:tcPr>
            <w:tcW w:w="3544" w:type="dxa"/>
          </w:tcPr>
          <w:p w:rsidR="00552A84" w:rsidRPr="00D3304A" w:rsidRDefault="00552A84" w:rsidP="00FE3C4C">
            <w:pPr>
              <w:jc w:val="left"/>
              <w:rPr>
                <w:rFonts w:eastAsia="Calibri"/>
                <w:noProof/>
                <w:sz w:val="22"/>
              </w:rPr>
            </w:pPr>
            <w:r w:rsidRPr="00D3304A">
              <w:rPr>
                <w:b/>
                <w:noProof/>
                <w:sz w:val="22"/>
              </w:rPr>
              <w:t>Verweis(e) auf die Anforderung(en)</w:t>
            </w:r>
          </w:p>
        </w:tc>
        <w:tc>
          <w:tcPr>
            <w:tcW w:w="2268" w:type="dxa"/>
          </w:tcPr>
          <w:p w:rsidR="00552A84" w:rsidRPr="00D3304A" w:rsidRDefault="00552A84" w:rsidP="00FE3C4C">
            <w:pPr>
              <w:jc w:val="left"/>
              <w:rPr>
                <w:rFonts w:eastAsia="Calibri"/>
                <w:noProof/>
                <w:sz w:val="22"/>
              </w:rPr>
            </w:pPr>
            <w:r w:rsidRPr="00D3304A">
              <w:rPr>
                <w:b/>
                <w:noProof/>
                <w:sz w:val="22"/>
              </w:rPr>
              <w:t xml:space="preserve">Rolle der Kommission </w:t>
            </w:r>
          </w:p>
          <w:p w:rsidR="00552A84" w:rsidRPr="00D3304A" w:rsidRDefault="00552A84" w:rsidP="00FE3C4C">
            <w:pPr>
              <w:jc w:val="left"/>
              <w:rPr>
                <w:rFonts w:eastAsia="Calibri"/>
                <w:noProof/>
                <w:sz w:val="22"/>
              </w:rPr>
            </w:pPr>
            <w:r w:rsidRPr="00D3304A">
              <w:rPr>
                <w:noProof/>
                <w:sz w:val="22"/>
              </w:rPr>
              <w:t>(falls zutreffend)</w:t>
            </w:r>
          </w:p>
        </w:tc>
        <w:tc>
          <w:tcPr>
            <w:tcW w:w="2409" w:type="dxa"/>
          </w:tcPr>
          <w:p w:rsidR="00552A84" w:rsidRPr="00D3304A" w:rsidRDefault="00552A84" w:rsidP="00FE3C4C">
            <w:pPr>
              <w:jc w:val="left"/>
              <w:rPr>
                <w:rFonts w:eastAsia="Calibri"/>
                <w:noProof/>
                <w:sz w:val="22"/>
              </w:rPr>
            </w:pPr>
            <w:r w:rsidRPr="00D3304A">
              <w:rPr>
                <w:b/>
                <w:noProof/>
                <w:sz w:val="22"/>
              </w:rPr>
              <w:t>Zu beteiligende Akteure</w:t>
            </w:r>
          </w:p>
          <w:p w:rsidR="00552A84" w:rsidRPr="00D3304A" w:rsidRDefault="00552A84" w:rsidP="00FE3C4C">
            <w:pPr>
              <w:jc w:val="left"/>
              <w:rPr>
                <w:rFonts w:eastAsia="Calibri"/>
                <w:noProof/>
                <w:sz w:val="22"/>
              </w:rPr>
            </w:pPr>
            <w:r w:rsidRPr="00D3304A">
              <w:rPr>
                <w:noProof/>
                <w:sz w:val="22"/>
              </w:rPr>
              <w:t>(falls zutreffend)</w:t>
            </w:r>
          </w:p>
        </w:tc>
        <w:tc>
          <w:tcPr>
            <w:tcW w:w="3261" w:type="dxa"/>
          </w:tcPr>
          <w:p w:rsidR="00552A84" w:rsidRPr="00D3304A" w:rsidRDefault="00552A84" w:rsidP="00FE3C4C">
            <w:pPr>
              <w:jc w:val="left"/>
              <w:rPr>
                <w:rFonts w:eastAsia="Calibri"/>
                <w:noProof/>
                <w:sz w:val="22"/>
              </w:rPr>
            </w:pPr>
            <w:r w:rsidRPr="00D3304A">
              <w:rPr>
                <w:b/>
                <w:noProof/>
                <w:sz w:val="22"/>
              </w:rPr>
              <w:t>Voraussichtlicher Zeitplan</w:t>
            </w:r>
          </w:p>
          <w:p w:rsidR="00552A84" w:rsidRPr="00D3304A" w:rsidRDefault="00552A84" w:rsidP="00FE3C4C">
            <w:pPr>
              <w:jc w:val="left"/>
              <w:rPr>
                <w:rFonts w:eastAsia="Calibri"/>
                <w:noProof/>
                <w:sz w:val="22"/>
              </w:rPr>
            </w:pPr>
            <w:r w:rsidRPr="00D3304A">
              <w:rPr>
                <w:noProof/>
                <w:sz w:val="22"/>
              </w:rPr>
              <w:t>(falls zutreffend)</w:t>
            </w:r>
          </w:p>
        </w:tc>
      </w:tr>
      <w:tr w:rsidR="00552A84" w:rsidRPr="00D3304A" w:rsidTr="00FE3C4C">
        <w:trPr>
          <w:trHeight w:val="300"/>
        </w:trPr>
        <w:tc>
          <w:tcPr>
            <w:tcW w:w="2972" w:type="dxa"/>
          </w:tcPr>
          <w:p w:rsidR="00552A84" w:rsidRPr="00D3304A" w:rsidRDefault="00552A84" w:rsidP="00FE3C4C">
            <w:pPr>
              <w:spacing w:before="0" w:after="0"/>
              <w:jc w:val="left"/>
              <w:rPr>
                <w:rFonts w:eastAsia="Calibri"/>
                <w:noProof/>
                <w:sz w:val="20"/>
              </w:rPr>
            </w:pPr>
            <w:r w:rsidRPr="00D3304A">
              <w:rPr>
                <w:noProof/>
                <w:sz w:val="20"/>
              </w:rPr>
              <w:t>Der Kommission wird die Befugnis übertragen, delegierte Rechtsakte zur Änderung der im Anhang aufgeführten Liste der Variablen zu erlassen.</w:t>
            </w:r>
          </w:p>
        </w:tc>
        <w:tc>
          <w:tcPr>
            <w:tcW w:w="3544" w:type="dxa"/>
          </w:tcPr>
          <w:p w:rsidR="00552A84" w:rsidRPr="00D3304A" w:rsidRDefault="00552A84" w:rsidP="00FE3C4C">
            <w:pPr>
              <w:jc w:val="left"/>
              <w:rPr>
                <w:rFonts w:eastAsia="Calibri"/>
                <w:noProof/>
                <w:sz w:val="20"/>
              </w:rPr>
            </w:pPr>
            <w:r w:rsidRPr="00D3304A">
              <w:rPr>
                <w:noProof/>
                <w:sz w:val="20"/>
              </w:rPr>
              <w:t>Artikel </w:t>
            </w:r>
            <w:r w:rsidRPr="00C24C00">
              <w:rPr>
                <w:noProof/>
                <w:sz w:val="20"/>
              </w:rPr>
              <w:t>5</w:t>
            </w:r>
            <w:r w:rsidRPr="00D3304A">
              <w:rPr>
                <w:noProof/>
                <w:sz w:val="20"/>
              </w:rPr>
              <w:t xml:space="preserve"> Absatz </w:t>
            </w:r>
            <w:r w:rsidRPr="00C24C00">
              <w:rPr>
                <w:noProof/>
                <w:sz w:val="20"/>
              </w:rPr>
              <w:t>3</w:t>
            </w:r>
          </w:p>
        </w:tc>
        <w:tc>
          <w:tcPr>
            <w:tcW w:w="2268" w:type="dxa"/>
          </w:tcPr>
          <w:p w:rsidR="00552A84" w:rsidRPr="00D3304A" w:rsidRDefault="00552A84" w:rsidP="00FE3C4C">
            <w:pPr>
              <w:jc w:val="left"/>
              <w:rPr>
                <w:rFonts w:eastAsia="Calibri"/>
                <w:noProof/>
                <w:sz w:val="20"/>
              </w:rPr>
            </w:pPr>
            <w:r w:rsidRPr="00D3304A">
              <w:rPr>
                <w:noProof/>
                <w:sz w:val="20"/>
              </w:rPr>
              <w:t>Erlass von delegierten Rechtsakten </w:t>
            </w:r>
          </w:p>
        </w:tc>
        <w:tc>
          <w:tcPr>
            <w:tcW w:w="2409" w:type="dxa"/>
          </w:tcPr>
          <w:p w:rsidR="00552A84" w:rsidRPr="00D3304A" w:rsidRDefault="00552A84" w:rsidP="00FE3C4C">
            <w:pPr>
              <w:jc w:val="left"/>
              <w:rPr>
                <w:rFonts w:eastAsia="Calibri"/>
                <w:noProof/>
                <w:sz w:val="20"/>
              </w:rPr>
            </w:pPr>
            <w:r w:rsidRPr="00D3304A">
              <w:rPr>
                <w:noProof/>
                <w:sz w:val="20"/>
              </w:rPr>
              <w:t>Entfällt</w:t>
            </w:r>
          </w:p>
        </w:tc>
        <w:tc>
          <w:tcPr>
            <w:tcW w:w="3261" w:type="dxa"/>
          </w:tcPr>
          <w:p w:rsidR="00552A84" w:rsidRPr="00D3304A" w:rsidRDefault="00552A84" w:rsidP="00FE3C4C">
            <w:pPr>
              <w:jc w:val="left"/>
              <w:rPr>
                <w:rFonts w:eastAsia="Calibri"/>
                <w:noProof/>
                <w:sz w:val="20"/>
              </w:rPr>
            </w:pPr>
            <w:r w:rsidRPr="00D3304A">
              <w:rPr>
                <w:noProof/>
                <w:sz w:val="20"/>
              </w:rPr>
              <w:t>Es ist keine Frist festgelegt.</w:t>
            </w:r>
          </w:p>
        </w:tc>
      </w:tr>
      <w:tr w:rsidR="00552A84" w:rsidRPr="00D3304A" w:rsidTr="00FE3C4C">
        <w:trPr>
          <w:trHeight w:val="300"/>
        </w:trPr>
        <w:tc>
          <w:tcPr>
            <w:tcW w:w="2972" w:type="dxa"/>
          </w:tcPr>
          <w:p w:rsidR="00552A84" w:rsidRPr="00D3304A" w:rsidRDefault="00552A84" w:rsidP="00FE3C4C">
            <w:pPr>
              <w:spacing w:before="0" w:after="0"/>
              <w:jc w:val="left"/>
              <w:rPr>
                <w:rFonts w:eastAsia="Calibri"/>
                <w:noProof/>
                <w:sz w:val="20"/>
              </w:rPr>
            </w:pPr>
            <w:r w:rsidRPr="00D3304A">
              <w:rPr>
                <w:noProof/>
                <w:sz w:val="20"/>
              </w:rPr>
              <w:t>Die Kommission ist befugt, Durchführungsrechtsakte zu erlassen, um Elemente der zu übermittelnden Daten sowie deren technische Definitionen und Vereinfachungen gemäß Artikel </w:t>
            </w:r>
            <w:r w:rsidRPr="00C24C00">
              <w:rPr>
                <w:noProof/>
                <w:sz w:val="20"/>
              </w:rPr>
              <w:t>5</w:t>
            </w:r>
            <w:r w:rsidRPr="00D3304A">
              <w:rPr>
                <w:noProof/>
                <w:sz w:val="20"/>
              </w:rPr>
              <w:t xml:space="preserve"> Absatz </w:t>
            </w:r>
            <w:r w:rsidRPr="00C24C00">
              <w:rPr>
                <w:noProof/>
                <w:sz w:val="20"/>
              </w:rPr>
              <w:t>4</w:t>
            </w:r>
            <w:r w:rsidRPr="00D3304A">
              <w:rPr>
                <w:noProof/>
                <w:sz w:val="20"/>
              </w:rPr>
              <w:t xml:space="preserve"> festzulegen.</w:t>
            </w:r>
          </w:p>
        </w:tc>
        <w:tc>
          <w:tcPr>
            <w:tcW w:w="3544" w:type="dxa"/>
          </w:tcPr>
          <w:p w:rsidR="00552A84" w:rsidRPr="00D3304A" w:rsidRDefault="00552A84" w:rsidP="00FE3C4C">
            <w:pPr>
              <w:jc w:val="left"/>
              <w:rPr>
                <w:noProof/>
                <w:sz w:val="20"/>
              </w:rPr>
            </w:pPr>
            <w:r w:rsidRPr="00D3304A">
              <w:rPr>
                <w:noProof/>
                <w:sz w:val="20"/>
              </w:rPr>
              <w:t>Artikel </w:t>
            </w:r>
            <w:r w:rsidRPr="00C24C00">
              <w:rPr>
                <w:noProof/>
                <w:sz w:val="20"/>
              </w:rPr>
              <w:t>5</w:t>
            </w:r>
            <w:r w:rsidRPr="00D3304A">
              <w:rPr>
                <w:noProof/>
                <w:sz w:val="20"/>
              </w:rPr>
              <w:t xml:space="preserve"> Absatz </w:t>
            </w:r>
            <w:r w:rsidRPr="00C24C00">
              <w:rPr>
                <w:noProof/>
                <w:sz w:val="20"/>
              </w:rPr>
              <w:t>4</w:t>
            </w:r>
          </w:p>
        </w:tc>
        <w:tc>
          <w:tcPr>
            <w:tcW w:w="2268" w:type="dxa"/>
          </w:tcPr>
          <w:p w:rsidR="00552A84" w:rsidRPr="00D3304A" w:rsidRDefault="00552A84" w:rsidP="00FE3C4C">
            <w:pPr>
              <w:jc w:val="left"/>
              <w:rPr>
                <w:rFonts w:eastAsia="Calibri"/>
                <w:noProof/>
                <w:sz w:val="20"/>
              </w:rPr>
            </w:pPr>
            <w:r w:rsidRPr="00D3304A">
              <w:rPr>
                <w:noProof/>
                <w:sz w:val="20"/>
              </w:rPr>
              <w:t>Erlass von Durchführungsrechtsakten </w:t>
            </w:r>
          </w:p>
        </w:tc>
        <w:tc>
          <w:tcPr>
            <w:tcW w:w="2409" w:type="dxa"/>
          </w:tcPr>
          <w:p w:rsidR="00552A84" w:rsidRPr="00D3304A" w:rsidRDefault="00552A84" w:rsidP="00FE3C4C">
            <w:pPr>
              <w:jc w:val="left"/>
              <w:rPr>
                <w:rFonts w:eastAsia="Calibri"/>
                <w:noProof/>
                <w:sz w:val="20"/>
              </w:rPr>
            </w:pPr>
            <w:r w:rsidRPr="00D3304A">
              <w:rPr>
                <w:noProof/>
                <w:sz w:val="20"/>
              </w:rPr>
              <w:t>Kommission (Eurostat)</w:t>
            </w:r>
          </w:p>
          <w:p w:rsidR="00552A84" w:rsidRPr="00D3304A" w:rsidRDefault="00552A84" w:rsidP="00FE3C4C">
            <w:pPr>
              <w:jc w:val="left"/>
              <w:rPr>
                <w:rFonts w:eastAsia="Calibri"/>
                <w:noProof/>
                <w:sz w:val="20"/>
              </w:rPr>
            </w:pPr>
            <w:r w:rsidRPr="00D3304A">
              <w:rPr>
                <w:noProof/>
                <w:sz w:val="20"/>
              </w:rPr>
              <w:t>Ausschuss für das Europäische Statistische System</w:t>
            </w:r>
          </w:p>
          <w:p w:rsidR="00552A84" w:rsidRPr="00D3304A" w:rsidRDefault="00552A84" w:rsidP="00FE3C4C">
            <w:pPr>
              <w:jc w:val="left"/>
              <w:rPr>
                <w:rFonts w:eastAsia="Calibri"/>
                <w:noProof/>
                <w:sz w:val="20"/>
              </w:rPr>
            </w:pPr>
            <w:r w:rsidRPr="00D3304A">
              <w:rPr>
                <w:noProof/>
                <w:sz w:val="20"/>
              </w:rPr>
              <w:t>Mitgliedstaaten</w:t>
            </w:r>
          </w:p>
        </w:tc>
        <w:tc>
          <w:tcPr>
            <w:tcW w:w="3261" w:type="dxa"/>
          </w:tcPr>
          <w:p w:rsidR="00552A84" w:rsidRPr="00D3304A" w:rsidRDefault="00552A84" w:rsidP="00FE3C4C">
            <w:pPr>
              <w:jc w:val="left"/>
              <w:rPr>
                <w:rFonts w:eastAsia="Calibri"/>
                <w:noProof/>
                <w:sz w:val="20"/>
              </w:rPr>
            </w:pPr>
            <w:r w:rsidRPr="00D3304A">
              <w:rPr>
                <w:noProof/>
                <w:sz w:val="20"/>
              </w:rPr>
              <w:t>Es ist keine Frist festgelegt. Die Annahme des ursprünglichen Durchführungsrechtsakts wird voraussichtlich kurz nach der Annahme dieser Verordnung erfolgen.</w:t>
            </w:r>
          </w:p>
        </w:tc>
      </w:tr>
      <w:tr w:rsidR="00552A84" w:rsidRPr="00D3304A" w:rsidTr="00FE3C4C">
        <w:trPr>
          <w:trHeight w:val="300"/>
        </w:trPr>
        <w:tc>
          <w:tcPr>
            <w:tcW w:w="2972" w:type="dxa"/>
          </w:tcPr>
          <w:p w:rsidR="00552A84" w:rsidRPr="00D3304A" w:rsidRDefault="00552A84" w:rsidP="00FE3C4C">
            <w:pPr>
              <w:jc w:val="left"/>
              <w:rPr>
                <w:noProof/>
                <w:sz w:val="20"/>
              </w:rPr>
            </w:pPr>
            <w:r w:rsidRPr="00D3304A">
              <w:rPr>
                <w:noProof/>
                <w:sz w:val="20"/>
              </w:rPr>
              <w:t>Einleitung von Pilotstudien, die von den Mitgliedstaaten auf freiwilliger Basis durchzuführen sind</w:t>
            </w:r>
          </w:p>
        </w:tc>
        <w:tc>
          <w:tcPr>
            <w:tcW w:w="3544" w:type="dxa"/>
          </w:tcPr>
          <w:p w:rsidR="00552A84" w:rsidRPr="00D3304A" w:rsidRDefault="00552A84" w:rsidP="00FE3C4C">
            <w:pPr>
              <w:jc w:val="left"/>
              <w:rPr>
                <w:noProof/>
                <w:sz w:val="20"/>
              </w:rPr>
            </w:pPr>
            <w:r w:rsidRPr="00D3304A">
              <w:rPr>
                <w:noProof/>
                <w:sz w:val="20"/>
              </w:rPr>
              <w:t>Artikel </w:t>
            </w:r>
            <w:r w:rsidRPr="00C24C00">
              <w:rPr>
                <w:noProof/>
                <w:sz w:val="20"/>
              </w:rPr>
              <w:t>7</w:t>
            </w:r>
          </w:p>
        </w:tc>
        <w:tc>
          <w:tcPr>
            <w:tcW w:w="2268" w:type="dxa"/>
          </w:tcPr>
          <w:p w:rsidR="00552A84" w:rsidRPr="00D3304A" w:rsidRDefault="00552A84" w:rsidP="00FE3C4C">
            <w:pPr>
              <w:jc w:val="left"/>
              <w:rPr>
                <w:noProof/>
                <w:sz w:val="20"/>
              </w:rPr>
            </w:pPr>
            <w:r w:rsidRPr="00D3304A">
              <w:rPr>
                <w:noProof/>
                <w:sz w:val="20"/>
              </w:rPr>
              <w:t>Ermittlung des Bedarfs an wesentlichen neuen Datenanforderungen oder Verbesserungen der unter diese Verordnung fallenden Daten</w:t>
            </w:r>
          </w:p>
        </w:tc>
        <w:tc>
          <w:tcPr>
            <w:tcW w:w="2409" w:type="dxa"/>
            <w:tcBorders>
              <w:bottom w:val="single" w:sz="4" w:space="0" w:color="auto"/>
            </w:tcBorders>
          </w:tcPr>
          <w:p w:rsidR="00552A84" w:rsidRPr="00D3304A" w:rsidRDefault="00552A84" w:rsidP="00FE3C4C">
            <w:pPr>
              <w:jc w:val="left"/>
              <w:rPr>
                <w:noProof/>
                <w:sz w:val="20"/>
              </w:rPr>
            </w:pPr>
            <w:r w:rsidRPr="00D3304A">
              <w:rPr>
                <w:noProof/>
                <w:sz w:val="20"/>
              </w:rPr>
              <w:t>Mitgliedstaaten</w:t>
            </w:r>
          </w:p>
        </w:tc>
        <w:tc>
          <w:tcPr>
            <w:tcW w:w="3261" w:type="dxa"/>
            <w:tcBorders>
              <w:bottom w:val="single" w:sz="4" w:space="0" w:color="auto"/>
            </w:tcBorders>
          </w:tcPr>
          <w:p w:rsidR="00552A84" w:rsidRPr="00D3304A" w:rsidRDefault="00552A84" w:rsidP="00FE3C4C">
            <w:pPr>
              <w:jc w:val="left"/>
              <w:rPr>
                <w:rFonts w:eastAsia="Calibri"/>
                <w:noProof/>
                <w:sz w:val="20"/>
              </w:rPr>
            </w:pPr>
            <w:r w:rsidRPr="00D3304A">
              <w:rPr>
                <w:noProof/>
                <w:sz w:val="20"/>
              </w:rPr>
              <w:t>Entfällt</w:t>
            </w:r>
          </w:p>
        </w:tc>
      </w:tr>
      <w:tr w:rsidR="00552A84" w:rsidRPr="00D3304A" w:rsidTr="00FE3C4C">
        <w:trPr>
          <w:trHeight w:val="300"/>
        </w:trPr>
        <w:tc>
          <w:tcPr>
            <w:tcW w:w="2972" w:type="dxa"/>
          </w:tcPr>
          <w:p w:rsidR="00552A84" w:rsidRPr="00D3304A" w:rsidRDefault="00552A84" w:rsidP="00FE3C4C">
            <w:pPr>
              <w:jc w:val="left"/>
              <w:rPr>
                <w:rFonts w:eastAsia="Calibri"/>
                <w:noProof/>
                <w:sz w:val="20"/>
              </w:rPr>
            </w:pPr>
            <w:r w:rsidRPr="00D3304A">
              <w:rPr>
                <w:noProof/>
                <w:sz w:val="20"/>
              </w:rPr>
              <w:t>Die Kommission ist befugt, Durchführungsrechtsakte zur genaueren Festlegung der praktischen Modalitäten hinsichtlich der Übermittlung der Daten, des Inhalts der Referenz-Metadaten und Qualitätsberichte sowie der Fristen für deren Übermittlung und der Übermittlung der Verzeichnisse zu erlassen.</w:t>
            </w:r>
          </w:p>
        </w:tc>
        <w:tc>
          <w:tcPr>
            <w:tcW w:w="3544" w:type="dxa"/>
          </w:tcPr>
          <w:p w:rsidR="00552A84" w:rsidRPr="00D3304A" w:rsidRDefault="00552A84" w:rsidP="00FE3C4C">
            <w:pPr>
              <w:jc w:val="left"/>
              <w:rPr>
                <w:noProof/>
                <w:sz w:val="20"/>
              </w:rPr>
            </w:pPr>
            <w:r w:rsidRPr="00D3304A">
              <w:rPr>
                <w:noProof/>
                <w:sz w:val="20"/>
              </w:rPr>
              <w:t>Artikel </w:t>
            </w:r>
            <w:r w:rsidRPr="00C24C00">
              <w:rPr>
                <w:noProof/>
                <w:sz w:val="20"/>
              </w:rPr>
              <w:t>6</w:t>
            </w:r>
            <w:r w:rsidRPr="00D3304A">
              <w:rPr>
                <w:noProof/>
                <w:sz w:val="20"/>
              </w:rPr>
              <w:t xml:space="preserve"> Absatz </w:t>
            </w:r>
            <w:r w:rsidRPr="00C24C00">
              <w:rPr>
                <w:noProof/>
                <w:sz w:val="20"/>
              </w:rPr>
              <w:t>5</w:t>
            </w:r>
          </w:p>
        </w:tc>
        <w:tc>
          <w:tcPr>
            <w:tcW w:w="2268" w:type="dxa"/>
          </w:tcPr>
          <w:p w:rsidR="00552A84" w:rsidRPr="00D3304A" w:rsidRDefault="00552A84" w:rsidP="00FE3C4C">
            <w:pPr>
              <w:jc w:val="left"/>
              <w:rPr>
                <w:rFonts w:eastAsia="Calibri"/>
                <w:noProof/>
                <w:sz w:val="20"/>
              </w:rPr>
            </w:pPr>
            <w:r w:rsidRPr="00D3304A">
              <w:rPr>
                <w:noProof/>
                <w:sz w:val="20"/>
              </w:rPr>
              <w:t xml:space="preserve">Erlass von Durchführungsrechtsakten </w:t>
            </w:r>
          </w:p>
          <w:p w:rsidR="00552A84" w:rsidRPr="00D3304A" w:rsidRDefault="00552A84" w:rsidP="00FE3C4C">
            <w:pPr>
              <w:jc w:val="left"/>
              <w:rPr>
                <w:noProof/>
                <w:sz w:val="20"/>
              </w:rPr>
            </w:pPr>
          </w:p>
        </w:tc>
        <w:tc>
          <w:tcPr>
            <w:tcW w:w="2409" w:type="dxa"/>
            <w:tcBorders>
              <w:top w:val="single" w:sz="4" w:space="0" w:color="auto"/>
            </w:tcBorders>
          </w:tcPr>
          <w:p w:rsidR="00552A84" w:rsidRPr="00D3304A" w:rsidRDefault="00552A84" w:rsidP="00FE3C4C">
            <w:pPr>
              <w:jc w:val="left"/>
              <w:rPr>
                <w:rFonts w:eastAsia="Calibri"/>
                <w:noProof/>
                <w:sz w:val="20"/>
              </w:rPr>
            </w:pPr>
            <w:r w:rsidRPr="00D3304A">
              <w:rPr>
                <w:noProof/>
                <w:sz w:val="20"/>
              </w:rPr>
              <w:t>Kommission (Eurostat)</w:t>
            </w:r>
          </w:p>
          <w:p w:rsidR="00552A84" w:rsidRPr="00D3304A" w:rsidRDefault="00552A84" w:rsidP="00FE3C4C">
            <w:pPr>
              <w:jc w:val="left"/>
              <w:rPr>
                <w:rFonts w:eastAsia="Calibri"/>
                <w:noProof/>
                <w:sz w:val="20"/>
              </w:rPr>
            </w:pPr>
            <w:r w:rsidRPr="00D3304A">
              <w:rPr>
                <w:noProof/>
                <w:sz w:val="20"/>
              </w:rPr>
              <w:t>Ausschuss für das Europäische Statistische System</w:t>
            </w:r>
          </w:p>
          <w:p w:rsidR="00552A84" w:rsidRPr="00D3304A" w:rsidRDefault="00552A84" w:rsidP="00FE3C4C">
            <w:pPr>
              <w:jc w:val="left"/>
              <w:rPr>
                <w:noProof/>
                <w:sz w:val="20"/>
              </w:rPr>
            </w:pPr>
            <w:r w:rsidRPr="00D3304A">
              <w:rPr>
                <w:noProof/>
                <w:sz w:val="20"/>
              </w:rPr>
              <w:t xml:space="preserve">Mitgliedstaaten </w:t>
            </w:r>
          </w:p>
        </w:tc>
        <w:tc>
          <w:tcPr>
            <w:tcW w:w="3261" w:type="dxa"/>
          </w:tcPr>
          <w:p w:rsidR="00552A84" w:rsidRPr="00D3304A" w:rsidRDefault="00552A84" w:rsidP="00FE3C4C">
            <w:pPr>
              <w:jc w:val="left"/>
              <w:rPr>
                <w:rFonts w:eastAsia="Calibri"/>
                <w:noProof/>
                <w:sz w:val="20"/>
              </w:rPr>
            </w:pPr>
            <w:r w:rsidRPr="00D3304A">
              <w:rPr>
                <w:noProof/>
                <w:sz w:val="20"/>
              </w:rPr>
              <w:t>Es ist keine Frist festgelegt. Die Annahme des ursprünglichen Durchführungsrechtsakts wird voraussichtlich kurz nach der Annahme dieser Verordnung erfolgen.</w:t>
            </w:r>
          </w:p>
        </w:tc>
      </w:tr>
      <w:tr w:rsidR="00552A84" w:rsidRPr="00D3304A" w:rsidTr="00FE3C4C">
        <w:trPr>
          <w:trHeight w:val="300"/>
        </w:trPr>
        <w:tc>
          <w:tcPr>
            <w:tcW w:w="2972" w:type="dxa"/>
          </w:tcPr>
          <w:p w:rsidR="00552A84" w:rsidRPr="00D3304A" w:rsidRDefault="00552A84" w:rsidP="00FE3C4C">
            <w:pPr>
              <w:jc w:val="left"/>
              <w:rPr>
                <w:noProof/>
                <w:sz w:val="20"/>
              </w:rPr>
            </w:pPr>
            <w:r w:rsidRPr="00D3304A">
              <w:rPr>
                <w:noProof/>
                <w:sz w:val="20"/>
              </w:rPr>
              <w:t>Aus dem Gesamthaushaltsplan der Europäischen Union kann mit dem Ziel, hochwertigere Statistiken zu erstellen oder den finanziellen Aufwand und den Verwaltungsaufwand zu verringern, ein Finanzbeitrag für die Entwicklung oder Verbesserung von Prozessen, Software und ähnlichen Unterstützungsfunktionen bereitgestellt werden.</w:t>
            </w:r>
          </w:p>
        </w:tc>
        <w:tc>
          <w:tcPr>
            <w:tcW w:w="3544" w:type="dxa"/>
          </w:tcPr>
          <w:p w:rsidR="00552A84" w:rsidRPr="00D3304A" w:rsidRDefault="00552A84" w:rsidP="00FE3C4C">
            <w:pPr>
              <w:jc w:val="left"/>
              <w:rPr>
                <w:rFonts w:eastAsia="Calibri"/>
                <w:noProof/>
                <w:sz w:val="20"/>
              </w:rPr>
            </w:pPr>
            <w:r w:rsidRPr="00D3304A">
              <w:rPr>
                <w:noProof/>
                <w:sz w:val="20"/>
              </w:rPr>
              <w:t>Artikel </w:t>
            </w:r>
            <w:r w:rsidRPr="00C24C00">
              <w:rPr>
                <w:noProof/>
                <w:sz w:val="20"/>
              </w:rPr>
              <w:t>8</w:t>
            </w:r>
          </w:p>
        </w:tc>
        <w:tc>
          <w:tcPr>
            <w:tcW w:w="2268" w:type="dxa"/>
            <w:tcBorders>
              <w:right w:val="single" w:sz="4" w:space="0" w:color="auto"/>
            </w:tcBorders>
          </w:tcPr>
          <w:p w:rsidR="00552A84" w:rsidRPr="00D3304A" w:rsidRDefault="00552A84" w:rsidP="00FE3C4C">
            <w:pPr>
              <w:jc w:val="left"/>
              <w:rPr>
                <w:noProof/>
                <w:sz w:val="20"/>
              </w:rPr>
            </w:pPr>
            <w:r w:rsidRPr="00D3304A">
              <w:rPr>
                <w:noProof/>
                <w:sz w:val="20"/>
              </w:rPr>
              <w:t>Bereitstellung von Finanzmitteln für die Durchführung der Verordnung</w:t>
            </w:r>
          </w:p>
        </w:tc>
        <w:tc>
          <w:tcPr>
            <w:tcW w:w="2409" w:type="dxa"/>
            <w:tcBorders>
              <w:top w:val="single" w:sz="4" w:space="0" w:color="auto"/>
              <w:left w:val="single" w:sz="4" w:space="0" w:color="auto"/>
              <w:bottom w:val="single" w:sz="4" w:space="0" w:color="auto"/>
              <w:right w:val="single" w:sz="4" w:space="0" w:color="auto"/>
            </w:tcBorders>
          </w:tcPr>
          <w:p w:rsidR="00552A84" w:rsidRPr="00D3304A" w:rsidRDefault="00552A84" w:rsidP="00FE3C4C">
            <w:pPr>
              <w:jc w:val="left"/>
              <w:rPr>
                <w:noProof/>
                <w:sz w:val="20"/>
              </w:rPr>
            </w:pPr>
            <w:r w:rsidRPr="00D3304A">
              <w:rPr>
                <w:noProof/>
                <w:sz w:val="20"/>
              </w:rPr>
              <w:t>Die NSÄ und andere einzelstaatliche Stellen, auf die in der Liste nach Artikel </w:t>
            </w:r>
            <w:r w:rsidRPr="00C24C00">
              <w:rPr>
                <w:noProof/>
                <w:sz w:val="20"/>
              </w:rPr>
              <w:t>5</w:t>
            </w:r>
            <w:r w:rsidRPr="00D3304A">
              <w:rPr>
                <w:noProof/>
                <w:sz w:val="20"/>
              </w:rPr>
              <w:t xml:space="preserve"> Absatz </w:t>
            </w:r>
            <w:r w:rsidRPr="00C24C00">
              <w:rPr>
                <w:noProof/>
                <w:sz w:val="20"/>
              </w:rPr>
              <w:t>2</w:t>
            </w:r>
            <w:r w:rsidRPr="00D3304A">
              <w:rPr>
                <w:noProof/>
                <w:sz w:val="20"/>
              </w:rPr>
              <w:t xml:space="preserve"> der Verordnung (EG) Nr. </w:t>
            </w:r>
            <w:r w:rsidRPr="00C24C00">
              <w:rPr>
                <w:noProof/>
                <w:sz w:val="20"/>
              </w:rPr>
              <w:t>223</w:t>
            </w:r>
            <w:r w:rsidRPr="00D3304A">
              <w:rPr>
                <w:noProof/>
                <w:sz w:val="20"/>
              </w:rPr>
              <w:t>/</w:t>
            </w:r>
            <w:r w:rsidRPr="00C24C00">
              <w:rPr>
                <w:noProof/>
                <w:sz w:val="20"/>
              </w:rPr>
              <w:t>2009</w:t>
            </w:r>
            <w:r w:rsidRPr="00D3304A">
              <w:rPr>
                <w:noProof/>
                <w:sz w:val="20"/>
              </w:rPr>
              <w:t xml:space="preserve"> Bezug genommen wird</w:t>
            </w:r>
          </w:p>
        </w:tc>
        <w:tc>
          <w:tcPr>
            <w:tcW w:w="3261" w:type="dxa"/>
            <w:tcBorders>
              <w:top w:val="single" w:sz="4" w:space="0" w:color="auto"/>
              <w:left w:val="single" w:sz="4" w:space="0" w:color="auto"/>
              <w:bottom w:val="single" w:sz="4" w:space="0" w:color="auto"/>
              <w:right w:val="single" w:sz="4" w:space="0" w:color="auto"/>
            </w:tcBorders>
          </w:tcPr>
          <w:p w:rsidR="00552A84" w:rsidRPr="00D3304A" w:rsidRDefault="00552A84" w:rsidP="00FE3C4C">
            <w:pPr>
              <w:jc w:val="left"/>
              <w:rPr>
                <w:rFonts w:eastAsia="Calibri"/>
                <w:noProof/>
                <w:sz w:val="20"/>
              </w:rPr>
            </w:pPr>
            <w:r w:rsidRPr="00D3304A">
              <w:rPr>
                <w:noProof/>
                <w:sz w:val="20"/>
              </w:rPr>
              <w:t>Entfällt</w:t>
            </w:r>
          </w:p>
        </w:tc>
      </w:tr>
    </w:tbl>
    <w:p w:rsidR="00552A84" w:rsidRPr="00D3304A" w:rsidRDefault="00552A84" w:rsidP="00552A84">
      <w:pPr>
        <w:rPr>
          <w:noProof/>
        </w:rPr>
      </w:pPr>
    </w:p>
    <w:p w:rsidR="00C1401B" w:rsidRPr="00D3304A" w:rsidRDefault="00C1401B" w:rsidP="00552A84">
      <w:pPr>
        <w:pStyle w:val="Text1"/>
        <w:rPr>
          <w:noProof/>
          <w:sz w:val="20"/>
        </w:rPr>
      </w:pPr>
    </w:p>
    <w:sectPr w:rsidR="00C1401B" w:rsidRPr="00D3304A" w:rsidSect="00740C8C">
      <w:headerReference w:type="default" r:id="rId20"/>
      <w:footerReference w:type="defaul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44" w:rsidRDefault="00F57F44" w:rsidP="00F278A5">
      <w:pPr>
        <w:spacing w:before="0" w:after="0"/>
      </w:pPr>
      <w:r>
        <w:separator/>
      </w:r>
    </w:p>
  </w:endnote>
  <w:endnote w:type="continuationSeparator" w:id="0">
    <w:p w:rsidR="00F57F44" w:rsidRDefault="00F57F44" w:rsidP="00F278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EU Albertina"/>
    <w:charset w:val="00"/>
    <w:family w:val="auto"/>
    <w:pitch w:val="variable"/>
    <w:sig w:usb0="A00002EF" w:usb1="1000E0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Footer"/>
      <w:rPr>
        <w:rFonts w:ascii="Arial" w:hAnsi="Arial" w:cs="Arial"/>
        <w:b/>
        <w:sz w:val="48"/>
      </w:rPr>
    </w:pPr>
    <w:r w:rsidRPr="00740C8C">
      <w:rPr>
        <w:rFonts w:ascii="Arial" w:hAnsi="Arial" w:cs="Arial"/>
        <w:b/>
        <w:sz w:val="48"/>
      </w:rPr>
      <w:t>DE</w:t>
    </w:r>
    <w:r w:rsidRPr="00740C8C">
      <w:rPr>
        <w:rFonts w:ascii="Arial" w:hAnsi="Arial" w:cs="Arial"/>
        <w:b/>
        <w:sz w:val="48"/>
      </w:rPr>
      <w:tab/>
    </w:r>
    <w:r w:rsidRPr="00740C8C">
      <w:rPr>
        <w:rFonts w:ascii="Arial" w:hAnsi="Arial" w:cs="Arial"/>
        <w:b/>
        <w:sz w:val="48"/>
      </w:rPr>
      <w:tab/>
    </w:r>
    <w:r w:rsidRPr="00740C8C">
      <w:tab/>
    </w:r>
    <w:r w:rsidRPr="00740C8C">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Footer"/>
      <w:rPr>
        <w:rFonts w:ascii="Arial" w:hAnsi="Arial" w:cs="Arial"/>
        <w:b/>
        <w:sz w:val="48"/>
      </w:rPr>
    </w:pPr>
    <w:r w:rsidRPr="00740C8C">
      <w:rPr>
        <w:rFonts w:ascii="Arial" w:hAnsi="Arial" w:cs="Arial"/>
        <w:b/>
        <w:sz w:val="48"/>
      </w:rPr>
      <w:t>DE</w:t>
    </w:r>
    <w:r w:rsidRPr="00740C8C">
      <w:rPr>
        <w:rFonts w:ascii="Arial" w:hAnsi="Arial" w:cs="Arial"/>
        <w:b/>
        <w:sz w:val="48"/>
      </w:rPr>
      <w:tab/>
    </w:r>
    <w:r w:rsidRPr="00740C8C">
      <w:rPr>
        <w:rFonts w:ascii="Arial" w:hAnsi="Arial" w:cs="Arial"/>
        <w:b/>
        <w:sz w:val="48"/>
      </w:rPr>
      <w:tab/>
    </w:r>
    <w:r w:rsidRPr="00740C8C">
      <w:tab/>
    </w:r>
    <w:r w:rsidRPr="00740C8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Footer"/>
      <w:rPr>
        <w:rFonts w:ascii="Arial" w:hAnsi="Arial" w:cs="Arial"/>
        <w:b/>
        <w:sz w:val="48"/>
      </w:rPr>
    </w:pPr>
    <w:r w:rsidRPr="00740C8C">
      <w:rPr>
        <w:rFonts w:ascii="Arial" w:hAnsi="Arial" w:cs="Arial"/>
        <w:b/>
        <w:sz w:val="48"/>
      </w:rPr>
      <w:t>DE</w:t>
    </w:r>
    <w:r w:rsidRPr="00740C8C">
      <w:rPr>
        <w:rFonts w:ascii="Arial" w:hAnsi="Arial" w:cs="Arial"/>
        <w:b/>
        <w:sz w:val="48"/>
      </w:rPr>
      <w:tab/>
    </w:r>
    <w:r>
      <w:fldChar w:fldCharType="begin"/>
    </w:r>
    <w:r>
      <w:instrText xml:space="preserve"> PAGE  \* MERGEFORMAT </w:instrText>
    </w:r>
    <w:r>
      <w:fldChar w:fldCharType="separate"/>
    </w:r>
    <w:r w:rsidR="00E2777D">
      <w:rPr>
        <w:noProof/>
      </w:rPr>
      <w:t>18</w:t>
    </w:r>
    <w:r>
      <w:fldChar w:fldCharType="end"/>
    </w:r>
    <w:r>
      <w:tab/>
    </w:r>
    <w:r w:rsidRPr="00740C8C">
      <w:tab/>
    </w:r>
    <w:r w:rsidRPr="00740C8C">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rsidP="00740C8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FooterLandscape"/>
      <w:rPr>
        <w:rFonts w:ascii="Arial" w:hAnsi="Arial" w:cs="Arial"/>
        <w:b/>
        <w:sz w:val="48"/>
      </w:rPr>
    </w:pPr>
    <w:r w:rsidRPr="00740C8C">
      <w:rPr>
        <w:rFonts w:ascii="Arial" w:hAnsi="Arial" w:cs="Arial"/>
        <w:b/>
        <w:sz w:val="48"/>
      </w:rPr>
      <w:t>DE</w:t>
    </w:r>
    <w:r w:rsidRPr="00740C8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40C8C">
      <w:tab/>
    </w:r>
    <w:r w:rsidRPr="00740C8C">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Footer"/>
      <w:rPr>
        <w:rFonts w:ascii="Arial" w:hAnsi="Arial" w:cs="Arial"/>
        <w:b/>
        <w:sz w:val="48"/>
      </w:rPr>
    </w:pPr>
    <w:r w:rsidRPr="00740C8C">
      <w:rPr>
        <w:rFonts w:ascii="Arial" w:hAnsi="Arial" w:cs="Arial"/>
        <w:b/>
        <w:sz w:val="48"/>
      </w:rPr>
      <w:t>DE</w:t>
    </w:r>
    <w:r w:rsidRPr="00740C8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40C8C">
      <w:tab/>
    </w:r>
    <w:r w:rsidRPr="00740C8C">
      <w:rPr>
        <w:rFonts w:ascii="Arial" w:hAnsi="Arial" w:cs="Arial"/>
        <w:b/>
        <w:sz w:val="48"/>
      </w:rPr>
      <w:t>DE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FooterLandscape"/>
      <w:rPr>
        <w:rFonts w:ascii="Arial" w:hAnsi="Arial" w:cs="Arial"/>
        <w:b/>
        <w:sz w:val="48"/>
      </w:rPr>
    </w:pPr>
    <w:r w:rsidRPr="00740C8C">
      <w:rPr>
        <w:rFonts w:ascii="Arial" w:hAnsi="Arial" w:cs="Arial"/>
        <w:b/>
        <w:sz w:val="48"/>
      </w:rPr>
      <w:t>DE</w:t>
    </w:r>
    <w:r w:rsidRPr="00740C8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40C8C">
      <w:tab/>
    </w:r>
    <w:r w:rsidRPr="00740C8C">
      <w:rPr>
        <w:rFonts w:ascii="Arial" w:hAnsi="Arial" w:cs="Arial"/>
        <w:b/>
        <w:sz w:val="48"/>
      </w:rPr>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44" w:rsidRDefault="00F57F44" w:rsidP="00F278A5">
      <w:pPr>
        <w:spacing w:before="0" w:after="0"/>
      </w:pPr>
      <w:r>
        <w:separator/>
      </w:r>
    </w:p>
  </w:footnote>
  <w:footnote w:type="continuationSeparator" w:id="0">
    <w:p w:rsidR="00F57F44" w:rsidRDefault="00F57F44" w:rsidP="00F278A5">
      <w:pPr>
        <w:spacing w:before="0" w:after="0"/>
      </w:pPr>
      <w:r>
        <w:continuationSeparator/>
      </w:r>
    </w:p>
  </w:footnote>
  <w:footnote w:id="1">
    <w:p w:rsidR="00266E4D" w:rsidRPr="003C2496" w:rsidRDefault="00266E4D">
      <w:pPr>
        <w:pStyle w:val="FootnoteText"/>
      </w:pPr>
      <w:r>
        <w:rPr>
          <w:rStyle w:val="FootnoteReference"/>
        </w:rPr>
        <w:footnoteRef/>
      </w:r>
      <w:r w:rsidRPr="003C2496">
        <w:tab/>
        <w:t xml:space="preserve">Empfehlung des Europäischen Ausschusses für Systemrisiken vom </w:t>
      </w:r>
      <w:r w:rsidRPr="00C24C00">
        <w:t>31</w:t>
      </w:r>
      <w:r w:rsidRPr="003C2496">
        <w:t xml:space="preserve">. Oktober </w:t>
      </w:r>
      <w:r w:rsidRPr="00C24C00">
        <w:t>2016</w:t>
      </w:r>
      <w:r w:rsidRPr="003C2496">
        <w:t xml:space="preserve"> zur Schließung von Lücken bei Immobiliendaten (ESRB/</w:t>
      </w:r>
      <w:r w:rsidRPr="00C24C00">
        <w:t>2016</w:t>
      </w:r>
      <w:r w:rsidRPr="003C2496">
        <w:t>/</w:t>
      </w:r>
      <w:r w:rsidRPr="00C24C00">
        <w:t>14</w:t>
      </w:r>
      <w:r w:rsidRPr="003C2496">
        <w:t>) (ABl. C </w:t>
      </w:r>
      <w:r w:rsidRPr="00C24C00">
        <w:t>31</w:t>
      </w:r>
      <w:r w:rsidRPr="003C2496">
        <w:t xml:space="preserve"> vom </w:t>
      </w:r>
      <w:r w:rsidRPr="00C24C00">
        <w:t>31</w:t>
      </w:r>
      <w:r w:rsidRPr="003C2496">
        <w:t>.</w:t>
      </w:r>
      <w:r w:rsidRPr="00C24C00">
        <w:t>1</w:t>
      </w:r>
      <w:r w:rsidRPr="003C2496">
        <w:t>.</w:t>
      </w:r>
      <w:r w:rsidRPr="00C24C00">
        <w:t>2017</w:t>
      </w:r>
      <w:r w:rsidRPr="003C2496">
        <w:t>, S. </w:t>
      </w:r>
      <w:r w:rsidRPr="00C24C00">
        <w:t>1</w:t>
      </w:r>
      <w:r w:rsidRPr="003C2496">
        <w:t>).</w:t>
      </w:r>
    </w:p>
  </w:footnote>
  <w:footnote w:id="2">
    <w:p w:rsidR="00266E4D" w:rsidRPr="003C2496" w:rsidRDefault="00266E4D">
      <w:pPr>
        <w:pStyle w:val="FootnoteText"/>
      </w:pPr>
      <w:r>
        <w:rPr>
          <w:rStyle w:val="FootnoteReference"/>
        </w:rPr>
        <w:footnoteRef/>
      </w:r>
      <w:r w:rsidRPr="003C2496">
        <w:tab/>
        <w:t xml:space="preserve">Empfehlung des Europäischen Ausschusses für Systemrisiken vom </w:t>
      </w:r>
      <w:r w:rsidRPr="00C24C00">
        <w:t>21</w:t>
      </w:r>
      <w:r w:rsidRPr="003C2496">
        <w:t xml:space="preserve">. März </w:t>
      </w:r>
      <w:r w:rsidRPr="00C24C00">
        <w:t>2019</w:t>
      </w:r>
      <w:r w:rsidRPr="003C2496">
        <w:t xml:space="preserve"> zur Änderung der Empfehlung ESRB/</w:t>
      </w:r>
      <w:r w:rsidRPr="00C24C00">
        <w:t>2016</w:t>
      </w:r>
      <w:r w:rsidRPr="003C2496">
        <w:t>/</w:t>
      </w:r>
      <w:r w:rsidRPr="00C24C00">
        <w:t>14</w:t>
      </w:r>
      <w:r w:rsidRPr="003C2496">
        <w:t xml:space="preserve"> zur Schließung von Lücken bei Immobiliendaten (ESRB/</w:t>
      </w:r>
      <w:r w:rsidRPr="00C24C00">
        <w:t>2019</w:t>
      </w:r>
      <w:r w:rsidRPr="003C2496">
        <w:t>/</w:t>
      </w:r>
      <w:r w:rsidRPr="00C24C00">
        <w:t>3</w:t>
      </w:r>
      <w:r w:rsidRPr="003C2496">
        <w:t>) (ABl. C </w:t>
      </w:r>
      <w:r w:rsidRPr="00C24C00">
        <w:t>271</w:t>
      </w:r>
      <w:r w:rsidRPr="003C2496">
        <w:t xml:space="preserve"> vom </w:t>
      </w:r>
      <w:r w:rsidRPr="00C24C00">
        <w:t>13</w:t>
      </w:r>
      <w:r w:rsidRPr="003C2496">
        <w:t>.</w:t>
      </w:r>
      <w:r w:rsidRPr="00C24C00">
        <w:t>8</w:t>
      </w:r>
      <w:r w:rsidRPr="003C2496">
        <w:t>.</w:t>
      </w:r>
      <w:r w:rsidRPr="00C24C00">
        <w:t>2019</w:t>
      </w:r>
      <w:r w:rsidRPr="003C2496">
        <w:t>, S. </w:t>
      </w:r>
      <w:r w:rsidRPr="00C24C00">
        <w:t>1</w:t>
      </w:r>
      <w:r w:rsidRPr="003C2496">
        <w:t>).</w:t>
      </w:r>
    </w:p>
  </w:footnote>
  <w:footnote w:id="3">
    <w:p w:rsidR="007E0DA5" w:rsidRPr="003C2496" w:rsidRDefault="007E0DA5" w:rsidP="007E0DA5">
      <w:pPr>
        <w:pStyle w:val="FootnoteText"/>
      </w:pPr>
      <w:r>
        <w:rPr>
          <w:rStyle w:val="FootnoteReference"/>
        </w:rPr>
        <w:footnoteRef/>
      </w:r>
      <w:r w:rsidRPr="003C2496">
        <w:tab/>
      </w:r>
      <w:hyperlink r:id="rId1" w:history="1">
        <w:r w:rsidRPr="003C2496">
          <w:rPr>
            <w:rStyle w:val="Hyperlink"/>
          </w:rPr>
          <w:t>Register der Kommissionsdokumente SWD(</w:t>
        </w:r>
        <w:r w:rsidRPr="00C24C00">
          <w:rPr>
            <w:rStyle w:val="Hyperlink"/>
          </w:rPr>
          <w:t>2023</w:t>
        </w:r>
        <w:r w:rsidRPr="003C2496">
          <w:rPr>
            <w:rStyle w:val="Hyperlink"/>
          </w:rPr>
          <w:t>) </w:t>
        </w:r>
        <w:r w:rsidRPr="00C24C00">
          <w:rPr>
            <w:rStyle w:val="Hyperlink"/>
          </w:rPr>
          <w:t>434</w:t>
        </w:r>
        <w:r w:rsidRPr="003C2496">
          <w:rPr>
            <w:rStyle w:val="Hyperlink"/>
          </w:rPr>
          <w:t xml:space="preserve"> (europa.eu)</w:t>
        </w:r>
      </w:hyperlink>
      <w:r w:rsidRPr="003C2496">
        <w:t>.</w:t>
      </w:r>
    </w:p>
  </w:footnote>
  <w:footnote w:id="4">
    <w:p w:rsidR="004747D4" w:rsidRPr="003C2496" w:rsidRDefault="004747D4">
      <w:pPr>
        <w:pStyle w:val="FootnoteText"/>
      </w:pPr>
      <w:r>
        <w:rPr>
          <w:rStyle w:val="FootnoteReference"/>
        </w:rPr>
        <w:footnoteRef/>
      </w:r>
      <w:r w:rsidRPr="003C2496">
        <w:tab/>
        <w:t>Verordnung (EG) Nr. </w:t>
      </w:r>
      <w:r w:rsidRPr="00C24C00">
        <w:t>223</w:t>
      </w:r>
      <w:r w:rsidRPr="003C2496">
        <w:t>/</w:t>
      </w:r>
      <w:r w:rsidRPr="00C24C00">
        <w:t>2009</w:t>
      </w:r>
      <w:r w:rsidRPr="003C2496">
        <w:t xml:space="preserve"> des Europäischen Parlaments und des Rates vom </w:t>
      </w:r>
      <w:r w:rsidRPr="00C24C00">
        <w:t>11</w:t>
      </w:r>
      <w:r w:rsidRPr="003C2496">
        <w:t xml:space="preserve">. März </w:t>
      </w:r>
      <w:r w:rsidRPr="00C24C00">
        <w:t>2009</w:t>
      </w:r>
      <w:r w:rsidRPr="003C2496">
        <w:t xml:space="preserve"> über europäische Statistiken und zur Aufhebung der Verordnung (EG, Euratom) Nr. </w:t>
      </w:r>
      <w:r w:rsidRPr="00C24C00">
        <w:t>1101</w:t>
      </w:r>
      <w:r w:rsidRPr="003C2496">
        <w:t>/</w:t>
      </w:r>
      <w:r w:rsidRPr="00C24C00">
        <w:t>2008</w:t>
      </w:r>
      <w:r w:rsidRPr="003C2496">
        <w:t xml:space="preserve"> des Europäischen Parlaments und des Rates über die Übermittlung von unter die Geheimhaltungspflicht fallenden Informationen an das Statistische Amt der Europäischen Gemeinschaften, der Verordnung (EG) Nr. </w:t>
      </w:r>
      <w:r w:rsidRPr="00C24C00">
        <w:t>322</w:t>
      </w:r>
      <w:r w:rsidRPr="003C2496">
        <w:t>/</w:t>
      </w:r>
      <w:r w:rsidRPr="00C24C00">
        <w:t>97</w:t>
      </w:r>
      <w:r w:rsidRPr="003C2496">
        <w:t xml:space="preserve"> des Rates über die Gemeinschaftsstatistiken und des Beschlusses </w:t>
      </w:r>
      <w:r w:rsidRPr="00C24C00">
        <w:t>89</w:t>
      </w:r>
      <w:r w:rsidRPr="003C2496">
        <w:t>/</w:t>
      </w:r>
      <w:r w:rsidRPr="00C24C00">
        <w:t>382</w:t>
      </w:r>
      <w:r w:rsidRPr="003C2496">
        <w:t>/EWG, Euratom des Rates zur Einsetzung eines Ausschusses für das Statistische Programm der Europäischen Gemeinschaften (ABl. L </w:t>
      </w:r>
      <w:r w:rsidRPr="00C24C00">
        <w:t>87</w:t>
      </w:r>
      <w:r w:rsidRPr="003C2496">
        <w:t xml:space="preserve"> vom </w:t>
      </w:r>
      <w:r w:rsidRPr="00C24C00">
        <w:t>31</w:t>
      </w:r>
      <w:r w:rsidRPr="003C2496">
        <w:t>.</w:t>
      </w:r>
      <w:r w:rsidRPr="00C24C00">
        <w:t>3</w:t>
      </w:r>
      <w:r w:rsidRPr="003C2496">
        <w:t>.</w:t>
      </w:r>
      <w:r w:rsidRPr="00C24C00">
        <w:t>2009</w:t>
      </w:r>
      <w:r w:rsidRPr="003C2496">
        <w:t>, S. </w:t>
      </w:r>
      <w:r w:rsidRPr="00C24C00">
        <w:t>164</w:t>
      </w:r>
      <w:r w:rsidRPr="003C2496">
        <w:t xml:space="preserve">, ELI: </w:t>
      </w:r>
      <w:hyperlink r:id="rId2" w:tooltip="Ermöglicht den Zugriff auf dieses Dokument über seinen ELI-URI." w:history="1">
        <w:r w:rsidRPr="003C2496">
          <w:rPr>
            <w:rStyle w:val="Hyperlink"/>
          </w:rPr>
          <w:t>http://data.europa.eu/eli/reg/</w:t>
        </w:r>
        <w:r w:rsidRPr="00C24C00">
          <w:rPr>
            <w:rStyle w:val="Hyperlink"/>
          </w:rPr>
          <w:t>2009</w:t>
        </w:r>
        <w:r w:rsidRPr="003C2496">
          <w:rPr>
            <w:rStyle w:val="Hyperlink"/>
          </w:rPr>
          <w:t>/</w:t>
        </w:r>
        <w:r w:rsidRPr="00C24C00">
          <w:rPr>
            <w:rStyle w:val="Hyperlink"/>
          </w:rPr>
          <w:t>223</w:t>
        </w:r>
        <w:r w:rsidRPr="003C2496">
          <w:rPr>
            <w:rStyle w:val="Hyperlink"/>
          </w:rPr>
          <w:t>/oj</w:t>
        </w:r>
      </w:hyperlink>
      <w:r w:rsidRPr="003C2496">
        <w:t>).</w:t>
      </w:r>
      <w:r w:rsidRPr="003C2496">
        <w:tab/>
      </w:r>
    </w:p>
  </w:footnote>
  <w:footnote w:id="5">
    <w:p w:rsidR="004747D4" w:rsidRPr="003C2496" w:rsidRDefault="004747D4">
      <w:pPr>
        <w:pStyle w:val="FootnoteText"/>
      </w:pPr>
      <w:r>
        <w:rPr>
          <w:rStyle w:val="FootnoteReference"/>
        </w:rPr>
        <w:footnoteRef/>
      </w:r>
      <w:r w:rsidRPr="003C2496">
        <w:tab/>
      </w:r>
      <w:hyperlink r:id="rId3" w:history="1">
        <w:r w:rsidRPr="003C2496">
          <w:rPr>
            <w:rStyle w:val="Hyperlink"/>
          </w:rPr>
          <w:t>https://ec.europa.eu/info/law/better-regulation/have-your-say/initiatives/</w:t>
        </w:r>
        <w:r w:rsidRPr="00C24C00">
          <w:rPr>
            <w:rStyle w:val="Hyperlink"/>
          </w:rPr>
          <w:t>13916</w:t>
        </w:r>
        <w:r w:rsidRPr="003C2496">
          <w:rPr>
            <w:rStyle w:val="Hyperlink"/>
          </w:rPr>
          <w:t>-Commercial-real-estate-statistics_de</w:t>
        </w:r>
      </w:hyperlink>
      <w:r w:rsidRPr="003C2496">
        <w:tab/>
      </w:r>
    </w:p>
  </w:footnote>
  <w:footnote w:id="6">
    <w:p w:rsidR="00266E4D" w:rsidRPr="003C2496" w:rsidRDefault="00266E4D">
      <w:pPr>
        <w:pStyle w:val="FootnoteText"/>
      </w:pPr>
      <w:r>
        <w:rPr>
          <w:rStyle w:val="FootnoteReference"/>
        </w:rPr>
        <w:footnoteRef/>
      </w:r>
      <w:r w:rsidRPr="003C2496">
        <w:tab/>
        <w:t xml:space="preserve">Verordnung (EU, Euratom) </w:t>
      </w:r>
      <w:r w:rsidRPr="00C24C00">
        <w:t>2020</w:t>
      </w:r>
      <w:r w:rsidRPr="003C2496">
        <w:t>/</w:t>
      </w:r>
      <w:r w:rsidRPr="00C24C00">
        <w:t>2093</w:t>
      </w:r>
      <w:r w:rsidRPr="003C2496">
        <w:t xml:space="preserve"> des Rates vom </w:t>
      </w:r>
      <w:r w:rsidRPr="00C24C00">
        <w:t>17</w:t>
      </w:r>
      <w:r w:rsidRPr="003C2496">
        <w:t xml:space="preserve">. Dezember </w:t>
      </w:r>
      <w:r w:rsidRPr="00C24C00">
        <w:t>2020</w:t>
      </w:r>
      <w:r w:rsidRPr="003C2496">
        <w:t xml:space="preserve"> zur Festlegung des mehrjährigen Finanzrahmens für die Jahre </w:t>
      </w:r>
      <w:r w:rsidRPr="00C24C00">
        <w:t>2021</w:t>
      </w:r>
      <w:r w:rsidRPr="003C2496">
        <w:t xml:space="preserve"> bis </w:t>
      </w:r>
      <w:r w:rsidRPr="00C24C00">
        <w:t>2027</w:t>
      </w:r>
      <w:r w:rsidRPr="003C2496">
        <w:t xml:space="preserve"> (ABl. L </w:t>
      </w:r>
      <w:r w:rsidRPr="00C24C00">
        <w:t>433</w:t>
      </w:r>
      <w:r w:rsidRPr="003C2496">
        <w:t xml:space="preserve">I vom </w:t>
      </w:r>
      <w:r w:rsidRPr="00C24C00">
        <w:t>22</w:t>
      </w:r>
      <w:r w:rsidRPr="003C2496">
        <w:t>.</w:t>
      </w:r>
      <w:r w:rsidRPr="00C24C00">
        <w:t>12</w:t>
      </w:r>
      <w:r w:rsidRPr="003C2496">
        <w:t>.</w:t>
      </w:r>
      <w:r w:rsidRPr="00C24C00">
        <w:t>2020</w:t>
      </w:r>
      <w:r w:rsidRPr="003C2496">
        <w:t>, S. </w:t>
      </w:r>
      <w:r w:rsidRPr="00C24C00">
        <w:t>11</w:t>
      </w:r>
      <w:r w:rsidRPr="003C2496">
        <w:t xml:space="preserve">, ELI: </w:t>
      </w:r>
      <w:hyperlink r:id="rId4" w:history="1">
        <w:r w:rsidRPr="003C2496">
          <w:rPr>
            <w:rStyle w:val="Hyperlink"/>
          </w:rPr>
          <w:t>http://data.europa.eu/eli/reg/</w:t>
        </w:r>
        <w:r w:rsidRPr="00C24C00">
          <w:rPr>
            <w:rStyle w:val="Hyperlink"/>
          </w:rPr>
          <w:t>2020</w:t>
        </w:r>
        <w:r w:rsidRPr="003C2496">
          <w:rPr>
            <w:rStyle w:val="Hyperlink"/>
          </w:rPr>
          <w:t>/</w:t>
        </w:r>
        <w:r w:rsidRPr="00C24C00">
          <w:rPr>
            <w:rStyle w:val="Hyperlink"/>
          </w:rPr>
          <w:t>2093</w:t>
        </w:r>
        <w:r w:rsidRPr="003C2496">
          <w:rPr>
            <w:rStyle w:val="Hyperlink"/>
          </w:rPr>
          <w:t>/oj</w:t>
        </w:r>
      </w:hyperlink>
      <w:r w:rsidRPr="003C2496">
        <w:t>).</w:t>
      </w:r>
    </w:p>
  </w:footnote>
  <w:footnote w:id="7">
    <w:p w:rsidR="004747D4" w:rsidRPr="003C2496" w:rsidRDefault="004747D4">
      <w:pPr>
        <w:pStyle w:val="FootnoteText"/>
        <w:rPr>
          <w:rStyle w:val="FootnoteReference"/>
        </w:rPr>
      </w:pPr>
      <w:r>
        <w:rPr>
          <w:rStyle w:val="FootnoteReference"/>
        </w:rPr>
        <w:footnoteRef/>
      </w:r>
      <w:r w:rsidRPr="003C2496">
        <w:tab/>
        <w:t xml:space="preserve">Verordnung (EU) </w:t>
      </w:r>
      <w:r w:rsidRPr="00C24C00">
        <w:t>2019</w:t>
      </w:r>
      <w:r w:rsidRPr="003C2496">
        <w:t>/</w:t>
      </w:r>
      <w:r w:rsidRPr="00C24C00">
        <w:t>2152</w:t>
      </w:r>
      <w:r w:rsidRPr="003C2496">
        <w:t xml:space="preserve"> des Europäischen Parlaments und des Rates vom </w:t>
      </w:r>
      <w:r w:rsidRPr="00C24C00">
        <w:t>27</w:t>
      </w:r>
      <w:r w:rsidRPr="003C2496">
        <w:t xml:space="preserve">. November </w:t>
      </w:r>
      <w:r w:rsidRPr="00C24C00">
        <w:t>2019</w:t>
      </w:r>
      <w:r w:rsidRPr="003C2496">
        <w:t xml:space="preserve"> über europäische Unternehmensstatistiken, zur Aufhebung von zehn Rechtsakten im Bereich Unternehmensstatistiken (ABl. L </w:t>
      </w:r>
      <w:r w:rsidRPr="00C24C00">
        <w:t>327</w:t>
      </w:r>
      <w:r w:rsidRPr="003C2496">
        <w:t xml:space="preserve"> vom </w:t>
      </w:r>
      <w:r w:rsidRPr="00C24C00">
        <w:t>17</w:t>
      </w:r>
      <w:r w:rsidRPr="003C2496">
        <w:t>.</w:t>
      </w:r>
      <w:r w:rsidRPr="00C24C00">
        <w:t>12</w:t>
      </w:r>
      <w:r w:rsidRPr="003C2496">
        <w:t>.</w:t>
      </w:r>
      <w:r w:rsidRPr="00C24C00">
        <w:t>2019</w:t>
      </w:r>
      <w:r w:rsidRPr="003C2496">
        <w:t>, S. </w:t>
      </w:r>
      <w:r w:rsidRPr="00C24C00">
        <w:t>1</w:t>
      </w:r>
      <w:r w:rsidRPr="003C2496">
        <w:t xml:space="preserve">, ELI: </w:t>
      </w:r>
      <w:hyperlink r:id="rId5" w:tooltip="Ermöglicht den Zugriff auf dieses Dokument über seinen ELI-URI." w:history="1">
        <w:r w:rsidRPr="003C2496">
          <w:rPr>
            <w:rStyle w:val="Hyperlink"/>
          </w:rPr>
          <w:t>http://data.europa.eu/eli/reg/</w:t>
        </w:r>
        <w:r w:rsidRPr="00C24C00">
          <w:rPr>
            <w:rStyle w:val="Hyperlink"/>
          </w:rPr>
          <w:t>2019</w:t>
        </w:r>
        <w:r w:rsidRPr="003C2496">
          <w:rPr>
            <w:rStyle w:val="Hyperlink"/>
          </w:rPr>
          <w:t>/</w:t>
        </w:r>
        <w:r w:rsidRPr="00C24C00">
          <w:rPr>
            <w:rStyle w:val="Hyperlink"/>
          </w:rPr>
          <w:t>2152</w:t>
        </w:r>
        <w:r w:rsidRPr="003C2496">
          <w:rPr>
            <w:rStyle w:val="Hyperlink"/>
          </w:rPr>
          <w:t>/oj</w:t>
        </w:r>
      </w:hyperlink>
      <w:r w:rsidRPr="003C2496">
        <w:t>).</w:t>
      </w:r>
      <w:r w:rsidRPr="003C2496">
        <w:rPr>
          <w:rStyle w:val="FootnoteReference"/>
        </w:rPr>
        <w:tab/>
      </w:r>
    </w:p>
  </w:footnote>
  <w:footnote w:id="8">
    <w:p w:rsidR="00AA3A89" w:rsidRPr="003C2496" w:rsidRDefault="00AA3A89" w:rsidP="00C05848">
      <w:pPr>
        <w:pStyle w:val="FootnoteText"/>
      </w:pPr>
      <w:r>
        <w:rPr>
          <w:rStyle w:val="FootnoteReference"/>
        </w:rPr>
        <w:footnoteRef/>
      </w:r>
      <w:r w:rsidRPr="003C2496">
        <w:tab/>
        <w:t xml:space="preserve">Empfehlung des Europäischen Ausschusses für Systemrisiken vom </w:t>
      </w:r>
      <w:r w:rsidRPr="00C24C00">
        <w:t>31</w:t>
      </w:r>
      <w:r w:rsidRPr="003C2496">
        <w:t xml:space="preserve">. Oktober </w:t>
      </w:r>
      <w:r w:rsidRPr="00C24C00">
        <w:t>2016</w:t>
      </w:r>
      <w:r w:rsidRPr="003C2496">
        <w:t xml:space="preserve"> zur Schließung von Lücken bei Immobiliendaten (ESRB/</w:t>
      </w:r>
      <w:r w:rsidRPr="00C24C00">
        <w:t>2016</w:t>
      </w:r>
      <w:r w:rsidRPr="003C2496">
        <w:t>/</w:t>
      </w:r>
      <w:r w:rsidRPr="00C24C00">
        <w:t>14</w:t>
      </w:r>
      <w:r w:rsidRPr="003C2496">
        <w:t>) (ABl. C </w:t>
      </w:r>
      <w:r w:rsidRPr="00C24C00">
        <w:t>31</w:t>
      </w:r>
      <w:r w:rsidRPr="003C2496">
        <w:t xml:space="preserve"> vom </w:t>
      </w:r>
      <w:r w:rsidRPr="00C24C00">
        <w:t>31</w:t>
      </w:r>
      <w:r w:rsidRPr="003C2496">
        <w:t>.</w:t>
      </w:r>
      <w:r w:rsidRPr="00C24C00">
        <w:t>1</w:t>
      </w:r>
      <w:r w:rsidRPr="003C2496">
        <w:t>.</w:t>
      </w:r>
      <w:r w:rsidRPr="00C24C00">
        <w:t>2017</w:t>
      </w:r>
      <w:r w:rsidRPr="003C2496">
        <w:t>, S. </w:t>
      </w:r>
      <w:r w:rsidRPr="00C24C00">
        <w:t>1</w:t>
      </w:r>
      <w:r w:rsidRPr="003C2496">
        <w:t>).</w:t>
      </w:r>
    </w:p>
  </w:footnote>
  <w:footnote w:id="9">
    <w:p w:rsidR="00DF3E06" w:rsidRPr="003C2496" w:rsidRDefault="00DF3E06" w:rsidP="00337B16">
      <w:pPr>
        <w:pStyle w:val="FootnoteText"/>
      </w:pPr>
      <w:r>
        <w:rPr>
          <w:rStyle w:val="FootnoteReference"/>
        </w:rPr>
        <w:footnoteRef/>
      </w:r>
      <w:r w:rsidRPr="003C2496">
        <w:tab/>
        <w:t>Verordnung (EG) Nr. </w:t>
      </w:r>
      <w:r w:rsidRPr="00C24C00">
        <w:t>763</w:t>
      </w:r>
      <w:r w:rsidRPr="003C2496">
        <w:t>/</w:t>
      </w:r>
      <w:r w:rsidRPr="00C24C00">
        <w:t>2008</w:t>
      </w:r>
      <w:r w:rsidRPr="003C2496">
        <w:t xml:space="preserve"> des Europäischen Parlaments und des Rates vom </w:t>
      </w:r>
      <w:r w:rsidRPr="00C24C00">
        <w:t>9</w:t>
      </w:r>
      <w:r w:rsidRPr="003C2496">
        <w:t>. </w:t>
      </w:r>
      <w:r>
        <w:t xml:space="preserve">Juli </w:t>
      </w:r>
      <w:r w:rsidRPr="00C24C00">
        <w:t>2008</w:t>
      </w:r>
      <w:r>
        <w:t xml:space="preserve"> über Volks- und Wohnungszählungen (ABl. </w:t>
      </w:r>
      <w:r w:rsidRPr="003C2496">
        <w:t>L </w:t>
      </w:r>
      <w:r w:rsidRPr="00C24C00">
        <w:t>218</w:t>
      </w:r>
      <w:r w:rsidRPr="003C2496">
        <w:t xml:space="preserve"> vom </w:t>
      </w:r>
      <w:r w:rsidRPr="00C24C00">
        <w:t>13</w:t>
      </w:r>
      <w:r w:rsidRPr="003C2496">
        <w:t>.</w:t>
      </w:r>
      <w:r w:rsidRPr="00C24C00">
        <w:t>8</w:t>
      </w:r>
      <w:r w:rsidRPr="003C2496">
        <w:t>.</w:t>
      </w:r>
      <w:r w:rsidRPr="00C24C00">
        <w:t>2008</w:t>
      </w:r>
      <w:r w:rsidRPr="003C2496">
        <w:t>, S. </w:t>
      </w:r>
      <w:r w:rsidRPr="00C24C00">
        <w:t>14</w:t>
      </w:r>
      <w:r w:rsidRPr="003C2496">
        <w:t xml:space="preserve">, ELI: </w:t>
      </w:r>
      <w:hyperlink r:id="rId6" w:history="1">
        <w:r w:rsidRPr="003C2496">
          <w:rPr>
            <w:rStyle w:val="Hyperlink"/>
          </w:rPr>
          <w:t>http://data.europa.eu/eli/reg/</w:t>
        </w:r>
        <w:r w:rsidRPr="00C24C00">
          <w:rPr>
            <w:rStyle w:val="Hyperlink"/>
          </w:rPr>
          <w:t>2008</w:t>
        </w:r>
        <w:r w:rsidRPr="003C2496">
          <w:rPr>
            <w:rStyle w:val="Hyperlink"/>
          </w:rPr>
          <w:t>/</w:t>
        </w:r>
        <w:r w:rsidRPr="00C24C00">
          <w:rPr>
            <w:rStyle w:val="Hyperlink"/>
          </w:rPr>
          <w:t>763</w:t>
        </w:r>
        <w:r w:rsidRPr="003C2496">
          <w:rPr>
            <w:rStyle w:val="Hyperlink"/>
          </w:rPr>
          <w:t>/oj</w:t>
        </w:r>
      </w:hyperlink>
      <w:r w:rsidRPr="003C2496">
        <w:t>).</w:t>
      </w:r>
    </w:p>
  </w:footnote>
  <w:footnote w:id="10">
    <w:p w:rsidR="00681037" w:rsidRPr="003C2496" w:rsidRDefault="00681037" w:rsidP="00681037">
      <w:pPr>
        <w:pStyle w:val="FootnoteText"/>
      </w:pPr>
      <w:r>
        <w:rPr>
          <w:rStyle w:val="FootnoteReference"/>
        </w:rPr>
        <w:footnoteRef/>
      </w:r>
      <w:r w:rsidRPr="003C2496">
        <w:tab/>
        <w:t xml:space="preserve">Empfehlung des Europäischen Ausschusses für Systemrisiken vom </w:t>
      </w:r>
      <w:r w:rsidRPr="00C24C00">
        <w:t>21</w:t>
      </w:r>
      <w:r w:rsidRPr="003C2496">
        <w:t xml:space="preserve">. März </w:t>
      </w:r>
      <w:r w:rsidRPr="00C24C00">
        <w:t>2019</w:t>
      </w:r>
      <w:r w:rsidRPr="003C2496">
        <w:t xml:space="preserve"> zur Änderung der Empfehlung ESRB/</w:t>
      </w:r>
      <w:r w:rsidRPr="00C24C00">
        <w:t>2016</w:t>
      </w:r>
      <w:r w:rsidRPr="003C2496">
        <w:t>/</w:t>
      </w:r>
      <w:r w:rsidRPr="00C24C00">
        <w:t>14</w:t>
      </w:r>
      <w:r w:rsidRPr="003C2496">
        <w:t xml:space="preserve"> zur Schließung von Lücken bei Immobiliendaten (ESRB/</w:t>
      </w:r>
      <w:r w:rsidRPr="00C24C00">
        <w:t>2019</w:t>
      </w:r>
      <w:r w:rsidRPr="003C2496">
        <w:t>/</w:t>
      </w:r>
      <w:r w:rsidRPr="00C24C00">
        <w:t>3</w:t>
      </w:r>
      <w:r w:rsidRPr="003C2496">
        <w:t>) (ABl. C </w:t>
      </w:r>
      <w:r w:rsidRPr="00C24C00">
        <w:t>271</w:t>
      </w:r>
      <w:r w:rsidRPr="003C2496">
        <w:t xml:space="preserve"> vom </w:t>
      </w:r>
      <w:r w:rsidRPr="00C24C00">
        <w:t>13</w:t>
      </w:r>
      <w:r w:rsidRPr="003C2496">
        <w:t>.</w:t>
      </w:r>
      <w:r w:rsidRPr="00C24C00">
        <w:t>8</w:t>
      </w:r>
      <w:r w:rsidRPr="003C2496">
        <w:t>.</w:t>
      </w:r>
      <w:r w:rsidRPr="00C24C00">
        <w:t>2019</w:t>
      </w:r>
      <w:r w:rsidRPr="003C2496">
        <w:t>, S. </w:t>
      </w:r>
      <w:r w:rsidRPr="00C24C00">
        <w:t>1</w:t>
      </w:r>
      <w:r w:rsidRPr="003C2496">
        <w:t>).</w:t>
      </w:r>
    </w:p>
  </w:footnote>
  <w:footnote w:id="11">
    <w:p w:rsidR="00C05848" w:rsidRPr="003C2496" w:rsidRDefault="00C05848" w:rsidP="00337B16">
      <w:pPr>
        <w:pStyle w:val="FootnoteText"/>
      </w:pPr>
      <w:r>
        <w:rPr>
          <w:rStyle w:val="FootnoteReference"/>
        </w:rPr>
        <w:footnoteRef/>
      </w:r>
      <w:r w:rsidRPr="003C2496">
        <w:tab/>
        <w:t>Verordnung (EG) Nr. </w:t>
      </w:r>
      <w:r w:rsidRPr="00C24C00">
        <w:t>223</w:t>
      </w:r>
      <w:r w:rsidRPr="003C2496">
        <w:t>/</w:t>
      </w:r>
      <w:r w:rsidRPr="00C24C00">
        <w:t>2009</w:t>
      </w:r>
      <w:r w:rsidRPr="003C2496">
        <w:t xml:space="preserve"> des Europäischen Parlaments und des Rates vom </w:t>
      </w:r>
      <w:r w:rsidRPr="00C24C00">
        <w:t>11</w:t>
      </w:r>
      <w:r w:rsidRPr="003C2496">
        <w:t xml:space="preserve">. März </w:t>
      </w:r>
      <w:r w:rsidRPr="00C24C00">
        <w:t>2009</w:t>
      </w:r>
      <w:r w:rsidRPr="003C2496">
        <w:t xml:space="preserve"> über europäische Statistiken und zur Aufhebung der Verordnung (EG, Euratom) Nr. </w:t>
      </w:r>
      <w:r w:rsidRPr="00C24C00">
        <w:t>1101</w:t>
      </w:r>
      <w:r w:rsidRPr="003C2496">
        <w:t>/</w:t>
      </w:r>
      <w:r w:rsidRPr="00C24C00">
        <w:t>2008</w:t>
      </w:r>
      <w:r w:rsidRPr="003C2496">
        <w:t xml:space="preserve"> des Europäischen Parlaments und des Rates über die Übermittlung von unter die Geheimhaltungspflicht fallenden Informationen an das Statistische Amt der Europäischen Gemeinschaften, der Verordnung (EG) Nr. </w:t>
      </w:r>
      <w:r w:rsidRPr="00C24C00">
        <w:t>322</w:t>
      </w:r>
      <w:r w:rsidRPr="003C2496">
        <w:t>/</w:t>
      </w:r>
      <w:r w:rsidRPr="00C24C00">
        <w:t>97</w:t>
      </w:r>
      <w:r w:rsidRPr="003C2496">
        <w:t xml:space="preserve"> des Rates über die Gemeinschaftsstatistiken und des Beschlusses </w:t>
      </w:r>
      <w:r w:rsidRPr="00C24C00">
        <w:t>89</w:t>
      </w:r>
      <w:r w:rsidRPr="003C2496">
        <w:t>/</w:t>
      </w:r>
      <w:r w:rsidRPr="00C24C00">
        <w:t>382</w:t>
      </w:r>
      <w:r w:rsidRPr="003C2496">
        <w:t>/EWG, Euratom des Rates zur Einsetzung eines Ausschusses für das Statistische Programm der Europäischen Gemeinschaften (ABl. L </w:t>
      </w:r>
      <w:r w:rsidRPr="00C24C00">
        <w:t>87</w:t>
      </w:r>
      <w:r w:rsidRPr="003C2496">
        <w:t xml:space="preserve"> vom </w:t>
      </w:r>
      <w:r w:rsidRPr="00C24C00">
        <w:t>31</w:t>
      </w:r>
      <w:r w:rsidRPr="003C2496">
        <w:t>.</w:t>
      </w:r>
      <w:r w:rsidRPr="00C24C00">
        <w:t>3</w:t>
      </w:r>
      <w:r w:rsidRPr="003C2496">
        <w:t>.</w:t>
      </w:r>
      <w:r w:rsidRPr="00C24C00">
        <w:t>2009</w:t>
      </w:r>
      <w:r w:rsidRPr="003C2496">
        <w:t>, S. </w:t>
      </w:r>
      <w:r w:rsidRPr="00C24C00">
        <w:t>164</w:t>
      </w:r>
      <w:r w:rsidRPr="003C2496">
        <w:t xml:space="preserve">, ELI: </w:t>
      </w:r>
      <w:hyperlink r:id="rId7" w:history="1">
        <w:r w:rsidRPr="003C2496">
          <w:rPr>
            <w:rStyle w:val="Hyperlink"/>
          </w:rPr>
          <w:t>http://data.europa.eu/eli/reg/</w:t>
        </w:r>
        <w:r w:rsidRPr="00C24C00">
          <w:rPr>
            <w:rStyle w:val="Hyperlink"/>
          </w:rPr>
          <w:t>2009</w:t>
        </w:r>
        <w:r w:rsidRPr="003C2496">
          <w:rPr>
            <w:rStyle w:val="Hyperlink"/>
          </w:rPr>
          <w:t>/</w:t>
        </w:r>
        <w:r w:rsidRPr="00C24C00">
          <w:rPr>
            <w:rStyle w:val="Hyperlink"/>
          </w:rPr>
          <w:t>223</w:t>
        </w:r>
        <w:r w:rsidRPr="003C2496">
          <w:rPr>
            <w:rStyle w:val="Hyperlink"/>
          </w:rPr>
          <w:t>/oj</w:t>
        </w:r>
      </w:hyperlink>
      <w:r w:rsidRPr="003C2496">
        <w:t>).</w:t>
      </w:r>
    </w:p>
  </w:footnote>
  <w:footnote w:id="12">
    <w:p w:rsidR="00B3322D" w:rsidRPr="003C2496" w:rsidRDefault="00B3322D" w:rsidP="00B3322D">
      <w:pPr>
        <w:pStyle w:val="FootnoteText"/>
      </w:pPr>
      <w:r>
        <w:rPr>
          <w:rStyle w:val="FootnoteReference"/>
        </w:rPr>
        <w:footnoteRef/>
      </w:r>
      <w:r w:rsidRPr="003C2496">
        <w:tab/>
        <w:t xml:space="preserve">Verordnung (EU) </w:t>
      </w:r>
      <w:r w:rsidRPr="00C24C00">
        <w:t>2024</w:t>
      </w:r>
      <w:r w:rsidRPr="003C2496">
        <w:t>/</w:t>
      </w:r>
      <w:r w:rsidRPr="00C24C00">
        <w:t>3018</w:t>
      </w:r>
      <w:r w:rsidRPr="003C2496">
        <w:t xml:space="preserve"> des Europäischen Parlaments und des Rates vom </w:t>
      </w:r>
      <w:r w:rsidRPr="00C24C00">
        <w:t>27</w:t>
      </w:r>
      <w:r w:rsidRPr="003C2496">
        <w:t xml:space="preserve">. November </w:t>
      </w:r>
      <w:r w:rsidRPr="00C24C00">
        <w:t>2024</w:t>
      </w:r>
      <w:r w:rsidRPr="003C2496">
        <w:t xml:space="preserve"> zur Änderung der Verordnung (EG) Nr. </w:t>
      </w:r>
      <w:r w:rsidRPr="00C24C00">
        <w:t>223</w:t>
      </w:r>
      <w:r w:rsidRPr="003C2496">
        <w:t>/</w:t>
      </w:r>
      <w:r w:rsidRPr="00C24C00">
        <w:t>2009</w:t>
      </w:r>
      <w:r w:rsidRPr="003C2496">
        <w:t xml:space="preserve"> über europäische Statistiken (ABl. L vom </w:t>
      </w:r>
      <w:r w:rsidRPr="00C24C00">
        <w:t>6</w:t>
      </w:r>
      <w:r w:rsidRPr="003C2496">
        <w:t>.</w:t>
      </w:r>
      <w:r w:rsidRPr="00C24C00">
        <w:t>12</w:t>
      </w:r>
      <w:r w:rsidRPr="003C2496">
        <w:t>.</w:t>
      </w:r>
      <w:r w:rsidRPr="00C24C00">
        <w:t>2024</w:t>
      </w:r>
      <w:r w:rsidRPr="003C2496">
        <w:t>, S. </w:t>
      </w:r>
      <w:r w:rsidRPr="00C24C00">
        <w:t>1</w:t>
      </w:r>
      <w:r w:rsidRPr="003C2496">
        <w:t>).</w:t>
      </w:r>
    </w:p>
  </w:footnote>
  <w:footnote w:id="13">
    <w:p w:rsidR="00AA3A89" w:rsidRPr="003C2496" w:rsidRDefault="00AA3A89" w:rsidP="00AA3A89">
      <w:pPr>
        <w:pStyle w:val="FootnoteText"/>
      </w:pPr>
      <w:r>
        <w:rPr>
          <w:rStyle w:val="FootnoteReference"/>
        </w:rPr>
        <w:footnoteRef/>
      </w:r>
      <w:r w:rsidRPr="003C2496">
        <w:tab/>
      </w:r>
      <w:hyperlink r:id="rId8" w:history="1">
        <w:r w:rsidRPr="003C2496">
          <w:rPr>
            <w:rStyle w:val="Hyperlink"/>
          </w:rPr>
          <w:t>https://ec.europa.eu/eurostat/web/quality/quality-monitoring/quality-reporting</w:t>
        </w:r>
      </w:hyperlink>
      <w:r w:rsidRPr="003C2496">
        <w:t>.</w:t>
      </w:r>
    </w:p>
  </w:footnote>
  <w:footnote w:id="14">
    <w:p w:rsidR="00AA3A89" w:rsidRPr="003C2496" w:rsidRDefault="00AA3A89" w:rsidP="00AA3A89">
      <w:pPr>
        <w:pStyle w:val="FootnoteText"/>
      </w:pPr>
      <w:r>
        <w:rPr>
          <w:rStyle w:val="FootnoteReference"/>
        </w:rPr>
        <w:footnoteRef/>
      </w:r>
      <w:r w:rsidRPr="003C2496">
        <w:tab/>
        <w:t>ABl. L </w:t>
      </w:r>
      <w:r w:rsidRPr="00C24C00">
        <w:t>53</w:t>
      </w:r>
      <w:r w:rsidRPr="003C2496">
        <w:t xml:space="preserve"> vom </w:t>
      </w:r>
      <w:r w:rsidRPr="00C24C00">
        <w:t>21</w:t>
      </w:r>
      <w:r w:rsidRPr="003C2496">
        <w:t>.</w:t>
      </w:r>
      <w:r w:rsidRPr="00C24C00">
        <w:t>2</w:t>
      </w:r>
      <w:r w:rsidRPr="003C2496">
        <w:t>.</w:t>
      </w:r>
      <w:r w:rsidRPr="00C24C00">
        <w:t>2023</w:t>
      </w:r>
      <w:r w:rsidRPr="003C2496">
        <w:t>, S. </w:t>
      </w:r>
      <w:r w:rsidRPr="00C24C00">
        <w:t>104</w:t>
      </w:r>
      <w:r w:rsidRPr="003C2496">
        <w:t xml:space="preserve">. </w:t>
      </w:r>
    </w:p>
  </w:footnote>
  <w:footnote w:id="15">
    <w:p w:rsidR="00AA3A89" w:rsidRPr="003C2496" w:rsidRDefault="00AA3A89" w:rsidP="00AA3A89">
      <w:pPr>
        <w:pStyle w:val="FootnoteText"/>
      </w:pPr>
      <w:r>
        <w:rPr>
          <w:rStyle w:val="FootnoteReference"/>
        </w:rPr>
        <w:footnoteRef/>
      </w:r>
      <w:r w:rsidRPr="003C2496">
        <w:tab/>
        <w:t>ABl. L </w:t>
      </w:r>
      <w:r w:rsidRPr="00C24C00">
        <w:t>123</w:t>
      </w:r>
      <w:r w:rsidRPr="003C2496">
        <w:t xml:space="preserve"> vom </w:t>
      </w:r>
      <w:r w:rsidRPr="00C24C00">
        <w:t>12</w:t>
      </w:r>
      <w:r w:rsidRPr="003C2496">
        <w:t>.</w:t>
      </w:r>
      <w:r w:rsidRPr="00C24C00">
        <w:t>5</w:t>
      </w:r>
      <w:r w:rsidRPr="003C2496">
        <w:t>.</w:t>
      </w:r>
      <w:r w:rsidRPr="00C24C00">
        <w:t>2016</w:t>
      </w:r>
      <w:r w:rsidRPr="003C2496">
        <w:t>, S. </w:t>
      </w:r>
      <w:r w:rsidRPr="00C24C00">
        <w:t>1</w:t>
      </w:r>
      <w:r w:rsidRPr="003C2496">
        <w:t>.</w:t>
      </w:r>
    </w:p>
  </w:footnote>
  <w:footnote w:id="16">
    <w:p w:rsidR="00AA3A89" w:rsidRPr="003C2496" w:rsidRDefault="00AA3A89" w:rsidP="00AA3A89">
      <w:pPr>
        <w:pStyle w:val="FootnoteText"/>
      </w:pPr>
      <w:r>
        <w:rPr>
          <w:rStyle w:val="FootnoteReference"/>
        </w:rPr>
        <w:footnoteRef/>
      </w:r>
      <w:r w:rsidRPr="003C2496">
        <w:tab/>
        <w:t>ABl. L </w:t>
      </w:r>
      <w:r w:rsidRPr="00C24C00">
        <w:t>55</w:t>
      </w:r>
      <w:r w:rsidRPr="003C2496">
        <w:t xml:space="preserve"> vom </w:t>
      </w:r>
      <w:r w:rsidRPr="00C24C00">
        <w:t>28</w:t>
      </w:r>
      <w:r w:rsidRPr="003C2496">
        <w:t>.</w:t>
      </w:r>
      <w:r w:rsidRPr="00C24C00">
        <w:t>2</w:t>
      </w:r>
      <w:r w:rsidRPr="003C2496">
        <w:t>.</w:t>
      </w:r>
      <w:r w:rsidRPr="00C24C00">
        <w:t>2011</w:t>
      </w:r>
      <w:r w:rsidRPr="003C2496">
        <w:t>, S. </w:t>
      </w:r>
      <w:r w:rsidRPr="00C24C00">
        <w:t>13</w:t>
      </w:r>
      <w:r w:rsidRPr="003C2496">
        <w:t>.</w:t>
      </w:r>
    </w:p>
  </w:footnote>
  <w:footnote w:id="17">
    <w:p w:rsidR="00FF7819" w:rsidRPr="003C2496" w:rsidRDefault="00FF7819" w:rsidP="00337B16">
      <w:pPr>
        <w:pStyle w:val="FootnoteText"/>
      </w:pPr>
      <w:r>
        <w:rPr>
          <w:rStyle w:val="FootnoteReference"/>
        </w:rPr>
        <w:footnoteRef/>
      </w:r>
      <w:r w:rsidRPr="003C2496">
        <w:tab/>
        <w:t>Verordnung (EU) Nr. </w:t>
      </w:r>
      <w:r w:rsidRPr="00C24C00">
        <w:t>549</w:t>
      </w:r>
      <w:r w:rsidRPr="003C2496">
        <w:t>/</w:t>
      </w:r>
      <w:r w:rsidRPr="00C24C00">
        <w:t>2013</w:t>
      </w:r>
      <w:r w:rsidRPr="003C2496">
        <w:t xml:space="preserve"> des Europäischen Parlaments und des Rates vom </w:t>
      </w:r>
      <w:r w:rsidRPr="00C24C00">
        <w:t>21</w:t>
      </w:r>
      <w:r w:rsidRPr="003C2496">
        <w:t xml:space="preserve">. Mai </w:t>
      </w:r>
      <w:r w:rsidRPr="00C24C00">
        <w:t>2013</w:t>
      </w:r>
      <w:r w:rsidRPr="003C2496">
        <w:t xml:space="preserve"> zum Europäischen System Volkswirtschaftlicher Gesamtrechnungen auf nationaler und regionaler Ebene in der Europäischen Union (ABl. L </w:t>
      </w:r>
      <w:r w:rsidRPr="00C24C00">
        <w:t>174</w:t>
      </w:r>
      <w:r w:rsidRPr="003C2496">
        <w:t xml:space="preserve"> vom </w:t>
      </w:r>
      <w:r w:rsidRPr="00C24C00">
        <w:t>26</w:t>
      </w:r>
      <w:r w:rsidRPr="003C2496">
        <w:t>.</w:t>
      </w:r>
      <w:r w:rsidRPr="00C24C00">
        <w:t>6</w:t>
      </w:r>
      <w:r w:rsidRPr="003C2496">
        <w:t>.</w:t>
      </w:r>
      <w:r w:rsidRPr="00C24C00">
        <w:t>2013</w:t>
      </w:r>
      <w:r w:rsidRPr="003C2496">
        <w:t>, S. </w:t>
      </w:r>
      <w:r w:rsidRPr="00C24C00">
        <w:t>1</w:t>
      </w:r>
      <w:r w:rsidRPr="003C2496">
        <w:t xml:space="preserve">, ELI: </w:t>
      </w:r>
      <w:hyperlink r:id="rId9" w:history="1">
        <w:r w:rsidRPr="003C2496">
          <w:rPr>
            <w:rStyle w:val="Hyperlink"/>
          </w:rPr>
          <w:t>http://data.europa.eu/eli/reg/</w:t>
        </w:r>
        <w:r w:rsidRPr="00C24C00">
          <w:rPr>
            <w:rStyle w:val="Hyperlink"/>
          </w:rPr>
          <w:t>2013</w:t>
        </w:r>
        <w:r w:rsidRPr="003C2496">
          <w:rPr>
            <w:rStyle w:val="Hyperlink"/>
          </w:rPr>
          <w:t>/</w:t>
        </w:r>
        <w:r w:rsidRPr="00C24C00">
          <w:rPr>
            <w:rStyle w:val="Hyperlink"/>
          </w:rPr>
          <w:t>549</w:t>
        </w:r>
        <w:r w:rsidRPr="003C2496">
          <w:rPr>
            <w:rStyle w:val="Hyperlink"/>
          </w:rPr>
          <w:t>/oj</w:t>
        </w:r>
      </w:hyperlink>
      <w:r w:rsidRPr="003C2496">
        <w:t xml:space="preserve">). </w:t>
      </w:r>
    </w:p>
  </w:footnote>
  <w:footnote w:id="18">
    <w:p w:rsidR="00953674" w:rsidRPr="003C2496" w:rsidRDefault="00953674" w:rsidP="00953674">
      <w:pPr>
        <w:pStyle w:val="FootnoteText"/>
      </w:pPr>
      <w:r>
        <w:rPr>
          <w:rStyle w:val="FootnoteReference"/>
        </w:rPr>
        <w:footnoteRef/>
      </w:r>
      <w:r w:rsidRPr="003C2496">
        <w:tab/>
        <w:t>Verordnung (EWG) Nr. </w:t>
      </w:r>
      <w:r w:rsidRPr="00C24C00">
        <w:t>696</w:t>
      </w:r>
      <w:r w:rsidRPr="003C2496">
        <w:t>/</w:t>
      </w:r>
      <w:r w:rsidRPr="00C24C00">
        <w:t>93</w:t>
      </w:r>
      <w:r w:rsidRPr="003C2496">
        <w:t xml:space="preserve"> des Rates vom </w:t>
      </w:r>
      <w:r w:rsidRPr="00C24C00">
        <w:t>15</w:t>
      </w:r>
      <w:r w:rsidRPr="003C2496">
        <w:t xml:space="preserve">. März </w:t>
      </w:r>
      <w:r w:rsidRPr="00C24C00">
        <w:t>1993</w:t>
      </w:r>
      <w:r w:rsidRPr="003C2496">
        <w:t xml:space="preserve"> betreffend die statistischen Einheiten für die Beobachtung und Analyse der Wirtschaft in der Gemeinschaft (ABl. L </w:t>
      </w:r>
      <w:r w:rsidRPr="00C24C00">
        <w:t>76</w:t>
      </w:r>
      <w:r w:rsidRPr="003C2496">
        <w:t xml:space="preserve"> vom </w:t>
      </w:r>
      <w:r w:rsidRPr="00C24C00">
        <w:t>30</w:t>
      </w:r>
      <w:r w:rsidRPr="003C2496">
        <w:t>.</w:t>
      </w:r>
      <w:r w:rsidRPr="00C24C00">
        <w:t>3</w:t>
      </w:r>
      <w:r w:rsidRPr="003C2496">
        <w:t>.</w:t>
      </w:r>
      <w:r w:rsidRPr="00C24C00">
        <w:t>1993</w:t>
      </w:r>
      <w:r w:rsidRPr="003C2496">
        <w:t>, S. </w:t>
      </w:r>
      <w:r w:rsidRPr="00C24C00">
        <w:t>1</w:t>
      </w:r>
      <w:r w:rsidRPr="003C2496">
        <w:t xml:space="preserve">, ELI: </w:t>
      </w:r>
      <w:hyperlink r:id="rId10" w:history="1">
        <w:r w:rsidRPr="003C2496">
          <w:rPr>
            <w:rStyle w:val="Hyperlink"/>
          </w:rPr>
          <w:t>http://data.europa.eu/eli/reg/</w:t>
        </w:r>
        <w:r w:rsidRPr="00C24C00">
          <w:rPr>
            <w:rStyle w:val="Hyperlink"/>
          </w:rPr>
          <w:t>1993</w:t>
        </w:r>
        <w:r w:rsidRPr="003C2496">
          <w:rPr>
            <w:rStyle w:val="Hyperlink"/>
          </w:rPr>
          <w:t>/</w:t>
        </w:r>
        <w:r w:rsidRPr="00C24C00">
          <w:rPr>
            <w:rStyle w:val="Hyperlink"/>
          </w:rPr>
          <w:t>696</w:t>
        </w:r>
        <w:r w:rsidRPr="003C2496">
          <w:rPr>
            <w:rStyle w:val="Hyperlink"/>
          </w:rPr>
          <w:t>/oj</w:t>
        </w:r>
      </w:hyperlink>
      <w:r w:rsidRPr="003C2496">
        <w:t xml:space="preserve">). </w:t>
      </w:r>
    </w:p>
  </w:footnote>
  <w:footnote w:id="19">
    <w:p w:rsidR="00AA3A89" w:rsidRPr="003C2496" w:rsidRDefault="00AA3A89" w:rsidP="00045CEF">
      <w:pPr>
        <w:pStyle w:val="FootnoteText"/>
      </w:pPr>
      <w:r>
        <w:rPr>
          <w:rStyle w:val="FootnoteReference"/>
        </w:rPr>
        <w:footnoteRef/>
      </w:r>
      <w:r w:rsidRPr="003C2496">
        <w:tab/>
        <w:t>Verordnung (EU) </w:t>
      </w:r>
      <w:r w:rsidRPr="00C24C00">
        <w:t>2021</w:t>
      </w:r>
      <w:r w:rsidRPr="003C2496">
        <w:t>/</w:t>
      </w:r>
      <w:r w:rsidRPr="00C24C00">
        <w:t>690</w:t>
      </w:r>
      <w:r w:rsidRPr="003C2496">
        <w:t xml:space="preserve"> des Europäischen Parlaments und des Rates vom </w:t>
      </w:r>
      <w:r w:rsidRPr="00C24C00">
        <w:t>28</w:t>
      </w:r>
      <w:r w:rsidRPr="003C2496">
        <w:t xml:space="preserve">. April </w:t>
      </w:r>
      <w:r w:rsidRPr="00C24C00">
        <w:t>2021</w:t>
      </w:r>
      <w:r w:rsidRPr="003C2496">
        <w:t xml:space="preserve"> zur Aufstellung eines Programms für den Binnenmarkt, die Wettbewerbsfähigkeit von Unternehmen, einschließlich kleiner und mittlerer Unternehmen, den Bereich Pflanzen, Tiere, Lebensmittel und Futtermittel sowie europäische Statistiken (Binnenmarktprogramm) und zur Aufhebung der Verordnungen (EU) Nr. </w:t>
      </w:r>
      <w:r w:rsidRPr="00C24C00">
        <w:t>99</w:t>
      </w:r>
      <w:r w:rsidRPr="003C2496">
        <w:t>/</w:t>
      </w:r>
      <w:r w:rsidRPr="00C24C00">
        <w:t>2013</w:t>
      </w:r>
      <w:r w:rsidRPr="003C2496">
        <w:t>, (EU) Nr. </w:t>
      </w:r>
      <w:r w:rsidRPr="00C24C00">
        <w:t>1287</w:t>
      </w:r>
      <w:r w:rsidRPr="003C2496">
        <w:t>/</w:t>
      </w:r>
      <w:r w:rsidRPr="00C24C00">
        <w:t>2013</w:t>
      </w:r>
      <w:r w:rsidRPr="003C2496">
        <w:t>, (EU) Nr. </w:t>
      </w:r>
      <w:r w:rsidRPr="00C24C00">
        <w:t>254</w:t>
      </w:r>
      <w:r w:rsidRPr="003C2496">
        <w:t>/</w:t>
      </w:r>
      <w:r w:rsidRPr="00C24C00">
        <w:t>2014</w:t>
      </w:r>
      <w:r w:rsidRPr="003C2496">
        <w:t xml:space="preserve"> und (EU) Nr. </w:t>
      </w:r>
      <w:r w:rsidRPr="00C24C00">
        <w:t>652</w:t>
      </w:r>
      <w:r w:rsidRPr="003C2496">
        <w:t>/</w:t>
      </w:r>
      <w:r w:rsidRPr="00C24C00">
        <w:t>2014</w:t>
      </w:r>
      <w:r w:rsidRPr="003C2496">
        <w:t xml:space="preserve"> (Text von Bedeutung für den EWR) (ABl. L </w:t>
      </w:r>
      <w:r w:rsidRPr="00C24C00">
        <w:t>153</w:t>
      </w:r>
      <w:r w:rsidRPr="003C2496">
        <w:t xml:space="preserve"> vom </w:t>
      </w:r>
      <w:r w:rsidRPr="00C24C00">
        <w:t>3</w:t>
      </w:r>
      <w:r w:rsidRPr="003C2496">
        <w:t>.</w:t>
      </w:r>
      <w:r w:rsidRPr="00C24C00">
        <w:t>5</w:t>
      </w:r>
      <w:r w:rsidRPr="003C2496">
        <w:t>.</w:t>
      </w:r>
      <w:r w:rsidRPr="00C24C00">
        <w:t>2021</w:t>
      </w:r>
      <w:r w:rsidRPr="003C2496">
        <w:t>, S. </w:t>
      </w:r>
      <w:r w:rsidRPr="00C24C00">
        <w:t>1</w:t>
      </w:r>
      <w:r w:rsidRPr="003C2496">
        <w:t xml:space="preserve">, ELI: </w:t>
      </w:r>
      <w:hyperlink r:id="rId11" w:history="1">
        <w:r w:rsidRPr="003C2496">
          <w:rPr>
            <w:rStyle w:val="Hyperlink"/>
          </w:rPr>
          <w:t>http://data.europa.eu/eli/reg/</w:t>
        </w:r>
        <w:r w:rsidRPr="00C24C00">
          <w:rPr>
            <w:rStyle w:val="Hyperlink"/>
          </w:rPr>
          <w:t>2021</w:t>
        </w:r>
        <w:r w:rsidRPr="003C2496">
          <w:rPr>
            <w:rStyle w:val="Hyperlink"/>
          </w:rPr>
          <w:t>/</w:t>
        </w:r>
        <w:r w:rsidRPr="00C24C00">
          <w:rPr>
            <w:rStyle w:val="Hyperlink"/>
          </w:rPr>
          <w:t>690</w:t>
        </w:r>
        <w:r w:rsidRPr="003C2496">
          <w:rPr>
            <w:rStyle w:val="Hyperlink"/>
          </w:rPr>
          <w:t>/oj</w:t>
        </w:r>
      </w:hyperlink>
      <w:r w:rsidRPr="003C2496">
        <w:t>).</w:t>
      </w:r>
    </w:p>
  </w:footnote>
  <w:footnote w:id="20">
    <w:p w:rsidR="00AA3A89" w:rsidRPr="003C2496" w:rsidRDefault="00AA3A89" w:rsidP="00AA3A89">
      <w:pPr>
        <w:pStyle w:val="FootnoteText"/>
      </w:pPr>
      <w:r>
        <w:rPr>
          <w:rStyle w:val="FootnoteReference"/>
        </w:rPr>
        <w:footnoteRef/>
      </w:r>
      <w:r w:rsidRPr="003C2496">
        <w:tab/>
        <w:t>ABl. L </w:t>
      </w:r>
      <w:r w:rsidRPr="00C24C00">
        <w:t>55</w:t>
      </w:r>
      <w:r w:rsidRPr="003C2496">
        <w:t xml:space="preserve"> vom </w:t>
      </w:r>
      <w:r w:rsidRPr="00C24C00">
        <w:t>28</w:t>
      </w:r>
      <w:r w:rsidRPr="003C2496">
        <w:t>.</w:t>
      </w:r>
      <w:r w:rsidRPr="00C24C00">
        <w:t>2</w:t>
      </w:r>
      <w:r w:rsidRPr="003C2496">
        <w:t>.</w:t>
      </w:r>
      <w:r w:rsidRPr="00C24C00">
        <w:t>2011</w:t>
      </w:r>
      <w:r w:rsidRPr="003C2496">
        <w:t>, S. </w:t>
      </w:r>
      <w:r w:rsidRPr="00C24C00">
        <w:t>13</w:t>
      </w:r>
      <w:r w:rsidRPr="003C2496">
        <w:t>.</w:t>
      </w:r>
    </w:p>
  </w:footnote>
  <w:footnote w:id="21">
    <w:p w:rsidR="00C1401B" w:rsidRPr="003C2496" w:rsidRDefault="00C1401B" w:rsidP="00C1401B">
      <w:pPr>
        <w:pStyle w:val="FootnoteText"/>
        <w:rPr>
          <w:szCs w:val="24"/>
        </w:rPr>
      </w:pPr>
      <w:r>
        <w:rPr>
          <w:rStyle w:val="FootnoteReference"/>
        </w:rPr>
        <w:footnoteRef/>
      </w:r>
      <w:r w:rsidRPr="003C2496">
        <w:tab/>
        <w:t>Im Sinne des Artikels </w:t>
      </w:r>
      <w:r w:rsidRPr="00C24C00">
        <w:t>58</w:t>
      </w:r>
      <w:r w:rsidRPr="003C2496">
        <w:t xml:space="preserve"> Absatz </w:t>
      </w:r>
      <w:r w:rsidRPr="00C24C00">
        <w:t>2</w:t>
      </w:r>
      <w:r w:rsidRPr="003C2496">
        <w:t xml:space="preserve"> Buchstabe a oder b der Haushaltsordnung.</w:t>
      </w:r>
    </w:p>
  </w:footnote>
  <w:footnote w:id="22">
    <w:p w:rsidR="00C1401B" w:rsidRPr="003C2496" w:rsidRDefault="00C1401B" w:rsidP="00C1401B">
      <w:pPr>
        <w:pStyle w:val="FootnoteText"/>
        <w:jc w:val="left"/>
        <w:rPr>
          <w:szCs w:val="24"/>
        </w:rPr>
      </w:pPr>
      <w:r>
        <w:rPr>
          <w:rStyle w:val="FootnoteReference"/>
        </w:rPr>
        <w:footnoteRef/>
      </w:r>
      <w:r w:rsidRPr="003C2496">
        <w:tab/>
        <w:t xml:space="preserve">Erläuterungen zu den Haushaltsvollzugsarten und Verweise auf die Haushaltsordnung finden sich auf der Website BUDGpedia (in englischer Sprache): </w:t>
      </w:r>
      <w:hyperlink r:id="rId12" w:history="1">
        <w:r w:rsidRPr="003C2496">
          <w:rPr>
            <w:rStyle w:val="Hyperlink"/>
          </w:rPr>
          <w:t>https://myintracomm.ec.europa.eu/corp/budget/financial-rules/budget-implementation/Pages/implementation-methods.aspx</w:t>
        </w:r>
      </w:hyperlink>
    </w:p>
  </w:footnote>
  <w:footnote w:id="23">
    <w:p w:rsidR="00C1401B" w:rsidRPr="003C2496" w:rsidRDefault="00C1401B" w:rsidP="00C1401B">
      <w:pPr>
        <w:pStyle w:val="FootnoteText"/>
        <w:rPr>
          <w:szCs w:val="24"/>
        </w:rPr>
      </w:pPr>
      <w:r>
        <w:rPr>
          <w:rStyle w:val="FootnoteReference"/>
        </w:rPr>
        <w:footnoteRef/>
      </w:r>
      <w:r w:rsidRPr="003C2496">
        <w:tab/>
        <w:t>GM = Getrennte Mittel/NGM = Nichtgetrennte Mittel.</w:t>
      </w:r>
    </w:p>
  </w:footnote>
  <w:footnote w:id="24">
    <w:p w:rsidR="00C1401B" w:rsidRPr="003C2496" w:rsidRDefault="00C1401B" w:rsidP="00C1401B">
      <w:pPr>
        <w:pStyle w:val="FootnoteText"/>
        <w:rPr>
          <w:szCs w:val="24"/>
        </w:rPr>
      </w:pPr>
      <w:r>
        <w:rPr>
          <w:rStyle w:val="FootnoteReference"/>
        </w:rPr>
        <w:footnoteRef/>
      </w:r>
      <w:r w:rsidRPr="003C2496">
        <w:tab/>
        <w:t xml:space="preserve">EFTA: Europäische Freihandelsassoziation. </w:t>
      </w:r>
    </w:p>
  </w:footnote>
  <w:footnote w:id="25">
    <w:p w:rsidR="00C1401B" w:rsidRPr="003C2496" w:rsidRDefault="00C1401B" w:rsidP="00C1401B">
      <w:pPr>
        <w:pStyle w:val="FootnoteText"/>
        <w:rPr>
          <w:szCs w:val="24"/>
        </w:rPr>
      </w:pPr>
      <w:r>
        <w:rPr>
          <w:rStyle w:val="FootnoteReference"/>
        </w:rPr>
        <w:footnoteRef/>
      </w:r>
      <w:r w:rsidRPr="003C2496">
        <w:tab/>
        <w:t>Kandidatenländer und gegebenenfalls potenzielle Kandidaten des Westbalkans.</w:t>
      </w:r>
    </w:p>
  </w:footnote>
  <w:footnote w:id="26">
    <w:p w:rsidR="00C1401B" w:rsidRPr="003C2496" w:rsidRDefault="00C1401B" w:rsidP="00C1401B">
      <w:pPr>
        <w:pStyle w:val="FootnoteText"/>
        <w:rPr>
          <w:sz w:val="18"/>
          <w:szCs w:val="18"/>
        </w:rPr>
      </w:pPr>
      <w:r>
        <w:rPr>
          <w:rStyle w:val="FootnoteReference"/>
        </w:rPr>
        <w:footnoteRef/>
      </w:r>
      <w:r w:rsidRPr="003C2496">
        <w:tab/>
      </w:r>
      <w:r w:rsidRPr="003C2496">
        <w:rPr>
          <w:sz w:val="18"/>
        </w:rPr>
        <w:t>Gemäß dem offiziellen Eingliederungsplan.</w:t>
      </w:r>
    </w:p>
  </w:footnote>
  <w:footnote w:id="27">
    <w:p w:rsidR="00C1401B" w:rsidRPr="003C2496" w:rsidRDefault="00C1401B" w:rsidP="00C1401B">
      <w:pPr>
        <w:pStyle w:val="FootnoteText"/>
        <w:rPr>
          <w:szCs w:val="24"/>
        </w:rPr>
      </w:pPr>
      <w:r>
        <w:rPr>
          <w:rStyle w:val="FootnoteReference"/>
        </w:rPr>
        <w:footnoteRef/>
      </w:r>
      <w:r w:rsidRPr="003C2496">
        <w:tab/>
      </w:r>
      <w:r w:rsidRPr="003C2496">
        <w:rPr>
          <w:sz w:val="18"/>
        </w:rPr>
        <w:t>Technische und/oder administrative Hilfe und Ausgaben zur Unterstützung der Durchführung von Programmen bzw. Maßnahmen der EU (vormalige BA-Linien), indirekte Forschung, direkte Forschung.</w:t>
      </w:r>
    </w:p>
  </w:footnote>
  <w:footnote w:id="28">
    <w:p w:rsidR="00C1401B" w:rsidRPr="003C2496" w:rsidRDefault="00C1401B" w:rsidP="00C1401B">
      <w:pPr>
        <w:pStyle w:val="FootnoteText"/>
        <w:rPr>
          <w:szCs w:val="24"/>
        </w:rPr>
      </w:pPr>
      <w:r>
        <w:rPr>
          <w:rStyle w:val="FootnoteReference"/>
        </w:rPr>
        <w:footnoteRef/>
      </w:r>
      <w:r w:rsidRPr="003C2496">
        <w:tab/>
        <w:t>Ergebnisse sind Produkte, die geliefert, und Dienstleistungen, die erbracht werden (z. B. Zahl der Austauschstudenten, gebaute Straßenkilometer).</w:t>
      </w:r>
    </w:p>
  </w:footnote>
  <w:footnote w:id="29">
    <w:p w:rsidR="00C1401B" w:rsidRPr="003C2496" w:rsidRDefault="00C1401B" w:rsidP="00C1401B">
      <w:pPr>
        <w:pStyle w:val="FootnoteText"/>
        <w:rPr>
          <w:szCs w:val="24"/>
        </w:rPr>
      </w:pPr>
      <w:r>
        <w:rPr>
          <w:rStyle w:val="FootnoteReference"/>
        </w:rPr>
        <w:footnoteRef/>
      </w:r>
      <w:r w:rsidRPr="003C2496">
        <w:tab/>
        <w:t xml:space="preserve">Wie unter </w:t>
      </w:r>
      <w:r w:rsidRPr="00C24C00">
        <w:t>1</w:t>
      </w:r>
      <w:r w:rsidRPr="003C2496">
        <w:t>.</w:t>
      </w:r>
      <w:r w:rsidRPr="00C24C00">
        <w:t>4</w:t>
      </w:r>
      <w:r w:rsidRPr="003C2496">
        <w:t>.</w:t>
      </w:r>
      <w:r w:rsidRPr="00C24C00">
        <w:t>2</w:t>
      </w:r>
      <w:r w:rsidRPr="003C2496">
        <w:t xml:space="preserve">. („Einzelziel(e)…“) beschrieben. </w:t>
      </w:r>
    </w:p>
  </w:footnote>
  <w:footnote w:id="30">
    <w:p w:rsidR="00C1401B" w:rsidRPr="003C2496" w:rsidRDefault="00C1401B" w:rsidP="00C1401B">
      <w:pPr>
        <w:pStyle w:val="FootnoteText"/>
        <w:rPr>
          <w:sz w:val="18"/>
          <w:szCs w:val="18"/>
        </w:rPr>
      </w:pPr>
      <w:r>
        <w:rPr>
          <w:rStyle w:val="FootnoteReference"/>
        </w:rPr>
        <w:footnoteRef/>
      </w:r>
      <w:r w:rsidRPr="003C2496">
        <w:tab/>
      </w:r>
      <w:r w:rsidRPr="003C2496">
        <w:rPr>
          <w:sz w:val="18"/>
        </w:rPr>
        <w:t xml:space="preserve">Das Jahr N ist das Jahr, in dem mit der Umsetzung des Vorschlags/der Initiative begonnen wird. Bitte ersetzen Sie „N“ durch das voraussichtlich erste Jahr der Umsetzung (z. B. </w:t>
      </w:r>
      <w:r w:rsidRPr="00C24C00">
        <w:rPr>
          <w:sz w:val="18"/>
        </w:rPr>
        <w:t>2021</w:t>
      </w:r>
      <w:r w:rsidRPr="003C2496">
        <w:rPr>
          <w:sz w:val="18"/>
        </w:rPr>
        <w:t>). Dasselbe gilt für die folgenden Jahre.</w:t>
      </w:r>
    </w:p>
  </w:footnote>
  <w:footnote w:id="31">
    <w:p w:rsidR="00C1401B" w:rsidRPr="003C2496" w:rsidRDefault="00C1401B" w:rsidP="00C1401B">
      <w:pPr>
        <w:pStyle w:val="FootnoteText"/>
        <w:rPr>
          <w:szCs w:val="24"/>
        </w:rPr>
      </w:pPr>
      <w:r>
        <w:rPr>
          <w:rStyle w:val="FootnoteReference"/>
        </w:rPr>
        <w:footnoteRef/>
      </w:r>
      <w:r w:rsidRPr="003C2496">
        <w:tab/>
      </w:r>
      <w:r w:rsidRPr="003C2496">
        <w:rPr>
          <w:sz w:val="18"/>
        </w:rPr>
        <w:t>Technische und/oder administrative Hilfe und Ausgaben zur Unterstützung der Durchführung von Programmen bzw. Maßnahmen der EU (vormalige BA-Linien), indirekte Forschung, direkte Forschung.</w:t>
      </w:r>
    </w:p>
  </w:footnote>
  <w:footnote w:id="32">
    <w:p w:rsidR="00C1401B" w:rsidRPr="003C2496" w:rsidRDefault="00C1401B" w:rsidP="00C1401B">
      <w:pPr>
        <w:pStyle w:val="FootnoteText"/>
        <w:rPr>
          <w:szCs w:val="24"/>
        </w:rPr>
      </w:pPr>
      <w:r>
        <w:rPr>
          <w:rStyle w:val="FootnoteReference"/>
        </w:rPr>
        <w:footnoteRef/>
      </w:r>
      <w:r w:rsidRPr="003C2496">
        <w:tab/>
        <w:t xml:space="preserve">VB = Vertragsbedienstete, ÖB = örtliche Bedienstete, ANS = abgeordnete nationale Sachverständige, LAK = Leiharbeitskräfte, JFD = Juniorfachkräfte in Delegationen. </w:t>
      </w:r>
    </w:p>
  </w:footnote>
  <w:footnote w:id="33">
    <w:p w:rsidR="00C1401B" w:rsidRPr="003C2496" w:rsidRDefault="00C1401B" w:rsidP="00C1401B">
      <w:pPr>
        <w:pStyle w:val="FootnoteText"/>
        <w:rPr>
          <w:szCs w:val="24"/>
        </w:rPr>
      </w:pPr>
      <w:r>
        <w:rPr>
          <w:rStyle w:val="FootnoteReference"/>
        </w:rPr>
        <w:footnoteRef/>
      </w:r>
      <w:r w:rsidRPr="003C2496">
        <w:tab/>
        <w:t>Teilobergrenze für aus operativen Mitteln finanziertes externes Personal (vormalige BA-Linien).</w:t>
      </w:r>
    </w:p>
  </w:footnote>
  <w:footnote w:id="34">
    <w:p w:rsidR="00C1401B" w:rsidRPr="003C2496" w:rsidRDefault="00C1401B" w:rsidP="00C1401B">
      <w:pPr>
        <w:pStyle w:val="FootnoteText"/>
      </w:pPr>
      <w:r>
        <w:rPr>
          <w:rStyle w:val="FootnoteReference"/>
        </w:rPr>
        <w:footnoteRef/>
      </w:r>
      <w:r w:rsidRPr="003C2496">
        <w:tab/>
        <w:t xml:space="preserve">Das Jahr N ist das Jahr, in dem mit der Umsetzung des Vorschlags/der Initiative begonnen wird. Bitte ersetzen Sie „N“ durch das voraussichtlich erste Jahr der Umsetzung (z. B. </w:t>
      </w:r>
      <w:r w:rsidRPr="00C24C00">
        <w:t>2021</w:t>
      </w:r>
      <w:r w:rsidRPr="003C2496">
        <w:t>). Dasselbe gilt für die folgenden Jahre.</w:t>
      </w:r>
    </w:p>
  </w:footnote>
  <w:footnote w:id="35">
    <w:p w:rsidR="00C1401B" w:rsidRPr="003C2496" w:rsidRDefault="00C1401B" w:rsidP="00C1401B">
      <w:pPr>
        <w:pStyle w:val="FootnoteText"/>
        <w:rPr>
          <w:szCs w:val="24"/>
        </w:rPr>
      </w:pPr>
      <w:r>
        <w:rPr>
          <w:rStyle w:val="FootnoteReference"/>
        </w:rPr>
        <w:footnoteRef/>
      </w:r>
      <w:r w:rsidRPr="003C2496">
        <w:tab/>
        <w:t xml:space="preserve">Bei den traditionellen Eigenmitteln (Zölle, Zuckerabgaben) sind die Beträge netto, d. h. abzüglich </w:t>
      </w:r>
      <w:r w:rsidRPr="00C24C00">
        <w:t>20</w:t>
      </w:r>
      <w:r w:rsidRPr="003C2496">
        <w:t>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Default="00740C8C" w:rsidP="00740C8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8C" w:rsidRPr="00740C8C" w:rsidRDefault="00740C8C" w:rsidP="00740C8C">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A14FAD"/>
    <w:multiLevelType w:val="hybridMultilevel"/>
    <w:tmpl w:val="DFB0FC52"/>
    <w:lvl w:ilvl="0" w:tplc="FFFFFFFF">
      <w:start w:val="4"/>
      <w:numFmt w:val="bullet"/>
      <w:lvlText w:val="-"/>
      <w:lvlJc w:val="left"/>
      <w:pPr>
        <w:ind w:left="36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14"/>
    <w:lvlOverride w:ilvl="0">
      <w:startOverride w:val="1"/>
    </w:lvlOverride>
  </w:num>
  <w:num w:numId="17">
    <w:abstractNumId w:val="30"/>
    <w:lvlOverride w:ilvl="0">
      <w:startOverride w:val="1"/>
    </w:lvlOverride>
  </w:num>
  <w:num w:numId="18">
    <w:abstractNumId w:val="2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25"/>
  </w:num>
  <w:num w:numId="30">
    <w:abstractNumId w:val="6"/>
  </w:num>
  <w:num w:numId="31">
    <w:abstractNumId w:val="12"/>
  </w:num>
  <w:num w:numId="32">
    <w:abstractNumId w:val="13"/>
  </w:num>
  <w:num w:numId="33">
    <w:abstractNumId w:val="4"/>
  </w:num>
  <w:num w:numId="34">
    <w:abstractNumId w:val="24"/>
  </w:num>
  <w:num w:numId="35">
    <w:abstractNumId w:val="3"/>
  </w:num>
  <w:num w:numId="36">
    <w:abstractNumId w:val="14"/>
  </w:num>
  <w:num w:numId="37">
    <w:abstractNumId w:val="20"/>
  </w:num>
  <w:num w:numId="38">
    <w:abstractNumId w:val="21"/>
  </w:num>
  <w:num w:numId="39">
    <w:abstractNumId w:val="5"/>
  </w:num>
  <w:num w:numId="40">
    <w:abstractNumId w:val="18"/>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3-11 09:1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A63F531-623E-4F08-92AC-B76B395EC569"/>
    <w:docVar w:name="LW_COVERPAGE_TYPE" w:val="1"/>
    <w:docVar w:name="LW_CROSSREFERENCE" w:val="&lt;UNUSED&gt;"/>
    <w:docVar w:name="LW_DocType" w:val="COM"/>
    <w:docVar w:name="LW_EMISSION" w:val="11.3.2025"/>
    <w:docVar w:name="LW_EMISSION_ISODATE" w:val="2025-03-11"/>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52"/>
    <w:docVar w:name="LW_REF.II.NEW.CP_YEAR" w:val="2025"/>
    <w:docVar w:name="LW_REF.INST.NEW" w:val="COM"/>
    <w:docVar w:name="LW_REF.INST.NEW_ADOPTED" w:val="final"/>
    <w:docVar w:name="LW_REF.INST.NEW_TEXT" w:val="(2025) 10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nichtfinanzielle Statistiken zu Gewerbeimmobilien"/>
    <w:docVar w:name="LW_TYPE.DOC.CP" w:val="VERORDNUNG DES EUROPÄISCHEN PARLAMENTS UND DES RATES"/>
    <w:docVar w:name="LwApiVersions" w:val="LW4CoDe 1.24.5.0; LW 9.0, Build 20240221"/>
  </w:docVars>
  <w:rsids>
    <w:rsidRoot w:val="00F278A5"/>
    <w:rsid w:val="00010CD7"/>
    <w:rsid w:val="0001186D"/>
    <w:rsid w:val="00021092"/>
    <w:rsid w:val="000211E5"/>
    <w:rsid w:val="0002204A"/>
    <w:rsid w:val="000227CB"/>
    <w:rsid w:val="00023B5F"/>
    <w:rsid w:val="00023DE3"/>
    <w:rsid w:val="0002708A"/>
    <w:rsid w:val="0003082F"/>
    <w:rsid w:val="00030A70"/>
    <w:rsid w:val="00032A6E"/>
    <w:rsid w:val="0003460E"/>
    <w:rsid w:val="00037E0D"/>
    <w:rsid w:val="00045CEF"/>
    <w:rsid w:val="00045F05"/>
    <w:rsid w:val="0004643D"/>
    <w:rsid w:val="00050E0C"/>
    <w:rsid w:val="000517CD"/>
    <w:rsid w:val="0005403D"/>
    <w:rsid w:val="00060050"/>
    <w:rsid w:val="000624CF"/>
    <w:rsid w:val="000628D0"/>
    <w:rsid w:val="000669C4"/>
    <w:rsid w:val="000748F6"/>
    <w:rsid w:val="00084109"/>
    <w:rsid w:val="00085453"/>
    <w:rsid w:val="00087795"/>
    <w:rsid w:val="00092FD1"/>
    <w:rsid w:val="00097FF3"/>
    <w:rsid w:val="000A113B"/>
    <w:rsid w:val="000A178F"/>
    <w:rsid w:val="000B2100"/>
    <w:rsid w:val="000C08DE"/>
    <w:rsid w:val="000C4413"/>
    <w:rsid w:val="000C4EBF"/>
    <w:rsid w:val="000D162D"/>
    <w:rsid w:val="000D2D6D"/>
    <w:rsid w:val="000D4F71"/>
    <w:rsid w:val="000D7D2C"/>
    <w:rsid w:val="000E2A89"/>
    <w:rsid w:val="000F0BEE"/>
    <w:rsid w:val="000F5582"/>
    <w:rsid w:val="00103710"/>
    <w:rsid w:val="001041B0"/>
    <w:rsid w:val="001065F5"/>
    <w:rsid w:val="0010799F"/>
    <w:rsid w:val="00111ABD"/>
    <w:rsid w:val="0012173E"/>
    <w:rsid w:val="00122CEB"/>
    <w:rsid w:val="001238EF"/>
    <w:rsid w:val="00123F12"/>
    <w:rsid w:val="00124B8B"/>
    <w:rsid w:val="001265E8"/>
    <w:rsid w:val="00127818"/>
    <w:rsid w:val="0013392D"/>
    <w:rsid w:val="00134488"/>
    <w:rsid w:val="00135500"/>
    <w:rsid w:val="001412F5"/>
    <w:rsid w:val="00147991"/>
    <w:rsid w:val="00154B5C"/>
    <w:rsid w:val="00160F11"/>
    <w:rsid w:val="00170918"/>
    <w:rsid w:val="00170A4E"/>
    <w:rsid w:val="00170AC3"/>
    <w:rsid w:val="00171045"/>
    <w:rsid w:val="00172871"/>
    <w:rsid w:val="00174BA2"/>
    <w:rsid w:val="00175488"/>
    <w:rsid w:val="00175548"/>
    <w:rsid w:val="0017629F"/>
    <w:rsid w:val="00177AA0"/>
    <w:rsid w:val="001817F7"/>
    <w:rsid w:val="00181CB1"/>
    <w:rsid w:val="00187C54"/>
    <w:rsid w:val="00195306"/>
    <w:rsid w:val="00197613"/>
    <w:rsid w:val="001B0ECC"/>
    <w:rsid w:val="001B3E1F"/>
    <w:rsid w:val="001C4605"/>
    <w:rsid w:val="001C4806"/>
    <w:rsid w:val="001D5A1C"/>
    <w:rsid w:val="001D5DB2"/>
    <w:rsid w:val="001D6B50"/>
    <w:rsid w:val="001D7929"/>
    <w:rsid w:val="001E188C"/>
    <w:rsid w:val="001E5A43"/>
    <w:rsid w:val="001E61F0"/>
    <w:rsid w:val="001F578C"/>
    <w:rsid w:val="00202C9C"/>
    <w:rsid w:val="0020755C"/>
    <w:rsid w:val="002200B5"/>
    <w:rsid w:val="00233DC7"/>
    <w:rsid w:val="00235960"/>
    <w:rsid w:val="002362AB"/>
    <w:rsid w:val="0023683C"/>
    <w:rsid w:val="002405B9"/>
    <w:rsid w:val="00240BD1"/>
    <w:rsid w:val="00241CBE"/>
    <w:rsid w:val="00246701"/>
    <w:rsid w:val="00247779"/>
    <w:rsid w:val="002513A2"/>
    <w:rsid w:val="0025259C"/>
    <w:rsid w:val="00256F4E"/>
    <w:rsid w:val="0025771B"/>
    <w:rsid w:val="00260DCC"/>
    <w:rsid w:val="002652F7"/>
    <w:rsid w:val="0026666B"/>
    <w:rsid w:val="00266B96"/>
    <w:rsid w:val="00266E4D"/>
    <w:rsid w:val="00270DAF"/>
    <w:rsid w:val="002734AE"/>
    <w:rsid w:val="00276217"/>
    <w:rsid w:val="00277D1C"/>
    <w:rsid w:val="0028077B"/>
    <w:rsid w:val="002807CD"/>
    <w:rsid w:val="002811B5"/>
    <w:rsid w:val="002820AE"/>
    <w:rsid w:val="00284A8B"/>
    <w:rsid w:val="00285BEE"/>
    <w:rsid w:val="0028662B"/>
    <w:rsid w:val="00287BF9"/>
    <w:rsid w:val="0029007C"/>
    <w:rsid w:val="0029533F"/>
    <w:rsid w:val="00296F71"/>
    <w:rsid w:val="002A18A1"/>
    <w:rsid w:val="002A3068"/>
    <w:rsid w:val="002A790A"/>
    <w:rsid w:val="002B02A4"/>
    <w:rsid w:val="002B2C0F"/>
    <w:rsid w:val="002B305C"/>
    <w:rsid w:val="002B30AF"/>
    <w:rsid w:val="002B331E"/>
    <w:rsid w:val="002B5C25"/>
    <w:rsid w:val="002D0D1E"/>
    <w:rsid w:val="002D5F9A"/>
    <w:rsid w:val="002E0A47"/>
    <w:rsid w:val="002E1DA8"/>
    <w:rsid w:val="002E3DFA"/>
    <w:rsid w:val="002E5798"/>
    <w:rsid w:val="002E5FAC"/>
    <w:rsid w:val="002E62B4"/>
    <w:rsid w:val="002E655B"/>
    <w:rsid w:val="002F1A2E"/>
    <w:rsid w:val="002F52D4"/>
    <w:rsid w:val="003027FC"/>
    <w:rsid w:val="00305954"/>
    <w:rsid w:val="00307C0D"/>
    <w:rsid w:val="003229E0"/>
    <w:rsid w:val="00322E9E"/>
    <w:rsid w:val="0033344A"/>
    <w:rsid w:val="00337B16"/>
    <w:rsid w:val="00340386"/>
    <w:rsid w:val="00341B59"/>
    <w:rsid w:val="00343B00"/>
    <w:rsid w:val="00343D7A"/>
    <w:rsid w:val="00344307"/>
    <w:rsid w:val="00347B10"/>
    <w:rsid w:val="00352228"/>
    <w:rsid w:val="00356B01"/>
    <w:rsid w:val="003672C2"/>
    <w:rsid w:val="00370036"/>
    <w:rsid w:val="003717FD"/>
    <w:rsid w:val="00374338"/>
    <w:rsid w:val="003779A4"/>
    <w:rsid w:val="00384BB3"/>
    <w:rsid w:val="0039047A"/>
    <w:rsid w:val="00390B86"/>
    <w:rsid w:val="00391125"/>
    <w:rsid w:val="003A54F5"/>
    <w:rsid w:val="003A635A"/>
    <w:rsid w:val="003B097E"/>
    <w:rsid w:val="003B100B"/>
    <w:rsid w:val="003B147C"/>
    <w:rsid w:val="003B3400"/>
    <w:rsid w:val="003B36A2"/>
    <w:rsid w:val="003C2496"/>
    <w:rsid w:val="003C7748"/>
    <w:rsid w:val="003D2445"/>
    <w:rsid w:val="003D28DE"/>
    <w:rsid w:val="003E15FC"/>
    <w:rsid w:val="003E1BD2"/>
    <w:rsid w:val="003E4AD8"/>
    <w:rsid w:val="003E4D3C"/>
    <w:rsid w:val="003E4F2F"/>
    <w:rsid w:val="003F0A1B"/>
    <w:rsid w:val="003F3DA7"/>
    <w:rsid w:val="003F4843"/>
    <w:rsid w:val="0040353E"/>
    <w:rsid w:val="0040638D"/>
    <w:rsid w:val="004151D8"/>
    <w:rsid w:val="004153CE"/>
    <w:rsid w:val="00415A58"/>
    <w:rsid w:val="0041737A"/>
    <w:rsid w:val="00423B10"/>
    <w:rsid w:val="00424F00"/>
    <w:rsid w:val="0042648E"/>
    <w:rsid w:val="00427818"/>
    <w:rsid w:val="00432308"/>
    <w:rsid w:val="00434393"/>
    <w:rsid w:val="00435B39"/>
    <w:rsid w:val="00441297"/>
    <w:rsid w:val="0044159E"/>
    <w:rsid w:val="00445073"/>
    <w:rsid w:val="004451D6"/>
    <w:rsid w:val="00451302"/>
    <w:rsid w:val="00451358"/>
    <w:rsid w:val="00455536"/>
    <w:rsid w:val="00457841"/>
    <w:rsid w:val="004605F2"/>
    <w:rsid w:val="00463955"/>
    <w:rsid w:val="00464EEF"/>
    <w:rsid w:val="004659A1"/>
    <w:rsid w:val="004704C0"/>
    <w:rsid w:val="004725C1"/>
    <w:rsid w:val="0047293A"/>
    <w:rsid w:val="00472B31"/>
    <w:rsid w:val="004747D4"/>
    <w:rsid w:val="00477130"/>
    <w:rsid w:val="004808BE"/>
    <w:rsid w:val="00481D6F"/>
    <w:rsid w:val="00484BBC"/>
    <w:rsid w:val="004870DB"/>
    <w:rsid w:val="004919EB"/>
    <w:rsid w:val="004936D2"/>
    <w:rsid w:val="0049606A"/>
    <w:rsid w:val="004A3D4E"/>
    <w:rsid w:val="004A5200"/>
    <w:rsid w:val="004B0500"/>
    <w:rsid w:val="004B0822"/>
    <w:rsid w:val="004B0D1C"/>
    <w:rsid w:val="004B1106"/>
    <w:rsid w:val="004B15DF"/>
    <w:rsid w:val="004B1A86"/>
    <w:rsid w:val="004B26D4"/>
    <w:rsid w:val="004B3A2F"/>
    <w:rsid w:val="004B6CDD"/>
    <w:rsid w:val="004B748C"/>
    <w:rsid w:val="004C2F58"/>
    <w:rsid w:val="004C6EA7"/>
    <w:rsid w:val="004C74BE"/>
    <w:rsid w:val="004D398F"/>
    <w:rsid w:val="004D76F5"/>
    <w:rsid w:val="004E2080"/>
    <w:rsid w:val="004E47EE"/>
    <w:rsid w:val="004E5110"/>
    <w:rsid w:val="004E5FED"/>
    <w:rsid w:val="004F13B9"/>
    <w:rsid w:val="004F5F74"/>
    <w:rsid w:val="00511FE1"/>
    <w:rsid w:val="00521BE4"/>
    <w:rsid w:val="00522805"/>
    <w:rsid w:val="00524300"/>
    <w:rsid w:val="005251C3"/>
    <w:rsid w:val="00525B7D"/>
    <w:rsid w:val="005263A2"/>
    <w:rsid w:val="00533B4B"/>
    <w:rsid w:val="005354A4"/>
    <w:rsid w:val="0055273D"/>
    <w:rsid w:val="00552A84"/>
    <w:rsid w:val="00556C88"/>
    <w:rsid w:val="005603C3"/>
    <w:rsid w:val="00562B94"/>
    <w:rsid w:val="0056496B"/>
    <w:rsid w:val="0057260A"/>
    <w:rsid w:val="005755FF"/>
    <w:rsid w:val="005827D8"/>
    <w:rsid w:val="005844E7"/>
    <w:rsid w:val="00587618"/>
    <w:rsid w:val="00591BB7"/>
    <w:rsid w:val="00597BC7"/>
    <w:rsid w:val="00597C71"/>
    <w:rsid w:val="005A07FC"/>
    <w:rsid w:val="005A1EDA"/>
    <w:rsid w:val="005A2386"/>
    <w:rsid w:val="005A3CA4"/>
    <w:rsid w:val="005A4F29"/>
    <w:rsid w:val="005B1EB6"/>
    <w:rsid w:val="005B43A0"/>
    <w:rsid w:val="005C03ED"/>
    <w:rsid w:val="005C189F"/>
    <w:rsid w:val="005C216C"/>
    <w:rsid w:val="005C28D5"/>
    <w:rsid w:val="005C7AA7"/>
    <w:rsid w:val="005D2898"/>
    <w:rsid w:val="005D3F82"/>
    <w:rsid w:val="005D62F9"/>
    <w:rsid w:val="005E3177"/>
    <w:rsid w:val="005F720B"/>
    <w:rsid w:val="00600D55"/>
    <w:rsid w:val="0060153A"/>
    <w:rsid w:val="00601A19"/>
    <w:rsid w:val="006032D0"/>
    <w:rsid w:val="0060428E"/>
    <w:rsid w:val="00604D89"/>
    <w:rsid w:val="0060702F"/>
    <w:rsid w:val="00607F3F"/>
    <w:rsid w:val="00607FA1"/>
    <w:rsid w:val="00611B9B"/>
    <w:rsid w:val="006126AD"/>
    <w:rsid w:val="00612902"/>
    <w:rsid w:val="006139AD"/>
    <w:rsid w:val="00615C33"/>
    <w:rsid w:val="00617F25"/>
    <w:rsid w:val="006234E7"/>
    <w:rsid w:val="00624346"/>
    <w:rsid w:val="00625222"/>
    <w:rsid w:val="0062707B"/>
    <w:rsid w:val="00627906"/>
    <w:rsid w:val="00641E34"/>
    <w:rsid w:val="00645526"/>
    <w:rsid w:val="006462A3"/>
    <w:rsid w:val="00646994"/>
    <w:rsid w:val="00647F05"/>
    <w:rsid w:val="00651F9B"/>
    <w:rsid w:val="00653525"/>
    <w:rsid w:val="00653F92"/>
    <w:rsid w:val="006567C4"/>
    <w:rsid w:val="00666B34"/>
    <w:rsid w:val="00670133"/>
    <w:rsid w:val="00671803"/>
    <w:rsid w:val="00671FD6"/>
    <w:rsid w:val="0067402C"/>
    <w:rsid w:val="006746AE"/>
    <w:rsid w:val="00674AC6"/>
    <w:rsid w:val="00675EFF"/>
    <w:rsid w:val="0067671D"/>
    <w:rsid w:val="0068008C"/>
    <w:rsid w:val="00681037"/>
    <w:rsid w:val="00682101"/>
    <w:rsid w:val="0069278E"/>
    <w:rsid w:val="00692B2A"/>
    <w:rsid w:val="0069662C"/>
    <w:rsid w:val="00696632"/>
    <w:rsid w:val="00696876"/>
    <w:rsid w:val="00697127"/>
    <w:rsid w:val="006A62ED"/>
    <w:rsid w:val="006B1D4A"/>
    <w:rsid w:val="006B34D1"/>
    <w:rsid w:val="006B4A8C"/>
    <w:rsid w:val="006C13D7"/>
    <w:rsid w:val="006C3C8F"/>
    <w:rsid w:val="006C6194"/>
    <w:rsid w:val="006D1821"/>
    <w:rsid w:val="006D6F7E"/>
    <w:rsid w:val="006E4D5D"/>
    <w:rsid w:val="006E5556"/>
    <w:rsid w:val="006F2B4C"/>
    <w:rsid w:val="006F350A"/>
    <w:rsid w:val="006F6664"/>
    <w:rsid w:val="00701334"/>
    <w:rsid w:val="007026F4"/>
    <w:rsid w:val="0070538B"/>
    <w:rsid w:val="00711D04"/>
    <w:rsid w:val="00714913"/>
    <w:rsid w:val="00730213"/>
    <w:rsid w:val="007347F8"/>
    <w:rsid w:val="00735B90"/>
    <w:rsid w:val="00737CED"/>
    <w:rsid w:val="00740C8C"/>
    <w:rsid w:val="0074105B"/>
    <w:rsid w:val="007463AC"/>
    <w:rsid w:val="00746630"/>
    <w:rsid w:val="007470F1"/>
    <w:rsid w:val="00760363"/>
    <w:rsid w:val="007624E2"/>
    <w:rsid w:val="00764823"/>
    <w:rsid w:val="0077036B"/>
    <w:rsid w:val="00770A43"/>
    <w:rsid w:val="007711FF"/>
    <w:rsid w:val="00773331"/>
    <w:rsid w:val="00781583"/>
    <w:rsid w:val="00784DDB"/>
    <w:rsid w:val="0078512A"/>
    <w:rsid w:val="00786880"/>
    <w:rsid w:val="00790387"/>
    <w:rsid w:val="0079127A"/>
    <w:rsid w:val="00792187"/>
    <w:rsid w:val="00792758"/>
    <w:rsid w:val="007932EF"/>
    <w:rsid w:val="007A21C6"/>
    <w:rsid w:val="007A7BFE"/>
    <w:rsid w:val="007D4192"/>
    <w:rsid w:val="007D5859"/>
    <w:rsid w:val="007E05B0"/>
    <w:rsid w:val="007E0DA5"/>
    <w:rsid w:val="007E1F61"/>
    <w:rsid w:val="007E3EEC"/>
    <w:rsid w:val="007E471F"/>
    <w:rsid w:val="007E7069"/>
    <w:rsid w:val="007F16CC"/>
    <w:rsid w:val="007F18B2"/>
    <w:rsid w:val="007F1BB2"/>
    <w:rsid w:val="008042BF"/>
    <w:rsid w:val="00813358"/>
    <w:rsid w:val="00813718"/>
    <w:rsid w:val="00816CA0"/>
    <w:rsid w:val="0082048C"/>
    <w:rsid w:val="00822195"/>
    <w:rsid w:val="00827782"/>
    <w:rsid w:val="00832C51"/>
    <w:rsid w:val="00832EAA"/>
    <w:rsid w:val="008334BB"/>
    <w:rsid w:val="00836710"/>
    <w:rsid w:val="00843145"/>
    <w:rsid w:val="0084759F"/>
    <w:rsid w:val="00851595"/>
    <w:rsid w:val="00855AE6"/>
    <w:rsid w:val="008562A2"/>
    <w:rsid w:val="00856F16"/>
    <w:rsid w:val="00862D47"/>
    <w:rsid w:val="00863803"/>
    <w:rsid w:val="00872A1D"/>
    <w:rsid w:val="00873184"/>
    <w:rsid w:val="0087335E"/>
    <w:rsid w:val="00873C0D"/>
    <w:rsid w:val="00874274"/>
    <w:rsid w:val="00874D22"/>
    <w:rsid w:val="008755B3"/>
    <w:rsid w:val="00883CE4"/>
    <w:rsid w:val="008A0F0A"/>
    <w:rsid w:val="008A10A4"/>
    <w:rsid w:val="008A11C8"/>
    <w:rsid w:val="008A2914"/>
    <w:rsid w:val="008A2C7D"/>
    <w:rsid w:val="008A4251"/>
    <w:rsid w:val="008A4B48"/>
    <w:rsid w:val="008A758C"/>
    <w:rsid w:val="008B029C"/>
    <w:rsid w:val="008B1597"/>
    <w:rsid w:val="008B3ADF"/>
    <w:rsid w:val="008B7368"/>
    <w:rsid w:val="008B7958"/>
    <w:rsid w:val="008C308F"/>
    <w:rsid w:val="008C3D11"/>
    <w:rsid w:val="008C43E9"/>
    <w:rsid w:val="008C4FC7"/>
    <w:rsid w:val="008C575E"/>
    <w:rsid w:val="008D1F14"/>
    <w:rsid w:val="008D7AF2"/>
    <w:rsid w:val="008E4D8E"/>
    <w:rsid w:val="008E4E3F"/>
    <w:rsid w:val="008E569F"/>
    <w:rsid w:val="008E62F2"/>
    <w:rsid w:val="008F40DB"/>
    <w:rsid w:val="00914B75"/>
    <w:rsid w:val="00920E11"/>
    <w:rsid w:val="00922FBE"/>
    <w:rsid w:val="00930EC7"/>
    <w:rsid w:val="0093175B"/>
    <w:rsid w:val="009318E9"/>
    <w:rsid w:val="00933479"/>
    <w:rsid w:val="00937BC1"/>
    <w:rsid w:val="00937F73"/>
    <w:rsid w:val="00942D4F"/>
    <w:rsid w:val="0094458A"/>
    <w:rsid w:val="00944685"/>
    <w:rsid w:val="00946FFF"/>
    <w:rsid w:val="00952B46"/>
    <w:rsid w:val="00952E74"/>
    <w:rsid w:val="00953674"/>
    <w:rsid w:val="009609DE"/>
    <w:rsid w:val="00963794"/>
    <w:rsid w:val="00964B58"/>
    <w:rsid w:val="0096564D"/>
    <w:rsid w:val="00965CCC"/>
    <w:rsid w:val="00970B80"/>
    <w:rsid w:val="00970DF7"/>
    <w:rsid w:val="009724F4"/>
    <w:rsid w:val="00977A1B"/>
    <w:rsid w:val="00977AC2"/>
    <w:rsid w:val="0098425B"/>
    <w:rsid w:val="009915E8"/>
    <w:rsid w:val="00994AB8"/>
    <w:rsid w:val="009A0CE5"/>
    <w:rsid w:val="009A1BA9"/>
    <w:rsid w:val="009B6FD6"/>
    <w:rsid w:val="009C0C96"/>
    <w:rsid w:val="009C47FB"/>
    <w:rsid w:val="009C5C5D"/>
    <w:rsid w:val="009C6276"/>
    <w:rsid w:val="009D3C22"/>
    <w:rsid w:val="009D6AEB"/>
    <w:rsid w:val="009E13C1"/>
    <w:rsid w:val="009E41CE"/>
    <w:rsid w:val="009E5120"/>
    <w:rsid w:val="009E66CD"/>
    <w:rsid w:val="009F208D"/>
    <w:rsid w:val="009F31E7"/>
    <w:rsid w:val="009F3532"/>
    <w:rsid w:val="009F454E"/>
    <w:rsid w:val="009F74F8"/>
    <w:rsid w:val="009F7D89"/>
    <w:rsid w:val="00A06800"/>
    <w:rsid w:val="00A06C0E"/>
    <w:rsid w:val="00A1215D"/>
    <w:rsid w:val="00A14404"/>
    <w:rsid w:val="00A16CEF"/>
    <w:rsid w:val="00A1764D"/>
    <w:rsid w:val="00A253AA"/>
    <w:rsid w:val="00A264C0"/>
    <w:rsid w:val="00A314D3"/>
    <w:rsid w:val="00A350B2"/>
    <w:rsid w:val="00A3722E"/>
    <w:rsid w:val="00A407A0"/>
    <w:rsid w:val="00A40C38"/>
    <w:rsid w:val="00A40EFA"/>
    <w:rsid w:val="00A442B9"/>
    <w:rsid w:val="00A5468A"/>
    <w:rsid w:val="00A6174E"/>
    <w:rsid w:val="00A6637D"/>
    <w:rsid w:val="00A67AC3"/>
    <w:rsid w:val="00A70006"/>
    <w:rsid w:val="00A77248"/>
    <w:rsid w:val="00A77296"/>
    <w:rsid w:val="00A77A48"/>
    <w:rsid w:val="00A810D5"/>
    <w:rsid w:val="00A82F15"/>
    <w:rsid w:val="00A84518"/>
    <w:rsid w:val="00A85271"/>
    <w:rsid w:val="00A86203"/>
    <w:rsid w:val="00A875BD"/>
    <w:rsid w:val="00A901B2"/>
    <w:rsid w:val="00A91711"/>
    <w:rsid w:val="00A93E95"/>
    <w:rsid w:val="00A96380"/>
    <w:rsid w:val="00A970CD"/>
    <w:rsid w:val="00A97456"/>
    <w:rsid w:val="00A97EDD"/>
    <w:rsid w:val="00AA2092"/>
    <w:rsid w:val="00AA2478"/>
    <w:rsid w:val="00AA3A89"/>
    <w:rsid w:val="00AA6C4D"/>
    <w:rsid w:val="00AB5A26"/>
    <w:rsid w:val="00AB5BAF"/>
    <w:rsid w:val="00AB7195"/>
    <w:rsid w:val="00AB772C"/>
    <w:rsid w:val="00AC0B8E"/>
    <w:rsid w:val="00AC4C42"/>
    <w:rsid w:val="00AD1930"/>
    <w:rsid w:val="00AD5AA8"/>
    <w:rsid w:val="00AD72B0"/>
    <w:rsid w:val="00AE15AE"/>
    <w:rsid w:val="00AE44D4"/>
    <w:rsid w:val="00AE60BF"/>
    <w:rsid w:val="00AF3347"/>
    <w:rsid w:val="00AF489D"/>
    <w:rsid w:val="00AF617A"/>
    <w:rsid w:val="00B006D5"/>
    <w:rsid w:val="00B01154"/>
    <w:rsid w:val="00B12A22"/>
    <w:rsid w:val="00B162BD"/>
    <w:rsid w:val="00B163DC"/>
    <w:rsid w:val="00B27A56"/>
    <w:rsid w:val="00B27DC5"/>
    <w:rsid w:val="00B31A86"/>
    <w:rsid w:val="00B31EAC"/>
    <w:rsid w:val="00B32DE3"/>
    <w:rsid w:val="00B3322D"/>
    <w:rsid w:val="00B339B1"/>
    <w:rsid w:val="00B433E7"/>
    <w:rsid w:val="00B43C28"/>
    <w:rsid w:val="00B47D65"/>
    <w:rsid w:val="00B504C8"/>
    <w:rsid w:val="00B51875"/>
    <w:rsid w:val="00B71EB6"/>
    <w:rsid w:val="00B8411A"/>
    <w:rsid w:val="00B9022C"/>
    <w:rsid w:val="00B90AE3"/>
    <w:rsid w:val="00B9226B"/>
    <w:rsid w:val="00B927F2"/>
    <w:rsid w:val="00B92B7C"/>
    <w:rsid w:val="00BA4E9B"/>
    <w:rsid w:val="00BA7DD7"/>
    <w:rsid w:val="00BB070E"/>
    <w:rsid w:val="00BC1135"/>
    <w:rsid w:val="00BC17EB"/>
    <w:rsid w:val="00BC1B2A"/>
    <w:rsid w:val="00BD0FF8"/>
    <w:rsid w:val="00BD1016"/>
    <w:rsid w:val="00BD416C"/>
    <w:rsid w:val="00BD61A1"/>
    <w:rsid w:val="00BD642C"/>
    <w:rsid w:val="00BE23D6"/>
    <w:rsid w:val="00BF1CDA"/>
    <w:rsid w:val="00BF3B72"/>
    <w:rsid w:val="00BF44F9"/>
    <w:rsid w:val="00C05848"/>
    <w:rsid w:val="00C07B30"/>
    <w:rsid w:val="00C1000C"/>
    <w:rsid w:val="00C12301"/>
    <w:rsid w:val="00C1401B"/>
    <w:rsid w:val="00C15395"/>
    <w:rsid w:val="00C16A85"/>
    <w:rsid w:val="00C24C00"/>
    <w:rsid w:val="00C25207"/>
    <w:rsid w:val="00C2703B"/>
    <w:rsid w:val="00C27534"/>
    <w:rsid w:val="00C30BE6"/>
    <w:rsid w:val="00C3529D"/>
    <w:rsid w:val="00C411E6"/>
    <w:rsid w:val="00C42293"/>
    <w:rsid w:val="00C44B46"/>
    <w:rsid w:val="00C44CE7"/>
    <w:rsid w:val="00C50426"/>
    <w:rsid w:val="00C610B7"/>
    <w:rsid w:val="00C628AC"/>
    <w:rsid w:val="00C65599"/>
    <w:rsid w:val="00C656B1"/>
    <w:rsid w:val="00C666B4"/>
    <w:rsid w:val="00C72000"/>
    <w:rsid w:val="00C72D19"/>
    <w:rsid w:val="00C73D03"/>
    <w:rsid w:val="00C809F8"/>
    <w:rsid w:val="00C84451"/>
    <w:rsid w:val="00C866AF"/>
    <w:rsid w:val="00C94BDD"/>
    <w:rsid w:val="00C952FF"/>
    <w:rsid w:val="00C969BE"/>
    <w:rsid w:val="00C97615"/>
    <w:rsid w:val="00CA6F7C"/>
    <w:rsid w:val="00CB14EC"/>
    <w:rsid w:val="00CB4D59"/>
    <w:rsid w:val="00CB7297"/>
    <w:rsid w:val="00CC2700"/>
    <w:rsid w:val="00CC28A9"/>
    <w:rsid w:val="00CD1D3B"/>
    <w:rsid w:val="00CD47CA"/>
    <w:rsid w:val="00CD4897"/>
    <w:rsid w:val="00CD78CC"/>
    <w:rsid w:val="00CE09D0"/>
    <w:rsid w:val="00CE0F55"/>
    <w:rsid w:val="00CF3938"/>
    <w:rsid w:val="00D022A6"/>
    <w:rsid w:val="00D0279C"/>
    <w:rsid w:val="00D038F1"/>
    <w:rsid w:val="00D03A03"/>
    <w:rsid w:val="00D06D62"/>
    <w:rsid w:val="00D11BC5"/>
    <w:rsid w:val="00D142B2"/>
    <w:rsid w:val="00D20381"/>
    <w:rsid w:val="00D21454"/>
    <w:rsid w:val="00D21990"/>
    <w:rsid w:val="00D22296"/>
    <w:rsid w:val="00D22D28"/>
    <w:rsid w:val="00D269F8"/>
    <w:rsid w:val="00D31DD6"/>
    <w:rsid w:val="00D32EB0"/>
    <w:rsid w:val="00D3304A"/>
    <w:rsid w:val="00D334D9"/>
    <w:rsid w:val="00D3490C"/>
    <w:rsid w:val="00D34F91"/>
    <w:rsid w:val="00D35845"/>
    <w:rsid w:val="00D35AFA"/>
    <w:rsid w:val="00D36942"/>
    <w:rsid w:val="00D36B46"/>
    <w:rsid w:val="00D37C3D"/>
    <w:rsid w:val="00D42154"/>
    <w:rsid w:val="00D47604"/>
    <w:rsid w:val="00D5026B"/>
    <w:rsid w:val="00D50623"/>
    <w:rsid w:val="00D51498"/>
    <w:rsid w:val="00D529A8"/>
    <w:rsid w:val="00D562A9"/>
    <w:rsid w:val="00D57706"/>
    <w:rsid w:val="00D61AA2"/>
    <w:rsid w:val="00D66ECF"/>
    <w:rsid w:val="00D6752D"/>
    <w:rsid w:val="00D721E5"/>
    <w:rsid w:val="00D725E8"/>
    <w:rsid w:val="00D739BC"/>
    <w:rsid w:val="00D74C0F"/>
    <w:rsid w:val="00D8044C"/>
    <w:rsid w:val="00D8369A"/>
    <w:rsid w:val="00D85A6C"/>
    <w:rsid w:val="00D85FC9"/>
    <w:rsid w:val="00D86BF6"/>
    <w:rsid w:val="00D86E03"/>
    <w:rsid w:val="00D9015C"/>
    <w:rsid w:val="00DA0496"/>
    <w:rsid w:val="00DA1939"/>
    <w:rsid w:val="00DA23C6"/>
    <w:rsid w:val="00DA3901"/>
    <w:rsid w:val="00DA7644"/>
    <w:rsid w:val="00DB0E2C"/>
    <w:rsid w:val="00DB5E02"/>
    <w:rsid w:val="00DB6A80"/>
    <w:rsid w:val="00DC0505"/>
    <w:rsid w:val="00DC11C3"/>
    <w:rsid w:val="00DC5385"/>
    <w:rsid w:val="00DD4E85"/>
    <w:rsid w:val="00DD5A72"/>
    <w:rsid w:val="00DD720E"/>
    <w:rsid w:val="00DD7D8D"/>
    <w:rsid w:val="00DE4886"/>
    <w:rsid w:val="00DE50DF"/>
    <w:rsid w:val="00DE74C7"/>
    <w:rsid w:val="00DE7505"/>
    <w:rsid w:val="00DF3E06"/>
    <w:rsid w:val="00DF6EE3"/>
    <w:rsid w:val="00E004A3"/>
    <w:rsid w:val="00E026BA"/>
    <w:rsid w:val="00E03013"/>
    <w:rsid w:val="00E07520"/>
    <w:rsid w:val="00E17814"/>
    <w:rsid w:val="00E20BBE"/>
    <w:rsid w:val="00E226FC"/>
    <w:rsid w:val="00E237EE"/>
    <w:rsid w:val="00E24763"/>
    <w:rsid w:val="00E25060"/>
    <w:rsid w:val="00E267FD"/>
    <w:rsid w:val="00E26990"/>
    <w:rsid w:val="00E2777D"/>
    <w:rsid w:val="00E31111"/>
    <w:rsid w:val="00E321B4"/>
    <w:rsid w:val="00E35ABD"/>
    <w:rsid w:val="00E36B3F"/>
    <w:rsid w:val="00E40EA6"/>
    <w:rsid w:val="00E447C9"/>
    <w:rsid w:val="00E459F6"/>
    <w:rsid w:val="00E45EE4"/>
    <w:rsid w:val="00E5122C"/>
    <w:rsid w:val="00E520A5"/>
    <w:rsid w:val="00E5446E"/>
    <w:rsid w:val="00E555A5"/>
    <w:rsid w:val="00E55E44"/>
    <w:rsid w:val="00E56615"/>
    <w:rsid w:val="00E6137E"/>
    <w:rsid w:val="00E61D74"/>
    <w:rsid w:val="00E7520A"/>
    <w:rsid w:val="00E77F4E"/>
    <w:rsid w:val="00E80642"/>
    <w:rsid w:val="00E812C5"/>
    <w:rsid w:val="00E82812"/>
    <w:rsid w:val="00E828CE"/>
    <w:rsid w:val="00E865FC"/>
    <w:rsid w:val="00E923EB"/>
    <w:rsid w:val="00E92DA4"/>
    <w:rsid w:val="00E92EAE"/>
    <w:rsid w:val="00E9547C"/>
    <w:rsid w:val="00E95DC4"/>
    <w:rsid w:val="00E978BD"/>
    <w:rsid w:val="00E97950"/>
    <w:rsid w:val="00EA0F9E"/>
    <w:rsid w:val="00EA15C0"/>
    <w:rsid w:val="00EA2E93"/>
    <w:rsid w:val="00EA5311"/>
    <w:rsid w:val="00EA6068"/>
    <w:rsid w:val="00EB0AFB"/>
    <w:rsid w:val="00EB1EDE"/>
    <w:rsid w:val="00EB3516"/>
    <w:rsid w:val="00EB38AC"/>
    <w:rsid w:val="00EB458B"/>
    <w:rsid w:val="00EB5B97"/>
    <w:rsid w:val="00EB7A27"/>
    <w:rsid w:val="00EC01F1"/>
    <w:rsid w:val="00EC55F4"/>
    <w:rsid w:val="00ED03D9"/>
    <w:rsid w:val="00ED2520"/>
    <w:rsid w:val="00ED2CEF"/>
    <w:rsid w:val="00ED5549"/>
    <w:rsid w:val="00ED7F71"/>
    <w:rsid w:val="00EE0DEE"/>
    <w:rsid w:val="00EE11ED"/>
    <w:rsid w:val="00EE5C2A"/>
    <w:rsid w:val="00EE5D09"/>
    <w:rsid w:val="00EE6719"/>
    <w:rsid w:val="00EE683D"/>
    <w:rsid w:val="00EF004B"/>
    <w:rsid w:val="00EF1417"/>
    <w:rsid w:val="00EF25E0"/>
    <w:rsid w:val="00EF393A"/>
    <w:rsid w:val="00EF6836"/>
    <w:rsid w:val="00EF78F9"/>
    <w:rsid w:val="00F012EB"/>
    <w:rsid w:val="00F031E3"/>
    <w:rsid w:val="00F038B9"/>
    <w:rsid w:val="00F04396"/>
    <w:rsid w:val="00F06906"/>
    <w:rsid w:val="00F106D4"/>
    <w:rsid w:val="00F132C1"/>
    <w:rsid w:val="00F145FE"/>
    <w:rsid w:val="00F1645C"/>
    <w:rsid w:val="00F16F68"/>
    <w:rsid w:val="00F22A9D"/>
    <w:rsid w:val="00F24310"/>
    <w:rsid w:val="00F278A5"/>
    <w:rsid w:val="00F32661"/>
    <w:rsid w:val="00F51C24"/>
    <w:rsid w:val="00F53A6F"/>
    <w:rsid w:val="00F53D73"/>
    <w:rsid w:val="00F54DA7"/>
    <w:rsid w:val="00F57F44"/>
    <w:rsid w:val="00F60488"/>
    <w:rsid w:val="00F63441"/>
    <w:rsid w:val="00F63E8D"/>
    <w:rsid w:val="00F65D02"/>
    <w:rsid w:val="00F70B6B"/>
    <w:rsid w:val="00F72FAA"/>
    <w:rsid w:val="00F732AD"/>
    <w:rsid w:val="00F74FE5"/>
    <w:rsid w:val="00F773B8"/>
    <w:rsid w:val="00F77A34"/>
    <w:rsid w:val="00F80920"/>
    <w:rsid w:val="00F816A5"/>
    <w:rsid w:val="00F82421"/>
    <w:rsid w:val="00F82B06"/>
    <w:rsid w:val="00F911B9"/>
    <w:rsid w:val="00F91F47"/>
    <w:rsid w:val="00F92570"/>
    <w:rsid w:val="00FA4317"/>
    <w:rsid w:val="00FA53A1"/>
    <w:rsid w:val="00FA5F3C"/>
    <w:rsid w:val="00FA7D95"/>
    <w:rsid w:val="00FB2974"/>
    <w:rsid w:val="00FC109D"/>
    <w:rsid w:val="00FC27F2"/>
    <w:rsid w:val="00FC38F8"/>
    <w:rsid w:val="00FC6019"/>
    <w:rsid w:val="00FC7325"/>
    <w:rsid w:val="00FD0C4F"/>
    <w:rsid w:val="00FD1D34"/>
    <w:rsid w:val="00FD4D7E"/>
    <w:rsid w:val="00FE3A42"/>
    <w:rsid w:val="00FF78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278A5"/>
    <w:pPr>
      <w:numPr>
        <w:numId w:val="2"/>
      </w:numPr>
    </w:pPr>
    <w:rPr>
      <w:rFonts w:eastAsia="Times New Roman"/>
      <w:lang w:eastAsia="de-DE"/>
    </w:rPr>
  </w:style>
  <w:style w:type="paragraph" w:styleId="ListNumber">
    <w:name w:val="List Number"/>
    <w:basedOn w:val="Normal"/>
    <w:rsid w:val="00F278A5"/>
    <w:pPr>
      <w:numPr>
        <w:numId w:val="6"/>
      </w:numPr>
    </w:pPr>
    <w:rPr>
      <w:rFonts w:eastAsia="Times New Roman"/>
      <w:lang w:eastAsia="de-DE"/>
    </w:rPr>
  </w:style>
  <w:style w:type="paragraph" w:customStyle="1" w:styleId="ListBullet1">
    <w:name w:val="List Bullet 1"/>
    <w:basedOn w:val="Normal"/>
    <w:rsid w:val="00F278A5"/>
    <w:pPr>
      <w:numPr>
        <w:numId w:val="1"/>
      </w:numPr>
    </w:pPr>
    <w:rPr>
      <w:rFonts w:eastAsia="Times New Roman"/>
      <w:lang w:eastAsia="de-DE"/>
    </w:rPr>
  </w:style>
  <w:style w:type="paragraph" w:customStyle="1" w:styleId="ListDash">
    <w:name w:val="List Dash"/>
    <w:basedOn w:val="Normal"/>
    <w:rsid w:val="00F278A5"/>
    <w:pPr>
      <w:numPr>
        <w:numId w:val="3"/>
      </w:numPr>
    </w:pPr>
    <w:rPr>
      <w:rFonts w:eastAsia="Times New Roman"/>
      <w:lang w:eastAsia="de-DE"/>
    </w:rPr>
  </w:style>
  <w:style w:type="paragraph" w:customStyle="1" w:styleId="ListDash1">
    <w:name w:val="List Dash 1"/>
    <w:basedOn w:val="Normal"/>
    <w:rsid w:val="00F278A5"/>
    <w:pPr>
      <w:numPr>
        <w:numId w:val="4"/>
      </w:numPr>
    </w:pPr>
    <w:rPr>
      <w:rFonts w:eastAsia="Times New Roman"/>
      <w:lang w:eastAsia="de-DE"/>
    </w:rPr>
  </w:style>
  <w:style w:type="paragraph" w:customStyle="1" w:styleId="ListDash2">
    <w:name w:val="List Dash 2"/>
    <w:basedOn w:val="Normal"/>
    <w:rsid w:val="00F278A5"/>
    <w:pPr>
      <w:numPr>
        <w:numId w:val="5"/>
      </w:numPr>
    </w:pPr>
    <w:rPr>
      <w:rFonts w:eastAsia="Times New Roman"/>
      <w:lang w:eastAsia="de-DE"/>
    </w:rPr>
  </w:style>
  <w:style w:type="paragraph" w:customStyle="1" w:styleId="ListNumberLevel2">
    <w:name w:val="List Number (Level 2)"/>
    <w:basedOn w:val="Normal"/>
    <w:rsid w:val="00F278A5"/>
    <w:pPr>
      <w:numPr>
        <w:ilvl w:val="1"/>
        <w:numId w:val="6"/>
      </w:numPr>
    </w:pPr>
    <w:rPr>
      <w:rFonts w:eastAsia="Times New Roman"/>
      <w:lang w:eastAsia="de-DE"/>
    </w:rPr>
  </w:style>
  <w:style w:type="paragraph" w:customStyle="1" w:styleId="ListNumberLevel3">
    <w:name w:val="List Number (Level 3)"/>
    <w:basedOn w:val="Normal"/>
    <w:rsid w:val="00F278A5"/>
    <w:pPr>
      <w:numPr>
        <w:ilvl w:val="2"/>
        <w:numId w:val="6"/>
      </w:numPr>
    </w:pPr>
    <w:rPr>
      <w:rFonts w:eastAsia="Times New Roman"/>
      <w:lang w:eastAsia="de-DE"/>
    </w:rPr>
  </w:style>
  <w:style w:type="paragraph" w:customStyle="1" w:styleId="ListNumberLevel4">
    <w:name w:val="List Number (Level 4)"/>
    <w:basedOn w:val="Normal"/>
    <w:rsid w:val="00F278A5"/>
    <w:pPr>
      <w:numPr>
        <w:ilvl w:val="3"/>
        <w:numId w:val="6"/>
      </w:numPr>
    </w:pPr>
    <w:rPr>
      <w:rFonts w:eastAsia="Times New Roman"/>
      <w:lang w:eastAsia="de-DE"/>
    </w:rPr>
  </w:style>
  <w:style w:type="table" w:styleId="TableGrid">
    <w:name w:val="Table Grid"/>
    <w:basedOn w:val="TableNormal"/>
    <w:uiPriority w:val="39"/>
    <w:rsid w:val="00F278A5"/>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78A5"/>
    <w:rPr>
      <w:color w:val="0000FF"/>
      <w:u w:val="single"/>
    </w:rPr>
  </w:style>
  <w:style w:type="paragraph" w:styleId="ListBullet">
    <w:name w:val="List Bullet"/>
    <w:basedOn w:val="Normal"/>
    <w:rsid w:val="00F278A5"/>
    <w:pPr>
      <w:numPr>
        <w:numId w:val="7"/>
      </w:numPr>
    </w:pPr>
    <w:rPr>
      <w:rFonts w:eastAsia="Times New Roman"/>
      <w:lang w:eastAsia="en-GB"/>
    </w:rPr>
  </w:style>
  <w:style w:type="paragraph" w:styleId="ListBullet2">
    <w:name w:val="List Bullet 2"/>
    <w:basedOn w:val="Normal"/>
    <w:rsid w:val="00F278A5"/>
    <w:pPr>
      <w:numPr>
        <w:numId w:val="8"/>
      </w:numPr>
    </w:pPr>
    <w:rPr>
      <w:rFonts w:eastAsia="Times New Roman"/>
      <w:lang w:eastAsia="en-GB"/>
    </w:rPr>
  </w:style>
  <w:style w:type="paragraph" w:styleId="ListBullet3">
    <w:name w:val="List Bullet 3"/>
    <w:basedOn w:val="Normal"/>
    <w:rsid w:val="00F278A5"/>
    <w:pPr>
      <w:numPr>
        <w:numId w:val="9"/>
      </w:numPr>
    </w:pPr>
    <w:rPr>
      <w:rFonts w:eastAsia="Times New Roman"/>
      <w:lang w:eastAsia="en-GB"/>
    </w:rPr>
  </w:style>
  <w:style w:type="paragraph" w:styleId="ListNumber2">
    <w:name w:val="List Number 2"/>
    <w:basedOn w:val="Normal"/>
    <w:rsid w:val="00F278A5"/>
    <w:pPr>
      <w:numPr>
        <w:numId w:val="13"/>
      </w:numPr>
    </w:pPr>
    <w:rPr>
      <w:rFonts w:eastAsia="Times New Roman"/>
      <w:lang w:eastAsia="en-GB"/>
    </w:rPr>
  </w:style>
  <w:style w:type="paragraph" w:styleId="ListNumber3">
    <w:name w:val="List Number 3"/>
    <w:basedOn w:val="Normal"/>
    <w:rsid w:val="00F278A5"/>
    <w:pPr>
      <w:numPr>
        <w:numId w:val="14"/>
      </w:numPr>
    </w:pPr>
    <w:rPr>
      <w:rFonts w:eastAsia="Times New Roman"/>
      <w:lang w:eastAsia="en-GB"/>
    </w:rPr>
  </w:style>
  <w:style w:type="paragraph" w:styleId="ListNumber4">
    <w:name w:val="List Number 4"/>
    <w:basedOn w:val="Normal"/>
    <w:rsid w:val="00F278A5"/>
    <w:pPr>
      <w:numPr>
        <w:numId w:val="15"/>
      </w:numPr>
    </w:pPr>
    <w:rPr>
      <w:rFonts w:eastAsia="Times New Roman"/>
      <w:lang w:eastAsia="en-GB"/>
    </w:rPr>
  </w:style>
  <w:style w:type="paragraph" w:customStyle="1" w:styleId="ListDash3">
    <w:name w:val="List Dash 3"/>
    <w:basedOn w:val="Normal"/>
    <w:rsid w:val="00F278A5"/>
    <w:pPr>
      <w:numPr>
        <w:numId w:val="10"/>
      </w:numPr>
    </w:pPr>
    <w:rPr>
      <w:rFonts w:eastAsia="Times New Roman"/>
      <w:lang w:eastAsia="en-GB"/>
    </w:rPr>
  </w:style>
  <w:style w:type="paragraph" w:customStyle="1" w:styleId="ListDash4">
    <w:name w:val="List Dash 4"/>
    <w:basedOn w:val="Normal"/>
    <w:rsid w:val="00F278A5"/>
    <w:pPr>
      <w:numPr>
        <w:numId w:val="11"/>
      </w:numPr>
    </w:pPr>
    <w:rPr>
      <w:rFonts w:eastAsia="Times New Roman"/>
      <w:lang w:eastAsia="en-GB"/>
    </w:rPr>
  </w:style>
  <w:style w:type="paragraph" w:customStyle="1" w:styleId="ListNumber1">
    <w:name w:val="List Number 1"/>
    <w:basedOn w:val="Text1"/>
    <w:rsid w:val="00F278A5"/>
    <w:pPr>
      <w:numPr>
        <w:numId w:val="12"/>
      </w:numPr>
    </w:pPr>
    <w:rPr>
      <w:rFonts w:eastAsia="Times New Roman"/>
      <w:lang w:eastAsia="en-GB"/>
    </w:rPr>
  </w:style>
  <w:style w:type="paragraph" w:customStyle="1" w:styleId="ListNumber1Level2">
    <w:name w:val="List Number 1 (Level 2)"/>
    <w:basedOn w:val="Text1"/>
    <w:rsid w:val="00F278A5"/>
    <w:pPr>
      <w:numPr>
        <w:ilvl w:val="1"/>
        <w:numId w:val="12"/>
      </w:numPr>
    </w:pPr>
    <w:rPr>
      <w:rFonts w:eastAsia="Times New Roman"/>
      <w:lang w:eastAsia="en-GB"/>
    </w:rPr>
  </w:style>
  <w:style w:type="paragraph" w:customStyle="1" w:styleId="ListNumber2Level2">
    <w:name w:val="List Number 2 (Level 2)"/>
    <w:basedOn w:val="Text2"/>
    <w:rsid w:val="00F278A5"/>
    <w:pPr>
      <w:numPr>
        <w:ilvl w:val="1"/>
        <w:numId w:val="13"/>
      </w:numPr>
    </w:pPr>
    <w:rPr>
      <w:rFonts w:eastAsia="Times New Roman"/>
      <w:lang w:eastAsia="en-GB"/>
    </w:rPr>
  </w:style>
  <w:style w:type="paragraph" w:customStyle="1" w:styleId="ListNumber3Level2">
    <w:name w:val="List Number 3 (Level 2)"/>
    <w:basedOn w:val="Text3"/>
    <w:rsid w:val="00F278A5"/>
    <w:pPr>
      <w:numPr>
        <w:ilvl w:val="1"/>
        <w:numId w:val="14"/>
      </w:numPr>
    </w:pPr>
    <w:rPr>
      <w:rFonts w:eastAsia="Times New Roman"/>
      <w:lang w:eastAsia="en-GB"/>
    </w:rPr>
  </w:style>
  <w:style w:type="paragraph" w:customStyle="1" w:styleId="ListNumber4Level2">
    <w:name w:val="List Number 4 (Level 2)"/>
    <w:basedOn w:val="Text4"/>
    <w:rsid w:val="00F278A5"/>
    <w:pPr>
      <w:numPr>
        <w:ilvl w:val="1"/>
        <w:numId w:val="15"/>
      </w:numPr>
    </w:pPr>
    <w:rPr>
      <w:rFonts w:eastAsia="Times New Roman"/>
      <w:lang w:eastAsia="en-GB"/>
    </w:rPr>
  </w:style>
  <w:style w:type="paragraph" w:customStyle="1" w:styleId="ListNumber1Level3">
    <w:name w:val="List Number 1 (Level 3)"/>
    <w:basedOn w:val="Text1"/>
    <w:rsid w:val="00F278A5"/>
    <w:pPr>
      <w:numPr>
        <w:ilvl w:val="2"/>
        <w:numId w:val="12"/>
      </w:numPr>
    </w:pPr>
    <w:rPr>
      <w:rFonts w:eastAsia="Times New Roman"/>
      <w:lang w:eastAsia="en-GB"/>
    </w:rPr>
  </w:style>
  <w:style w:type="paragraph" w:customStyle="1" w:styleId="ListNumber2Level3">
    <w:name w:val="List Number 2 (Level 3)"/>
    <w:basedOn w:val="Text2"/>
    <w:rsid w:val="00F278A5"/>
    <w:pPr>
      <w:numPr>
        <w:ilvl w:val="2"/>
        <w:numId w:val="13"/>
      </w:numPr>
    </w:pPr>
    <w:rPr>
      <w:rFonts w:eastAsia="Times New Roman"/>
      <w:lang w:eastAsia="en-GB"/>
    </w:rPr>
  </w:style>
  <w:style w:type="paragraph" w:customStyle="1" w:styleId="ListNumber3Level3">
    <w:name w:val="List Number 3 (Level 3)"/>
    <w:basedOn w:val="Text3"/>
    <w:rsid w:val="00F278A5"/>
    <w:pPr>
      <w:numPr>
        <w:ilvl w:val="2"/>
        <w:numId w:val="14"/>
      </w:numPr>
    </w:pPr>
    <w:rPr>
      <w:rFonts w:eastAsia="Times New Roman"/>
      <w:lang w:eastAsia="en-GB"/>
    </w:rPr>
  </w:style>
  <w:style w:type="paragraph" w:customStyle="1" w:styleId="ListNumber4Level3">
    <w:name w:val="List Number 4 (Level 3)"/>
    <w:basedOn w:val="Text4"/>
    <w:rsid w:val="00F278A5"/>
    <w:pPr>
      <w:numPr>
        <w:ilvl w:val="2"/>
        <w:numId w:val="15"/>
      </w:numPr>
    </w:pPr>
    <w:rPr>
      <w:rFonts w:eastAsia="Times New Roman"/>
      <w:lang w:eastAsia="en-GB"/>
    </w:rPr>
  </w:style>
  <w:style w:type="paragraph" w:customStyle="1" w:styleId="ListNumber1Level4">
    <w:name w:val="List Number 1 (Level 4)"/>
    <w:basedOn w:val="Text1"/>
    <w:rsid w:val="00F278A5"/>
    <w:pPr>
      <w:numPr>
        <w:ilvl w:val="3"/>
        <w:numId w:val="12"/>
      </w:numPr>
    </w:pPr>
    <w:rPr>
      <w:rFonts w:eastAsia="Times New Roman"/>
      <w:lang w:eastAsia="en-GB"/>
    </w:rPr>
  </w:style>
  <w:style w:type="paragraph" w:customStyle="1" w:styleId="ListNumber2Level4">
    <w:name w:val="List Number 2 (Level 4)"/>
    <w:basedOn w:val="Text2"/>
    <w:rsid w:val="00F278A5"/>
    <w:pPr>
      <w:numPr>
        <w:ilvl w:val="3"/>
        <w:numId w:val="13"/>
      </w:numPr>
    </w:pPr>
    <w:rPr>
      <w:rFonts w:eastAsia="Times New Roman"/>
      <w:lang w:eastAsia="en-GB"/>
    </w:rPr>
  </w:style>
  <w:style w:type="paragraph" w:customStyle="1" w:styleId="ListNumber3Level4">
    <w:name w:val="List Number 3 (Level 4)"/>
    <w:basedOn w:val="Text3"/>
    <w:rsid w:val="00F278A5"/>
    <w:pPr>
      <w:numPr>
        <w:ilvl w:val="3"/>
        <w:numId w:val="14"/>
      </w:numPr>
    </w:pPr>
    <w:rPr>
      <w:rFonts w:eastAsia="Times New Roman"/>
      <w:lang w:eastAsia="en-GB"/>
    </w:rPr>
  </w:style>
  <w:style w:type="paragraph" w:customStyle="1" w:styleId="ListNumber4Level4">
    <w:name w:val="List Number 4 (Level 4)"/>
    <w:basedOn w:val="Text4"/>
    <w:rsid w:val="00F278A5"/>
    <w:pPr>
      <w:numPr>
        <w:ilvl w:val="3"/>
        <w:numId w:val="15"/>
      </w:numPr>
    </w:pPr>
    <w:rPr>
      <w:rFonts w:eastAsia="Times New Roman"/>
      <w:lang w:eastAsia="en-GB"/>
    </w:rPr>
  </w:style>
  <w:style w:type="paragraph" w:customStyle="1" w:styleId="Annexetitreacte">
    <w:name w:val="Annexe titre (acte)"/>
    <w:basedOn w:val="Normal"/>
    <w:next w:val="Normal"/>
    <w:rsid w:val="00F278A5"/>
    <w:pPr>
      <w:jc w:val="center"/>
    </w:pPr>
    <w:rPr>
      <w:rFonts w:eastAsia="Times New Roman"/>
      <w:b/>
      <w:u w:val="single"/>
      <w:lang w:eastAsia="en-GB"/>
    </w:rPr>
  </w:style>
  <w:style w:type="paragraph" w:customStyle="1" w:styleId="Annexetitreexposglobal">
    <w:name w:val="Annexe titre (exposé global)"/>
    <w:basedOn w:val="Normal"/>
    <w:next w:val="Normal"/>
    <w:rsid w:val="00F278A5"/>
    <w:pPr>
      <w:jc w:val="center"/>
    </w:pPr>
    <w:rPr>
      <w:rFonts w:eastAsia="Times New Roman"/>
      <w:b/>
      <w:u w:val="single"/>
      <w:lang w:eastAsia="en-GB"/>
    </w:rPr>
  </w:style>
  <w:style w:type="paragraph" w:customStyle="1" w:styleId="Annexetitrefichefinacte">
    <w:name w:val="Annexe titre (fiche fin. acte)"/>
    <w:basedOn w:val="Normal"/>
    <w:next w:val="Normal"/>
    <w:rsid w:val="00F278A5"/>
    <w:pPr>
      <w:jc w:val="center"/>
    </w:pPr>
    <w:rPr>
      <w:rFonts w:eastAsia="Times New Roman"/>
      <w:b/>
      <w:u w:val="single"/>
      <w:lang w:eastAsia="en-GB"/>
    </w:rPr>
  </w:style>
  <w:style w:type="paragraph" w:customStyle="1" w:styleId="Annexetitrefichefinglobale">
    <w:name w:val="Annexe titre (fiche fin. globale)"/>
    <w:basedOn w:val="Normal"/>
    <w:next w:val="Normal"/>
    <w:rsid w:val="00F278A5"/>
    <w:pPr>
      <w:jc w:val="center"/>
    </w:pPr>
    <w:rPr>
      <w:rFonts w:eastAsia="Times New Roman"/>
      <w:b/>
      <w:u w:val="single"/>
      <w:lang w:eastAsia="en-GB"/>
    </w:rPr>
  </w:style>
  <w:style w:type="paragraph" w:customStyle="1" w:styleId="Annexetitreglobale">
    <w:name w:val="Annexe titre (globale)"/>
    <w:basedOn w:val="Normal"/>
    <w:next w:val="Normal"/>
    <w:rsid w:val="00F278A5"/>
    <w:pPr>
      <w:jc w:val="center"/>
    </w:pPr>
    <w:rPr>
      <w:rFonts w:eastAsia="Times New Roman"/>
      <w:b/>
      <w:u w:val="single"/>
      <w:lang w:eastAsia="en-GB"/>
    </w:rPr>
  </w:style>
  <w:style w:type="paragraph" w:customStyle="1" w:styleId="Exposdesmotifstitreglobal">
    <w:name w:val="Exposé des motifs titre (global)"/>
    <w:basedOn w:val="Normal"/>
    <w:next w:val="Normal"/>
    <w:rsid w:val="00F278A5"/>
    <w:pPr>
      <w:jc w:val="center"/>
    </w:pPr>
    <w:rPr>
      <w:rFonts w:eastAsia="Times New Roman"/>
      <w:b/>
      <w:u w:val="single"/>
      <w:lang w:eastAsia="en-GB"/>
    </w:rPr>
  </w:style>
  <w:style w:type="paragraph" w:customStyle="1" w:styleId="Langueoriginale">
    <w:name w:val="Langue originale"/>
    <w:basedOn w:val="Normal"/>
    <w:rsid w:val="00F278A5"/>
    <w:pPr>
      <w:spacing w:before="360"/>
      <w:jc w:val="center"/>
    </w:pPr>
    <w:rPr>
      <w:rFonts w:eastAsia="Times New Roman"/>
      <w:caps/>
      <w:lang w:eastAsia="en-GB"/>
    </w:rPr>
  </w:style>
  <w:style w:type="paragraph" w:customStyle="1" w:styleId="Phrasefinale">
    <w:name w:val="Phrase finale"/>
    <w:basedOn w:val="Normal"/>
    <w:next w:val="Normal"/>
    <w:rsid w:val="00F278A5"/>
    <w:pPr>
      <w:spacing w:before="360" w:after="0"/>
      <w:jc w:val="center"/>
    </w:pPr>
    <w:rPr>
      <w:rFonts w:eastAsia="Times New Roman"/>
      <w:lang w:eastAsia="en-GB"/>
    </w:rPr>
  </w:style>
  <w:style w:type="paragraph" w:customStyle="1" w:styleId="Prliminairetitre">
    <w:name w:val="Préliminaire titre"/>
    <w:basedOn w:val="Normal"/>
    <w:next w:val="Normal"/>
    <w:rsid w:val="00F278A5"/>
    <w:pPr>
      <w:spacing w:before="360" w:after="360"/>
      <w:jc w:val="center"/>
    </w:pPr>
    <w:rPr>
      <w:rFonts w:eastAsia="Times New Roman"/>
      <w:b/>
      <w:lang w:eastAsia="en-GB"/>
    </w:rPr>
  </w:style>
  <w:style w:type="paragraph" w:customStyle="1" w:styleId="Prliminairetype">
    <w:name w:val="Préliminaire type"/>
    <w:basedOn w:val="Normal"/>
    <w:next w:val="Normal"/>
    <w:rsid w:val="00F278A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278A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278A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278A5"/>
    <w:pPr>
      <w:spacing w:before="0" w:after="0"/>
      <w:ind w:left="5103"/>
      <w:jc w:val="left"/>
    </w:pPr>
    <w:rPr>
      <w:rFonts w:eastAsia="Times New Roman"/>
      <w:lang w:eastAsia="en-GB"/>
    </w:rPr>
  </w:style>
  <w:style w:type="paragraph" w:customStyle="1" w:styleId="Sous-titreobjetprliminaire">
    <w:name w:val="Sous-titre objet (préliminaire)"/>
    <w:basedOn w:val="Normal"/>
    <w:rsid w:val="00F278A5"/>
    <w:pPr>
      <w:spacing w:before="0" w:after="0"/>
      <w:jc w:val="center"/>
    </w:pPr>
    <w:rPr>
      <w:rFonts w:eastAsia="Times New Roman"/>
      <w:b/>
      <w:lang w:eastAsia="en-GB"/>
    </w:rPr>
  </w:style>
  <w:style w:type="paragraph" w:customStyle="1" w:styleId="Statutprliminaire">
    <w:name w:val="Statut (préliminaire)"/>
    <w:basedOn w:val="Normal"/>
    <w:next w:val="Normal"/>
    <w:rsid w:val="00F278A5"/>
    <w:pPr>
      <w:spacing w:before="360" w:after="0"/>
      <w:jc w:val="center"/>
    </w:pPr>
    <w:rPr>
      <w:rFonts w:eastAsia="Times New Roman"/>
      <w:lang w:eastAsia="en-GB"/>
    </w:rPr>
  </w:style>
  <w:style w:type="paragraph" w:customStyle="1" w:styleId="Titreobjetprliminaire">
    <w:name w:val="Titre objet (préliminaire)"/>
    <w:basedOn w:val="Normal"/>
    <w:next w:val="Normal"/>
    <w:rsid w:val="00F278A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278A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278A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278A5"/>
    <w:pPr>
      <w:jc w:val="center"/>
    </w:pPr>
    <w:rPr>
      <w:rFonts w:eastAsia="Times New Roman"/>
      <w:b/>
      <w:u w:val="single"/>
      <w:lang w:eastAsia="en-GB"/>
    </w:rPr>
  </w:style>
  <w:style w:type="paragraph" w:customStyle="1" w:styleId="Fichefinanciretravailtitre">
    <w:name w:val="Fiche financière (travail) titre"/>
    <w:basedOn w:val="Normal"/>
    <w:next w:val="Normal"/>
    <w:rsid w:val="00F278A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278A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278A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278A5"/>
    <w:pPr>
      <w:jc w:val="center"/>
    </w:pPr>
    <w:rPr>
      <w:rFonts w:eastAsia="Times New Roman"/>
      <w:b/>
      <w:u w:val="single"/>
      <w:lang w:eastAsia="en-GB"/>
    </w:rPr>
  </w:style>
  <w:style w:type="character" w:styleId="CommentReference">
    <w:name w:val="annotation reference"/>
    <w:rsid w:val="00F278A5"/>
    <w:rPr>
      <w:rFonts w:cs="Times New Roman"/>
      <w:sz w:val="16"/>
      <w:szCs w:val="16"/>
    </w:rPr>
  </w:style>
  <w:style w:type="paragraph" w:styleId="CommentText">
    <w:name w:val="annotation text"/>
    <w:basedOn w:val="Normal"/>
    <w:link w:val="CommentTextChar"/>
    <w:uiPriority w:val="99"/>
    <w:rsid w:val="00F278A5"/>
    <w:rPr>
      <w:rFonts w:eastAsia="Times New Roman"/>
      <w:sz w:val="20"/>
      <w:szCs w:val="20"/>
      <w:lang w:eastAsia="en-GB"/>
    </w:rPr>
  </w:style>
  <w:style w:type="character" w:customStyle="1" w:styleId="CommentTextChar">
    <w:name w:val="Comment Text Char"/>
    <w:basedOn w:val="DefaultParagraphFont"/>
    <w:link w:val="CommentText"/>
    <w:uiPriority w:val="99"/>
    <w:rsid w:val="00F278A5"/>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F278A5"/>
    <w:rPr>
      <w:b/>
      <w:bCs/>
    </w:rPr>
  </w:style>
  <w:style w:type="character" w:customStyle="1" w:styleId="CommentSubjectChar">
    <w:name w:val="Comment Subject Char"/>
    <w:basedOn w:val="CommentTextChar"/>
    <w:link w:val="CommentSubject"/>
    <w:rsid w:val="00F278A5"/>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F278A5"/>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278A5"/>
    <w:rPr>
      <w:rFonts w:ascii="Tahoma" w:eastAsia="Times New Roman" w:hAnsi="Tahoma" w:cs="Tahoma"/>
      <w:sz w:val="16"/>
      <w:szCs w:val="16"/>
      <w:lang w:val="de-DE" w:eastAsia="en-GB"/>
    </w:rPr>
  </w:style>
  <w:style w:type="paragraph" w:styleId="Caption">
    <w:name w:val="caption"/>
    <w:basedOn w:val="Normal"/>
    <w:next w:val="Normal"/>
    <w:qFormat/>
    <w:rsid w:val="00F278A5"/>
    <w:rPr>
      <w:rFonts w:eastAsia="Times New Roman"/>
      <w:b/>
      <w:bCs/>
      <w:sz w:val="20"/>
      <w:szCs w:val="20"/>
      <w:lang w:eastAsia="en-GB"/>
    </w:rPr>
  </w:style>
  <w:style w:type="paragraph" w:styleId="TableofFigures">
    <w:name w:val="table of figures"/>
    <w:basedOn w:val="Normal"/>
    <w:next w:val="Normal"/>
    <w:rsid w:val="00F278A5"/>
    <w:rPr>
      <w:rFonts w:eastAsia="Times New Roman"/>
      <w:lang w:eastAsia="en-GB"/>
    </w:rPr>
  </w:style>
  <w:style w:type="character" w:styleId="PageNumber">
    <w:name w:val="page number"/>
    <w:rsid w:val="00F278A5"/>
  </w:style>
  <w:style w:type="character" w:customStyle="1" w:styleId="tw4winMark">
    <w:name w:val="tw4winMark"/>
    <w:rsid w:val="00F278A5"/>
    <w:rPr>
      <w:vanish/>
      <w:color w:val="800080"/>
      <w:vertAlign w:val="subscript"/>
    </w:rPr>
  </w:style>
  <w:style w:type="character" w:styleId="FollowedHyperlink">
    <w:name w:val="FollowedHyperlink"/>
    <w:rsid w:val="00F278A5"/>
    <w:rPr>
      <w:color w:val="800080"/>
      <w:u w:val="single"/>
    </w:rPr>
  </w:style>
  <w:style w:type="paragraph" w:customStyle="1" w:styleId="Sous-titreobjet">
    <w:name w:val="Sous-titre objet"/>
    <w:basedOn w:val="Normal"/>
    <w:rsid w:val="00F278A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278A5"/>
  </w:style>
  <w:style w:type="paragraph" w:styleId="Revision">
    <w:name w:val="Revision"/>
    <w:hidden/>
    <w:uiPriority w:val="99"/>
    <w:semiHidden/>
    <w:rsid w:val="00F278A5"/>
    <w:rPr>
      <w:rFonts w:ascii="Calibri" w:eastAsia="Calibri" w:hAnsi="Calibri" w:cs="Times New Roman"/>
      <w:sz w:val="24"/>
      <w:lang w:eastAsia="en-GB"/>
    </w:rPr>
  </w:style>
  <w:style w:type="paragraph" w:customStyle="1" w:styleId="FooterCoverPage">
    <w:name w:val="Footer Cover Page"/>
    <w:basedOn w:val="Normal"/>
    <w:link w:val="FooterCoverPageChar"/>
    <w:rsid w:val="00F278A5"/>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278A5"/>
    <w:rPr>
      <w:rFonts w:ascii="Times New Roman" w:hAnsi="Times New Roman" w:cs="Times New Roman"/>
      <w:b/>
      <w:sz w:val="28"/>
      <w:lang w:val="de-DE"/>
    </w:rPr>
  </w:style>
  <w:style w:type="character" w:customStyle="1" w:styleId="FooterCoverPageChar">
    <w:name w:val="Footer Cover Page Char"/>
    <w:link w:val="FooterCoverPage"/>
    <w:rsid w:val="00F278A5"/>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F278A5"/>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278A5"/>
    <w:rPr>
      <w:rFonts w:ascii="Times New Roman" w:eastAsia="Calibri" w:hAnsi="Times New Roman" w:cs="Times New Roman"/>
      <w:sz w:val="24"/>
      <w:lang w:val="de-DE" w:eastAsia="en-GB"/>
    </w:rPr>
  </w:style>
  <w:style w:type="character" w:customStyle="1" w:styleId="FooterSensitivityChar">
    <w:name w:val="Footer Sensitivity Char"/>
    <w:rsid w:val="00F278A5"/>
    <w:rPr>
      <w:rFonts w:ascii="Times New Roman" w:hAnsi="Times New Roman" w:cs="Times New Roman"/>
      <w:b/>
      <w:sz w:val="32"/>
      <w:lang w:val="de-DE"/>
    </w:rPr>
  </w:style>
  <w:style w:type="character" w:customStyle="1" w:styleId="HeaderSensitivityChar">
    <w:name w:val="Header Sensitivity Char"/>
    <w:rsid w:val="00F278A5"/>
    <w:rPr>
      <w:rFonts w:ascii="Times New Roman" w:hAnsi="Times New Roman" w:cs="Times New Roman"/>
      <w:b/>
      <w:sz w:val="32"/>
      <w:lang w:val="de-DE"/>
    </w:rPr>
  </w:style>
  <w:style w:type="character" w:customStyle="1" w:styleId="HeaderSensitivityRightChar">
    <w:name w:val="Header Sensitivity Right Char"/>
    <w:rsid w:val="00F278A5"/>
    <w:rPr>
      <w:rFonts w:ascii="Times New Roman" w:hAnsi="Times New Roman" w:cs="Times New Roman"/>
      <w:sz w:val="28"/>
      <w:lang w:val="de-DE"/>
    </w:rPr>
  </w:style>
  <w:style w:type="paragraph" w:customStyle="1" w:styleId="Default">
    <w:name w:val="Default"/>
    <w:rsid w:val="00E026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A11C8"/>
    <w:pPr>
      <w:spacing w:before="0" w:after="0"/>
      <w:ind w:left="720"/>
      <w:contextualSpacing/>
      <w:jc w:val="left"/>
    </w:pPr>
    <w:rPr>
      <w:rFonts w:ascii="Arial" w:eastAsia="Times New Roman" w:hAnsi="Arial"/>
      <w:iCs/>
      <w:sz w:val="20"/>
      <w:szCs w:val="24"/>
      <w:lang w:eastAsia="de-AT"/>
    </w:rPr>
  </w:style>
  <w:style w:type="character" w:customStyle="1" w:styleId="UnresolvedMention">
    <w:name w:val="Unresolved Mention"/>
    <w:basedOn w:val="DefaultParagraphFont"/>
    <w:uiPriority w:val="99"/>
    <w:semiHidden/>
    <w:unhideWhenUsed/>
    <w:rsid w:val="00E237EE"/>
    <w:rPr>
      <w:color w:val="605E5C"/>
      <w:shd w:val="clear" w:color="auto" w:fill="E1DFDD"/>
    </w:rPr>
  </w:style>
  <w:style w:type="paragraph" w:customStyle="1" w:styleId="Consi">
    <w:name w:val="Consi"/>
    <w:basedOn w:val="Considrant"/>
    <w:rsid w:val="002A18A1"/>
  </w:style>
  <w:style w:type="paragraph" w:customStyle="1" w:styleId="Foot">
    <w:name w:val="Foot"/>
    <w:basedOn w:val="FootnoteText"/>
    <w:rsid w:val="00C05848"/>
  </w:style>
  <w:style w:type="paragraph" w:styleId="EndnoteText">
    <w:name w:val="endnote text"/>
    <w:basedOn w:val="Normal"/>
    <w:link w:val="EndnoteTextChar"/>
    <w:uiPriority w:val="99"/>
    <w:semiHidden/>
    <w:unhideWhenUsed/>
    <w:rsid w:val="00E555A5"/>
    <w:pPr>
      <w:spacing w:before="0" w:after="0"/>
    </w:pPr>
    <w:rPr>
      <w:sz w:val="20"/>
      <w:szCs w:val="20"/>
    </w:rPr>
  </w:style>
  <w:style w:type="character" w:customStyle="1" w:styleId="EndnoteTextChar">
    <w:name w:val="Endnote Text Char"/>
    <w:basedOn w:val="DefaultParagraphFont"/>
    <w:link w:val="EndnoteText"/>
    <w:uiPriority w:val="99"/>
    <w:semiHidden/>
    <w:rsid w:val="00E555A5"/>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sid w:val="00E555A5"/>
    <w:rPr>
      <w:vertAlign w:val="superscript"/>
    </w:rPr>
  </w:style>
  <w:style w:type="character" w:customStyle="1" w:styleId="cf11">
    <w:name w:val="cf11"/>
    <w:basedOn w:val="DefaultParagraphFont"/>
    <w:rsid w:val="009F74F8"/>
    <w:rPr>
      <w:rFonts w:ascii="Segoe UI" w:hAnsi="Segoe UI" w:cs="Segoe UI" w:hint="default"/>
      <w:sz w:val="18"/>
      <w:szCs w:val="18"/>
    </w:rPr>
  </w:style>
  <w:style w:type="character" w:customStyle="1" w:styleId="HeaderChar">
    <w:name w:val="Header Char"/>
    <w:basedOn w:val="DefaultParagraphFont"/>
    <w:link w:val="Header"/>
    <w:uiPriority w:val="99"/>
    <w:rsid w:val="00740C8C"/>
    <w:rPr>
      <w:rFonts w:ascii="Times New Roman" w:hAnsi="Times New Roman" w:cs="Times New Roman"/>
      <w:sz w:val="24"/>
      <w:lang w:val="de-DE"/>
    </w:rPr>
  </w:style>
  <w:style w:type="character" w:customStyle="1" w:styleId="FooterChar">
    <w:name w:val="Footer Char"/>
    <w:basedOn w:val="DefaultParagraphFont"/>
    <w:link w:val="Footer"/>
    <w:uiPriority w:val="99"/>
    <w:rsid w:val="00740C8C"/>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40C8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40C8C"/>
    <w:pPr>
      <w:spacing w:before="0"/>
      <w:jc w:val="right"/>
    </w:pPr>
    <w:rPr>
      <w:sz w:val="28"/>
    </w:rPr>
  </w:style>
  <w:style w:type="paragraph" w:customStyle="1" w:styleId="FooterSensitivity">
    <w:name w:val="Footer Sensitivity"/>
    <w:basedOn w:val="Normal"/>
    <w:rsid w:val="00740C8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40C8C"/>
    <w:pPr>
      <w:tabs>
        <w:tab w:val="center" w:pos="4535"/>
        <w:tab w:val="right" w:pos="9071"/>
      </w:tabs>
      <w:spacing w:before="0"/>
    </w:pPr>
  </w:style>
  <w:style w:type="paragraph" w:customStyle="1" w:styleId="HeaderLandscape">
    <w:name w:val="HeaderLandscape"/>
    <w:basedOn w:val="Normal"/>
    <w:rsid w:val="00740C8C"/>
    <w:pPr>
      <w:tabs>
        <w:tab w:val="center" w:pos="7285"/>
        <w:tab w:val="right" w:pos="14003"/>
      </w:tabs>
      <w:spacing w:before="0"/>
    </w:pPr>
  </w:style>
  <w:style w:type="paragraph" w:styleId="Footer">
    <w:name w:val="footer"/>
    <w:basedOn w:val="Normal"/>
    <w:link w:val="FooterChar"/>
    <w:uiPriority w:val="99"/>
    <w:unhideWhenUsed/>
    <w:rsid w:val="00740C8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40C8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0101">
      <w:bodyDiv w:val="1"/>
      <w:marLeft w:val="0"/>
      <w:marRight w:val="0"/>
      <w:marTop w:val="0"/>
      <w:marBottom w:val="0"/>
      <w:divBdr>
        <w:top w:val="none" w:sz="0" w:space="0" w:color="auto"/>
        <w:left w:val="none" w:sz="0" w:space="0" w:color="auto"/>
        <w:bottom w:val="none" w:sz="0" w:space="0" w:color="auto"/>
        <w:right w:val="none" w:sz="0" w:space="0" w:color="auto"/>
      </w:divBdr>
    </w:div>
    <w:div w:id="793056385">
      <w:bodyDiv w:val="1"/>
      <w:marLeft w:val="0"/>
      <w:marRight w:val="0"/>
      <w:marTop w:val="0"/>
      <w:marBottom w:val="0"/>
      <w:divBdr>
        <w:top w:val="none" w:sz="0" w:space="0" w:color="auto"/>
        <w:left w:val="none" w:sz="0" w:space="0" w:color="auto"/>
        <w:bottom w:val="none" w:sz="0" w:space="0" w:color="auto"/>
        <w:right w:val="none" w:sz="0" w:space="0" w:color="auto"/>
      </w:divBdr>
    </w:div>
    <w:div w:id="1911622250">
      <w:bodyDiv w:val="1"/>
      <w:marLeft w:val="0"/>
      <w:marRight w:val="0"/>
      <w:marTop w:val="0"/>
      <w:marBottom w:val="0"/>
      <w:divBdr>
        <w:top w:val="none" w:sz="0" w:space="0" w:color="auto"/>
        <w:left w:val="none" w:sz="0" w:space="0" w:color="auto"/>
        <w:bottom w:val="none" w:sz="0" w:space="0" w:color="auto"/>
        <w:right w:val="none" w:sz="0" w:space="0" w:color="auto"/>
      </w:divBdr>
    </w:div>
    <w:div w:id="19381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web/quality/quality-monitoring/quality-reporting" TargetMode="External"/><Relationship Id="rId3" Type="http://schemas.openxmlformats.org/officeDocument/2006/relationships/hyperlink" Target="https://ec.europa.eu/info/law/better-regulation/have-your-say/initiatives/13916-Commercial-real-estate-statistics_de" TargetMode="External"/><Relationship Id="rId7" Type="http://schemas.openxmlformats.org/officeDocument/2006/relationships/hyperlink" Target="http://data.europa.eu/eli/reg/2009/223/oj" TargetMode="External"/><Relationship Id="rId12"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data.europa.eu/eli/reg/2009/223/oj" TargetMode="External"/><Relationship Id="rId1" Type="http://schemas.openxmlformats.org/officeDocument/2006/relationships/hyperlink" Target="https://ec.europa.eu/transparency/documents-register/detail?ref=SWD(2023)434&amp;lang=de" TargetMode="External"/><Relationship Id="rId6" Type="http://schemas.openxmlformats.org/officeDocument/2006/relationships/hyperlink" Target="http://data.europa.eu/eli/reg/2008/763/oj)" TargetMode="External"/><Relationship Id="rId11" Type="http://schemas.openxmlformats.org/officeDocument/2006/relationships/hyperlink" Target="http://data.europa.eu/eli/reg/2021/690/oj" TargetMode="External"/><Relationship Id="rId5" Type="http://schemas.openxmlformats.org/officeDocument/2006/relationships/hyperlink" Target="http://data.europa.eu/eli/reg/2019/2152/oj" TargetMode="External"/><Relationship Id="rId10" Type="http://schemas.openxmlformats.org/officeDocument/2006/relationships/hyperlink" Target="http://data.europa.eu/eli/reg/1993/696/oj" TargetMode="External"/><Relationship Id="rId4" Type="http://schemas.openxmlformats.org/officeDocument/2006/relationships/hyperlink" Target="http://data.europa.eu/eli/reg/2020/2093/oj" TargetMode="External"/><Relationship Id="rId9" Type="http://schemas.openxmlformats.org/officeDocument/2006/relationships/hyperlink" Target="http://data.europa.eu/eli/reg/2013/54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93D0-D1AA-4933-ABBF-696367B8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12837</Words>
  <Characters>73176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2025-02-27T08:41:00Z</dcterms:created>
  <dcterms:modified xsi:type="dcterms:W3CDTF">2025-03-11T08:11:00Z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2024-06-12T13:31:43Z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c0cdff3e-900e-4f89-b5da-ef56d945ff3d</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9.1, Build 20240808</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