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E5E0" w14:textId="0C79277C" w:rsidR="008B6253" w:rsidRPr="00D3648A" w:rsidRDefault="00B44F79" w:rsidP="00B44F79">
      <w:pPr>
        <w:pStyle w:val="Pagedecouverture"/>
        <w:rPr>
          <w:noProof/>
        </w:rPr>
      </w:pPr>
      <w:bookmarkStart w:id="0" w:name="LW_BM_COVERPAGE"/>
      <w:r>
        <w:rPr>
          <w:noProof/>
        </w:rPr>
        <w:pict w14:anchorId="450E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15150FC-444D-467D-9586-D3680A2179AE" style="width:455.25pt;height:393pt">
            <v:imagedata r:id="rId11" o:title=""/>
          </v:shape>
        </w:pict>
      </w:r>
    </w:p>
    <w:bookmarkEnd w:id="0"/>
    <w:p w14:paraId="01AEB2FF" w14:textId="77777777" w:rsidR="008B6253" w:rsidRPr="00D3648A" w:rsidRDefault="008B6253" w:rsidP="008B6253">
      <w:pPr>
        <w:rPr>
          <w:noProof/>
        </w:rPr>
        <w:sectPr w:rsidR="008B6253" w:rsidRPr="00D3648A" w:rsidSect="00B44F7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6159457" w14:textId="77777777" w:rsidR="008B6253" w:rsidRPr="00D3648A" w:rsidRDefault="008B6253" w:rsidP="008B6253">
      <w:pPr>
        <w:pStyle w:val="TOCHeading"/>
        <w:rPr>
          <w:rFonts w:eastAsiaTheme="minorHAnsi"/>
          <w:b w:val="0"/>
          <w:noProof/>
          <w:sz w:val="24"/>
          <w:lang w:val="en-IE"/>
        </w:rPr>
      </w:pPr>
      <w:bookmarkStart w:id="1" w:name="_GoBack"/>
      <w:bookmarkEnd w:id="1"/>
    </w:p>
    <w:sdt>
      <w:sdtPr>
        <w:rPr>
          <w:rFonts w:eastAsiaTheme="minorEastAsia"/>
          <w:b w:val="0"/>
          <w:noProof/>
          <w:sz w:val="24"/>
        </w:rPr>
        <w:id w:val="-874687748"/>
        <w:docPartObj>
          <w:docPartGallery w:val="Table of Contents"/>
          <w:docPartUnique/>
        </w:docPartObj>
      </w:sdtPr>
      <w:sdtEndPr>
        <w:rPr>
          <w:sz w:val="22"/>
          <w:szCs w:val="22"/>
        </w:rPr>
      </w:sdtEndPr>
      <w:sdtContent>
        <w:p w14:paraId="24E88DD3" w14:textId="77777777" w:rsidR="008B6253" w:rsidRPr="004E4B5D" w:rsidRDefault="008B6253" w:rsidP="008B6253">
          <w:pPr>
            <w:pStyle w:val="TOCHeading"/>
            <w:rPr>
              <w:noProof/>
              <w:color w:val="034EA2" w:themeColor="accent1"/>
            </w:rPr>
          </w:pPr>
          <w:r>
            <w:rPr>
              <w:noProof/>
              <w:color w:val="034EA2" w:themeColor="accent1"/>
            </w:rPr>
            <w:t>Obsah</w:t>
          </w:r>
        </w:p>
        <w:p w14:paraId="6402DC3E" w14:textId="2296D518" w:rsidR="00443EEF" w:rsidRDefault="00443EEF">
          <w:pPr>
            <w:pStyle w:val="TOC1"/>
            <w:rPr>
              <w:rFonts w:asciiTheme="minorHAnsi" w:eastAsiaTheme="minorEastAsia" w:hAnsiTheme="minorHAnsi" w:cstheme="minorBidi"/>
              <w:noProof/>
              <w:kern w:val="2"/>
              <w:sz w:val="24"/>
              <w:lang w:val="en-IE" w:eastAsia="en-IE"/>
              <w14:ligatures w14:val="standardContextual"/>
            </w:rPr>
          </w:pPr>
          <w:r>
            <w:rPr>
              <w:noProof/>
            </w:rPr>
            <w:fldChar w:fldCharType="begin"/>
          </w:r>
          <w:r>
            <w:rPr>
              <w:noProof/>
            </w:rPr>
            <w:instrText xml:space="preserve"> TOC \o "1-1" \h \z \u </w:instrText>
          </w:r>
          <w:r>
            <w:rPr>
              <w:noProof/>
            </w:rPr>
            <w:fldChar w:fldCharType="separate"/>
          </w:r>
          <w:hyperlink w:anchor="_Toc192863145" w:history="1">
            <w:r w:rsidRPr="00F2757C">
              <w:rPr>
                <w:rStyle w:val="Hyperlink"/>
                <w:noProof/>
              </w:rPr>
              <w:t>1.</w:t>
            </w:r>
            <w:r>
              <w:rPr>
                <w:rFonts w:asciiTheme="minorHAnsi" w:eastAsiaTheme="minorEastAsia" w:hAnsiTheme="minorHAnsi" w:cstheme="minorBidi"/>
                <w:noProof/>
                <w:kern w:val="2"/>
                <w:sz w:val="24"/>
                <w:lang w:val="en-IE" w:eastAsia="en-IE"/>
                <w14:ligatures w14:val="standardContextual"/>
              </w:rPr>
              <w:tab/>
            </w:r>
            <w:r w:rsidRPr="00F2757C">
              <w:rPr>
                <w:rStyle w:val="Hyperlink"/>
                <w:noProof/>
              </w:rPr>
              <w:t>Shrnutí</w:t>
            </w:r>
            <w:r>
              <w:rPr>
                <w:noProof/>
                <w:webHidden/>
              </w:rPr>
              <w:tab/>
            </w:r>
            <w:r>
              <w:rPr>
                <w:noProof/>
                <w:webHidden/>
              </w:rPr>
              <w:fldChar w:fldCharType="begin"/>
            </w:r>
            <w:r>
              <w:rPr>
                <w:noProof/>
                <w:webHidden/>
              </w:rPr>
              <w:instrText xml:space="preserve"> PAGEREF _Toc192863145 \h </w:instrText>
            </w:r>
            <w:r>
              <w:rPr>
                <w:noProof/>
                <w:webHidden/>
              </w:rPr>
            </w:r>
            <w:r>
              <w:rPr>
                <w:noProof/>
                <w:webHidden/>
              </w:rPr>
              <w:fldChar w:fldCharType="separate"/>
            </w:r>
            <w:r>
              <w:rPr>
                <w:noProof/>
                <w:webHidden/>
              </w:rPr>
              <w:t>3</w:t>
            </w:r>
            <w:r>
              <w:rPr>
                <w:noProof/>
                <w:webHidden/>
              </w:rPr>
              <w:fldChar w:fldCharType="end"/>
            </w:r>
          </w:hyperlink>
        </w:p>
        <w:p w14:paraId="5CC8105C" w14:textId="57A0EAE8" w:rsidR="00443EEF" w:rsidRDefault="00B44F79">
          <w:pPr>
            <w:pStyle w:val="TOC1"/>
            <w:rPr>
              <w:rFonts w:asciiTheme="minorHAnsi" w:eastAsiaTheme="minorEastAsia" w:hAnsiTheme="minorHAnsi" w:cstheme="minorBidi"/>
              <w:noProof/>
              <w:kern w:val="2"/>
              <w:sz w:val="24"/>
              <w:lang w:val="en-IE" w:eastAsia="en-IE"/>
              <w14:ligatures w14:val="standardContextual"/>
            </w:rPr>
          </w:pPr>
          <w:hyperlink w:anchor="_Toc192863146" w:history="1">
            <w:r w:rsidR="00443EEF" w:rsidRPr="00F2757C">
              <w:rPr>
                <w:rStyle w:val="Hyperlink"/>
                <w:noProof/>
              </w:rPr>
              <w:t>2.</w:t>
            </w:r>
            <w:r w:rsidR="00443EEF">
              <w:rPr>
                <w:rFonts w:asciiTheme="minorHAnsi" w:eastAsiaTheme="minorEastAsia" w:hAnsiTheme="minorHAnsi" w:cstheme="minorBidi"/>
                <w:noProof/>
                <w:kern w:val="2"/>
                <w:sz w:val="24"/>
                <w:lang w:val="en-IE" w:eastAsia="en-IE"/>
                <w14:ligatures w14:val="standardContextual"/>
              </w:rPr>
              <w:tab/>
            </w:r>
            <w:r w:rsidR="00443EEF" w:rsidRPr="00F2757C">
              <w:rPr>
                <w:rStyle w:val="Hyperlink"/>
                <w:noProof/>
              </w:rPr>
              <w:t>Úvod</w:t>
            </w:r>
            <w:r w:rsidR="00443EEF">
              <w:rPr>
                <w:noProof/>
                <w:webHidden/>
              </w:rPr>
              <w:tab/>
            </w:r>
            <w:r w:rsidR="00443EEF">
              <w:rPr>
                <w:noProof/>
                <w:webHidden/>
              </w:rPr>
              <w:fldChar w:fldCharType="begin"/>
            </w:r>
            <w:r w:rsidR="00443EEF">
              <w:rPr>
                <w:noProof/>
                <w:webHidden/>
              </w:rPr>
              <w:instrText xml:space="preserve"> PAGEREF _Toc192863146 \h </w:instrText>
            </w:r>
            <w:r w:rsidR="00443EEF">
              <w:rPr>
                <w:noProof/>
                <w:webHidden/>
              </w:rPr>
            </w:r>
            <w:r w:rsidR="00443EEF">
              <w:rPr>
                <w:noProof/>
                <w:webHidden/>
              </w:rPr>
              <w:fldChar w:fldCharType="separate"/>
            </w:r>
            <w:r w:rsidR="00443EEF">
              <w:rPr>
                <w:noProof/>
                <w:webHidden/>
              </w:rPr>
              <w:t>4</w:t>
            </w:r>
            <w:r w:rsidR="00443EEF">
              <w:rPr>
                <w:noProof/>
                <w:webHidden/>
              </w:rPr>
              <w:fldChar w:fldCharType="end"/>
            </w:r>
          </w:hyperlink>
        </w:p>
        <w:p w14:paraId="02289176" w14:textId="7B35D202" w:rsidR="00443EEF" w:rsidRDefault="00B44F79">
          <w:pPr>
            <w:pStyle w:val="TOC1"/>
            <w:rPr>
              <w:rFonts w:asciiTheme="minorHAnsi" w:eastAsiaTheme="minorEastAsia" w:hAnsiTheme="minorHAnsi" w:cstheme="minorBidi"/>
              <w:noProof/>
              <w:kern w:val="2"/>
              <w:sz w:val="24"/>
              <w:lang w:val="en-IE" w:eastAsia="en-IE"/>
              <w14:ligatures w14:val="standardContextual"/>
            </w:rPr>
          </w:pPr>
          <w:hyperlink w:anchor="_Toc192863147" w:history="1">
            <w:r w:rsidR="00443EEF" w:rsidRPr="00F2757C">
              <w:rPr>
                <w:rStyle w:val="Hyperlink"/>
                <w:noProof/>
              </w:rPr>
              <w:t>3.</w:t>
            </w:r>
            <w:r w:rsidR="00443EEF">
              <w:rPr>
                <w:rFonts w:asciiTheme="minorHAnsi" w:eastAsiaTheme="minorEastAsia" w:hAnsiTheme="minorHAnsi" w:cstheme="minorBidi"/>
                <w:noProof/>
                <w:kern w:val="2"/>
                <w:sz w:val="24"/>
                <w:lang w:val="en-IE" w:eastAsia="en-IE"/>
                <w14:ligatures w14:val="standardContextual"/>
              </w:rPr>
              <w:tab/>
            </w:r>
            <w:r w:rsidR="00443EEF" w:rsidRPr="00F2757C">
              <w:rPr>
                <w:rStyle w:val="Hyperlink"/>
                <w:noProof/>
              </w:rPr>
              <w:t>Provádění výpůjčních operací v druhém pololetí roku 2024</w:t>
            </w:r>
            <w:r w:rsidR="00443EEF">
              <w:rPr>
                <w:noProof/>
                <w:webHidden/>
              </w:rPr>
              <w:tab/>
            </w:r>
            <w:r w:rsidR="00443EEF">
              <w:rPr>
                <w:noProof/>
                <w:webHidden/>
              </w:rPr>
              <w:fldChar w:fldCharType="begin"/>
            </w:r>
            <w:r w:rsidR="00443EEF">
              <w:rPr>
                <w:noProof/>
                <w:webHidden/>
              </w:rPr>
              <w:instrText xml:space="preserve"> PAGEREF _Toc192863147 \h </w:instrText>
            </w:r>
            <w:r w:rsidR="00443EEF">
              <w:rPr>
                <w:noProof/>
                <w:webHidden/>
              </w:rPr>
            </w:r>
            <w:r w:rsidR="00443EEF">
              <w:rPr>
                <w:noProof/>
                <w:webHidden/>
              </w:rPr>
              <w:fldChar w:fldCharType="separate"/>
            </w:r>
            <w:r w:rsidR="00443EEF">
              <w:rPr>
                <w:noProof/>
                <w:webHidden/>
              </w:rPr>
              <w:t>4</w:t>
            </w:r>
            <w:r w:rsidR="00443EEF">
              <w:rPr>
                <w:noProof/>
                <w:webHidden/>
              </w:rPr>
              <w:fldChar w:fldCharType="end"/>
            </w:r>
          </w:hyperlink>
        </w:p>
        <w:p w14:paraId="69610EE4" w14:textId="61AF9754" w:rsidR="00443EEF" w:rsidRDefault="00B44F79">
          <w:pPr>
            <w:pStyle w:val="TOC1"/>
            <w:rPr>
              <w:rFonts w:asciiTheme="minorHAnsi" w:eastAsiaTheme="minorEastAsia" w:hAnsiTheme="minorHAnsi" w:cstheme="minorBidi"/>
              <w:noProof/>
              <w:kern w:val="2"/>
              <w:sz w:val="24"/>
              <w:lang w:val="en-IE" w:eastAsia="en-IE"/>
              <w14:ligatures w14:val="standardContextual"/>
            </w:rPr>
          </w:pPr>
          <w:hyperlink w:anchor="_Toc192863148" w:history="1">
            <w:r w:rsidR="00443EEF" w:rsidRPr="00F2757C">
              <w:rPr>
                <w:rStyle w:val="Hyperlink"/>
                <w:noProof/>
              </w:rPr>
              <w:t>4.</w:t>
            </w:r>
            <w:r w:rsidR="00443EEF">
              <w:rPr>
                <w:rFonts w:asciiTheme="minorHAnsi" w:eastAsiaTheme="minorEastAsia" w:hAnsiTheme="minorHAnsi" w:cstheme="minorBidi"/>
                <w:noProof/>
                <w:kern w:val="2"/>
                <w:sz w:val="24"/>
                <w:lang w:val="en-IE" w:eastAsia="en-IE"/>
                <w14:ligatures w14:val="standardContextual"/>
              </w:rPr>
              <w:tab/>
            </w:r>
            <w:r w:rsidR="00443EEF" w:rsidRPr="00F2757C">
              <w:rPr>
                <w:rStyle w:val="Hyperlink"/>
                <w:noProof/>
              </w:rPr>
              <w:t>Náklady na financování a zůstatky likvidity</w:t>
            </w:r>
            <w:r w:rsidR="00443EEF">
              <w:rPr>
                <w:noProof/>
                <w:webHidden/>
              </w:rPr>
              <w:tab/>
            </w:r>
            <w:r w:rsidR="00443EEF">
              <w:rPr>
                <w:noProof/>
                <w:webHidden/>
              </w:rPr>
              <w:fldChar w:fldCharType="begin"/>
            </w:r>
            <w:r w:rsidR="00443EEF">
              <w:rPr>
                <w:noProof/>
                <w:webHidden/>
              </w:rPr>
              <w:instrText xml:space="preserve"> PAGEREF _Toc192863148 \h </w:instrText>
            </w:r>
            <w:r w:rsidR="00443EEF">
              <w:rPr>
                <w:noProof/>
                <w:webHidden/>
              </w:rPr>
            </w:r>
            <w:r w:rsidR="00443EEF">
              <w:rPr>
                <w:noProof/>
                <w:webHidden/>
              </w:rPr>
              <w:fldChar w:fldCharType="separate"/>
            </w:r>
            <w:r w:rsidR="00443EEF">
              <w:rPr>
                <w:noProof/>
                <w:webHidden/>
              </w:rPr>
              <w:t>8</w:t>
            </w:r>
            <w:r w:rsidR="00443EEF">
              <w:rPr>
                <w:noProof/>
                <w:webHidden/>
              </w:rPr>
              <w:fldChar w:fldCharType="end"/>
            </w:r>
          </w:hyperlink>
        </w:p>
        <w:p w14:paraId="4B85356B" w14:textId="1A04CC9F" w:rsidR="00443EEF" w:rsidRDefault="00B44F79">
          <w:pPr>
            <w:pStyle w:val="TOC1"/>
            <w:rPr>
              <w:rFonts w:asciiTheme="minorHAnsi" w:eastAsiaTheme="minorEastAsia" w:hAnsiTheme="minorHAnsi" w:cstheme="minorBidi"/>
              <w:noProof/>
              <w:kern w:val="2"/>
              <w:sz w:val="24"/>
              <w:lang w:val="en-IE" w:eastAsia="en-IE"/>
              <w14:ligatures w14:val="standardContextual"/>
            </w:rPr>
          </w:pPr>
          <w:hyperlink w:anchor="_Toc192863149" w:history="1">
            <w:r w:rsidR="00443EEF" w:rsidRPr="00F2757C">
              <w:rPr>
                <w:rStyle w:val="Hyperlink"/>
                <w:noProof/>
              </w:rPr>
              <w:t>5.</w:t>
            </w:r>
            <w:r w:rsidR="00443EEF">
              <w:rPr>
                <w:rFonts w:asciiTheme="minorHAnsi" w:eastAsiaTheme="minorEastAsia" w:hAnsiTheme="minorHAnsi" w:cstheme="minorBidi"/>
                <w:noProof/>
                <w:kern w:val="2"/>
                <w:sz w:val="24"/>
                <w:lang w:val="en-IE" w:eastAsia="en-IE"/>
                <w14:ligatures w14:val="standardContextual"/>
              </w:rPr>
              <w:tab/>
            </w:r>
            <w:r w:rsidR="00443EEF" w:rsidRPr="00F2757C">
              <w:rPr>
                <w:rStyle w:val="Hyperlink"/>
                <w:noProof/>
              </w:rPr>
              <w:t>Kroky k dalšímu rozvoji ekosystému dluhopisů EU</w:t>
            </w:r>
            <w:r w:rsidR="00443EEF">
              <w:rPr>
                <w:noProof/>
                <w:webHidden/>
              </w:rPr>
              <w:tab/>
            </w:r>
            <w:r w:rsidR="00443EEF">
              <w:rPr>
                <w:noProof/>
                <w:webHidden/>
              </w:rPr>
              <w:fldChar w:fldCharType="begin"/>
            </w:r>
            <w:r w:rsidR="00443EEF">
              <w:rPr>
                <w:noProof/>
                <w:webHidden/>
              </w:rPr>
              <w:instrText xml:space="preserve"> PAGEREF _Toc192863149 \h </w:instrText>
            </w:r>
            <w:r w:rsidR="00443EEF">
              <w:rPr>
                <w:noProof/>
                <w:webHidden/>
              </w:rPr>
            </w:r>
            <w:r w:rsidR="00443EEF">
              <w:rPr>
                <w:noProof/>
                <w:webHidden/>
              </w:rPr>
              <w:fldChar w:fldCharType="separate"/>
            </w:r>
            <w:r w:rsidR="00443EEF">
              <w:rPr>
                <w:noProof/>
                <w:webHidden/>
              </w:rPr>
              <w:t>10</w:t>
            </w:r>
            <w:r w:rsidR="00443EEF">
              <w:rPr>
                <w:noProof/>
                <w:webHidden/>
              </w:rPr>
              <w:fldChar w:fldCharType="end"/>
            </w:r>
          </w:hyperlink>
        </w:p>
        <w:p w14:paraId="505F2CA0" w14:textId="7A14CB24" w:rsidR="00443EEF" w:rsidRDefault="00B44F79">
          <w:pPr>
            <w:pStyle w:val="TOC1"/>
            <w:rPr>
              <w:rFonts w:asciiTheme="minorHAnsi" w:eastAsiaTheme="minorEastAsia" w:hAnsiTheme="minorHAnsi" w:cstheme="minorBidi"/>
              <w:noProof/>
              <w:kern w:val="2"/>
              <w:sz w:val="24"/>
              <w:lang w:val="en-IE" w:eastAsia="en-IE"/>
              <w14:ligatures w14:val="standardContextual"/>
            </w:rPr>
          </w:pPr>
          <w:hyperlink w:anchor="_Toc192863150" w:history="1">
            <w:r w:rsidR="00443EEF" w:rsidRPr="00F2757C">
              <w:rPr>
                <w:rStyle w:val="Hyperlink"/>
                <w:noProof/>
              </w:rPr>
              <w:t>6.</w:t>
            </w:r>
            <w:r w:rsidR="00443EEF">
              <w:rPr>
                <w:rFonts w:asciiTheme="minorHAnsi" w:eastAsiaTheme="minorEastAsia" w:hAnsiTheme="minorHAnsi" w:cstheme="minorBidi"/>
                <w:noProof/>
                <w:kern w:val="2"/>
                <w:sz w:val="24"/>
                <w:lang w:val="en-IE" w:eastAsia="en-IE"/>
                <w14:ligatures w14:val="standardContextual"/>
              </w:rPr>
              <w:tab/>
            </w:r>
            <w:r w:rsidR="00443EEF" w:rsidRPr="00F2757C">
              <w:rPr>
                <w:rStyle w:val="Hyperlink"/>
                <w:noProof/>
              </w:rPr>
              <w:t>Další milníky ve druhé polovině roku 2024</w:t>
            </w:r>
            <w:r w:rsidR="00443EEF">
              <w:rPr>
                <w:noProof/>
                <w:webHidden/>
              </w:rPr>
              <w:tab/>
            </w:r>
            <w:r w:rsidR="00443EEF">
              <w:rPr>
                <w:noProof/>
                <w:webHidden/>
              </w:rPr>
              <w:fldChar w:fldCharType="begin"/>
            </w:r>
            <w:r w:rsidR="00443EEF">
              <w:rPr>
                <w:noProof/>
                <w:webHidden/>
              </w:rPr>
              <w:instrText xml:space="preserve"> PAGEREF _Toc192863150 \h </w:instrText>
            </w:r>
            <w:r w:rsidR="00443EEF">
              <w:rPr>
                <w:noProof/>
                <w:webHidden/>
              </w:rPr>
            </w:r>
            <w:r w:rsidR="00443EEF">
              <w:rPr>
                <w:noProof/>
                <w:webHidden/>
              </w:rPr>
              <w:fldChar w:fldCharType="separate"/>
            </w:r>
            <w:r w:rsidR="00443EEF">
              <w:rPr>
                <w:noProof/>
                <w:webHidden/>
              </w:rPr>
              <w:t>11</w:t>
            </w:r>
            <w:r w:rsidR="00443EEF">
              <w:rPr>
                <w:noProof/>
                <w:webHidden/>
              </w:rPr>
              <w:fldChar w:fldCharType="end"/>
            </w:r>
          </w:hyperlink>
        </w:p>
        <w:p w14:paraId="6E3FDF66" w14:textId="7D910804" w:rsidR="00443EEF" w:rsidRDefault="00B44F79">
          <w:pPr>
            <w:pStyle w:val="TOC1"/>
            <w:rPr>
              <w:rFonts w:asciiTheme="minorHAnsi" w:eastAsiaTheme="minorEastAsia" w:hAnsiTheme="minorHAnsi" w:cstheme="minorBidi"/>
              <w:noProof/>
              <w:kern w:val="2"/>
              <w:sz w:val="24"/>
              <w:lang w:val="en-IE" w:eastAsia="en-IE"/>
              <w14:ligatures w14:val="standardContextual"/>
            </w:rPr>
          </w:pPr>
          <w:hyperlink w:anchor="_Toc192863151" w:history="1">
            <w:r w:rsidR="00443EEF" w:rsidRPr="00F2757C">
              <w:rPr>
                <w:rStyle w:val="Hyperlink"/>
                <w:noProof/>
              </w:rPr>
              <w:t>7.</w:t>
            </w:r>
            <w:r w:rsidR="00443EEF">
              <w:rPr>
                <w:rFonts w:asciiTheme="minorHAnsi" w:eastAsiaTheme="minorEastAsia" w:hAnsiTheme="minorHAnsi" w:cstheme="minorBidi"/>
                <w:noProof/>
                <w:kern w:val="2"/>
                <w:sz w:val="24"/>
                <w:lang w:val="en-IE" w:eastAsia="en-IE"/>
                <w14:ligatures w14:val="standardContextual"/>
              </w:rPr>
              <w:tab/>
            </w:r>
            <w:r w:rsidR="00443EEF" w:rsidRPr="00F2757C">
              <w:rPr>
                <w:rStyle w:val="Hyperlink"/>
                <w:noProof/>
              </w:rPr>
              <w:t>Výhled týkající se emisí na první pololetí roku 2025</w:t>
            </w:r>
            <w:r w:rsidR="00443EEF">
              <w:rPr>
                <w:noProof/>
                <w:webHidden/>
              </w:rPr>
              <w:tab/>
            </w:r>
            <w:r w:rsidR="00443EEF">
              <w:rPr>
                <w:noProof/>
                <w:webHidden/>
              </w:rPr>
              <w:fldChar w:fldCharType="begin"/>
            </w:r>
            <w:r w:rsidR="00443EEF">
              <w:rPr>
                <w:noProof/>
                <w:webHidden/>
              </w:rPr>
              <w:instrText xml:space="preserve"> PAGEREF _Toc192863151 \h </w:instrText>
            </w:r>
            <w:r w:rsidR="00443EEF">
              <w:rPr>
                <w:noProof/>
                <w:webHidden/>
              </w:rPr>
            </w:r>
            <w:r w:rsidR="00443EEF">
              <w:rPr>
                <w:noProof/>
                <w:webHidden/>
              </w:rPr>
              <w:fldChar w:fldCharType="separate"/>
            </w:r>
            <w:r w:rsidR="00443EEF">
              <w:rPr>
                <w:noProof/>
                <w:webHidden/>
              </w:rPr>
              <w:t>12</w:t>
            </w:r>
            <w:r w:rsidR="00443EEF">
              <w:rPr>
                <w:noProof/>
                <w:webHidden/>
              </w:rPr>
              <w:fldChar w:fldCharType="end"/>
            </w:r>
          </w:hyperlink>
        </w:p>
        <w:p w14:paraId="33097789" w14:textId="236A2DC3" w:rsidR="008B6253" w:rsidRPr="00D3648A" w:rsidRDefault="00443EEF" w:rsidP="008B6253">
          <w:pPr>
            <w:rPr>
              <w:noProof/>
            </w:rPr>
          </w:pPr>
          <w:r>
            <w:rPr>
              <w:rFonts w:eastAsia="Times New Roman"/>
              <w:noProof/>
            </w:rPr>
            <w:fldChar w:fldCharType="end"/>
          </w:r>
        </w:p>
      </w:sdtContent>
    </w:sdt>
    <w:p w14:paraId="0D3B81B7" w14:textId="77777777" w:rsidR="008B6253" w:rsidRPr="00D3648A" w:rsidRDefault="008B6253" w:rsidP="008B6253">
      <w:pPr>
        <w:rPr>
          <w:noProof/>
        </w:rPr>
      </w:pPr>
    </w:p>
    <w:p w14:paraId="3EEBF846" w14:textId="77777777" w:rsidR="008B6253" w:rsidRPr="00D3648A" w:rsidRDefault="008B6253" w:rsidP="008B6253">
      <w:pPr>
        <w:rPr>
          <w:noProof/>
          <w:u w:val="single"/>
        </w:rPr>
        <w:sectPr w:rsidR="008B6253" w:rsidRPr="00D3648A" w:rsidSect="008B6253">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p w14:paraId="588F7376" w14:textId="6BFB4F71" w:rsidR="003F3D5E" w:rsidRDefault="00D76BD8" w:rsidP="63F8525A">
      <w:pPr>
        <w:spacing w:line="259" w:lineRule="auto"/>
        <w:jc w:val="center"/>
        <w:rPr>
          <w:rFonts w:cstheme="minorBidi"/>
          <w:b/>
          <w:bCs/>
          <w:noProof/>
          <w:color w:val="44546A" w:themeColor="text2"/>
          <w:sz w:val="28"/>
          <w:szCs w:val="28"/>
        </w:rPr>
      </w:pPr>
      <w:r>
        <w:rPr>
          <w:noProof/>
          <w:lang w:val="en-GB" w:eastAsia="en-GB"/>
        </w:rPr>
        <mc:AlternateContent>
          <mc:Choice Requires="wps">
            <w:drawing>
              <wp:anchor distT="0" distB="0" distL="114300" distR="114300" simplePos="0" relativeHeight="251658240" behindDoc="1" locked="0" layoutInCell="1" allowOverlap="1" wp14:anchorId="70181A18" wp14:editId="548D7741">
                <wp:simplePos x="0" y="0"/>
                <wp:positionH relativeFrom="column">
                  <wp:posOffset>0</wp:posOffset>
                </wp:positionH>
                <wp:positionV relativeFrom="paragraph">
                  <wp:posOffset>295910</wp:posOffset>
                </wp:positionV>
                <wp:extent cx="5731510" cy="1718310"/>
                <wp:effectExtent l="0" t="0" r="2540" b="0"/>
                <wp:wrapNone/>
                <wp:docPr id="784273698"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718310"/>
                        </a:xfrm>
                        <a:prstGeom prst="rect">
                          <a:avLst/>
                        </a:prstGeom>
                        <a:solidFill>
                          <a:srgbClr val="F5F5F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http://schemas.openxmlformats.org/drawingml/2006/chart" xmlns:a16="http://schemas.microsoft.com/office/drawing/2014/main"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rect id="Obdélník 5" style="position:absolute;margin-left:0;margin-top:23.3pt;width:451.3pt;height:1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f5f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" w14:anchorId="3A636226"/>
            </w:pict>
          </mc:Fallback>
        </mc:AlternateContent>
      </w:r>
      <w:r w:rsidR="000E5618">
        <w:rPr>
          <w:b/>
          <w:noProof/>
          <w:color w:val="44546A" w:themeColor="text2"/>
          <w:sz w:val="28"/>
        </w:rPr>
        <w:t>ZÍSKANÉ FINANČNÍ PROSTŘEDKY v 2. POL. ROKU 2024</w:t>
      </w:r>
    </w:p>
    <w:p w14:paraId="79CE8971" w14:textId="1B5C5444" w:rsidR="001A2134" w:rsidRPr="00CF5DC4" w:rsidRDefault="00CF5DC4" w:rsidP="00320534">
      <w:pPr>
        <w:spacing w:after="0" w:line="259" w:lineRule="auto"/>
        <w:jc w:val="center"/>
        <w:rPr>
          <w:rFonts w:asciiTheme="minorHAnsi" w:hAnsiTheme="minorHAnsi" w:cstheme="minorBidi"/>
          <w:noProof/>
          <w:szCs w:val="22"/>
        </w:rPr>
      </w:pPr>
      <w:r>
        <w:rPr>
          <w:rFonts w:asciiTheme="minorHAnsi" w:hAnsiTheme="minorHAnsi"/>
          <w:noProof/>
        </w:rPr>
        <w:t xml:space="preserve"> </w:t>
      </w:r>
      <w:r w:rsidR="00830857" w:rsidRPr="00830857">
        <w:rPr>
          <w:noProof/>
          <w:lang w:val="en-GB" w:eastAsia="en-GB"/>
        </w:rPr>
        <w:drawing>
          <wp:inline distT="0" distB="0" distL="0" distR="0" wp14:anchorId="73E25EFC" wp14:editId="211CA086">
            <wp:extent cx="4266000" cy="1576800"/>
            <wp:effectExtent l="0" t="0" r="0" b="0"/>
            <wp:docPr id="177926715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67152" name="Obrázek 1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266000" cy="1576800"/>
                    </a:xfrm>
                    <a:prstGeom prst="rect">
                      <a:avLst/>
                    </a:prstGeom>
                    <a:noFill/>
                    <a:ln>
                      <a:noFill/>
                    </a:ln>
                  </pic:spPr>
                </pic:pic>
              </a:graphicData>
            </a:graphic>
          </wp:inline>
        </w:drawing>
      </w:r>
    </w:p>
    <w:p w14:paraId="6A3FF716" w14:textId="77777777" w:rsidR="00D30EF9" w:rsidRDefault="00D30EF9" w:rsidP="00E14B07">
      <w:pPr>
        <w:spacing w:before="360" w:after="0"/>
        <w:jc w:val="center"/>
        <w:rPr>
          <w:b/>
          <w:noProof/>
          <w:color w:val="44546A" w:themeColor="text2"/>
          <w:sz w:val="28"/>
        </w:rPr>
      </w:pPr>
    </w:p>
    <w:p w14:paraId="0E09A041" w14:textId="5224D659" w:rsidR="00F97153" w:rsidRPr="00F97153" w:rsidRDefault="00AF3092" w:rsidP="00E14B07">
      <w:pPr>
        <w:spacing w:before="360" w:after="0"/>
        <w:jc w:val="center"/>
        <w:rPr>
          <w:b/>
          <w:bCs/>
          <w:noProof/>
          <w:color w:val="44546A" w:themeColor="text2"/>
          <w:sz w:val="28"/>
          <w:szCs w:val="28"/>
        </w:rPr>
      </w:pPr>
      <w:r>
        <w:rPr>
          <w:b/>
          <w:noProof/>
          <w:color w:val="44546A" w:themeColor="text2"/>
          <w:sz w:val="28"/>
        </w:rPr>
        <w:t>VYUŽITÍ VÝNOSŮ</w:t>
      </w:r>
    </w:p>
    <w:p w14:paraId="6EAAFF33" w14:textId="31E4A27D" w:rsidR="009E132D" w:rsidRDefault="006067E8" w:rsidP="00E06416">
      <w:pPr>
        <w:rPr>
          <w:noProof/>
        </w:rPr>
      </w:pPr>
      <w:r>
        <w:rPr>
          <w:noProof/>
          <w:lang w:val="en-GB" w:eastAsia="en-GB"/>
        </w:rPr>
        <mc:AlternateContent>
          <mc:Choice Requires="wpg">
            <w:drawing>
              <wp:anchor distT="0" distB="0" distL="114300" distR="114300" simplePos="0" relativeHeight="251658243" behindDoc="0" locked="0" layoutInCell="1" allowOverlap="1" wp14:anchorId="3B1A3AE8" wp14:editId="47B5B49E">
                <wp:simplePos x="0" y="0"/>
                <wp:positionH relativeFrom="column">
                  <wp:posOffset>482321</wp:posOffset>
                </wp:positionH>
                <wp:positionV relativeFrom="paragraph">
                  <wp:posOffset>109471</wp:posOffset>
                </wp:positionV>
                <wp:extent cx="2293620" cy="406400"/>
                <wp:effectExtent l="0" t="0" r="11430" b="12700"/>
                <wp:wrapNone/>
                <wp:docPr id="200941879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406400"/>
                          <a:chOff x="2124" y="5264"/>
                          <a:chExt cx="3612" cy="640"/>
                        </a:xfrm>
                      </wpg:grpSpPr>
                      <wps:wsp>
                        <wps:cNvPr id="1643768687" name="AutoShape 23"/>
                        <wps:cNvSpPr>
                          <a:spLocks/>
                        </wps:cNvSpPr>
                        <wps:spPr bwMode="auto">
                          <a:xfrm rot="-5400000">
                            <a:off x="3824" y="3993"/>
                            <a:ext cx="211" cy="3612"/>
                          </a:xfrm>
                          <a:prstGeom prst="rightBracket">
                            <a:avLst>
                              <a:gd name="adj" fmla="val 80520"/>
                            </a:avLst>
                          </a:prstGeom>
                          <a:noFill/>
                          <a:ln w="127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0510447" name="Text Box 16"/>
                        <wps:cNvSpPr txBox="1">
                          <a:spLocks noChangeArrowheads="1"/>
                        </wps:cNvSpPr>
                        <wps:spPr bwMode="auto">
                          <a:xfrm>
                            <a:off x="2628" y="5264"/>
                            <a:ext cx="2423" cy="64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374DB" w14:textId="1348C10C" w:rsidR="00BD7489" w:rsidRPr="00544DEE" w:rsidRDefault="00BD7489" w:rsidP="00BD7489">
                              <w:pPr>
                                <w:jc w:val="center"/>
                                <w:rPr>
                                  <w:b/>
                                  <w:bCs/>
                                  <w:color w:val="44546A" w:themeColor="text2"/>
                                  <w:sz w:val="20"/>
                                  <w:szCs w:val="20"/>
                                </w:rPr>
                              </w:pPr>
                              <w:r>
                                <w:rPr>
                                  <w:b/>
                                  <w:color w:val="44546A" w:themeColor="text2"/>
                                  <w:sz w:val="20"/>
                                </w:rPr>
                                <w:t>Celkem nástroj NextGenerationEU 72,2 miliardy EUR</w:t>
                              </w:r>
                            </w:p>
                            <w:p w14:paraId="5F150A92" w14:textId="77777777" w:rsidR="00BD7489" w:rsidRDefault="00BD7489"/>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A3AE8" id="Group 39" o:spid="_x0000_s1026" style="position:absolute;left:0;text-align:left;margin-left:38pt;margin-top:8.6pt;width:180.6pt;height:32pt;z-index:251658243" coordorigin="2124,5264" coordsize="361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o:spid="_x0000_s1027" type="#_x0000_t86" style="position:absolute;left:3824;top:3993;width:211;height:36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" adj="1016" strokecolor="#44546a [3215]" strokeweight="1pt"/>
                <v:shapetype id="_x0000_t202" coordsize="21600,21600" o:spt="202" path="m,l,21600r21600,l21600,xe">
                  <v:stroke joinstyle="miter"/>
                  <v:path gradientshapeok="t" o:connecttype="rect"/>
                </v:shapetype>
                <v:shape id="Text Box 16" o:spid="_x0000_s1028" type="#_x0000_t202" style="position:absolute;left:2628;top:5264;width:2423;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" fillcolor="#f5f5f5" stroked="f">
                  <v:textbox inset="0,,0">
                    <w:txbxContent>
                      <w:p w14:paraId="454374DB" w14:textId="1348C10C" w:rsidR="00BD7489" w:rsidRPr="00544DEE" w:rsidRDefault="00BD7489" w:rsidP="00BD7489">
                        <w:pPr>
                          <w:jc w:val="center"/>
                          <w:rPr>
                            <w:b/>
                            <w:bCs/>
                            <w:color w:val="44546A" w:themeColor="text2"/>
                            <w:sz w:val="20"/>
                            <w:szCs w:val="20"/>
                          </w:rPr>
                        </w:pPr>
                        <w:r>
                          <w:rPr>
                            <w:b/>
                            <w:color w:val="44546A" w:themeColor="text2"/>
                            <w:sz w:val="20"/>
                          </w:rPr>
                          <w:t>Celkem nástroj NextGenerationEU 72,2 miliardy EUR</w:t>
                        </w:r>
                      </w:p>
                      <w:p w14:paraId="5F150A92" w14:textId="77777777" w:rsidR="00BD7489" w:rsidRDefault="00BD7489"/>
                    </w:txbxContent>
                  </v:textbox>
                </v:shape>
              </v:group>
            </w:pict>
          </mc:Fallback>
        </mc:AlternateContent>
      </w:r>
      <w:r w:rsidR="00D76BD8">
        <w:rPr>
          <w:noProof/>
          <w:lang w:val="en-GB" w:eastAsia="en-GB"/>
        </w:rPr>
        <mc:AlternateContent>
          <mc:Choice Requires="wps">
            <w:drawing>
              <wp:anchor distT="0" distB="0" distL="114300" distR="114300" simplePos="0" relativeHeight="251658245" behindDoc="0" locked="0" layoutInCell="1" allowOverlap="1" wp14:anchorId="45E2C28F" wp14:editId="2B3A5BEB">
                <wp:simplePos x="0" y="0"/>
                <wp:positionH relativeFrom="column">
                  <wp:posOffset>4350774</wp:posOffset>
                </wp:positionH>
                <wp:positionV relativeFrom="paragraph">
                  <wp:posOffset>107233</wp:posOffset>
                </wp:positionV>
                <wp:extent cx="1369306" cy="259080"/>
                <wp:effectExtent l="0" t="0" r="0" b="7620"/>
                <wp:wrapNone/>
                <wp:docPr id="1927479527"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306" cy="259080"/>
                        </a:xfrm>
                        <a:prstGeom prst="rect">
                          <a:avLst/>
                        </a:prstGeom>
                        <a:noFill/>
                        <a:ln w="6350">
                          <a:noFill/>
                        </a:ln>
                      </wps:spPr>
                      <wps:txbx>
                        <w:txbxContent>
                          <w:p w14:paraId="4C6E9CB0" w14:textId="15CEC246" w:rsidR="0060139C" w:rsidRPr="00F169EB" w:rsidRDefault="0060139C" w:rsidP="0060139C">
                            <w:pPr>
                              <w:jc w:val="center"/>
                              <w:rPr>
                                <w:color w:val="034EA2" w:themeColor="accent1"/>
                                <w:sz w:val="24"/>
                              </w:rPr>
                            </w:pPr>
                            <w:r>
                              <w:rPr>
                                <w:color w:val="034EA2" w:themeColor="accent1"/>
                                <w:sz w:val="24"/>
                              </w:rPr>
                              <w:t>2. pololetí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2C28F" id="Textové pole 3" o:spid="_x0000_s1029" type="#_x0000_t202" style="position:absolute;left:0;text-align:left;margin-left:342.6pt;margin-top:8.45pt;width:107.8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" filled="f" stroked="f" strokeweight=".5pt">
                <v:path arrowok="t"/>
                <v:textbox>
                  <w:txbxContent>
                    <w:p w14:paraId="4C6E9CB0" w14:textId="15CEC246" w:rsidR="0060139C" w:rsidRPr="00F169EB" w:rsidRDefault="0060139C" w:rsidP="0060139C">
                      <w:pPr>
                        <w:jc w:val="center"/>
                        <w:rPr>
                          <w:color w:val="034EA2" w:themeColor="accent1"/>
                          <w:sz w:val="24"/>
                        </w:rPr>
                      </w:pPr>
                      <w:r>
                        <w:rPr>
                          <w:color w:val="034EA2" w:themeColor="accent1"/>
                          <w:sz w:val="24"/>
                        </w:rPr>
                        <w:t>2. pololetí 2024</w:t>
                      </w:r>
                    </w:p>
                  </w:txbxContent>
                </v:textbox>
              </v:shape>
            </w:pict>
          </mc:Fallback>
        </mc:AlternateContent>
      </w:r>
      <w:r w:rsidR="00D76BD8">
        <w:rPr>
          <w:b/>
          <w:noProof/>
          <w:color w:val="44546A" w:themeColor="text2"/>
          <w:sz w:val="28"/>
          <w:lang w:val="en-GB" w:eastAsia="en-GB"/>
        </w:rPr>
        <mc:AlternateContent>
          <mc:Choice Requires="wps">
            <w:drawing>
              <wp:anchor distT="0" distB="0" distL="114300" distR="114300" simplePos="0" relativeHeight="251658242" behindDoc="1" locked="0" layoutInCell="1" allowOverlap="1" wp14:anchorId="6E37AB4C" wp14:editId="4F0F0F37">
                <wp:simplePos x="0" y="0"/>
                <wp:positionH relativeFrom="column">
                  <wp:posOffset>-7620</wp:posOffset>
                </wp:positionH>
                <wp:positionV relativeFrom="paragraph">
                  <wp:posOffset>28575</wp:posOffset>
                </wp:positionV>
                <wp:extent cx="5731510" cy="2678430"/>
                <wp:effectExtent l="1905" t="0" r="635" b="635"/>
                <wp:wrapNone/>
                <wp:docPr id="15574885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67843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Rectangle 21" style="position:absolute;margin-left:-.6pt;margin-top:2.25pt;width:451.3pt;height:210.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5f5f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" w14:anchorId="4AED5F62"/>
            </w:pict>
          </mc:Fallback>
        </mc:AlternateContent>
      </w:r>
    </w:p>
    <w:p w14:paraId="02D365E7" w14:textId="3EF315EF" w:rsidR="00E06416" w:rsidRPr="009E155D" w:rsidRDefault="00E06416" w:rsidP="00E06416">
      <w:pPr>
        <w:rPr>
          <w:noProof/>
        </w:rPr>
      </w:pPr>
    </w:p>
    <w:p w14:paraId="0ACBC32F" w14:textId="5DEE3D5B" w:rsidR="002B627C" w:rsidRDefault="00D50C01" w:rsidP="00E06416">
      <w:pPr>
        <w:rPr>
          <w:noProof/>
        </w:rPr>
      </w:pPr>
      <w:r w:rsidRPr="00D50C01">
        <w:rPr>
          <w:noProof/>
          <w:lang w:val="en-GB" w:eastAsia="en-GB"/>
        </w:rPr>
        <w:drawing>
          <wp:inline distT="0" distB="0" distL="0" distR="0" wp14:anchorId="484D6F39" wp14:editId="018CF8E0">
            <wp:extent cx="5583272" cy="2339340"/>
            <wp:effectExtent l="0" t="0" r="0" b="0"/>
            <wp:docPr id="1201989629"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89629" name="Obrázek 2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599312" cy="2346061"/>
                    </a:xfrm>
                    <a:prstGeom prst="rect">
                      <a:avLst/>
                    </a:prstGeom>
                    <a:noFill/>
                    <a:ln>
                      <a:noFill/>
                    </a:ln>
                  </pic:spPr>
                </pic:pic>
              </a:graphicData>
            </a:graphic>
          </wp:inline>
        </w:drawing>
      </w:r>
    </w:p>
    <w:p w14:paraId="23FAC418" w14:textId="1F105CBC" w:rsidR="00E06416" w:rsidRPr="00E06416" w:rsidRDefault="0060544B" w:rsidP="00E06416">
      <w:pPr>
        <w:rPr>
          <w:noProof/>
        </w:rPr>
      </w:pPr>
      <w:r>
        <w:rPr>
          <w:noProof/>
          <w:lang w:val="en-GB" w:eastAsia="en-GB"/>
        </w:rPr>
        <mc:AlternateContent>
          <mc:Choice Requires="wps">
            <w:drawing>
              <wp:anchor distT="0" distB="0" distL="114300" distR="114300" simplePos="0" relativeHeight="251658246" behindDoc="0" locked="0" layoutInCell="1" allowOverlap="1" wp14:anchorId="60EE82D1" wp14:editId="4A50CBCF">
                <wp:simplePos x="0" y="0"/>
                <wp:positionH relativeFrom="margin">
                  <wp:posOffset>3637503</wp:posOffset>
                </wp:positionH>
                <wp:positionV relativeFrom="paragraph">
                  <wp:posOffset>241342</wp:posOffset>
                </wp:positionV>
                <wp:extent cx="2091655" cy="259080"/>
                <wp:effectExtent l="0" t="0" r="0" b="7620"/>
                <wp:wrapNone/>
                <wp:docPr id="85791751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655" cy="259080"/>
                        </a:xfrm>
                        <a:prstGeom prst="rect">
                          <a:avLst/>
                        </a:prstGeom>
                        <a:noFill/>
                        <a:ln w="6350">
                          <a:noFill/>
                        </a:ln>
                      </wps:spPr>
                      <wps:txbx>
                        <w:txbxContent>
                          <w:p w14:paraId="70C922DE" w14:textId="77777777" w:rsidR="00AB4083" w:rsidRPr="00F169EB" w:rsidRDefault="00AB4083" w:rsidP="00AB4083">
                            <w:pPr>
                              <w:jc w:val="right"/>
                              <w:rPr>
                                <w:color w:val="034EA2" w:themeColor="accent1"/>
                                <w:sz w:val="24"/>
                              </w:rPr>
                            </w:pPr>
                            <w:r>
                              <w:rPr>
                                <w:color w:val="034EA2" w:themeColor="accent1"/>
                                <w:sz w:val="24"/>
                              </w:rPr>
                              <w:t>Od zahájení programu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E82D1" id="Textové pole 1" o:spid="_x0000_s1030" type="#_x0000_t202" style="position:absolute;left:0;text-align:left;margin-left:286.4pt;margin-top:19pt;width:164.7pt;height:20.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" filled="f" stroked="f" strokeweight=".5pt">
                <v:path arrowok="t"/>
                <v:textbox>
                  <w:txbxContent>
                    <w:p w14:paraId="70C922DE" w14:textId="77777777" w:rsidR="00AB4083" w:rsidRPr="00F169EB" w:rsidRDefault="00AB4083" w:rsidP="00AB4083">
                      <w:pPr>
                        <w:jc w:val="right"/>
                        <w:rPr>
                          <w:color w:val="034EA2" w:themeColor="accent1"/>
                          <w:sz w:val="24"/>
                        </w:rPr>
                      </w:pPr>
                      <w:r>
                        <w:rPr>
                          <w:color w:val="034EA2" w:themeColor="accent1"/>
                          <w:sz w:val="24"/>
                        </w:rPr>
                        <w:t>Od zahájení programu</w:t>
                      </w:r>
                    </w:p>
                  </w:txbxContent>
                </v:textbox>
                <w10:wrap anchorx="margin"/>
              </v:shape>
            </w:pict>
          </mc:Fallback>
        </mc:AlternateContent>
      </w:r>
      <w:r w:rsidR="00D76BD8">
        <w:rPr>
          <w:b/>
          <w:noProof/>
          <w:color w:val="44546A" w:themeColor="text2"/>
          <w:sz w:val="28"/>
          <w:lang w:val="en-GB" w:eastAsia="en-GB"/>
        </w:rPr>
        <mc:AlternateContent>
          <mc:Choice Requires="wps">
            <w:drawing>
              <wp:anchor distT="0" distB="0" distL="114300" distR="114300" simplePos="0" relativeHeight="251658241" behindDoc="1" locked="0" layoutInCell="1" allowOverlap="1" wp14:anchorId="6E37AB4C" wp14:editId="0B591E12">
                <wp:simplePos x="0" y="0"/>
                <wp:positionH relativeFrom="column">
                  <wp:posOffset>75363</wp:posOffset>
                </wp:positionH>
                <wp:positionV relativeFrom="paragraph">
                  <wp:posOffset>203688</wp:posOffset>
                </wp:positionV>
                <wp:extent cx="5370844" cy="3153410"/>
                <wp:effectExtent l="0" t="0" r="1270" b="8890"/>
                <wp:wrapNone/>
                <wp:docPr id="175106067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844" cy="315341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http://schemas.openxmlformats.org/drawingml/2006/chart" xmlns:a16="http://schemas.microsoft.com/office/drawing/2014/main"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rect id="Rectangle 22" style="position:absolute;margin-left:5.95pt;margin-top:16.05pt;width:422.9pt;height:248.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5f5f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" w14:anchorId="301A1A67"/>
            </w:pict>
          </mc:Fallback>
        </mc:AlternateContent>
      </w:r>
      <w:r w:rsidR="00D76BD8">
        <w:rPr>
          <w:noProof/>
          <w:lang w:val="en-GB" w:eastAsia="en-GB"/>
        </w:rPr>
        <mc:AlternateContent>
          <mc:Choice Requires="wpg">
            <w:drawing>
              <wp:anchor distT="0" distB="0" distL="114300" distR="114300" simplePos="0" relativeHeight="251658244" behindDoc="0" locked="0" layoutInCell="1" allowOverlap="1" wp14:anchorId="09B90781" wp14:editId="2024F552">
                <wp:simplePos x="0" y="0"/>
                <wp:positionH relativeFrom="column">
                  <wp:posOffset>605155</wp:posOffset>
                </wp:positionH>
                <wp:positionV relativeFrom="paragraph">
                  <wp:posOffset>201295</wp:posOffset>
                </wp:positionV>
                <wp:extent cx="2293620" cy="396240"/>
                <wp:effectExtent l="14605" t="2540" r="6350" b="1270"/>
                <wp:wrapNone/>
                <wp:docPr id="204654411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396240"/>
                          <a:chOff x="2916" y="10815"/>
                          <a:chExt cx="3612" cy="624"/>
                        </a:xfrm>
                      </wpg:grpSpPr>
                      <wps:wsp>
                        <wps:cNvPr id="1804516614" name="AutoShape 24"/>
                        <wps:cNvSpPr>
                          <a:spLocks/>
                        </wps:cNvSpPr>
                        <wps:spPr bwMode="auto">
                          <a:xfrm rot="-5400000">
                            <a:off x="4616" y="9460"/>
                            <a:ext cx="211" cy="3612"/>
                          </a:xfrm>
                          <a:prstGeom prst="rightBracket">
                            <a:avLst>
                              <a:gd name="adj" fmla="val 80520"/>
                            </a:avLst>
                          </a:prstGeom>
                          <a:noFill/>
                          <a:ln w="127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5480940" name="Rectangle 19"/>
                        <wps:cNvSpPr>
                          <a:spLocks noChangeArrowheads="1"/>
                        </wps:cNvSpPr>
                        <wps:spPr bwMode="auto">
                          <a:xfrm>
                            <a:off x="3454" y="10815"/>
                            <a:ext cx="2551" cy="624"/>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D2301" w14:textId="5FED7DF4" w:rsidR="00A86EB0" w:rsidRPr="00A86EB0" w:rsidRDefault="00A86EB0" w:rsidP="00A86EB0">
                              <w:pPr>
                                <w:spacing w:after="0"/>
                                <w:jc w:val="center"/>
                                <w:rPr>
                                  <w:b/>
                                  <w:bCs/>
                                  <w:color w:val="44546A" w:themeColor="text2"/>
                                  <w:sz w:val="20"/>
                                  <w:szCs w:val="20"/>
                                </w:rPr>
                              </w:pPr>
                              <w:r>
                                <w:rPr>
                                  <w:b/>
                                  <w:color w:val="44546A" w:themeColor="text2"/>
                                  <w:sz w:val="20"/>
                                </w:rPr>
                                <w:t>Celkem nástroj NextGenerationEU 365,8 miliardy EUR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90781" id="Group 40" o:spid="_x0000_s1031" style="position:absolute;left:0;text-align:left;margin-left:47.65pt;margin-top:15.85pt;width:180.6pt;height:31.2pt;z-index:251658244" coordorigin="2916,10815" coordsize="361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">
                <v:shape id="AutoShape 24" o:spid="_x0000_s1032" type="#_x0000_t86" style="position:absolute;left:4616;top:9460;width:211;height:36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" adj="1016" strokecolor="#44546a [3215]" strokeweight="1pt"/>
                <v:rect id="Rectangle 19" o:spid="_x0000_s1033" style="position:absolute;left:3454;top:10815;width:255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" fillcolor="#f5f5f5" stroked="f">
                  <v:textbox>
                    <w:txbxContent>
                      <w:p w14:paraId="759D2301" w14:textId="5FED7DF4" w:rsidR="00A86EB0" w:rsidRPr="00A86EB0" w:rsidRDefault="00A86EB0" w:rsidP="00A86EB0">
                        <w:pPr>
                          <w:spacing w:after="0"/>
                          <w:jc w:val="center"/>
                          <w:rPr>
                            <w:b/>
                            <w:bCs/>
                            <w:color w:val="44546A" w:themeColor="text2"/>
                            <w:sz w:val="20"/>
                            <w:szCs w:val="20"/>
                          </w:rPr>
                        </w:pPr>
                        <w:r>
                          <w:rPr>
                            <w:b/>
                            <w:color w:val="44546A" w:themeColor="text2"/>
                            <w:sz w:val="20"/>
                          </w:rPr>
                          <w:t>Celkem nástroj NextGenerationEU 365,8 miliardy EUR</w:t>
                        </w:r>
                      </w:p>
                    </w:txbxContent>
                  </v:textbox>
                </v:rect>
              </v:group>
            </w:pict>
          </mc:Fallback>
        </mc:AlternateContent>
      </w:r>
    </w:p>
    <w:p w14:paraId="611BEB9A" w14:textId="4D0B39F8" w:rsidR="00E06416" w:rsidRPr="0068501F" w:rsidRDefault="00E06416" w:rsidP="0068501F">
      <w:pPr>
        <w:rPr>
          <w:noProof/>
        </w:rPr>
      </w:pPr>
    </w:p>
    <w:p w14:paraId="48B59401" w14:textId="48F972C9" w:rsidR="00992168" w:rsidRDefault="00D50C01" w:rsidP="00992168">
      <w:pPr>
        <w:rPr>
          <w:noProof/>
        </w:rPr>
      </w:pPr>
      <w:r w:rsidRPr="00D50C01">
        <w:rPr>
          <w:noProof/>
          <w:lang w:val="en-GB" w:eastAsia="en-GB"/>
        </w:rPr>
        <w:drawing>
          <wp:inline distT="0" distB="0" distL="0" distR="0" wp14:anchorId="40ABD140" wp14:editId="254796A6">
            <wp:extent cx="5335675" cy="2465535"/>
            <wp:effectExtent l="0" t="0" r="0" b="0"/>
            <wp:docPr id="1971162063"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62063" name="Obrázek 2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358231" cy="2475958"/>
                    </a:xfrm>
                    <a:prstGeom prst="rect">
                      <a:avLst/>
                    </a:prstGeom>
                    <a:noFill/>
                    <a:ln>
                      <a:noFill/>
                    </a:ln>
                  </pic:spPr>
                </pic:pic>
              </a:graphicData>
            </a:graphic>
          </wp:inline>
        </w:drawing>
      </w:r>
    </w:p>
    <w:p w14:paraId="5EE11BE6" w14:textId="526AB97F" w:rsidR="00E5220D" w:rsidRDefault="00E5220D" w:rsidP="00E5220D">
      <w:pPr>
        <w:spacing w:line="259" w:lineRule="auto"/>
        <w:jc w:val="right"/>
        <w:rPr>
          <w:b/>
          <w:noProof/>
          <w:color w:val="44546A" w:themeColor="text2"/>
          <w:sz w:val="28"/>
        </w:rPr>
      </w:pPr>
      <w:r>
        <w:rPr>
          <w:noProof/>
          <w:lang w:val="en-GB" w:eastAsia="en-GB"/>
        </w:rPr>
        <mc:AlternateContent>
          <mc:Choice Requires="wps">
            <w:drawing>
              <wp:anchor distT="0" distB="0" distL="114300" distR="114300" simplePos="0" relativeHeight="251660297" behindDoc="0" locked="0" layoutInCell="1" allowOverlap="1" wp14:anchorId="635B3073" wp14:editId="3C5E9A86">
                <wp:simplePos x="0" y="0"/>
                <wp:positionH relativeFrom="column">
                  <wp:posOffset>0</wp:posOffset>
                </wp:positionH>
                <wp:positionV relativeFrom="page">
                  <wp:posOffset>914400</wp:posOffset>
                </wp:positionV>
                <wp:extent cx="1417320" cy="479679"/>
                <wp:effectExtent l="0" t="0" r="0" b="0"/>
                <wp:wrapNone/>
                <wp:docPr id="17146893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479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1905" w14:textId="77777777" w:rsidR="00E5220D" w:rsidRPr="00BB07E3" w:rsidRDefault="00E5220D" w:rsidP="00E5220D">
                            <w:pPr>
                              <w:jc w:val="center"/>
                              <w:rPr>
                                <w:color w:val="595959" w:themeColor="text1" w:themeTint="A6"/>
                              </w:rPr>
                            </w:pPr>
                            <w:r>
                              <w:rPr>
                                <w:i/>
                                <w:color w:val="595959" w:themeColor="text1" w:themeTint="A6"/>
                                <w:sz w:val="18"/>
                              </w:rPr>
                              <w:t>Všechny částky jsou v miliardách EUR</w:t>
                            </w:r>
                          </w:p>
                          <w:p w14:paraId="77CEC50F" w14:textId="77777777" w:rsidR="00E5220D" w:rsidRPr="00BB07E3" w:rsidRDefault="00E5220D" w:rsidP="00E5220D">
                            <w:pPr>
                              <w:jc w:val="center"/>
                              <w:rPr>
                                <w:color w:val="595959" w:themeColor="text1" w:themeTint="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B3073" id="Text Box 41" o:spid="_x0000_s1034" type="#_x0000_t202" style="position:absolute;left:0;text-align:left;margin-left:0;margin-top:1in;width:111.6pt;height:37.7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" filled="f" stroked="f">
                <v:textbox>
                  <w:txbxContent>
                    <w:p w14:paraId="68EA1905" w14:textId="77777777" w:rsidR="00E5220D" w:rsidRPr="00BB07E3" w:rsidRDefault="00E5220D" w:rsidP="00E5220D">
                      <w:pPr>
                        <w:jc w:val="center"/>
                        <w:rPr>
                          <w:color w:val="595959" w:themeColor="text1" w:themeTint="A6"/>
                        </w:rPr>
                      </w:pPr>
                      <w:r>
                        <w:rPr>
                          <w:i/>
                          <w:color w:val="595959" w:themeColor="text1" w:themeTint="A6"/>
                          <w:sz w:val="18"/>
                        </w:rPr>
                        <w:t>Všechny částky jsou v miliardách EUR</w:t>
                      </w:r>
                    </w:p>
                    <w:p w14:paraId="77CEC50F" w14:textId="77777777" w:rsidR="00E5220D" w:rsidRPr="00BB07E3" w:rsidRDefault="00E5220D" w:rsidP="00E5220D">
                      <w:pPr>
                        <w:jc w:val="center"/>
                        <w:rPr>
                          <w:color w:val="595959" w:themeColor="text1" w:themeTint="A6"/>
                        </w:rPr>
                      </w:pPr>
                    </w:p>
                  </w:txbxContent>
                </v:textbox>
                <w10:wrap anchory="page"/>
              </v:shape>
            </w:pict>
          </mc:Fallback>
        </mc:AlternateContent>
      </w:r>
    </w:p>
    <w:p w14:paraId="050DED13" w14:textId="77777777" w:rsidR="00E5220D" w:rsidRDefault="00E5220D" w:rsidP="00A11F51">
      <w:pPr>
        <w:spacing w:line="259" w:lineRule="auto"/>
        <w:jc w:val="left"/>
        <w:rPr>
          <w:b/>
          <w:noProof/>
          <w:color w:val="44546A" w:themeColor="text2"/>
          <w:sz w:val="28"/>
        </w:rPr>
      </w:pPr>
    </w:p>
    <w:p w14:paraId="429A8B76" w14:textId="07669279" w:rsidR="00AA6602" w:rsidRDefault="00A11F51" w:rsidP="00A11F51">
      <w:pPr>
        <w:spacing w:line="259" w:lineRule="auto"/>
        <w:jc w:val="left"/>
        <w:rPr>
          <w:rFonts w:cstheme="minorBidi"/>
          <w:b/>
          <w:bCs/>
          <w:noProof/>
          <w:color w:val="44546A" w:themeColor="text2"/>
          <w:szCs w:val="22"/>
        </w:rPr>
      </w:pPr>
      <w:r>
        <w:rPr>
          <w:b/>
          <w:noProof/>
          <w:color w:val="44546A" w:themeColor="text2"/>
          <w:sz w:val="28"/>
        </w:rPr>
        <w:t xml:space="preserve">NESPLACENÉ DLUHOPISY EU </w:t>
      </w:r>
      <w:r>
        <w:rPr>
          <w:b/>
          <w:noProof/>
          <w:color w:val="44546A" w:themeColor="text2"/>
          <w:sz w:val="28"/>
        </w:rPr>
        <w:br/>
      </w:r>
      <w:r>
        <w:rPr>
          <w:noProof/>
          <w:color w:val="44546A" w:themeColor="text2"/>
        </w:rPr>
        <w:t>ke dni 31. prosince 2024</w:t>
      </w:r>
      <w:r>
        <w:rPr>
          <w:b/>
          <w:noProof/>
          <w:color w:val="44546A" w:themeColor="text2"/>
        </w:rPr>
        <w:t xml:space="preserve"> </w:t>
      </w:r>
    </w:p>
    <w:p w14:paraId="18FC3C27" w14:textId="4BC897B6" w:rsidR="00E01E9C" w:rsidRDefault="00473001" w:rsidP="00A11F51">
      <w:pPr>
        <w:spacing w:line="259" w:lineRule="auto"/>
        <w:jc w:val="left"/>
        <w:rPr>
          <w:rFonts w:cstheme="minorBidi"/>
          <w:b/>
          <w:bCs/>
          <w:noProof/>
          <w:color w:val="44546A" w:themeColor="text2"/>
          <w:szCs w:val="22"/>
        </w:rPr>
      </w:pPr>
      <w:r w:rsidRPr="00473001">
        <w:rPr>
          <w:noProof/>
          <w:lang w:val="en-GB" w:eastAsia="en-GB"/>
        </w:rPr>
        <w:drawing>
          <wp:inline distT="0" distB="0" distL="0" distR="0" wp14:anchorId="0BF75424" wp14:editId="46BFEBDF">
            <wp:extent cx="4626610" cy="1073150"/>
            <wp:effectExtent l="0" t="0" r="2540" b="0"/>
            <wp:docPr id="994109117"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26610" cy="1073150"/>
                    </a:xfrm>
                    <a:prstGeom prst="rect">
                      <a:avLst/>
                    </a:prstGeom>
                    <a:noFill/>
                    <a:ln>
                      <a:noFill/>
                    </a:ln>
                  </pic:spPr>
                </pic:pic>
              </a:graphicData>
            </a:graphic>
          </wp:inline>
        </w:drawing>
      </w:r>
    </w:p>
    <w:p w14:paraId="1B97669D" w14:textId="34D1356F" w:rsidR="00C9543F" w:rsidRPr="00DC4A1B" w:rsidRDefault="00D76BD8" w:rsidP="00A11F51">
      <w:pPr>
        <w:spacing w:line="259" w:lineRule="auto"/>
        <w:jc w:val="left"/>
        <w:rPr>
          <w:rFonts w:asciiTheme="minorHAnsi" w:hAnsiTheme="minorHAnsi" w:cstheme="minorBidi"/>
          <w:noProof/>
          <w:szCs w:val="22"/>
        </w:rPr>
      </w:pPr>
      <w:r>
        <w:rPr>
          <w:rFonts w:asciiTheme="minorHAnsi" w:hAnsiTheme="minorHAnsi"/>
          <w:noProof/>
          <w:lang w:val="en-GB" w:eastAsia="en-GB"/>
        </w:rPr>
        <mc:AlternateContent>
          <mc:Choice Requires="wpg">
            <w:drawing>
              <wp:inline distT="0" distB="0" distL="0" distR="0" wp14:anchorId="6C98F9D9" wp14:editId="347D48A0">
                <wp:extent cx="5567045" cy="922655"/>
                <wp:effectExtent l="0" t="0" r="0" b="0"/>
                <wp:docPr id="22681834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045" cy="922655"/>
                          <a:chOff x="1440" y="4476"/>
                          <a:chExt cx="8767" cy="1453"/>
                        </a:xfrm>
                      </wpg:grpSpPr>
                      <wpg:grpSp>
                        <wpg:cNvPr id="1799165144" name="Group 46"/>
                        <wpg:cNvGrpSpPr>
                          <a:grpSpLocks/>
                        </wpg:cNvGrpSpPr>
                        <wpg:grpSpPr bwMode="auto">
                          <a:xfrm>
                            <a:off x="1440" y="4555"/>
                            <a:ext cx="2734" cy="664"/>
                            <a:chOff x="0" y="74"/>
                            <a:chExt cx="14722" cy="4221"/>
                          </a:xfrm>
                        </wpg:grpSpPr>
                        <wps:wsp>
                          <wps:cNvPr id="579315414" name="TextBox 25"/>
                          <wps:cNvSpPr txBox="1">
                            <a:spLocks noChangeArrowheads="1"/>
                          </wps:cNvSpPr>
                          <wps:spPr bwMode="auto">
                            <a:xfrm>
                              <a:off x="538" y="74"/>
                              <a:ext cx="14184" cy="4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FE4B" w14:textId="648E877D" w:rsidR="00C25F02" w:rsidRPr="00C9543F" w:rsidRDefault="00C25F02" w:rsidP="00C25F02">
                                <w:pPr>
                                  <w:spacing w:after="40"/>
                                  <w:textAlignment w:val="baseline"/>
                                  <w:rPr>
                                    <w:rFonts w:eastAsia="Arial" w:cs="Arial"/>
                                    <w:b/>
                                    <w:bCs/>
                                    <w:color w:val="034EA2"/>
                                    <w:sz w:val="20"/>
                                    <w:szCs w:val="20"/>
                                  </w:rPr>
                                </w:pPr>
                                <w:r>
                                  <w:rPr>
                                    <w:b/>
                                    <w:color w:val="034EA2"/>
                                    <w:sz w:val="20"/>
                                  </w:rPr>
                                  <w:t>147,8 mld</w:t>
                                </w:r>
                                <w:r w:rsidR="00E5220D">
                                  <w:rPr>
                                    <w:b/>
                                    <w:color w:val="034EA2"/>
                                    <w:sz w:val="20"/>
                                  </w:rPr>
                                  <w:t>.</w:t>
                                </w:r>
                                <w:r>
                                  <w:rPr>
                                    <w:b/>
                                    <w:color w:val="034EA2"/>
                                    <w:sz w:val="20"/>
                                  </w:rPr>
                                  <w:t xml:space="preserve"> EUR </w:t>
                                </w:r>
                                <w:r>
                                  <w:rPr>
                                    <w:sz w:val="20"/>
                                  </w:rPr>
                                  <w:t>financování</w:t>
                                </w:r>
                                <w:r>
                                  <w:rPr>
                                    <w:b/>
                                    <w:color w:val="034EA2"/>
                                    <w:sz w:val="20"/>
                                  </w:rPr>
                                  <w:t xml:space="preserve"> </w:t>
                                </w:r>
                                <w:r>
                                  <w:rPr>
                                    <w:sz w:val="20"/>
                                  </w:rPr>
                                  <w:t>„back-to-back“</w:t>
                                </w:r>
                              </w:p>
                            </w:txbxContent>
                          </wps:txbx>
                          <wps:bodyPr rot="0" vert="horz" wrap="square" lIns="91440" tIns="45720" rIns="91440" bIns="45720" anchor="t" anchorCtr="0" upright="1">
                            <a:spAutoFit/>
                          </wps:bodyPr>
                        </wps:wsp>
                        <wps:wsp>
                          <wps:cNvPr id="1607721072" name="Rectangle 48"/>
                          <wps:cNvSpPr>
                            <a:spLocks noChangeAspect="1" noChangeArrowheads="1"/>
                          </wps:cNvSpPr>
                          <wps:spPr bwMode="auto">
                            <a:xfrm>
                              <a:off x="0" y="633"/>
                              <a:ext cx="1080" cy="1080"/>
                            </a:xfrm>
                            <a:prstGeom prst="rect">
                              <a:avLst/>
                            </a:prstGeom>
                            <a:solidFill>
                              <a:srgbClr val="034EA2"/>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grpSp>
                        <wpg:cNvPr id="2071225197" name="Group 49"/>
                        <wpg:cNvGrpSpPr>
                          <a:grpSpLocks/>
                        </wpg:cNvGrpSpPr>
                        <wpg:grpSpPr bwMode="auto">
                          <a:xfrm>
                            <a:off x="4264" y="4476"/>
                            <a:ext cx="5943" cy="1453"/>
                            <a:chOff x="15205" y="-427"/>
                            <a:chExt cx="31994" cy="9229"/>
                          </a:xfrm>
                        </wpg:grpSpPr>
                        <wpg:grpSp>
                          <wpg:cNvPr id="1883866114" name="Group 50"/>
                          <wpg:cNvGrpSpPr>
                            <a:grpSpLocks/>
                          </wpg:cNvGrpSpPr>
                          <wpg:grpSpPr bwMode="auto">
                            <a:xfrm>
                              <a:off x="15205" y="2082"/>
                              <a:ext cx="28507" cy="2923"/>
                              <a:chOff x="15205" y="2082"/>
                              <a:chExt cx="28507" cy="2923"/>
                            </a:xfrm>
                          </wpg:grpSpPr>
                          <wps:wsp>
                            <wps:cNvPr id="619545714" name="TextBox 23"/>
                            <wps:cNvSpPr txBox="1">
                              <a:spLocks noChangeArrowheads="1"/>
                            </wps:cNvSpPr>
                            <wps:spPr bwMode="auto">
                              <a:xfrm>
                                <a:off x="16287" y="2082"/>
                                <a:ext cx="27425" cy="2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B71C3" w14:textId="393B930F" w:rsidR="00C25F02" w:rsidRPr="00C9543F" w:rsidRDefault="00C25F02" w:rsidP="00C25F02">
                                  <w:pPr>
                                    <w:spacing w:after="80"/>
                                    <w:rPr>
                                      <w:rFonts w:eastAsia="Arial" w:cs="Arial"/>
                                      <w:color w:val="000000" w:themeColor="text1"/>
                                      <w:sz w:val="20"/>
                                      <w:szCs w:val="20"/>
                                    </w:rPr>
                                  </w:pPr>
                                  <w:r>
                                    <w:rPr>
                                      <w:color w:val="000000" w:themeColor="text1"/>
                                      <w:sz w:val="20"/>
                                    </w:rPr>
                                    <w:t>z toho 362,2 mld</w:t>
                                  </w:r>
                                  <w:r w:rsidR="00E5220D">
                                    <w:rPr>
                                      <w:color w:val="000000" w:themeColor="text1"/>
                                      <w:sz w:val="20"/>
                                    </w:rPr>
                                    <w:t>.</w:t>
                                  </w:r>
                                  <w:r>
                                    <w:rPr>
                                      <w:color w:val="000000" w:themeColor="text1"/>
                                      <w:sz w:val="20"/>
                                    </w:rPr>
                                    <w:t> EUR konvenční dluhopisy EU</w:t>
                                  </w:r>
                                </w:p>
                              </w:txbxContent>
                            </wps:txbx>
                            <wps:bodyPr rot="0" vert="horz" wrap="square" lIns="91440" tIns="45720" rIns="91440" bIns="45720" anchor="t" anchorCtr="0" upright="1">
                              <a:spAutoFit/>
                            </wps:bodyPr>
                          </wps:wsp>
                          <wps:wsp>
                            <wps:cNvPr id="2097293747" name="Rectangle 52"/>
                            <wps:cNvSpPr>
                              <a:spLocks noChangeAspect="1" noChangeArrowheads="1"/>
                            </wps:cNvSpPr>
                            <wps:spPr bwMode="auto">
                              <a:xfrm>
                                <a:off x="15205" y="2739"/>
                                <a:ext cx="1080" cy="1080"/>
                              </a:xfrm>
                              <a:prstGeom prst="rect">
                                <a:avLst/>
                              </a:prstGeom>
                              <a:solidFill>
                                <a:srgbClr val="70AD4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grpSp>
                          <wpg:cNvPr id="568129023" name="Group 53"/>
                          <wpg:cNvGrpSpPr>
                            <a:grpSpLocks/>
                          </wpg:cNvGrpSpPr>
                          <wpg:grpSpPr bwMode="auto">
                            <a:xfrm>
                              <a:off x="15205" y="4330"/>
                              <a:ext cx="31892" cy="4472"/>
                              <a:chOff x="15205" y="4330"/>
                              <a:chExt cx="31892" cy="4472"/>
                            </a:xfrm>
                          </wpg:grpSpPr>
                          <wps:wsp>
                            <wps:cNvPr id="1271482294" name="Rectangle 54"/>
                            <wps:cNvSpPr>
                              <a:spLocks noChangeAspect="1" noChangeArrowheads="1"/>
                            </wps:cNvSpPr>
                            <wps:spPr bwMode="auto">
                              <a:xfrm>
                                <a:off x="15205" y="4846"/>
                                <a:ext cx="1080" cy="1080"/>
                              </a:xfrm>
                              <a:prstGeom prst="rect">
                                <a:avLst/>
                              </a:prstGeom>
                              <a:pattFill prst="dkUpDiag">
                                <a:fgClr>
                                  <a:srgbClr val="70AD47"/>
                                </a:fgClr>
                                <a:bgClr>
                                  <a:srgbClr val="FFFFFF"/>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73364802" name="TextBox 22"/>
                            <wps:cNvSpPr txBox="1">
                              <a:spLocks noChangeArrowheads="1"/>
                            </wps:cNvSpPr>
                            <wps:spPr bwMode="auto">
                              <a:xfrm>
                                <a:off x="16287" y="4330"/>
                                <a:ext cx="30810" cy="4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842F9" w14:textId="311F7AFA" w:rsidR="00C25F02" w:rsidRPr="00C9543F" w:rsidRDefault="00C25F02" w:rsidP="00C25F02">
                                  <w:pPr>
                                    <w:spacing w:after="80"/>
                                    <w:textAlignment w:val="baseline"/>
                                    <w:rPr>
                                      <w:rFonts w:cs="Arial"/>
                                      <w:color w:val="000000" w:themeColor="text1"/>
                                      <w:sz w:val="20"/>
                                      <w:szCs w:val="20"/>
                                    </w:rPr>
                                  </w:pPr>
                                  <w:r>
                                    <w:rPr>
                                      <w:color w:val="000000" w:themeColor="text1"/>
                                      <w:sz w:val="20"/>
                                    </w:rPr>
                                    <w:t>z toho 68,2 mld</w:t>
                                  </w:r>
                                  <w:r w:rsidR="00E5220D">
                                    <w:rPr>
                                      <w:color w:val="000000" w:themeColor="text1"/>
                                      <w:sz w:val="20"/>
                                    </w:rPr>
                                    <w:t>.</w:t>
                                  </w:r>
                                  <w:r>
                                    <w:rPr>
                                      <w:color w:val="000000" w:themeColor="text1"/>
                                      <w:sz w:val="20"/>
                                    </w:rPr>
                                    <w:t> EUR zelené dluhopisy v rámci nástroje NextGenerationEU</w:t>
                                  </w:r>
                                </w:p>
                              </w:txbxContent>
                            </wps:txbx>
                            <wps:bodyPr rot="0" vert="horz" wrap="square" lIns="91440" tIns="45720" rIns="91440" bIns="45720" anchor="t" anchorCtr="0" upright="1">
                              <a:spAutoFit/>
                            </wps:bodyPr>
                          </wps:wsp>
                        </wpg:grpSp>
                        <wpg:grpSp>
                          <wpg:cNvPr id="1320329471" name="Group 56"/>
                          <wpg:cNvGrpSpPr>
                            <a:grpSpLocks/>
                          </wpg:cNvGrpSpPr>
                          <wpg:grpSpPr bwMode="auto">
                            <a:xfrm>
                              <a:off x="15205" y="-427"/>
                              <a:ext cx="31994" cy="4575"/>
                              <a:chOff x="15205" y="-427"/>
                              <a:chExt cx="31993" cy="4575"/>
                            </a:xfrm>
                          </wpg:grpSpPr>
                          <wps:wsp>
                            <wps:cNvPr id="1748858507" name="TextBox 19"/>
                            <wps:cNvSpPr txBox="1">
                              <a:spLocks noChangeArrowheads="1"/>
                            </wps:cNvSpPr>
                            <wps:spPr bwMode="auto">
                              <a:xfrm>
                                <a:off x="16287" y="-427"/>
                                <a:ext cx="30911" cy="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E0B20" w14:textId="14F2AB78" w:rsidR="00C25F02" w:rsidRPr="00C25F02" w:rsidRDefault="00C25F02" w:rsidP="00C25F02">
                                  <w:pPr>
                                    <w:spacing w:after="80"/>
                                    <w:textAlignment w:val="baseline"/>
                                    <w:rPr>
                                      <w:rFonts w:eastAsia="Arial" w:cs="Arial"/>
                                      <w:b/>
                                      <w:bCs/>
                                      <w:color w:val="70AD47"/>
                                      <w:sz w:val="18"/>
                                      <w:szCs w:val="18"/>
                                    </w:rPr>
                                  </w:pPr>
                                  <w:r>
                                    <w:rPr>
                                      <w:b/>
                                      <w:color w:val="70AD47"/>
                                      <w:sz w:val="20"/>
                                    </w:rPr>
                                    <w:t>430,4 mld</w:t>
                                  </w:r>
                                  <w:r w:rsidR="00E5220D">
                                    <w:rPr>
                                      <w:b/>
                                      <w:color w:val="70AD47"/>
                                      <w:sz w:val="20"/>
                                    </w:rPr>
                                    <w:t>.</w:t>
                                  </w:r>
                                  <w:r>
                                    <w:rPr>
                                      <w:b/>
                                      <w:color w:val="70AD47"/>
                                      <w:sz w:val="20"/>
                                    </w:rPr>
                                    <w:t xml:space="preserve"> EUR </w:t>
                                  </w:r>
                                  <w:r>
                                    <w:rPr>
                                      <w:color w:val="000000" w:themeColor="text1"/>
                                      <w:sz w:val="20"/>
                                    </w:rPr>
                                    <w:t xml:space="preserve">dluhopisy celkem </w:t>
                                  </w:r>
                                  <w:r w:rsidR="00E5220D">
                                    <w:rPr>
                                      <w:color w:val="000000" w:themeColor="text1"/>
                                      <w:sz w:val="20"/>
                                    </w:rPr>
                                    <w:t xml:space="preserve">– </w:t>
                                  </w:r>
                                  <w:r>
                                    <w:rPr>
                                      <w:color w:val="000000" w:themeColor="text1"/>
                                      <w:sz w:val="20"/>
                                    </w:rPr>
                                    <w:t>jednotn</w:t>
                                  </w:r>
                                  <w:r w:rsidR="00E5220D">
                                    <w:rPr>
                                      <w:color w:val="000000" w:themeColor="text1"/>
                                      <w:sz w:val="20"/>
                                    </w:rPr>
                                    <w:t>ý</w:t>
                                  </w:r>
                                  <w:r>
                                    <w:rPr>
                                      <w:color w:val="000000" w:themeColor="text1"/>
                                      <w:sz w:val="20"/>
                                    </w:rPr>
                                    <w:t xml:space="preserve"> přístup k financování</w:t>
                                  </w:r>
                                </w:p>
                              </w:txbxContent>
                            </wps:txbx>
                            <wps:bodyPr rot="0" vert="horz" wrap="square" lIns="91440" tIns="45720" rIns="91440" bIns="45720" anchor="t" anchorCtr="0" upright="1">
                              <a:noAutofit/>
                            </wps:bodyPr>
                          </wps:wsp>
                          <wps:wsp>
                            <wps:cNvPr id="743235966" name="Rectangle 58"/>
                            <wps:cNvSpPr>
                              <a:spLocks noChangeAspect="1"/>
                            </wps:cNvSpPr>
                            <wps:spPr bwMode="auto">
                              <a:xfrm>
                                <a:off x="15205" y="635"/>
                                <a:ext cx="915" cy="914"/>
                              </a:xfrm>
                              <a:prstGeom prst="rect">
                                <a:avLst/>
                              </a:prstGeom>
                              <a:noFill/>
                              <a:ln w="19050">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wgp>
                  </a:graphicData>
                </a:graphic>
              </wp:inline>
            </w:drawing>
          </mc:Choice>
          <mc:Fallback>
            <w:pict>
              <v:group w14:anchorId="6C98F9D9" id="Group 69" o:spid="_x0000_s1035" style="width:438.35pt;height:72.65pt;mso-position-horizontal-relative:char;mso-position-vertical-relative:line" coordorigin="1440,4476" coordsize="8767,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">
                <v:group id="Group 46" o:spid="_x0000_s1036" style="position:absolute;left:1440;top:4555;width:2734;height:664" coordorigin=",74" coordsize="14722,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">
                  <v:shape id="TextBox 25" o:spid="_x0000_s1037" type="#_x0000_t202" style="position:absolute;left:538;top:74;width:14184;height: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" filled="f" stroked="f">
                    <v:textbox style="mso-fit-shape-to-text:t">
                      <w:txbxContent>
                        <w:p w14:paraId="5B1FFE4B" w14:textId="648E877D" w:rsidR="00C25F02" w:rsidRPr="00C9543F" w:rsidRDefault="00C25F02" w:rsidP="00C25F02">
                          <w:pPr>
                            <w:spacing w:after="40"/>
                            <w:textAlignment w:val="baseline"/>
                            <w:rPr>
                              <w:rFonts w:eastAsia="Arial" w:cs="Arial"/>
                              <w:b/>
                              <w:bCs/>
                              <w:color w:val="034EA2"/>
                              <w:sz w:val="20"/>
                              <w:szCs w:val="20"/>
                            </w:rPr>
                          </w:pPr>
                          <w:r>
                            <w:rPr>
                              <w:b/>
                              <w:color w:val="034EA2"/>
                              <w:sz w:val="20"/>
                            </w:rPr>
                            <w:t>147,8 mld</w:t>
                          </w:r>
                          <w:r w:rsidR="00E5220D">
                            <w:rPr>
                              <w:b/>
                              <w:color w:val="034EA2"/>
                              <w:sz w:val="20"/>
                            </w:rPr>
                            <w:t>.</w:t>
                          </w:r>
                          <w:r>
                            <w:rPr>
                              <w:b/>
                              <w:color w:val="034EA2"/>
                              <w:sz w:val="20"/>
                            </w:rPr>
                            <w:t xml:space="preserve"> EUR </w:t>
                          </w:r>
                          <w:r>
                            <w:rPr>
                              <w:sz w:val="20"/>
                            </w:rPr>
                            <w:t>financování</w:t>
                          </w:r>
                          <w:r>
                            <w:rPr>
                              <w:b/>
                              <w:color w:val="034EA2"/>
                              <w:sz w:val="20"/>
                            </w:rPr>
                            <w:t xml:space="preserve"> </w:t>
                          </w:r>
                          <w:r>
                            <w:rPr>
                              <w:sz w:val="20"/>
                            </w:rPr>
                            <w:t>„back-to-back“</w:t>
                          </w:r>
                        </w:p>
                      </w:txbxContent>
                    </v:textbox>
                  </v:shape>
                  <v:rect id="Rectangle 48" o:spid="_x0000_s1038" style="position:absolute;top:63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" fillcolor="#034ea2" stroked="f" strokeweight="2pt">
                    <o:lock v:ext="edit" aspectratio="t"/>
                  </v:rect>
                </v:group>
                <v:group id="Group 49" o:spid="_x0000_s1039" style="position:absolute;left:4264;top:4476;width:5943;height:1453" coordorigin="15205,-427" coordsize="31994,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">
                  <v:group id="Group 50" o:spid="_x0000_s1040" style="position:absolute;left:15205;top:2082;width:28507;height:2923" coordorigin="15205,2082" coordsize="28507,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">
                    <v:shape id="TextBox 23" o:spid="_x0000_s1041" type="#_x0000_t202" style="position:absolute;left:16287;top:2082;width:27425;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" filled="f" stroked="f">
                      <v:textbox style="mso-fit-shape-to-text:t">
                        <w:txbxContent>
                          <w:p w14:paraId="756B71C3" w14:textId="393B930F" w:rsidR="00C25F02" w:rsidRPr="00C9543F" w:rsidRDefault="00C25F02" w:rsidP="00C25F02">
                            <w:pPr>
                              <w:spacing w:after="80"/>
                              <w:rPr>
                                <w:rFonts w:eastAsia="Arial" w:cs="Arial"/>
                                <w:color w:val="000000" w:themeColor="text1"/>
                                <w:sz w:val="20"/>
                                <w:szCs w:val="20"/>
                              </w:rPr>
                            </w:pPr>
                            <w:r>
                              <w:rPr>
                                <w:color w:val="000000" w:themeColor="text1"/>
                                <w:sz w:val="20"/>
                              </w:rPr>
                              <w:t>z toho 362,2 mld</w:t>
                            </w:r>
                            <w:r w:rsidR="00E5220D">
                              <w:rPr>
                                <w:color w:val="000000" w:themeColor="text1"/>
                                <w:sz w:val="20"/>
                              </w:rPr>
                              <w:t>.</w:t>
                            </w:r>
                            <w:r>
                              <w:rPr>
                                <w:color w:val="000000" w:themeColor="text1"/>
                                <w:sz w:val="20"/>
                              </w:rPr>
                              <w:t> EUR konvenční dluhopisy EU</w:t>
                            </w:r>
                          </w:p>
                        </w:txbxContent>
                      </v:textbox>
                    </v:shape>
                    <v:rect id="Rectangle 52" o:spid="_x0000_s1042" style="position:absolute;left:15205;top:273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" fillcolor="#70ad47" stroked="f" strokeweight="2pt">
                      <o:lock v:ext="edit" aspectratio="t"/>
                    </v:rect>
                  </v:group>
                  <v:group id="Group 53" o:spid="_x0000_s1043" style="position:absolute;left:15205;top:4330;width:31892;height:4472" coordorigin="15205,4330" coordsize="3189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">
                    <v:rect id="Rectangle 54" o:spid="_x0000_s1044" style="position:absolute;left:15205;top:484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" fillcolor="#70ad47" stroked="f" strokeweight="2pt">
                      <v:fill r:id="rId28" o:title="" type="pattern"/>
                      <o:lock v:ext="edit" aspectratio="t"/>
                    </v:rect>
                    <v:shape id="TextBox 22" o:spid="_x0000_s1045" type="#_x0000_t202" style="position:absolute;left:16287;top:4330;width:30810;height:4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" filled="f" stroked="f">
                      <v:textbox style="mso-fit-shape-to-text:t">
                        <w:txbxContent>
                          <w:p w14:paraId="35F842F9" w14:textId="311F7AFA" w:rsidR="00C25F02" w:rsidRPr="00C9543F" w:rsidRDefault="00C25F02" w:rsidP="00C25F02">
                            <w:pPr>
                              <w:spacing w:after="80"/>
                              <w:textAlignment w:val="baseline"/>
                              <w:rPr>
                                <w:rFonts w:cs="Arial"/>
                                <w:color w:val="000000" w:themeColor="text1"/>
                                <w:sz w:val="20"/>
                                <w:szCs w:val="20"/>
                              </w:rPr>
                            </w:pPr>
                            <w:r>
                              <w:rPr>
                                <w:color w:val="000000" w:themeColor="text1"/>
                                <w:sz w:val="20"/>
                              </w:rPr>
                              <w:t>z toho 68,2 mld</w:t>
                            </w:r>
                            <w:r w:rsidR="00E5220D">
                              <w:rPr>
                                <w:color w:val="000000" w:themeColor="text1"/>
                                <w:sz w:val="20"/>
                              </w:rPr>
                              <w:t>.</w:t>
                            </w:r>
                            <w:r>
                              <w:rPr>
                                <w:color w:val="000000" w:themeColor="text1"/>
                                <w:sz w:val="20"/>
                              </w:rPr>
                              <w:t> EUR zelené dluhopisy v rámci nástroje NextGenerationEU</w:t>
                            </w:r>
                          </w:p>
                        </w:txbxContent>
                      </v:textbox>
                    </v:shape>
                  </v:group>
                  <v:group id="Group 56" o:spid="_x0000_s1046" style="position:absolute;left:15205;top:-427;width:31994;height:4575" coordorigin="15205,-427" coordsize="3199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">
                    <v:shape id="TextBox 19" o:spid="_x0000_s1047" type="#_x0000_t202" style="position:absolute;left:16287;top:-427;width:30911;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" filled="f" stroked="f">
                      <v:textbox>
                        <w:txbxContent>
                          <w:p w14:paraId="102E0B20" w14:textId="14F2AB78" w:rsidR="00C25F02" w:rsidRPr="00C25F02" w:rsidRDefault="00C25F02" w:rsidP="00C25F02">
                            <w:pPr>
                              <w:spacing w:after="80"/>
                              <w:textAlignment w:val="baseline"/>
                              <w:rPr>
                                <w:rFonts w:eastAsia="Arial" w:cs="Arial"/>
                                <w:b/>
                                <w:bCs/>
                                <w:color w:val="70AD47"/>
                                <w:sz w:val="18"/>
                                <w:szCs w:val="18"/>
                              </w:rPr>
                            </w:pPr>
                            <w:r>
                              <w:rPr>
                                <w:b/>
                                <w:color w:val="70AD47"/>
                                <w:sz w:val="20"/>
                              </w:rPr>
                              <w:t>430,4 mld</w:t>
                            </w:r>
                            <w:r w:rsidR="00E5220D">
                              <w:rPr>
                                <w:b/>
                                <w:color w:val="70AD47"/>
                                <w:sz w:val="20"/>
                              </w:rPr>
                              <w:t>.</w:t>
                            </w:r>
                            <w:r>
                              <w:rPr>
                                <w:b/>
                                <w:color w:val="70AD47"/>
                                <w:sz w:val="20"/>
                              </w:rPr>
                              <w:t xml:space="preserve"> EUR </w:t>
                            </w:r>
                            <w:r>
                              <w:rPr>
                                <w:color w:val="000000" w:themeColor="text1"/>
                                <w:sz w:val="20"/>
                              </w:rPr>
                              <w:t xml:space="preserve">dluhopisy celkem </w:t>
                            </w:r>
                            <w:r w:rsidR="00E5220D">
                              <w:rPr>
                                <w:color w:val="000000" w:themeColor="text1"/>
                                <w:sz w:val="20"/>
                              </w:rPr>
                              <w:t xml:space="preserve">– </w:t>
                            </w:r>
                            <w:r>
                              <w:rPr>
                                <w:color w:val="000000" w:themeColor="text1"/>
                                <w:sz w:val="20"/>
                              </w:rPr>
                              <w:t>jednotn</w:t>
                            </w:r>
                            <w:r w:rsidR="00E5220D">
                              <w:rPr>
                                <w:color w:val="000000" w:themeColor="text1"/>
                                <w:sz w:val="20"/>
                              </w:rPr>
                              <w:t>ý</w:t>
                            </w:r>
                            <w:r>
                              <w:rPr>
                                <w:color w:val="000000" w:themeColor="text1"/>
                                <w:sz w:val="20"/>
                              </w:rPr>
                              <w:t xml:space="preserve"> přístup k financování</w:t>
                            </w:r>
                          </w:p>
                        </w:txbxContent>
                      </v:textbox>
                    </v:shape>
                    <v:rect id="Rectangle 58" o:spid="_x0000_s1048" style="position:absolute;left:15205;top:635;width:915;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" filled="f" strokecolor="#70ad47" strokeweight="1.5pt">
                      <v:path arrowok="t"/>
                      <o:lock v:ext="edit" aspectratio="t"/>
                    </v:rect>
                  </v:group>
                </v:group>
                <w10:anchorlock/>
              </v:group>
            </w:pict>
          </mc:Fallback>
        </mc:AlternateContent>
      </w:r>
    </w:p>
    <w:p w14:paraId="66038DDE" w14:textId="77777777" w:rsidR="00C9543F" w:rsidRPr="00A11F51" w:rsidRDefault="00C9543F" w:rsidP="00A11F51">
      <w:pPr>
        <w:spacing w:line="259" w:lineRule="auto"/>
        <w:jc w:val="left"/>
        <w:rPr>
          <w:rFonts w:asciiTheme="minorHAnsi" w:hAnsiTheme="minorHAnsi" w:cstheme="minorBidi"/>
          <w:noProof/>
          <w:sz w:val="6"/>
          <w:szCs w:val="6"/>
          <w:lang w:val="en-GB"/>
        </w:rPr>
      </w:pPr>
    </w:p>
    <w:tbl>
      <w:tblPr>
        <w:tblStyle w:val="TableGrid"/>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top w:w="113" w:type="dxa"/>
          <w:bottom w:w="113" w:type="dxa"/>
        </w:tblCellMar>
        <w:tblLook w:val="04A0" w:firstRow="1" w:lastRow="0" w:firstColumn="1" w:lastColumn="0" w:noHBand="0" w:noVBand="1"/>
      </w:tblPr>
      <w:tblGrid>
        <w:gridCol w:w="9076"/>
      </w:tblGrid>
      <w:tr w:rsidR="00A11F51" w:rsidRPr="00A11F51" w14:paraId="0FE367EE" w14:textId="77777777" w:rsidTr="0E388B1A">
        <w:trPr>
          <w:trHeight w:val="1943"/>
        </w:trPr>
        <w:tc>
          <w:tcPr>
            <w:tcW w:w="9076" w:type="dxa"/>
            <w:shd w:val="clear" w:color="auto" w:fill="F5F5F5"/>
          </w:tcPr>
          <w:p w14:paraId="31D6E2E9" w14:textId="4A796A5B" w:rsidR="00A11F51" w:rsidRPr="00A11F51" w:rsidRDefault="00A11F51" w:rsidP="00A11F51">
            <w:pPr>
              <w:spacing w:after="120"/>
              <w:jc w:val="left"/>
              <w:rPr>
                <w:rFonts w:cstheme="minorBidi"/>
                <w:b/>
                <w:bCs/>
                <w:noProof/>
                <w:color w:val="034EA2"/>
              </w:rPr>
            </w:pPr>
            <w:r>
              <w:rPr>
                <w:b/>
                <w:noProof/>
                <w:color w:val="034EA2"/>
              </w:rPr>
              <w:t>ZÁKLADNÍ FAKTA o 2. POLOVINĚ ROKU 2024</w:t>
            </w:r>
          </w:p>
          <w:p w14:paraId="0A12EF6E" w14:textId="04913DF1" w:rsidR="00A961B6" w:rsidRPr="002148BF" w:rsidRDefault="002F4F1A" w:rsidP="00A11F51">
            <w:pPr>
              <w:numPr>
                <w:ilvl w:val="0"/>
                <w:numId w:val="29"/>
              </w:numPr>
              <w:spacing w:after="60"/>
              <w:ind w:left="340" w:hanging="170"/>
              <w:contextualSpacing/>
              <w:jc w:val="left"/>
              <w:rPr>
                <w:rFonts w:cstheme="minorBidi"/>
                <w:noProof/>
                <w:color w:val="034EA2"/>
              </w:rPr>
            </w:pPr>
            <w:r>
              <w:rPr>
                <w:noProof/>
                <w:color w:val="034EA2"/>
              </w:rPr>
              <w:t>Čtyři syndikace a šest aukcí přinesly 64,3 miliardy EUR s průměrnou splatností přibližně 12 let, takže celkový objem dlouhodobého financování získaného v roce 2024 dosáhl 138,1 miliardy EUR.</w:t>
            </w:r>
          </w:p>
          <w:p w14:paraId="16496AE5" w14:textId="16DF6B83" w:rsidR="001B75AB" w:rsidRPr="004908A7" w:rsidRDefault="00C261E0" w:rsidP="006710FA">
            <w:pPr>
              <w:numPr>
                <w:ilvl w:val="0"/>
                <w:numId w:val="29"/>
              </w:numPr>
              <w:spacing w:after="60"/>
              <w:ind w:left="340" w:hanging="170"/>
              <w:contextualSpacing/>
              <w:jc w:val="left"/>
              <w:rPr>
                <w:rFonts w:cstheme="minorBidi"/>
                <w:noProof/>
              </w:rPr>
            </w:pPr>
            <w:r>
              <w:rPr>
                <w:noProof/>
                <w:color w:val="034EA2"/>
              </w:rPr>
              <w:t>Většina prostředků byla použita na nástroj NextGenerationEU (72,2 mld. EUR) a další prostředky byly vyplaceny v rámci Nástroje pro Ukrajinu (5,2 mld. EUR) a v rámci programů makrofinanční pomoci (MFA) Egyptu (1 miliarda EUR) a Moldavsku (95 milionů EUR).</w:t>
            </w:r>
          </w:p>
          <w:p w14:paraId="3E81AD55" w14:textId="1097C29C" w:rsidR="004908A7" w:rsidRPr="004908A7" w:rsidRDefault="006F7AAA" w:rsidP="004908A7">
            <w:pPr>
              <w:numPr>
                <w:ilvl w:val="0"/>
                <w:numId w:val="29"/>
              </w:numPr>
              <w:spacing w:after="60"/>
              <w:ind w:left="340" w:hanging="170"/>
              <w:contextualSpacing/>
              <w:jc w:val="left"/>
              <w:rPr>
                <w:rFonts w:cstheme="minorBidi"/>
                <w:noProof/>
                <w:color w:val="034EA2"/>
              </w:rPr>
            </w:pPr>
            <w:r>
              <w:rPr>
                <w:noProof/>
                <w:color w:val="034EA2"/>
              </w:rPr>
              <w:t>Náklady na financování činily 2,97 % v případě nástroje NextGenerationEU (ve srovnání s</w:t>
            </w:r>
            <w:r w:rsidR="0060544B">
              <w:rPr>
                <w:rFonts w:ascii="Calibri" w:hAnsi="Calibri" w:cs="Calibri"/>
                <w:noProof/>
                <w:color w:val="034EA2"/>
              </w:rPr>
              <w:t> </w:t>
            </w:r>
            <w:r>
              <w:rPr>
                <w:noProof/>
                <w:color w:val="034EA2"/>
              </w:rPr>
              <w:t>3,19 % v první polovině roku 2024) a 2,68 % v případě Nástroje pro Ukrajinu a makrofinanční pomoci pro Egypt.</w:t>
            </w:r>
          </w:p>
        </w:tc>
      </w:tr>
    </w:tbl>
    <w:p w14:paraId="155CDCD6" w14:textId="77777777" w:rsidR="00252C49" w:rsidRPr="00BB5195" w:rsidRDefault="00252C49">
      <w:pPr>
        <w:spacing w:line="259" w:lineRule="auto"/>
        <w:rPr>
          <w:noProof/>
        </w:rPr>
      </w:pPr>
    </w:p>
    <w:p w14:paraId="34E6C602" w14:textId="10BBF2C3" w:rsidR="00BA3133" w:rsidRDefault="00BA3133">
      <w:pPr>
        <w:spacing w:line="259" w:lineRule="auto"/>
        <w:rPr>
          <w:rFonts w:eastAsiaTheme="majorEastAsia"/>
          <w:b/>
          <w:noProof/>
        </w:rPr>
      </w:pPr>
      <w:r>
        <w:rPr>
          <w:noProof/>
        </w:rPr>
        <w:br w:type="page"/>
      </w:r>
    </w:p>
    <w:p w14:paraId="263DA02E" w14:textId="03E4299B" w:rsidR="00F13D4C" w:rsidRPr="00BE145B" w:rsidRDefault="00F13D4C" w:rsidP="00BE145B">
      <w:pPr>
        <w:pStyle w:val="Heading1"/>
        <w:rPr>
          <w:noProof/>
        </w:rPr>
      </w:pPr>
      <w:bookmarkStart w:id="2" w:name="_Toc192863145"/>
      <w:r>
        <w:rPr>
          <w:noProof/>
        </w:rPr>
        <w:t>Shrnutí</w:t>
      </w:r>
      <w:bookmarkEnd w:id="2"/>
    </w:p>
    <w:p w14:paraId="7B2B037A" w14:textId="03D09242" w:rsidR="009D32AB" w:rsidRPr="00C764BB" w:rsidRDefault="00ED7D0E" w:rsidP="00ED7D0E">
      <w:pPr>
        <w:rPr>
          <w:iCs/>
          <w:noProof/>
        </w:rPr>
      </w:pPr>
      <w:bookmarkStart w:id="3" w:name="_Hlk187319594"/>
      <w:bookmarkStart w:id="4" w:name="_Hlk156385433"/>
      <w:r>
        <w:rPr>
          <w:noProof/>
        </w:rPr>
        <w:t>V druhé polovině roku 2024 získala EU dlouhodobé financování ve výši 64,3 miliardy EUR prostřednictvím čtyř syndikací a šesti aukcí, což je v souladu s cílem v plánu financování zveřejněném v červnu 2024. Z této částky 64,3 miliardy EUR v dlouhodobém financování bylo 8 miliard EUR získáno prostřednictvím zelených dluhopisů nástroje NextGenerationEU (NGEU). Spolu s dluhopisy v</w:t>
      </w:r>
      <w:r w:rsidR="0060544B">
        <w:rPr>
          <w:rFonts w:ascii="Calibri" w:hAnsi="Calibri" w:cs="Calibri"/>
          <w:noProof/>
        </w:rPr>
        <w:t> </w:t>
      </w:r>
      <w:r>
        <w:rPr>
          <w:noProof/>
        </w:rPr>
        <w:t>hodnotě 73,8 miliardy EUR vydanými v první polovině roku 2024 dosáhla v roce 2024 celková částka dlouhodobých získaných finančních prostředků 138,1 miliardy EUR, což je nejvyšší částka v</w:t>
      </w:r>
      <w:r w:rsidR="0060544B">
        <w:rPr>
          <w:rFonts w:ascii="Calibri" w:hAnsi="Calibri" w:cs="Calibri"/>
          <w:noProof/>
        </w:rPr>
        <w:t> </w:t>
      </w:r>
      <w:r>
        <w:rPr>
          <w:noProof/>
        </w:rPr>
        <w:t xml:space="preserve">dluhopisech vydaných EU v jednom roce. </w:t>
      </w:r>
      <w:r>
        <w:rPr>
          <w:noProof/>
          <w:color w:val="000000" w:themeColor="text1"/>
        </w:rPr>
        <w:t xml:space="preserve">Ke konci roku 2024 měla EU v dluhopisech EU v oběhu 578,2 miliardy EUR (s průměrnou zbývající splatností přibližně 12 let), z toho 68,2 miliardy EUR ve formě zelených dluhopisů nástroje NGEU. </w:t>
      </w:r>
    </w:p>
    <w:p w14:paraId="1C0F023F" w14:textId="3549B0D0" w:rsidR="00ED7D0E" w:rsidRPr="00D95188" w:rsidRDefault="00527BF7" w:rsidP="00ED7D0E">
      <w:pPr>
        <w:rPr>
          <w:rFonts w:ascii="Arial" w:eastAsia="Times New Roman" w:hAnsi="Arial" w:cs="Arial"/>
          <w:noProof/>
          <w:sz w:val="27"/>
          <w:szCs w:val="27"/>
        </w:rPr>
      </w:pPr>
      <w:r>
        <w:rPr>
          <w:noProof/>
          <w:color w:val="000000" w:themeColor="text1"/>
        </w:rPr>
        <w:t>Výnosy z emisí dluhopisů EU umožnily Komisi nadále reagovat na politické priority v rámci EU a v</w:t>
      </w:r>
      <w:r w:rsidR="0060544B">
        <w:rPr>
          <w:rFonts w:ascii="Calibri" w:hAnsi="Calibri" w:cs="Calibri"/>
          <w:noProof/>
          <w:color w:val="000000" w:themeColor="text1"/>
        </w:rPr>
        <w:t> </w:t>
      </w:r>
      <w:r>
        <w:rPr>
          <w:noProof/>
          <w:color w:val="000000" w:themeColor="text1"/>
        </w:rPr>
        <w:t xml:space="preserve">jejím sousedství. Konkrétně v druhé polovině roku 2024 </w:t>
      </w:r>
      <w:r>
        <w:rPr>
          <w:noProof/>
        </w:rPr>
        <w:t>bylo z těchto příjmů vyplaceno 72,2 miliardy EUR na investice a reformy v rámci nástroje NGEU. Ukrajina obdržela 5,2 miliardy EUR v rámci Nástroje pro Ukrajinu</w:t>
      </w:r>
      <w:bookmarkStart w:id="5" w:name="_Hlk156380977"/>
      <w:r>
        <w:rPr>
          <w:noProof/>
        </w:rPr>
        <w:t xml:space="preserve"> a další výnosy ve výši 1,1 miliardy EUR byly použity na financování makrofinanční pomoci ve výši 1 miliardy EUR pro Egypt a 95 milionů EUR pro Moldavsko</w:t>
      </w:r>
      <w:bookmarkEnd w:id="3"/>
      <w:r>
        <w:rPr>
          <w:noProof/>
        </w:rPr>
        <w:t>.</w:t>
      </w:r>
    </w:p>
    <w:bookmarkEnd w:id="5"/>
    <w:p w14:paraId="06D5DF1E" w14:textId="5E7AD5DA" w:rsidR="00ED7D0E" w:rsidRPr="00E7253C" w:rsidRDefault="00585EB8" w:rsidP="00ED7D0E">
      <w:pPr>
        <w:rPr>
          <w:noProof/>
        </w:rPr>
      </w:pPr>
      <w:r>
        <w:rPr>
          <w:noProof/>
        </w:rPr>
        <w:t>Náklady EU na financování</w:t>
      </w:r>
      <w:r w:rsidR="00072047" w:rsidRPr="00820BC1">
        <w:rPr>
          <w:rStyle w:val="FootnoteReference"/>
          <w:noProof/>
          <w:lang w:val="en-GB"/>
        </w:rPr>
        <w:footnoteReference w:id="2"/>
      </w:r>
      <w:r>
        <w:rPr>
          <w:noProof/>
        </w:rPr>
        <w:t xml:space="preserve"> se nadále snižovaly na 2,97 % ve srovnání s 3,19 % v předchozím období financování. Snížení celkových nákladů EU na financování bylo vysvětleno příznivějšími tržními podmínkami a snížením výnosů EU vůči základním evropským státním dluhopisům v průběhu pololetí. Desetiletý úrokový diferenciál mezi dluhopisy EU a košem 50/50 německo–francouzských státních dluhopisů klesl ze 25 bazických bodů na začátku 2. pololetí roku 2024 na 12 bazických bodů v prosinci 2024. </w:t>
      </w:r>
    </w:p>
    <w:p w14:paraId="5A78647B" w14:textId="59BDEFFD" w:rsidR="0081666A" w:rsidRDefault="00ED7D0E" w:rsidP="00260CFD">
      <w:pPr>
        <w:rPr>
          <w:noProof/>
        </w:rPr>
      </w:pPr>
      <w:r>
        <w:rPr>
          <w:noProof/>
        </w:rPr>
        <w:t>Komise rovněž podnikla další kroky na podporu fungování a likvidity trhu s dluhopisy EU</w:t>
      </w:r>
      <w:r>
        <w:rPr>
          <w:noProof/>
          <w:color w:val="000000" w:themeColor="text1"/>
        </w:rPr>
        <w:t>.</w:t>
      </w:r>
      <w:r>
        <w:rPr>
          <w:noProof/>
        </w:rPr>
        <w:t xml:space="preserve"> V říjnu 2024 spustila nástroj pro zpětné odkupy dluhopisů EU, jehož cílem je podpořit primární obchodníky v EU při zveřejňování kotací dluhopisů EU na elektronických obchodních platformách.</w:t>
      </w:r>
    </w:p>
    <w:p w14:paraId="7430E6D6" w14:textId="73E1FAB9" w:rsidR="00113B9E" w:rsidRDefault="00526244" w:rsidP="00526244">
      <w:pPr>
        <w:rPr>
          <w:noProof/>
        </w:rPr>
      </w:pPr>
      <w:r>
        <w:rPr>
          <w:noProof/>
        </w:rPr>
        <w:t>Tento významný vývoj ze strany EU spolu s konsolidací emisí EU v rámci jednotného přístupu k</w:t>
      </w:r>
      <w:r w:rsidR="0060544B">
        <w:rPr>
          <w:rFonts w:ascii="Calibri" w:hAnsi="Calibri" w:cs="Calibri"/>
          <w:noProof/>
        </w:rPr>
        <w:t> </w:t>
      </w:r>
      <w:r>
        <w:rPr>
          <w:noProof/>
        </w:rPr>
        <w:t>financování umožnil účastníkům trhu přijmout nezávislé iniciativy, které by mohly dále podpořit fungování trhu s dluhopisy EU. Ve druhé polovině roku 2024 to bylo například spuštění futures na index dluhopisů EU v prosinci a oznámení obnoveného zájmu o spuštění tradičních (fyzicky vypořádávaných) futures v roce 2025 přední evropskou burzou.</w:t>
      </w:r>
    </w:p>
    <w:p w14:paraId="15FC060E" w14:textId="1A39325F" w:rsidR="00CC0D21" w:rsidRPr="00313B5F" w:rsidRDefault="002D5366" w:rsidP="007930D6">
      <w:pPr>
        <w:rPr>
          <w:noProof/>
        </w:rPr>
      </w:pPr>
      <w:r>
        <w:rPr>
          <w:noProof/>
          <w:color w:val="000000" w:themeColor="text1"/>
        </w:rPr>
        <w:t>Další událostí druhé poloviny roku</w:t>
      </w:r>
      <w:r>
        <w:rPr>
          <w:noProof/>
        </w:rPr>
        <w:t xml:space="preserve"> 2024 </w:t>
      </w:r>
      <w:r>
        <w:rPr>
          <w:noProof/>
          <w:color w:val="000000" w:themeColor="text1"/>
        </w:rPr>
        <w:t xml:space="preserve">bylo zveřejnění </w:t>
      </w:r>
      <w:r>
        <w:rPr>
          <w:noProof/>
        </w:rPr>
        <w:t xml:space="preserve">výroční </w:t>
      </w:r>
      <w:hyperlink r:id="rId29">
        <w:r>
          <w:rPr>
            <w:rStyle w:val="Hyperlink"/>
            <w:noProof/>
          </w:rPr>
          <w:t>zprávy o přidělování a dopadech zelených dluhopisů nástroje NextGenerationEU</w:t>
        </w:r>
      </w:hyperlink>
      <w:r>
        <w:rPr>
          <w:noProof/>
        </w:rPr>
        <w:t xml:space="preserve"> za rok 2024.</w:t>
      </w:r>
      <w:r>
        <w:rPr>
          <w:noProof/>
          <w:color w:val="000000" w:themeColor="text1"/>
        </w:rPr>
        <w:t xml:space="preserve"> </w:t>
      </w:r>
      <w:r>
        <w:rPr>
          <w:noProof/>
        </w:rPr>
        <w:t xml:space="preserve">Ta poskytuje aktuální informace </w:t>
      </w:r>
      <w:r>
        <w:rPr>
          <w:noProof/>
          <w:color w:val="000000" w:themeColor="text1"/>
        </w:rPr>
        <w:t>o</w:t>
      </w:r>
      <w:r w:rsidR="0060544B">
        <w:rPr>
          <w:rFonts w:ascii="Calibri" w:hAnsi="Calibri" w:cs="Calibri"/>
          <w:noProof/>
          <w:color w:val="000000" w:themeColor="text1"/>
        </w:rPr>
        <w:t> </w:t>
      </w:r>
      <w:r>
        <w:rPr>
          <w:noProof/>
        </w:rPr>
        <w:t>rozdělení výnosů z emise zelených dluhopisů nástroje NGEU a o jejich odhadovaných realizovaných a očekávaných dopadech na klima. Zpráva dokumentuje i) zvýšený počet emisí zelených dluhopisů nástroje NGEU (čímž se nesplacený dluh zelených dluhopisů NGEU zvýšil na 68,2 miliardy EUR), ii) pokrok v realizaci výdajů souvisejících s klimatem financovaných zelenými dluhopisy nástroje NGEU a iii) zvýšení objemu způsobilých výdajů zelených dluhopisů nástroje NGEU v důsledku začlenění programu REPowerEU (financování programu REPowerEU nyní dosahuje 264 miliard EUR).</w:t>
      </w:r>
    </w:p>
    <w:p w14:paraId="6458497B" w14:textId="580A5EC1" w:rsidR="001B6374" w:rsidRPr="0076678F" w:rsidRDefault="005C0779" w:rsidP="001B6374">
      <w:pPr>
        <w:rPr>
          <w:noProof/>
        </w:rPr>
      </w:pPr>
      <w:r>
        <w:rPr>
          <w:noProof/>
        </w:rPr>
        <w:t>A konečně Komise dne 10. prosince 2024 oznámila svůj plán financování na první polovinu roku 2025, který počítá s vydáním dluhopisů v hodnotě až 90 miliard EUR v období od ledna do konce června. V</w:t>
      </w:r>
      <w:r w:rsidR="0060544B">
        <w:rPr>
          <w:rFonts w:ascii="Calibri" w:hAnsi="Calibri" w:cs="Calibri"/>
          <w:noProof/>
        </w:rPr>
        <w:t> </w:t>
      </w:r>
      <w:r>
        <w:rPr>
          <w:noProof/>
        </w:rPr>
        <w:t>roce 2025 se očekává orientační úroveň financování dluhopisů EU ve výši 160 miliard EUR. Již v první polovině roku 2025 budou zavedeny aukce třístranných dluhopisů, aby se usnadnila zvýšená emise dlouhodobých dluhopisů. K doplnění potřeb financování ze strany EU bude dlouhodobé financování doplněno také emisí krátkodobých dluhopisů, a to i zavedením nového dvanáctiměsíčního dluhopisu EU v lednu 2025.</w:t>
      </w:r>
    </w:p>
    <w:p w14:paraId="6054F437" w14:textId="13C27636" w:rsidR="001401DA" w:rsidRDefault="008B6253" w:rsidP="00BE145B">
      <w:pPr>
        <w:pStyle w:val="Heading1"/>
        <w:rPr>
          <w:noProof/>
        </w:rPr>
      </w:pPr>
      <w:bookmarkStart w:id="6" w:name="_Toc192863146"/>
      <w:bookmarkEnd w:id="4"/>
      <w:r>
        <w:rPr>
          <w:noProof/>
        </w:rPr>
        <w:t>Úvod</w:t>
      </w:r>
      <w:bookmarkEnd w:id="6"/>
    </w:p>
    <w:p w14:paraId="1AD97532" w14:textId="2DDBDF68" w:rsidR="00F333BA" w:rsidRPr="00877CA0" w:rsidRDefault="00F333BA" w:rsidP="00F333BA">
      <w:pPr>
        <w:rPr>
          <w:noProof/>
        </w:rPr>
      </w:pPr>
      <w:r>
        <w:rPr>
          <w:noProof/>
        </w:rPr>
        <w:t>Komise si půjčuje finanční prostředky jménem Evropské unie již více než čtyřicet let. V posledních pěti letech se výrazně zvýšilo vydávání dluhopisů EU, jelikož při financování rozsáhlých programů, jako je nástroj SURE</w:t>
      </w:r>
      <w:r w:rsidRPr="001C6C43">
        <w:rPr>
          <w:rStyle w:val="FootnoteReference"/>
          <w:noProof/>
          <w:lang w:val="en-GB"/>
        </w:rPr>
        <w:footnoteReference w:id="3"/>
      </w:r>
      <w:r>
        <w:rPr>
          <w:noProof/>
        </w:rPr>
        <w:t>, nástroj NextGenerationEU a podpora Ukrajiny (MFA+ v roce 2023, Nástroj pro Ukrajinu v roce 2024 a půjčka makrofinanční pomoci v rámci mechanismu úvěrové spolupráce pro Ukrajinu od roku 2025) se EU spoléhá na kapitálové trhy. K 31. prosinci 2024 činil celkový nesplacený dluh EU o něco více než 600 miliard EUR, z toho 23,1 miliardy EUR ve formě pokladničních poukázek EU.</w:t>
      </w:r>
    </w:p>
    <w:p w14:paraId="2371BB69" w14:textId="7DFAEB3A" w:rsidR="00F333BA" w:rsidRPr="00820BC1" w:rsidRDefault="00F333BA" w:rsidP="00F333BA">
      <w:pPr>
        <w:rPr>
          <w:noProof/>
        </w:rPr>
      </w:pPr>
      <w:r>
        <w:rPr>
          <w:noProof/>
        </w:rPr>
        <w:t>Tato pololetní zpráva</w:t>
      </w:r>
      <w:r w:rsidRPr="00820BC1">
        <w:rPr>
          <w:rStyle w:val="FootnoteReference"/>
          <w:noProof/>
          <w:lang w:val="en-GB"/>
        </w:rPr>
        <w:footnoteReference w:id="4"/>
      </w:r>
      <w:r>
        <w:rPr>
          <w:noProof/>
        </w:rPr>
        <w:t xml:space="preserve"> obsahuje přezkum provádění výpůjčních operací v období od 1. července 2024 do 31. prosince 2024. Zpráva rovněž uvádí výhled pro emise dluhopisů EU v prvním pololetí roku 2025. Nehodnotí, jak jsou výnosy z emise dluhopisů EU využívány, včetně zelených výdajů, neboť tato problematika je předmětem samostatných zpráv v souladu s nařízeními pro jednotlivé nástroje</w:t>
      </w:r>
      <w:r w:rsidRPr="00820BC1">
        <w:rPr>
          <w:rStyle w:val="FootnoteReference"/>
          <w:noProof/>
          <w:lang w:val="en-GB"/>
        </w:rPr>
        <w:footnoteReference w:id="5"/>
      </w:r>
      <w:r>
        <w:rPr>
          <w:noProof/>
        </w:rPr>
        <w:t>.</w:t>
      </w:r>
    </w:p>
    <w:p w14:paraId="5D2F601E" w14:textId="7F249F7C" w:rsidR="00F333BA" w:rsidRPr="00820BC1" w:rsidRDefault="00F333BA" w:rsidP="00F333BA">
      <w:pPr>
        <w:rPr>
          <w:noProof/>
        </w:rPr>
      </w:pPr>
      <w:r>
        <w:rPr>
          <w:noProof/>
        </w:rPr>
        <w:t>V návaznosti na doporučení Evropského účetního dvora (EÚD) z června 2023</w:t>
      </w:r>
      <w:r w:rsidRPr="00820BC1">
        <w:rPr>
          <w:rStyle w:val="FootnoteReference"/>
          <w:noProof/>
          <w:lang w:val="en-GB"/>
        </w:rPr>
        <w:footnoteReference w:id="6"/>
      </w:r>
      <w:r>
        <w:rPr>
          <w:noProof/>
        </w:rPr>
        <w:t xml:space="preserve"> jsou v příloze této zprávy uvedeny ukazatele, jež lze použít ke sledování provádění zastřešující strategie řízení dluhu, kterou se řídí jednotný přístup Komise k financování</w:t>
      </w:r>
      <w:r w:rsidRPr="00820BC1">
        <w:rPr>
          <w:rStyle w:val="FootnoteReference"/>
          <w:noProof/>
          <w:spacing w:val="-6"/>
        </w:rPr>
        <w:footnoteReference w:id="7"/>
      </w:r>
      <w:r>
        <w:rPr>
          <w:noProof/>
        </w:rPr>
        <w:t xml:space="preserve">.  </w:t>
      </w:r>
    </w:p>
    <w:p w14:paraId="4FD8F240" w14:textId="643AFC9B" w:rsidR="008B6253" w:rsidRPr="00BE145B" w:rsidRDefault="00BD5F9F" w:rsidP="00BE145B">
      <w:pPr>
        <w:pStyle w:val="Heading1"/>
        <w:rPr>
          <w:noProof/>
        </w:rPr>
      </w:pPr>
      <w:bookmarkStart w:id="7" w:name="_Ref155883558"/>
      <w:bookmarkStart w:id="8" w:name="_Ref169097162"/>
      <w:bookmarkStart w:id="9" w:name="_Toc192863147"/>
      <w:r>
        <w:rPr>
          <w:noProof/>
        </w:rPr>
        <w:t xml:space="preserve">Provádění výpůjčních operací v druhém pololetí roku </w:t>
      </w:r>
      <w:bookmarkEnd w:id="7"/>
      <w:r>
        <w:rPr>
          <w:noProof/>
        </w:rPr>
        <w:t>202</w:t>
      </w:r>
      <w:bookmarkEnd w:id="8"/>
      <w:r>
        <w:rPr>
          <w:noProof/>
        </w:rPr>
        <w:t>4</w:t>
      </w:r>
      <w:bookmarkEnd w:id="9"/>
    </w:p>
    <w:p w14:paraId="15368E26" w14:textId="123F30F9" w:rsidR="00A02D98" w:rsidRPr="000123E4" w:rsidRDefault="00A02D98" w:rsidP="00A02D98">
      <w:pPr>
        <w:rPr>
          <w:noProof/>
        </w:rPr>
      </w:pPr>
      <w:bookmarkStart w:id="10" w:name="_Toc169303166"/>
      <w:r>
        <w:rPr>
          <w:noProof/>
        </w:rPr>
        <w:t>Ve druhé polovině roku 2024 Komise pokračovala v získávání finančních prostředků na trzích prostřednictvím jednotného přístupu k financování. Nejenže byly včas splněny všechny závazky v</w:t>
      </w:r>
      <w:r w:rsidR="0060544B">
        <w:rPr>
          <w:rFonts w:ascii="Calibri" w:hAnsi="Calibri" w:cs="Calibri"/>
          <w:noProof/>
        </w:rPr>
        <w:t> </w:t>
      </w:r>
      <w:r>
        <w:rPr>
          <w:noProof/>
        </w:rPr>
        <w:t>oblasti vyplácení finančních prostředků, ale objemy dluhopisů a jejich splatnosti zůstaly v rozmezí předem stanovených parametrů a podmínky financování byly přiměřené pro emitenta s velikostí a ratingem EU. V následujících oddílech jsou představeny některé klíčové složky výpůjčních a úvěrových operací Komise ve druhém pololetí roku 2024. V příloze této zprávy jsou pak uvedeny další ukazatele, které se používají ke sledování provádění strategie financování Komise.</w:t>
      </w:r>
    </w:p>
    <w:p w14:paraId="0C7AA257" w14:textId="105F20BE" w:rsidR="005D6F11" w:rsidRPr="000123E4" w:rsidRDefault="003926DF" w:rsidP="002703F1">
      <w:pPr>
        <w:pStyle w:val="Heading2"/>
        <w:rPr>
          <w:noProof/>
        </w:rPr>
      </w:pPr>
      <w:bookmarkStart w:id="11" w:name="_Toc170294782"/>
      <w:bookmarkStart w:id="12" w:name="_Toc187347924"/>
      <w:bookmarkStart w:id="13" w:name="_Toc187701953"/>
      <w:bookmarkStart w:id="14" w:name="_Toc187702008"/>
      <w:bookmarkStart w:id="15" w:name="_Toc190904644"/>
      <w:r>
        <w:rPr>
          <w:noProof/>
        </w:rPr>
        <w:t>Provádění operací v oblasti financování ve druhém pololetí roku 2024</w:t>
      </w:r>
      <w:bookmarkEnd w:id="10"/>
      <w:bookmarkEnd w:id="11"/>
      <w:bookmarkEnd w:id="12"/>
      <w:bookmarkEnd w:id="13"/>
      <w:bookmarkEnd w:id="14"/>
      <w:bookmarkEnd w:id="15"/>
    </w:p>
    <w:p w14:paraId="671F7083" w14:textId="34A374EF" w:rsidR="0049203F" w:rsidRPr="005C4C97" w:rsidRDefault="00C95DD4" w:rsidP="0049203F">
      <w:pPr>
        <w:rPr>
          <w:noProof/>
        </w:rPr>
      </w:pPr>
      <w:bookmarkStart w:id="16" w:name="_Hlk138161421"/>
      <w:r>
        <w:rPr>
          <w:noProof/>
        </w:rPr>
        <w:t>V souladu s plánem financování na období od 1. července do 31. prosince 2024 získala Komise dluhopisy EU v celkové hodnotě 64,3 miliardy EUR s průměrnou splatností přibližně 12 let (ve</w:t>
      </w:r>
      <w:r w:rsidR="0060544B">
        <w:rPr>
          <w:rFonts w:ascii="Calibri" w:hAnsi="Calibri" w:cs="Calibri"/>
          <w:noProof/>
        </w:rPr>
        <w:t> </w:t>
      </w:r>
      <w:r>
        <w:rPr>
          <w:noProof/>
        </w:rPr>
        <w:t xml:space="preserve">srovnání s 14 lety u finančních prostředků získaných v první polovině roku 2024). </w:t>
      </w:r>
      <w:r>
        <w:rPr>
          <w:noProof/>
          <w:color w:val="000000" w:themeColor="text1"/>
        </w:rPr>
        <w:t>Ve druhé polovině roku 2024 činila emise zelených dluhopisů v rámci nástroje NextGenerationEU 8 miliard EUR, čímž se celková hodnota nesplacených zelených dluhopisů zvýšila na 68,2 miliardy EUR a EU se tak stala pátým největším emitentem zelených dluhopisů na světě.</w:t>
      </w:r>
    </w:p>
    <w:p w14:paraId="3C2C3758" w14:textId="11EC2F1C" w:rsidR="0049203F" w:rsidRDefault="0049203F" w:rsidP="0049203F">
      <w:pPr>
        <w:rPr>
          <w:noProof/>
        </w:rPr>
      </w:pPr>
      <w:r>
        <w:rPr>
          <w:noProof/>
        </w:rPr>
        <w:t xml:space="preserve">Komise použila kombinaci čtyř syndikací (58 % získané částky) a osmi aukcí (42 % získané částky), což odpovídá oznámenému cíli. Dluhopisy EU byly vydávány v pravidelných intervalech po dobu šesti měsíců s ohledem na podmínky likvidity na trhu, přičemž byla zajištěna jejich pravidelná přítomnost na trhu. </w:t>
      </w:r>
    </w:p>
    <w:p w14:paraId="5C7794E5" w14:textId="77777777" w:rsidR="00EB47DD" w:rsidRDefault="00EB47DD" w:rsidP="0049203F">
      <w:pPr>
        <w:rPr>
          <w:noProof/>
        </w:rPr>
      </w:pPr>
    </w:p>
    <w:p w14:paraId="5C86CE36" w14:textId="6C2FF610" w:rsidR="00BA3133" w:rsidRPr="009428DB" w:rsidRDefault="00BA3133" w:rsidP="00810A51">
      <w:pPr>
        <w:rPr>
          <w:b/>
          <w:bCs/>
          <w:noProof/>
          <w:color w:val="034EA2" w:themeColor="accent1"/>
        </w:rPr>
      </w:pPr>
      <w:bookmarkStart w:id="17" w:name="_Hlk169095317"/>
      <w:r>
        <w:rPr>
          <w:b/>
          <w:noProof/>
          <w:color w:val="034EA2" w:themeColor="accent1"/>
        </w:rPr>
        <w:t>Graf 2: Finanční prostředky získané v rámci jednotného přístupu k financování</w:t>
      </w:r>
    </w:p>
    <w:p w14:paraId="0796846D" w14:textId="594401B4" w:rsidR="00EB47DD" w:rsidRDefault="009A1B95" w:rsidP="009428DB">
      <w:pPr>
        <w:rPr>
          <w:noProof/>
          <w:color w:val="3B3838" w:themeColor="background2" w:themeShade="40"/>
          <w:sz w:val="18"/>
          <w:szCs w:val="18"/>
        </w:rPr>
      </w:pPr>
      <w:r w:rsidRPr="009A1B95">
        <w:rPr>
          <w:noProof/>
          <w:lang w:val="en-GB" w:eastAsia="en-GB"/>
        </w:rPr>
        <w:drawing>
          <wp:inline distT="0" distB="0" distL="0" distR="0" wp14:anchorId="442B9922" wp14:editId="245E85E9">
            <wp:extent cx="4578350" cy="3090545"/>
            <wp:effectExtent l="0" t="0" r="0" b="0"/>
            <wp:docPr id="1544301206"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8350" cy="3090545"/>
                    </a:xfrm>
                    <a:prstGeom prst="rect">
                      <a:avLst/>
                    </a:prstGeom>
                    <a:noFill/>
                    <a:ln>
                      <a:noFill/>
                    </a:ln>
                  </pic:spPr>
                </pic:pic>
              </a:graphicData>
            </a:graphic>
          </wp:inline>
        </w:drawing>
      </w:r>
    </w:p>
    <w:p w14:paraId="480514B6" w14:textId="06E16302" w:rsidR="009428DB" w:rsidRPr="009428DB" w:rsidRDefault="009428DB" w:rsidP="009428DB">
      <w:pPr>
        <w:rPr>
          <w:noProof/>
          <w:color w:val="3B3838" w:themeColor="background2" w:themeShade="40"/>
          <w:sz w:val="18"/>
          <w:szCs w:val="18"/>
        </w:rPr>
      </w:pPr>
      <w:r>
        <w:rPr>
          <w:noProof/>
          <w:color w:val="3B3838" w:themeColor="background2" w:themeShade="40"/>
          <w:sz w:val="18"/>
        </w:rPr>
        <w:t>* První dvě transakce v rámci nástroje NextGenerationEU byly provedeny v červnu 2021. Byly zahrnuty do druhé poloviny roku 2021, protože byly součástí stejného plánu financování jako transakce, které byly provedeny ve druhé polovině roku 2021.</w:t>
      </w:r>
    </w:p>
    <w:bookmarkEnd w:id="17"/>
    <w:p w14:paraId="05F85E31" w14:textId="77777777" w:rsidR="009428DB" w:rsidRPr="005C4C97" w:rsidRDefault="009428DB" w:rsidP="009428DB">
      <w:pPr>
        <w:jc w:val="right"/>
        <w:rPr>
          <w:noProof/>
          <w:color w:val="595959" w:themeColor="text1" w:themeTint="A6"/>
          <w:sz w:val="18"/>
          <w:szCs w:val="18"/>
        </w:rPr>
      </w:pPr>
      <w:r>
        <w:rPr>
          <w:i/>
          <w:noProof/>
          <w:color w:val="595959" w:themeColor="text1" w:themeTint="A6"/>
          <w:sz w:val="18"/>
        </w:rPr>
        <w:t>Všechny částky jsou v miliardách EUR</w:t>
      </w:r>
    </w:p>
    <w:p w14:paraId="5938BA3D" w14:textId="5F3565CE" w:rsidR="002469E9" w:rsidRPr="00B40F65" w:rsidRDefault="002469E9" w:rsidP="002469E9">
      <w:pPr>
        <w:rPr>
          <w:noProof/>
        </w:rPr>
      </w:pPr>
      <w:bookmarkStart w:id="18" w:name="_Hlk156564741"/>
      <w:bookmarkStart w:id="19" w:name="_Hlk155181535"/>
      <w:bookmarkStart w:id="20" w:name="_Hlk169518262"/>
      <w:bookmarkStart w:id="21" w:name="_Hlk139454398"/>
      <w:r>
        <w:rPr>
          <w:noProof/>
        </w:rPr>
        <w:t>Díky transakcím ve druhé polovině roku 2024 dosáhl celkový objem nesplacených dluhopisů EU 578,2 miliardy EUR, z čehož 430,4 miliardy EUR bylo vydáno v rámci jednotné strategie financování EU, která byla zahájena v červnu 2021. 68,2 miliardy EUR z posledně uvedené částky</w:t>
      </w:r>
      <w:bookmarkStart w:id="22" w:name="_Hlk158104850"/>
      <w:bookmarkEnd w:id="18"/>
      <w:r>
        <w:rPr>
          <w:noProof/>
        </w:rPr>
        <w:t xml:space="preserve"> bylo vydáno ve formě zelených dluhopisů v rámci nástroje NextGenerationEU.</w:t>
      </w:r>
      <w:bookmarkEnd w:id="19"/>
      <w:r>
        <w:rPr>
          <w:noProof/>
        </w:rPr>
        <w:t xml:space="preserve"> </w:t>
      </w:r>
    </w:p>
    <w:bookmarkEnd w:id="20"/>
    <w:bookmarkEnd w:id="22"/>
    <w:p w14:paraId="737E3432" w14:textId="5D3202AB" w:rsidR="00542EFD" w:rsidRDefault="002469E9" w:rsidP="005D6F11">
      <w:pPr>
        <w:rPr>
          <w:noProof/>
        </w:rPr>
      </w:pPr>
      <w:r>
        <w:rPr>
          <w:noProof/>
        </w:rPr>
        <w:t>Ve druhé polovině roku 2024 Komise rovněž vydala tříměsíční a šestiměsíční pokladniční poukázky EU prostřednictvím aukcí konaných jednou za dva měsíce, aby tak pokryla potřeby krátkodobého financování. Na konci prosince 2024 měla EU prostřednictvím pokladničních poukázek EU nesplacený úvěr ve výši 23,1 miliardy EUR.</w:t>
      </w:r>
      <w:bookmarkEnd w:id="21"/>
    </w:p>
    <w:p w14:paraId="6E7825A0" w14:textId="77777777" w:rsidR="001C6C43" w:rsidRPr="00103817" w:rsidRDefault="001C6C43" w:rsidP="005D6F11">
      <w:pPr>
        <w:rPr>
          <w:noProof/>
        </w:rPr>
      </w:pPr>
    </w:p>
    <w:p w14:paraId="1BBD1ABF" w14:textId="66D9714C" w:rsidR="003926DF" w:rsidRPr="000123E4" w:rsidRDefault="003926DF" w:rsidP="005971A7">
      <w:pPr>
        <w:pStyle w:val="Heading2"/>
        <w:rPr>
          <w:noProof/>
        </w:rPr>
      </w:pPr>
      <w:bookmarkStart w:id="23" w:name="_Toc169303167"/>
      <w:bookmarkStart w:id="24" w:name="_Toc170294783"/>
      <w:bookmarkStart w:id="25" w:name="_Toc187347925"/>
      <w:bookmarkStart w:id="26" w:name="_Toc187701954"/>
      <w:bookmarkStart w:id="27" w:name="_Toc187702009"/>
      <w:bookmarkStart w:id="28" w:name="_Toc190904645"/>
      <w:bookmarkStart w:id="29" w:name="_Hlk169127536"/>
      <w:bookmarkEnd w:id="16"/>
      <w:r>
        <w:rPr>
          <w:noProof/>
        </w:rPr>
        <w:t>Platby</w:t>
      </w:r>
      <w:bookmarkEnd w:id="23"/>
      <w:bookmarkEnd w:id="24"/>
      <w:bookmarkEnd w:id="25"/>
      <w:bookmarkEnd w:id="26"/>
      <w:bookmarkEnd w:id="27"/>
      <w:bookmarkEnd w:id="28"/>
    </w:p>
    <w:p w14:paraId="57EC12A0" w14:textId="643FD7DD" w:rsidR="00083C92" w:rsidRDefault="00DC2305" w:rsidP="009536A9">
      <w:pPr>
        <w:rPr>
          <w:noProof/>
        </w:rPr>
      </w:pPr>
      <w:bookmarkStart w:id="30" w:name="_Hlk187329427"/>
      <w:r>
        <w:rPr>
          <w:noProof/>
        </w:rPr>
        <w:t>Díky těmto transakcím Komise pokračovala ve financování plánů pro oživení a odolnost členských států prostřednictvím včasného vyplácení získaných prostředků (do šesti pracovních dnů).</w:t>
      </w:r>
      <w:bookmarkEnd w:id="30"/>
    </w:p>
    <w:p w14:paraId="6FF8005B" w14:textId="41830782" w:rsidR="005C414E" w:rsidRPr="00715042" w:rsidRDefault="002C0915" w:rsidP="005C414E">
      <w:pPr>
        <w:rPr>
          <w:noProof/>
        </w:rPr>
      </w:pPr>
      <w:r>
        <w:rPr>
          <w:noProof/>
        </w:rPr>
        <w:t>Celkově Komise ve druhé polovině roku 2024 vyplatila na všechny politiky dohromady přibližně 78,5 miliardy EUR, které částečně financovala z prostředků, jež byly získány již v první polovině roku 2024. Z prostředků získaných v tomto období bylo na financování nástroje NextGenerationEU vyplaceno 72,2 miliardy EUR. Z této částky bylo 61,7 miliardy EUR použito na financování plánů pro oživení a odolnost členských států v rámci Nástroje pro oživení a odolnost (RRF). Tuto částku lze rozdělit na 37,2 miliardy EUR ve formě grantů pro patnáct členských států a 24,5 miliardy EUR ve</w:t>
      </w:r>
      <w:r w:rsidR="0060544B">
        <w:rPr>
          <w:rFonts w:ascii="Calibri" w:hAnsi="Calibri" w:cs="Calibri"/>
          <w:noProof/>
        </w:rPr>
        <w:t> </w:t>
      </w:r>
      <w:r>
        <w:rPr>
          <w:noProof/>
        </w:rPr>
        <w:t>formě půjček pro devět členských států. Zbývajících 10,5 miliardy EUR bylo použito na financování programů spravovaných EU a podporovaných nástrojem NextGenerationEU</w:t>
      </w:r>
      <w:r w:rsidR="005C414E" w:rsidRPr="00A1028E">
        <w:rPr>
          <w:noProof/>
          <w:vertAlign w:val="superscript"/>
          <w:lang w:val="en-GB"/>
        </w:rPr>
        <w:footnoteReference w:id="8"/>
      </w:r>
      <w:r>
        <w:rPr>
          <w:noProof/>
        </w:rPr>
        <w:t>.</w:t>
      </w:r>
    </w:p>
    <w:p w14:paraId="1832A5BC" w14:textId="56217C6B" w:rsidR="005C414E" w:rsidRPr="00877CA0" w:rsidRDefault="005C414E" w:rsidP="005C414E">
      <w:pPr>
        <w:rPr>
          <w:noProof/>
        </w:rPr>
      </w:pPr>
      <w:r>
        <w:rPr>
          <w:noProof/>
        </w:rPr>
        <w:t>Celkově Komise od léta 2021 vyplatila 375,4 miliardy EUR na podporu nástroje NextGenerationEU. Tato částka zahrnuje granty ve výši 197,4 miliardy EUR a půjčky členským státům v rámci Nástroje pro oživení a odolnost ve výši 108,7 miliardy EUR, jakož i 69,3 miliardy EUR na programy v rámci nástroje NGEU spravované EU. Z celkové podpory ve výši 375,4 miliardy EUR na nástroj NGEU bylo 365,8 miliardy EUR financováno vydáním dluhových cenných papírů</w:t>
      </w:r>
      <w:r w:rsidRPr="000123E4">
        <w:rPr>
          <w:noProof/>
          <w:vertAlign w:val="superscript"/>
          <w:lang w:val="en-GB"/>
        </w:rPr>
        <w:footnoteReference w:id="9"/>
      </w:r>
      <w:r>
        <w:rPr>
          <w:noProof/>
        </w:rPr>
        <w:t>.</w:t>
      </w:r>
    </w:p>
    <w:p w14:paraId="1FF529FF" w14:textId="4A5B5233" w:rsidR="00542EFD" w:rsidRDefault="005C414E" w:rsidP="00DC2305">
      <w:pPr>
        <w:rPr>
          <w:noProof/>
        </w:rPr>
      </w:pPr>
      <w:r>
        <w:rPr>
          <w:noProof/>
        </w:rPr>
        <w:t xml:space="preserve">Kromě plateb nástroje NGEU vyplatila Komise v druhé polovině roku 2024 Ukrajině v rámci Nástroje pro Ukrajinu 5,2 miliardy EUR, takže celková částka vyplacená v rámci Nástroje pro Ukrajinu v roce 2024 dosáhla 13,1 miliardy EUR. V druhé polovině roku 2024 byly z emisí dluhopisů EU financovány také půjčky makrofinanční pomoci Egyptu ve výši 1 miliardy EUR a Moldavsku ve výši 95 milionů EUR. </w:t>
      </w:r>
    </w:p>
    <w:p w14:paraId="6FEE8558" w14:textId="77777777" w:rsidR="003E4BE8" w:rsidRPr="00103817" w:rsidRDefault="003E4BE8" w:rsidP="00DC2305">
      <w:pPr>
        <w:rPr>
          <w:noProof/>
        </w:rPr>
      </w:pPr>
    </w:p>
    <w:p w14:paraId="53F3E1A0" w14:textId="3EDC669F" w:rsidR="003926DF" w:rsidRPr="000123E4" w:rsidRDefault="00352DCC" w:rsidP="00A87F59">
      <w:pPr>
        <w:pStyle w:val="Heading2"/>
        <w:rPr>
          <w:noProof/>
        </w:rPr>
      </w:pPr>
      <w:bookmarkStart w:id="31" w:name="_Toc169303168"/>
      <w:bookmarkStart w:id="32" w:name="_Toc170294784"/>
      <w:bookmarkStart w:id="33" w:name="_Toc187347926"/>
      <w:bookmarkStart w:id="34" w:name="_Toc187701955"/>
      <w:bookmarkStart w:id="35" w:name="_Toc187702010"/>
      <w:bookmarkStart w:id="36" w:name="_Toc190904646"/>
      <w:bookmarkEnd w:id="29"/>
      <w:r>
        <w:rPr>
          <w:noProof/>
        </w:rPr>
        <w:t>Poptávka investorů a likvidita sekundárního trhu</w:t>
      </w:r>
      <w:bookmarkEnd w:id="31"/>
      <w:bookmarkEnd w:id="32"/>
      <w:bookmarkEnd w:id="33"/>
      <w:bookmarkEnd w:id="34"/>
      <w:bookmarkEnd w:id="35"/>
      <w:bookmarkEnd w:id="36"/>
    </w:p>
    <w:p w14:paraId="15738A70" w14:textId="3DFB2EC6" w:rsidR="00216746" w:rsidRDefault="00556A0B" w:rsidP="00216746">
      <w:pPr>
        <w:rPr>
          <w:noProof/>
        </w:rPr>
      </w:pPr>
      <w:bookmarkStart w:id="37" w:name="_Hlk139454867"/>
      <w:r>
        <w:rPr>
          <w:noProof/>
        </w:rPr>
        <w:t>Emise dluhopisů EU se i nadále těšily poptávce ze strany vyvážené a diverzifikované globální investorské základny</w:t>
      </w:r>
      <w:r w:rsidR="00216746" w:rsidRPr="000123E4">
        <w:rPr>
          <w:noProof/>
          <w:vertAlign w:val="superscript"/>
          <w:lang w:val="en-GB"/>
        </w:rPr>
        <w:footnoteReference w:id="10"/>
      </w:r>
      <w:r>
        <w:rPr>
          <w:noProof/>
        </w:rPr>
        <w:t>.</w:t>
      </w:r>
    </w:p>
    <w:p w14:paraId="340E80F0" w14:textId="1F6352D4" w:rsidR="00387E02" w:rsidRPr="00103817" w:rsidRDefault="00387E02">
      <w:pPr>
        <w:spacing w:line="259" w:lineRule="auto"/>
        <w:jc w:val="left"/>
        <w:rPr>
          <w:b/>
          <w:bCs/>
          <w:noProof/>
          <w:color w:val="034EA2" w:themeColor="accent1"/>
        </w:rPr>
      </w:pPr>
    </w:p>
    <w:p w14:paraId="41A81828" w14:textId="7371C4F1" w:rsidR="00EF6F31" w:rsidRDefault="00EF6F31" w:rsidP="00216746">
      <w:pPr>
        <w:rPr>
          <w:b/>
          <w:bCs/>
          <w:noProof/>
          <w:color w:val="034EA2" w:themeColor="accent1"/>
        </w:rPr>
      </w:pPr>
      <w:r>
        <w:rPr>
          <w:b/>
          <w:noProof/>
          <w:color w:val="034EA2" w:themeColor="accent1"/>
        </w:rPr>
        <w:t>Graf 3: Rozdělení investorů v syndikovaných transakcích uskutečněných ve 2. pololetí 2024</w:t>
      </w:r>
    </w:p>
    <w:p w14:paraId="718C1DF1" w14:textId="5BCC384E" w:rsidR="00D52047" w:rsidRPr="00D52047" w:rsidRDefault="009A1B95" w:rsidP="00D52047">
      <w:pPr>
        <w:spacing w:after="0"/>
        <w:jc w:val="left"/>
        <w:rPr>
          <w:rFonts w:ascii="Times New Roman" w:eastAsia="Times New Roman" w:hAnsi="Times New Roman"/>
          <w:noProof/>
          <w:sz w:val="24"/>
        </w:rPr>
      </w:pPr>
      <w:r w:rsidRPr="009A1B95">
        <w:rPr>
          <w:noProof/>
          <w:lang w:val="en-GB" w:eastAsia="en-GB"/>
        </w:rPr>
        <w:drawing>
          <wp:inline distT="0" distB="0" distL="0" distR="0" wp14:anchorId="4CED5DE2" wp14:editId="22E9B336">
            <wp:extent cx="4907280" cy="2523310"/>
            <wp:effectExtent l="0" t="0" r="7620" b="0"/>
            <wp:docPr id="75358163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09972" cy="2524694"/>
                    </a:xfrm>
                    <a:prstGeom prst="rect">
                      <a:avLst/>
                    </a:prstGeom>
                    <a:noFill/>
                    <a:ln>
                      <a:noFill/>
                    </a:ln>
                  </pic:spPr>
                </pic:pic>
              </a:graphicData>
            </a:graphic>
          </wp:inline>
        </w:drawing>
      </w:r>
    </w:p>
    <w:p w14:paraId="1884B3F8" w14:textId="745FB63C" w:rsidR="00965EC1" w:rsidRPr="00FE2382" w:rsidRDefault="009A1B95" w:rsidP="00FE2382">
      <w:pPr>
        <w:spacing w:after="0"/>
        <w:jc w:val="left"/>
        <w:rPr>
          <w:rFonts w:ascii="Times New Roman" w:eastAsia="Times New Roman" w:hAnsi="Times New Roman"/>
          <w:noProof/>
          <w:sz w:val="24"/>
        </w:rPr>
      </w:pPr>
      <w:r w:rsidRPr="009A1B95">
        <w:rPr>
          <w:noProof/>
          <w:lang w:val="en-GB" w:eastAsia="en-GB"/>
        </w:rPr>
        <w:drawing>
          <wp:inline distT="0" distB="0" distL="0" distR="0" wp14:anchorId="77B5E947" wp14:editId="31A3CF98">
            <wp:extent cx="5083810" cy="2377440"/>
            <wp:effectExtent l="0" t="0" r="2540" b="3810"/>
            <wp:docPr id="261376895"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83810" cy="2377440"/>
                    </a:xfrm>
                    <a:prstGeom prst="rect">
                      <a:avLst/>
                    </a:prstGeom>
                    <a:noFill/>
                    <a:ln>
                      <a:noFill/>
                    </a:ln>
                  </pic:spPr>
                </pic:pic>
              </a:graphicData>
            </a:graphic>
          </wp:inline>
        </w:drawing>
      </w:r>
    </w:p>
    <w:p w14:paraId="534A4C4D" w14:textId="77777777" w:rsidR="00FE2382" w:rsidRPr="000123E4" w:rsidRDefault="00FE2382" w:rsidP="00216746">
      <w:pPr>
        <w:rPr>
          <w:noProof/>
          <w:lang w:val="en-GB"/>
        </w:rPr>
      </w:pPr>
    </w:p>
    <w:p w14:paraId="5AEE9404" w14:textId="5F0727FC" w:rsidR="00F81553" w:rsidRPr="00B2444A" w:rsidRDefault="008979B0" w:rsidP="00B2444A">
      <w:pPr>
        <w:rPr>
          <w:noProof/>
        </w:rPr>
      </w:pPr>
      <w:bookmarkStart w:id="39" w:name="_Hlk169094028"/>
      <w:bookmarkEnd w:id="37"/>
      <w:r>
        <w:rPr>
          <w:noProof/>
        </w:rPr>
        <w:t>Nová emisní ážia</w:t>
      </w:r>
      <w:r w:rsidR="002835C6" w:rsidRPr="00F81553">
        <w:rPr>
          <w:noProof/>
          <w:vertAlign w:val="superscript"/>
          <w:lang w:val="en-GB"/>
        </w:rPr>
        <w:footnoteReference w:id="11"/>
      </w:r>
      <w:r>
        <w:rPr>
          <w:noProof/>
        </w:rPr>
        <w:t xml:space="preserve"> </w:t>
      </w:r>
      <w:bookmarkStart w:id="40" w:name="_Hlk170294116"/>
      <w:bookmarkEnd w:id="39"/>
      <w:r>
        <w:rPr>
          <w:noProof/>
        </w:rPr>
        <w:t>požadovaná investory jako prémie při vydávání dluhopisů EU prostřednictvím syndikace činila ve druhé polovině roku 2024 přibližně 2,1 bazického bodu. To sice bylo více než v</w:t>
      </w:r>
      <w:r w:rsidR="0060544B">
        <w:rPr>
          <w:rFonts w:ascii="Calibri" w:hAnsi="Calibri" w:cs="Calibri"/>
          <w:noProof/>
        </w:rPr>
        <w:t> </w:t>
      </w:r>
      <w:r>
        <w:rPr>
          <w:noProof/>
        </w:rPr>
        <w:t>první polovině roku 2024 (kdy se průměrná nová emisní ážia pohybovala kolem 1,2 bazického bodu), ale úrovně ve druhé polovině roku 2024 zůstaly v souladu s koncesemi ostatních emitentů u srovnatelných transakcí (měřeno podle velikosti a splatnosti), což odráží vyšší volatilitu ve třetím čtvrtletí roku 2024.</w:t>
      </w:r>
    </w:p>
    <w:bookmarkEnd w:id="40"/>
    <w:p w14:paraId="10C2D56C" w14:textId="5AC148BA" w:rsidR="00733125" w:rsidRDefault="00733125" w:rsidP="00733125">
      <w:pPr>
        <w:rPr>
          <w:noProof/>
        </w:rPr>
      </w:pPr>
      <w:r>
        <w:rPr>
          <w:noProof/>
        </w:rPr>
        <w:t xml:space="preserve">Zároveň byla likvidita dluhopisů EU na sekundárním trhu ve druhé polovině roku 2024 o něco vyšší než v první polovině roku 2024. Ujednání o kótování platná od listopadu 2023 (podle nichž jsou primární dealeři v EU podporováni v tom, aby zveřejňovali spolehlivé ceny dluhopisů EU na předních elektronických platformách pro obchodování s dluhopisy) nadále podporovala likviditu dluhopisů EU. Od zavedení tohoto mechanismu kotace dochází k tomu, že denní objemy obchodů s dluhopisy EU na hlavní elektronické obchodní platformě v průměru výrazně přesahují 800 milionů EUR, přičemž denní maxima přesahují 2 miliardy EUR. </w:t>
      </w:r>
    </w:p>
    <w:p w14:paraId="1D8254DF" w14:textId="4411754C" w:rsidR="00733125" w:rsidRDefault="00733125" w:rsidP="00733125">
      <w:pPr>
        <w:rPr>
          <w:noProof/>
          <w:highlight w:val="yellow"/>
        </w:rPr>
      </w:pPr>
      <w:r>
        <w:rPr>
          <w:noProof/>
        </w:rPr>
        <w:t>Komise rovněž podpořila likviditu křivky dluhopisů EU tím, že navýšila stávající linie a zároveň vytvořila nové, aby uspokojila potřeby programů a poptávku investorů. V důsledku toho činila průměrná nesplacená částka na jeden dluhopis EU na konci roku 2024 přibližně 14,8 miliardy EUR, přičemž na konci prvního pololetí 2024 to bylo 13 miliard EUR. V druhé polovině roku 2024 byly rovněž spuštěny nové pětileté a sedmileté linie.</w:t>
      </w:r>
    </w:p>
    <w:p w14:paraId="7B52885D" w14:textId="77777777" w:rsidR="003E4BE8" w:rsidRDefault="003E4BE8" w:rsidP="00CE068C">
      <w:pPr>
        <w:rPr>
          <w:noProof/>
        </w:rPr>
      </w:pPr>
    </w:p>
    <w:p w14:paraId="076BA1BE" w14:textId="77777777" w:rsidR="001077F9" w:rsidRDefault="001077F9" w:rsidP="00CE068C">
      <w:pPr>
        <w:rPr>
          <w:noProof/>
        </w:rPr>
      </w:pPr>
    </w:p>
    <w:p w14:paraId="7E62E083" w14:textId="77777777" w:rsidR="001077F9" w:rsidRDefault="001077F9" w:rsidP="00CE068C">
      <w:pPr>
        <w:rPr>
          <w:noProof/>
        </w:rPr>
      </w:pPr>
    </w:p>
    <w:p w14:paraId="116C9D75" w14:textId="77777777" w:rsidR="001077F9" w:rsidRDefault="001077F9" w:rsidP="00CE068C">
      <w:pPr>
        <w:rPr>
          <w:noProof/>
        </w:rPr>
      </w:pPr>
    </w:p>
    <w:p w14:paraId="36D21604" w14:textId="77777777" w:rsidR="001077F9" w:rsidRDefault="001077F9" w:rsidP="00CE068C">
      <w:pPr>
        <w:rPr>
          <w:noProof/>
        </w:rPr>
      </w:pPr>
    </w:p>
    <w:p w14:paraId="375BE1DA" w14:textId="77777777" w:rsidR="001077F9" w:rsidRDefault="001077F9" w:rsidP="00CE068C">
      <w:pPr>
        <w:rPr>
          <w:noProof/>
        </w:rPr>
      </w:pPr>
    </w:p>
    <w:p w14:paraId="6E25AEA9" w14:textId="77777777" w:rsidR="001077F9" w:rsidRDefault="001077F9" w:rsidP="00CE068C">
      <w:pPr>
        <w:rPr>
          <w:noProof/>
        </w:rPr>
      </w:pPr>
    </w:p>
    <w:p w14:paraId="7A46A9E6" w14:textId="77777777" w:rsidR="001077F9" w:rsidRPr="0077171F" w:rsidRDefault="001077F9" w:rsidP="00CE068C">
      <w:pPr>
        <w:rPr>
          <w:noProof/>
        </w:rPr>
      </w:pPr>
    </w:p>
    <w:p w14:paraId="03C83E44" w14:textId="1ACAB312" w:rsidR="009A0198" w:rsidRDefault="00EF6F31" w:rsidP="009A0198">
      <w:pPr>
        <w:rPr>
          <w:b/>
          <w:bCs/>
          <w:noProof/>
          <w:color w:val="034EA2" w:themeColor="accent1"/>
        </w:rPr>
      </w:pPr>
      <w:bookmarkStart w:id="41" w:name="_Hlk187333874"/>
      <w:r>
        <w:rPr>
          <w:b/>
          <w:noProof/>
          <w:color w:val="034EA2" w:themeColor="accent1"/>
        </w:rPr>
        <w:t>Graf 4: Čtvrtletní obrat dluhopisů EU a evropských státních dluhopisů na sekundárním trhu (% nesplaceného objemu)</w:t>
      </w:r>
    </w:p>
    <w:p w14:paraId="2D2CAD4A" w14:textId="62453F3B" w:rsidR="00F02986" w:rsidRPr="00A87F59" w:rsidRDefault="004A6527" w:rsidP="009A0198">
      <w:pPr>
        <w:rPr>
          <w:b/>
          <w:bCs/>
          <w:noProof/>
          <w:color w:val="034EA2" w:themeColor="accent1"/>
        </w:rPr>
      </w:pPr>
      <w:r w:rsidRPr="004A6527">
        <w:rPr>
          <w:noProof/>
          <w:lang w:val="en-GB" w:eastAsia="en-GB"/>
        </w:rPr>
        <w:drawing>
          <wp:inline distT="0" distB="0" distL="0" distR="0" wp14:anchorId="692198B8" wp14:editId="670974B1">
            <wp:extent cx="5731510" cy="3495040"/>
            <wp:effectExtent l="0" t="0" r="2540" b="0"/>
            <wp:docPr id="1478146159"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3495040"/>
                    </a:xfrm>
                    <a:prstGeom prst="rect">
                      <a:avLst/>
                    </a:prstGeom>
                    <a:noFill/>
                    <a:ln>
                      <a:noFill/>
                    </a:ln>
                  </pic:spPr>
                </pic:pic>
              </a:graphicData>
            </a:graphic>
          </wp:inline>
        </w:drawing>
      </w:r>
    </w:p>
    <w:bookmarkEnd w:id="41"/>
    <w:p w14:paraId="66E247E6" w14:textId="0F5B713D" w:rsidR="009A0198" w:rsidRPr="00840773" w:rsidRDefault="009A0198" w:rsidP="009A0198">
      <w:pPr>
        <w:contextualSpacing/>
        <w:rPr>
          <w:noProof/>
          <w:sz w:val="20"/>
          <w:szCs w:val="20"/>
        </w:rPr>
      </w:pPr>
      <w:r>
        <w:rPr>
          <w:i/>
          <w:noProof/>
          <w:sz w:val="20"/>
        </w:rPr>
        <w:t>Zdroj:</w:t>
      </w:r>
      <w:r>
        <w:rPr>
          <w:noProof/>
          <w:sz w:val="20"/>
        </w:rPr>
        <w:t xml:space="preserve"> Evropská komise na základě údajů Podvýboru Hospodářského a finančního výboru pro trhy se státními dluhopisy EU (ESDM). </w:t>
      </w:r>
    </w:p>
    <w:p w14:paraId="3A754BF0" w14:textId="023C5879" w:rsidR="00B60214" w:rsidRDefault="009A0198" w:rsidP="009A0198">
      <w:pPr>
        <w:contextualSpacing/>
        <w:rPr>
          <w:noProof/>
          <w:sz w:val="20"/>
          <w:szCs w:val="20"/>
        </w:rPr>
      </w:pPr>
      <w:r>
        <w:rPr>
          <w:noProof/>
          <w:sz w:val="20"/>
        </w:rPr>
        <w:t>Pozn.: Trh s evropskými státními dluhopisy zde zahrnuje dluhopisy států eurozóny, Evropský nástroj finanční stability a Evropský mechanismus stability. Údaje za 3. a 4. čtvrtletí 2024 zatím nejsou k dispozici.</w:t>
      </w:r>
    </w:p>
    <w:p w14:paraId="74E89C11" w14:textId="77777777" w:rsidR="00B60214" w:rsidRDefault="00B60214" w:rsidP="009A0198">
      <w:pPr>
        <w:contextualSpacing/>
        <w:rPr>
          <w:noProof/>
          <w:sz w:val="20"/>
          <w:szCs w:val="20"/>
        </w:rPr>
      </w:pPr>
    </w:p>
    <w:p w14:paraId="0260D5D1" w14:textId="1D8DEE60" w:rsidR="00E81087" w:rsidRPr="00A87F59" w:rsidRDefault="00DB3549" w:rsidP="00A87F59">
      <w:pPr>
        <w:pStyle w:val="Heading1"/>
        <w:rPr>
          <w:noProof/>
        </w:rPr>
      </w:pPr>
      <w:bookmarkStart w:id="42" w:name="_Toc192863148"/>
      <w:r>
        <w:rPr>
          <w:noProof/>
        </w:rPr>
        <w:t>Náklady na financování a zůstatky likvidity</w:t>
      </w:r>
      <w:bookmarkEnd w:id="42"/>
    </w:p>
    <w:p w14:paraId="6EB8EACA" w14:textId="2859BED3" w:rsidR="001D0900" w:rsidRPr="007B6993" w:rsidRDefault="001D0900" w:rsidP="00A87F59">
      <w:pPr>
        <w:pStyle w:val="Heading2"/>
        <w:rPr>
          <w:noProof/>
        </w:rPr>
      </w:pPr>
      <w:bookmarkStart w:id="43" w:name="_Toc187701957"/>
      <w:bookmarkStart w:id="44" w:name="_Toc187702012"/>
      <w:bookmarkStart w:id="45" w:name="_Toc190904648"/>
      <w:r>
        <w:rPr>
          <w:noProof/>
        </w:rPr>
        <w:t>Náklady na financování</w:t>
      </w:r>
      <w:bookmarkEnd w:id="43"/>
      <w:bookmarkEnd w:id="44"/>
      <w:bookmarkEnd w:id="45"/>
    </w:p>
    <w:p w14:paraId="5D65988D" w14:textId="01CA1AE0" w:rsidR="00943313" w:rsidRDefault="00943313" w:rsidP="00035235">
      <w:pPr>
        <w:rPr>
          <w:noProof/>
        </w:rPr>
      </w:pPr>
      <w:r>
        <w:rPr>
          <w:noProof/>
        </w:rPr>
        <w:t>Metodika rozdělení nákladů v rámci strategie diverzifikovaného financování umožňuje Komisi propojit náklady na financování účtované příjemcům (z rozpočtu EU nebo příjemcům půjček) s podmínkami, které byly na trhu dosaženy v době financování výplat</w:t>
      </w:r>
      <w:r w:rsidR="009E499F" w:rsidRPr="007653FA">
        <w:rPr>
          <w:noProof/>
          <w:vertAlign w:val="superscript"/>
          <w:lang w:val="en-GB"/>
        </w:rPr>
        <w:footnoteReference w:id="12"/>
      </w:r>
      <w:r>
        <w:rPr>
          <w:noProof/>
        </w:rPr>
        <w:t>. Od 30. září 2024 navíc tato metodika umožňuje rozdělit výpůjční náklady podle jednotlivých programů. To odráží zvýšený počet politických programů financovaných ze strategie diverzifikovaného financování v rámci jednotného přístupu k</w:t>
      </w:r>
      <w:r w:rsidR="0060544B">
        <w:rPr>
          <w:rFonts w:ascii="Calibri" w:hAnsi="Calibri" w:cs="Calibri"/>
          <w:noProof/>
        </w:rPr>
        <w:t> </w:t>
      </w:r>
      <w:r>
        <w:rPr>
          <w:noProof/>
        </w:rPr>
        <w:t xml:space="preserve">financování.  </w:t>
      </w:r>
    </w:p>
    <w:p w14:paraId="101583C3" w14:textId="6AD2041A" w:rsidR="006E1A53" w:rsidRPr="007653FA" w:rsidRDefault="000214CF" w:rsidP="000214CF">
      <w:pPr>
        <w:rPr>
          <w:noProof/>
        </w:rPr>
      </w:pPr>
      <w:r>
        <w:rPr>
          <w:noProof/>
        </w:rPr>
        <w:t>V souladu s touto metodikou se náklady na financování</w:t>
      </w:r>
      <w:r>
        <w:rPr>
          <w:noProof/>
          <w:vertAlign w:val="superscript"/>
        </w:rPr>
        <w:t xml:space="preserve"> </w:t>
      </w:r>
      <w:r>
        <w:rPr>
          <w:noProof/>
        </w:rPr>
        <w:t>pro platby NGEU v časovém úseku červenec až prosinec 2024 („ČÚ7“ v tabulce níže) odhadují na 2,97 % ve srovnání s 3,19 % pro předchozí časový úsek 6 měsíců. Náklady na financování výplat v rámci Nástroje pro Ukrajinu a programu makrofinanční pomoci Egyptu činily na konci prosince 2024 2,68 %. Nižší náklady na financování těchto politik ve srovnání s nástrojem NextGenerationEU odrážejí skutečnost, že mohou být financovány pomocí dluhopisů s kratší průměrnou splatností, než mají dluhopisy použité k financování nástroje NGEU, protože profil splácení nástroje NGEU (a tedy průměrná splatnost) musí respektovat vyhrazený dočasný strop „vlastních zdrojů“.</w:t>
      </w:r>
    </w:p>
    <w:p w14:paraId="2A2B87A2" w14:textId="77777777" w:rsidR="0094369E" w:rsidRPr="00103817" w:rsidRDefault="0094369E" w:rsidP="007B6993">
      <w:pPr>
        <w:rPr>
          <w:noProof/>
        </w:rPr>
      </w:pPr>
    </w:p>
    <w:p w14:paraId="769BE625" w14:textId="4080E997" w:rsidR="00EF6F31" w:rsidRDefault="00EF6F31" w:rsidP="007B6993">
      <w:pPr>
        <w:rPr>
          <w:b/>
          <w:bCs/>
          <w:noProof/>
          <w:color w:val="034EA2" w:themeColor="accent1"/>
        </w:rPr>
      </w:pPr>
      <w:r>
        <w:rPr>
          <w:b/>
          <w:noProof/>
          <w:color w:val="034EA2" w:themeColor="accent1"/>
        </w:rPr>
        <w:t>Graf 5: Náklady na financování</w:t>
      </w:r>
    </w:p>
    <w:tbl>
      <w:tblPr>
        <w:tblStyle w:val="TableGrid"/>
        <w:tblW w:w="9242"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45"/>
        <w:gridCol w:w="1013"/>
        <w:gridCol w:w="1014"/>
        <w:gridCol w:w="1014"/>
        <w:gridCol w:w="1014"/>
        <w:gridCol w:w="1014"/>
        <w:gridCol w:w="1014"/>
        <w:gridCol w:w="1014"/>
      </w:tblGrid>
      <w:tr w:rsidR="0094369E" w:rsidRPr="00B74A66" w14:paraId="34967047" w14:textId="5B58EB9C" w:rsidTr="00515408">
        <w:trPr>
          <w:trHeight w:val="415"/>
        </w:trPr>
        <w:tc>
          <w:tcPr>
            <w:tcW w:w="2145" w:type="dxa"/>
            <w:vMerge w:val="restart"/>
            <w:shd w:val="clear" w:color="auto" w:fill="034EA2" w:themeFill="accent1"/>
            <w:vAlign w:val="center"/>
          </w:tcPr>
          <w:p w14:paraId="4EFAAE64" w14:textId="52D2C32D" w:rsidR="0094369E" w:rsidRDefault="0094369E" w:rsidP="0094369E">
            <w:pPr>
              <w:jc w:val="center"/>
              <w:rPr>
                <w:b/>
                <w:bCs/>
                <w:noProof/>
                <w:color w:val="FFFFFF" w:themeColor="background1"/>
              </w:rPr>
            </w:pPr>
            <w:r>
              <w:rPr>
                <w:b/>
                <w:noProof/>
                <w:color w:val="FFFFFF" w:themeColor="background1"/>
              </w:rPr>
              <w:t>NextGenerationEU</w:t>
            </w:r>
          </w:p>
        </w:tc>
        <w:tc>
          <w:tcPr>
            <w:tcW w:w="1013" w:type="dxa"/>
            <w:shd w:val="clear" w:color="auto" w:fill="034EA2" w:themeFill="accent1"/>
            <w:vAlign w:val="center"/>
            <w:hideMark/>
          </w:tcPr>
          <w:p w14:paraId="5C0F100C" w14:textId="219E3F9A" w:rsidR="0094369E" w:rsidRPr="00B74A66" w:rsidRDefault="0094369E">
            <w:pPr>
              <w:jc w:val="center"/>
              <w:rPr>
                <w:b/>
                <w:bCs/>
                <w:noProof/>
                <w:color w:val="FFFFFF" w:themeColor="background1"/>
              </w:rPr>
            </w:pPr>
            <w:r>
              <w:rPr>
                <w:b/>
                <w:noProof/>
                <w:color w:val="FFFFFF" w:themeColor="background1"/>
              </w:rPr>
              <w:t>ČÚ1</w:t>
            </w:r>
          </w:p>
        </w:tc>
        <w:tc>
          <w:tcPr>
            <w:tcW w:w="1014" w:type="dxa"/>
            <w:shd w:val="clear" w:color="auto" w:fill="034EA2" w:themeFill="accent1"/>
            <w:vAlign w:val="center"/>
            <w:hideMark/>
          </w:tcPr>
          <w:p w14:paraId="48E77872" w14:textId="271C6655" w:rsidR="0094369E" w:rsidRPr="00B74A66" w:rsidRDefault="0094369E">
            <w:pPr>
              <w:jc w:val="center"/>
              <w:rPr>
                <w:b/>
                <w:bCs/>
                <w:noProof/>
                <w:color w:val="FFFFFF" w:themeColor="background1"/>
              </w:rPr>
            </w:pPr>
            <w:r>
              <w:rPr>
                <w:b/>
                <w:noProof/>
                <w:color w:val="FFFFFF" w:themeColor="background1"/>
              </w:rPr>
              <w:t>ČÚ2</w:t>
            </w:r>
          </w:p>
        </w:tc>
        <w:tc>
          <w:tcPr>
            <w:tcW w:w="1014" w:type="dxa"/>
            <w:shd w:val="clear" w:color="auto" w:fill="034EA2" w:themeFill="accent1"/>
            <w:vAlign w:val="center"/>
            <w:hideMark/>
          </w:tcPr>
          <w:p w14:paraId="73049051" w14:textId="34F47E55" w:rsidR="0094369E" w:rsidRPr="00B74A66" w:rsidRDefault="0094369E">
            <w:pPr>
              <w:jc w:val="center"/>
              <w:rPr>
                <w:b/>
                <w:bCs/>
                <w:noProof/>
                <w:color w:val="FFFFFF" w:themeColor="background1"/>
              </w:rPr>
            </w:pPr>
            <w:r>
              <w:rPr>
                <w:b/>
                <w:noProof/>
                <w:color w:val="FFFFFF" w:themeColor="background1"/>
              </w:rPr>
              <w:t>ČÚ3</w:t>
            </w:r>
          </w:p>
        </w:tc>
        <w:tc>
          <w:tcPr>
            <w:tcW w:w="1014" w:type="dxa"/>
            <w:shd w:val="clear" w:color="auto" w:fill="034EA2" w:themeFill="accent1"/>
            <w:vAlign w:val="center"/>
            <w:hideMark/>
          </w:tcPr>
          <w:p w14:paraId="11216AA4" w14:textId="64D1D479" w:rsidR="0094369E" w:rsidRPr="00B74A66" w:rsidRDefault="0094369E">
            <w:pPr>
              <w:jc w:val="center"/>
              <w:rPr>
                <w:b/>
                <w:bCs/>
                <w:noProof/>
                <w:color w:val="FFFFFF" w:themeColor="background1"/>
              </w:rPr>
            </w:pPr>
            <w:r>
              <w:rPr>
                <w:b/>
                <w:noProof/>
                <w:color w:val="FFFFFF" w:themeColor="background1"/>
              </w:rPr>
              <w:t>ČÚ4</w:t>
            </w:r>
          </w:p>
        </w:tc>
        <w:tc>
          <w:tcPr>
            <w:tcW w:w="1014" w:type="dxa"/>
            <w:shd w:val="clear" w:color="auto" w:fill="034EA2" w:themeFill="accent1"/>
            <w:vAlign w:val="center"/>
            <w:hideMark/>
          </w:tcPr>
          <w:p w14:paraId="4A04C8C1" w14:textId="573508D0" w:rsidR="0094369E" w:rsidRPr="00B74A66" w:rsidRDefault="0094369E">
            <w:pPr>
              <w:jc w:val="center"/>
              <w:rPr>
                <w:b/>
                <w:bCs/>
                <w:noProof/>
                <w:color w:val="FFFFFF" w:themeColor="background1"/>
              </w:rPr>
            </w:pPr>
            <w:r>
              <w:rPr>
                <w:b/>
                <w:noProof/>
                <w:color w:val="FFFFFF" w:themeColor="background1"/>
              </w:rPr>
              <w:t>ČÚ5</w:t>
            </w:r>
          </w:p>
        </w:tc>
        <w:tc>
          <w:tcPr>
            <w:tcW w:w="1014" w:type="dxa"/>
            <w:shd w:val="clear" w:color="auto" w:fill="034EA2" w:themeFill="accent1"/>
            <w:vAlign w:val="center"/>
          </w:tcPr>
          <w:p w14:paraId="1B6452C8" w14:textId="35FB1F9C" w:rsidR="0094369E" w:rsidRPr="00B74A66" w:rsidRDefault="0094369E" w:rsidP="00071659">
            <w:pPr>
              <w:jc w:val="center"/>
              <w:rPr>
                <w:b/>
                <w:bCs/>
                <w:noProof/>
                <w:color w:val="FFFFFF" w:themeColor="background1"/>
              </w:rPr>
            </w:pPr>
            <w:r>
              <w:rPr>
                <w:b/>
                <w:noProof/>
                <w:color w:val="FFFFFF" w:themeColor="background1"/>
              </w:rPr>
              <w:t>ČÚ6</w:t>
            </w:r>
          </w:p>
        </w:tc>
        <w:tc>
          <w:tcPr>
            <w:tcW w:w="1014" w:type="dxa"/>
            <w:shd w:val="clear" w:color="auto" w:fill="034EA2" w:themeFill="accent1"/>
            <w:vAlign w:val="center"/>
          </w:tcPr>
          <w:p w14:paraId="7D53A173" w14:textId="5CDEFB5D" w:rsidR="0094369E" w:rsidRDefault="0094369E" w:rsidP="008229A6">
            <w:pPr>
              <w:jc w:val="center"/>
              <w:rPr>
                <w:b/>
                <w:bCs/>
                <w:noProof/>
                <w:color w:val="FFFFFF" w:themeColor="background1"/>
              </w:rPr>
            </w:pPr>
            <w:r>
              <w:rPr>
                <w:b/>
                <w:noProof/>
                <w:color w:val="FFFFFF" w:themeColor="background1"/>
              </w:rPr>
              <w:t>ČÚ7</w:t>
            </w:r>
          </w:p>
        </w:tc>
      </w:tr>
      <w:tr w:rsidR="0094369E" w:rsidRPr="00B74A66" w14:paraId="7F2149EF" w14:textId="0C65BA8E" w:rsidTr="00515408">
        <w:trPr>
          <w:trHeight w:val="415"/>
        </w:trPr>
        <w:tc>
          <w:tcPr>
            <w:tcW w:w="2145" w:type="dxa"/>
            <w:vMerge/>
          </w:tcPr>
          <w:p w14:paraId="7F9E03DF" w14:textId="77777777" w:rsidR="0094369E" w:rsidRPr="00B74A66" w:rsidRDefault="0094369E">
            <w:pPr>
              <w:jc w:val="center"/>
              <w:rPr>
                <w:noProof/>
                <w:color w:val="3B3838" w:themeColor="background2" w:themeShade="40"/>
              </w:rPr>
            </w:pPr>
          </w:p>
        </w:tc>
        <w:tc>
          <w:tcPr>
            <w:tcW w:w="1013" w:type="dxa"/>
            <w:vAlign w:val="center"/>
            <w:hideMark/>
          </w:tcPr>
          <w:p w14:paraId="0A5E174F" w14:textId="02011C0E" w:rsidR="0094369E" w:rsidRPr="00B74A66" w:rsidRDefault="0094369E">
            <w:pPr>
              <w:jc w:val="center"/>
              <w:rPr>
                <w:noProof/>
                <w:color w:val="3B3838" w:themeColor="background2" w:themeShade="40"/>
              </w:rPr>
            </w:pPr>
            <w:r>
              <w:rPr>
                <w:noProof/>
                <w:color w:val="3B3838" w:themeColor="background2" w:themeShade="40"/>
              </w:rPr>
              <w:t>0,15 %</w:t>
            </w:r>
          </w:p>
        </w:tc>
        <w:tc>
          <w:tcPr>
            <w:tcW w:w="1014" w:type="dxa"/>
            <w:vAlign w:val="center"/>
            <w:hideMark/>
          </w:tcPr>
          <w:p w14:paraId="56B0D810" w14:textId="2215903E" w:rsidR="0094369E" w:rsidRPr="00B74A66" w:rsidRDefault="0094369E">
            <w:pPr>
              <w:jc w:val="center"/>
              <w:rPr>
                <w:noProof/>
                <w:color w:val="3B3838" w:themeColor="background2" w:themeShade="40"/>
              </w:rPr>
            </w:pPr>
            <w:r>
              <w:rPr>
                <w:noProof/>
                <w:color w:val="3B3838" w:themeColor="background2" w:themeShade="40"/>
              </w:rPr>
              <w:t>1,38 %</w:t>
            </w:r>
          </w:p>
        </w:tc>
        <w:tc>
          <w:tcPr>
            <w:tcW w:w="1014" w:type="dxa"/>
            <w:vAlign w:val="center"/>
            <w:hideMark/>
          </w:tcPr>
          <w:p w14:paraId="595DB7A6" w14:textId="56F8C545" w:rsidR="0094369E" w:rsidRPr="00B74A66" w:rsidRDefault="0094369E">
            <w:pPr>
              <w:jc w:val="center"/>
              <w:rPr>
                <w:noProof/>
                <w:color w:val="3B3838" w:themeColor="background2" w:themeShade="40"/>
              </w:rPr>
            </w:pPr>
            <w:r>
              <w:rPr>
                <w:noProof/>
                <w:color w:val="3B3838" w:themeColor="background2" w:themeShade="40"/>
              </w:rPr>
              <w:t>2,61 %</w:t>
            </w:r>
          </w:p>
        </w:tc>
        <w:tc>
          <w:tcPr>
            <w:tcW w:w="1014" w:type="dxa"/>
            <w:vAlign w:val="center"/>
            <w:hideMark/>
          </w:tcPr>
          <w:p w14:paraId="7B5B5356" w14:textId="53E11789" w:rsidR="0094369E" w:rsidRPr="00B74A66" w:rsidRDefault="0094369E">
            <w:pPr>
              <w:jc w:val="center"/>
              <w:rPr>
                <w:noProof/>
                <w:color w:val="3B3838" w:themeColor="background2" w:themeShade="40"/>
              </w:rPr>
            </w:pPr>
            <w:r>
              <w:rPr>
                <w:noProof/>
                <w:color w:val="3B3838" w:themeColor="background2" w:themeShade="40"/>
              </w:rPr>
              <w:t>3,27 %</w:t>
            </w:r>
          </w:p>
        </w:tc>
        <w:tc>
          <w:tcPr>
            <w:tcW w:w="1014" w:type="dxa"/>
            <w:vAlign w:val="center"/>
            <w:hideMark/>
          </w:tcPr>
          <w:p w14:paraId="799909FE" w14:textId="0B7940F4" w:rsidR="0094369E" w:rsidRPr="0010771D" w:rsidRDefault="0094369E">
            <w:pPr>
              <w:jc w:val="center"/>
              <w:rPr>
                <w:noProof/>
                <w:color w:val="3B3838" w:themeColor="background2" w:themeShade="40"/>
              </w:rPr>
            </w:pPr>
            <w:r>
              <w:rPr>
                <w:noProof/>
                <w:color w:val="3B3838" w:themeColor="background2" w:themeShade="40"/>
              </w:rPr>
              <w:t>3,63 %</w:t>
            </w:r>
          </w:p>
        </w:tc>
        <w:tc>
          <w:tcPr>
            <w:tcW w:w="1014" w:type="dxa"/>
            <w:vAlign w:val="center"/>
          </w:tcPr>
          <w:p w14:paraId="0F492973" w14:textId="2405E175" w:rsidR="0094369E" w:rsidRPr="0010771D" w:rsidRDefault="0094369E" w:rsidP="00071659">
            <w:pPr>
              <w:jc w:val="center"/>
              <w:rPr>
                <w:noProof/>
                <w:color w:val="3B3838" w:themeColor="background2" w:themeShade="40"/>
              </w:rPr>
            </w:pPr>
            <w:r>
              <w:rPr>
                <w:noProof/>
                <w:color w:val="3B3838" w:themeColor="background2" w:themeShade="40"/>
              </w:rPr>
              <w:t>3,19 %</w:t>
            </w:r>
          </w:p>
        </w:tc>
        <w:tc>
          <w:tcPr>
            <w:tcW w:w="1014" w:type="dxa"/>
            <w:vAlign w:val="center"/>
          </w:tcPr>
          <w:p w14:paraId="35B2A424" w14:textId="40AC4AD0" w:rsidR="0094369E" w:rsidRPr="0010771D" w:rsidRDefault="0004632F" w:rsidP="008229A6">
            <w:pPr>
              <w:jc w:val="center"/>
              <w:rPr>
                <w:noProof/>
                <w:color w:val="3B3838" w:themeColor="background2" w:themeShade="40"/>
              </w:rPr>
            </w:pPr>
            <w:r>
              <w:rPr>
                <w:noProof/>
                <w:color w:val="3B3838" w:themeColor="background2" w:themeShade="40"/>
              </w:rPr>
              <w:t>2,97 %</w:t>
            </w:r>
          </w:p>
        </w:tc>
      </w:tr>
    </w:tbl>
    <w:p w14:paraId="7FF44516" w14:textId="77777777" w:rsidR="00D62573" w:rsidRDefault="00D62573" w:rsidP="007B6993">
      <w:pPr>
        <w:rPr>
          <w:b/>
          <w:bCs/>
          <w:noProof/>
          <w:color w:val="034EA2" w:themeColor="accent1"/>
          <w:lang w:val="en-GB"/>
        </w:rPr>
      </w:pPr>
    </w:p>
    <w:tbl>
      <w:tblPr>
        <w:tblStyle w:val="TableGrid"/>
        <w:tblW w:w="2093"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93"/>
      </w:tblGrid>
      <w:tr w:rsidR="00901B92" w:rsidRPr="00B74A66" w14:paraId="2BCF427E" w14:textId="77777777" w:rsidTr="00901B92">
        <w:trPr>
          <w:trHeight w:val="415"/>
        </w:trPr>
        <w:tc>
          <w:tcPr>
            <w:tcW w:w="2093" w:type="dxa"/>
            <w:shd w:val="clear" w:color="auto" w:fill="034EA2" w:themeFill="accent1"/>
            <w:vAlign w:val="center"/>
          </w:tcPr>
          <w:p w14:paraId="6BBC2473" w14:textId="3994960E" w:rsidR="00901B92" w:rsidRDefault="00901B92" w:rsidP="001E1429">
            <w:pPr>
              <w:jc w:val="center"/>
              <w:rPr>
                <w:b/>
                <w:bCs/>
                <w:noProof/>
                <w:color w:val="FFFFFF" w:themeColor="background1"/>
              </w:rPr>
            </w:pPr>
            <w:r>
              <w:rPr>
                <w:b/>
                <w:noProof/>
                <w:color w:val="FFFFFF" w:themeColor="background1"/>
              </w:rPr>
              <w:t>Nástroj pro Ukrajinu</w:t>
            </w:r>
          </w:p>
        </w:tc>
      </w:tr>
      <w:tr w:rsidR="00901B92" w:rsidRPr="00B74A66" w14:paraId="5AAF8A75" w14:textId="77777777" w:rsidTr="00901B92">
        <w:trPr>
          <w:trHeight w:val="415"/>
        </w:trPr>
        <w:tc>
          <w:tcPr>
            <w:tcW w:w="2093" w:type="dxa"/>
            <w:vAlign w:val="center"/>
          </w:tcPr>
          <w:p w14:paraId="43E8F298" w14:textId="5148135F" w:rsidR="00901B92" w:rsidRPr="0010771D" w:rsidRDefault="00016108" w:rsidP="001E1429">
            <w:pPr>
              <w:jc w:val="center"/>
              <w:rPr>
                <w:noProof/>
                <w:color w:val="3B3838" w:themeColor="background2" w:themeShade="40"/>
              </w:rPr>
            </w:pPr>
            <w:r>
              <w:rPr>
                <w:noProof/>
                <w:color w:val="3B3838" w:themeColor="background2" w:themeShade="40"/>
              </w:rPr>
              <w:t>2,68 %</w:t>
            </w:r>
          </w:p>
        </w:tc>
      </w:tr>
    </w:tbl>
    <w:p w14:paraId="353FF887" w14:textId="77777777" w:rsidR="00901B92" w:rsidRDefault="00901B92" w:rsidP="007B6993">
      <w:pPr>
        <w:rPr>
          <w:b/>
          <w:bCs/>
          <w:noProof/>
          <w:color w:val="034EA2" w:themeColor="accent1"/>
          <w:lang w:val="en-GB"/>
        </w:rPr>
      </w:pPr>
    </w:p>
    <w:tbl>
      <w:tblPr>
        <w:tblStyle w:val="TableGrid"/>
        <w:tblW w:w="2093"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93"/>
      </w:tblGrid>
      <w:tr w:rsidR="00901B92" w:rsidRPr="00B74A66" w14:paraId="162C3904" w14:textId="77777777" w:rsidTr="00901B92">
        <w:trPr>
          <w:trHeight w:val="415"/>
        </w:trPr>
        <w:tc>
          <w:tcPr>
            <w:tcW w:w="2093" w:type="dxa"/>
            <w:shd w:val="clear" w:color="auto" w:fill="034EA2" w:themeFill="accent1"/>
            <w:vAlign w:val="center"/>
          </w:tcPr>
          <w:p w14:paraId="564AFF2D" w14:textId="67F6DA39" w:rsidR="00901B92" w:rsidRDefault="00901B92" w:rsidP="001E1429">
            <w:pPr>
              <w:jc w:val="center"/>
              <w:rPr>
                <w:b/>
                <w:bCs/>
                <w:noProof/>
                <w:color w:val="FFFFFF" w:themeColor="background1"/>
              </w:rPr>
            </w:pPr>
            <w:r>
              <w:rPr>
                <w:b/>
                <w:noProof/>
                <w:color w:val="FFFFFF" w:themeColor="background1"/>
              </w:rPr>
              <w:t>MFA Egyptu</w:t>
            </w:r>
          </w:p>
        </w:tc>
      </w:tr>
      <w:tr w:rsidR="00901B92" w:rsidRPr="00B74A66" w14:paraId="50C72027" w14:textId="77777777" w:rsidTr="00901B92">
        <w:trPr>
          <w:trHeight w:val="415"/>
        </w:trPr>
        <w:tc>
          <w:tcPr>
            <w:tcW w:w="2093" w:type="dxa"/>
            <w:vAlign w:val="center"/>
          </w:tcPr>
          <w:p w14:paraId="4EDEB4B3" w14:textId="30121D81" w:rsidR="00901B92" w:rsidRPr="0010771D" w:rsidRDefault="00016108" w:rsidP="001E1429">
            <w:pPr>
              <w:jc w:val="center"/>
              <w:rPr>
                <w:noProof/>
                <w:color w:val="3B3838" w:themeColor="background2" w:themeShade="40"/>
              </w:rPr>
            </w:pPr>
            <w:r>
              <w:rPr>
                <w:noProof/>
                <w:color w:val="3B3838" w:themeColor="background2" w:themeShade="40"/>
              </w:rPr>
              <w:t>2,68 %</w:t>
            </w:r>
          </w:p>
        </w:tc>
      </w:tr>
    </w:tbl>
    <w:p w14:paraId="506374B3" w14:textId="77777777" w:rsidR="00266B45" w:rsidRDefault="00266B45" w:rsidP="00266B45">
      <w:pPr>
        <w:rPr>
          <w:noProof/>
        </w:rPr>
      </w:pPr>
    </w:p>
    <w:p w14:paraId="14B36A49" w14:textId="3D46E4DD" w:rsidR="00882B2E" w:rsidRPr="008229A6" w:rsidRDefault="00266B45" w:rsidP="00882B2E">
      <w:pPr>
        <w:rPr>
          <w:noProof/>
        </w:rPr>
      </w:pPr>
      <w:r>
        <w:rPr>
          <w:noProof/>
        </w:rPr>
        <w:t>Další snížení nákladů na financování ve druhé polovině roku 2024 odráželo širší tržní podmínky a snížení výnosů dluhopisů EU oproti výnosům evropských státních dluhopisů během šestiměsíčního období. Úrokové sazby dluhopisů EU se v druhé polovině roku 2024 snížily přibližně o 33 bazických bodů, a to z 3,23 % k 1. červenci 2024 na 2,90 % k 31. prosinci 2024 u desetiletého dluhopisu. Tento vývoj byl podpořen třemi sníženími úrokových sazeb Evropskou centrální bankou o 25 bazických bodů v průběhu druhé poloviny roku 2024. Výnosový spread mezi EU a většinou emitentů evropských státních dluhopisů se během druhé poloviny roku 2024 snížil. Například desetiletý úrokový diferenciál mezi dluhopisy EU a košem 50/50 německo-francouzských státních dluhopisů klesl ze zhruba 25 bazických bodů na začátku pololetí na 12 bazických bodů na jeho konci</w:t>
      </w:r>
      <w:bookmarkStart w:id="46" w:name="_Hlk169710857"/>
      <w:r>
        <w:rPr>
          <w:noProof/>
        </w:rPr>
        <w:t xml:space="preserve">. </w:t>
      </w:r>
    </w:p>
    <w:p w14:paraId="004D47C4" w14:textId="77777777" w:rsidR="008229A6" w:rsidRDefault="008229A6" w:rsidP="00D42605">
      <w:pPr>
        <w:rPr>
          <w:noProof/>
        </w:rPr>
      </w:pPr>
    </w:p>
    <w:p w14:paraId="4FDD3DC4" w14:textId="77777777" w:rsidR="00387E02" w:rsidRDefault="00387E02">
      <w:pPr>
        <w:spacing w:line="259" w:lineRule="auto"/>
        <w:jc w:val="left"/>
        <w:rPr>
          <w:b/>
          <w:bCs/>
          <w:noProof/>
          <w:color w:val="034EA2" w:themeColor="accent1"/>
        </w:rPr>
      </w:pPr>
      <w:r>
        <w:rPr>
          <w:noProof/>
        </w:rPr>
        <w:br w:type="page"/>
      </w:r>
    </w:p>
    <w:p w14:paraId="15E82C08" w14:textId="2B7558D2" w:rsidR="008229A6" w:rsidRDefault="008229A6" w:rsidP="008229A6">
      <w:pPr>
        <w:rPr>
          <w:b/>
          <w:bCs/>
          <w:noProof/>
          <w:color w:val="034EA2" w:themeColor="accent1"/>
        </w:rPr>
      </w:pPr>
      <w:r>
        <w:rPr>
          <w:b/>
          <w:noProof/>
          <w:color w:val="034EA2" w:themeColor="accent1"/>
        </w:rPr>
        <w:t>Graf 6: Výnosy desetiletých dluhopisů EU</w:t>
      </w:r>
    </w:p>
    <w:p w14:paraId="5CA94D4A" w14:textId="6BD53E57" w:rsidR="008229A6" w:rsidRPr="008229A6" w:rsidRDefault="005B1BB2" w:rsidP="00D42605">
      <w:pPr>
        <w:rPr>
          <w:noProof/>
        </w:rPr>
      </w:pPr>
      <w:r>
        <w:rPr>
          <w:noProof/>
          <w:lang w:val="en-GB" w:eastAsia="en-GB"/>
        </w:rPr>
        <w:drawing>
          <wp:inline distT="0" distB="0" distL="0" distR="0" wp14:anchorId="6EC57DD3" wp14:editId="16146B06">
            <wp:extent cx="5731510" cy="3078480"/>
            <wp:effectExtent l="0" t="0" r="0" b="0"/>
            <wp:docPr id="96984286" name="Chart 1">
              <a:extLst xmlns:a="http://schemas.openxmlformats.org/drawingml/2006/main">
                <a:ext uri="{FF2B5EF4-FFF2-40B4-BE49-F238E27FC236}">
                  <a16:creationId xmlns:a16="http://schemas.microsoft.com/office/drawing/2014/main" id="{A959B213-9179-499A-9000-EC1899CB5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0178AF5" w14:textId="77777777" w:rsidR="008229A6" w:rsidRDefault="008229A6" w:rsidP="00D42605">
      <w:pPr>
        <w:rPr>
          <w:strike/>
          <w:noProof/>
        </w:rPr>
      </w:pPr>
    </w:p>
    <w:p w14:paraId="578660E7" w14:textId="24AC3BA7" w:rsidR="00D73D12" w:rsidRPr="00C853A3" w:rsidRDefault="001D0900" w:rsidP="00A87F59">
      <w:pPr>
        <w:pStyle w:val="Heading2"/>
        <w:rPr>
          <w:noProof/>
        </w:rPr>
      </w:pPr>
      <w:bookmarkStart w:id="47" w:name="_Toc169303171"/>
      <w:bookmarkStart w:id="48" w:name="_Toc170294787"/>
      <w:bookmarkStart w:id="49" w:name="_Toc187347929"/>
      <w:bookmarkStart w:id="50" w:name="_Toc187701958"/>
      <w:bookmarkStart w:id="51" w:name="_Toc187702013"/>
      <w:bookmarkStart w:id="52" w:name="_Toc190904649"/>
      <w:bookmarkStart w:id="53" w:name="_Hlk187336294"/>
      <w:bookmarkEnd w:id="46"/>
      <w:r>
        <w:rPr>
          <w:noProof/>
        </w:rPr>
        <w:t>Řízení likvidity</w:t>
      </w:r>
      <w:bookmarkEnd w:id="47"/>
      <w:bookmarkEnd w:id="48"/>
      <w:bookmarkEnd w:id="49"/>
      <w:bookmarkEnd w:id="50"/>
      <w:bookmarkEnd w:id="51"/>
      <w:bookmarkEnd w:id="52"/>
    </w:p>
    <w:p w14:paraId="19DD8801" w14:textId="3E2640F6" w:rsidR="00046F24" w:rsidRPr="00E61124" w:rsidRDefault="00046F24" w:rsidP="00046F24">
      <w:pPr>
        <w:rPr>
          <w:noProof/>
        </w:rPr>
      </w:pPr>
      <w:bookmarkStart w:id="54" w:name="_Ref155257759"/>
      <w:r>
        <w:rPr>
          <w:noProof/>
        </w:rPr>
        <w:t>Komise udržovala pravidelnou a předvídatelnou přítomnost na finančních trzích v souladu s plánem financování oznámeným v červnu 2024. V průběhu druhé poloviny roku 2024 se průměrná likvidita v porovnání s první polovinou roku 2024 zvýšila, a to především v důsledku výplat soustředěných na konec roku 2024 a začátek roku 2025. V důsledku toho činil průměrný objem držených peněžních prostředků ve druhé polovině roku 50,7 miliardy EUR ve srovnání s 28,2 miliardy EUR v první polovině roku 2024. Na počátku roku 2025 kleslo množství držených peněžních prostředků na 33,8 miliardy EUR poté, co na počátku prosince 2024 dosáhlo nejvyšší hodnoty 76,9 miliardy EUR (před vyplacením téměř 43 miliard EUR v následujících třech týdnech). Zbývající hotovostní zůstatky na konci roku budou čerpány na začátku roku 2025, aby byly pokryty plánované potřeby čerpání.</w:t>
      </w:r>
    </w:p>
    <w:p w14:paraId="661F336D" w14:textId="58005575" w:rsidR="00996115" w:rsidRPr="00102ABC" w:rsidRDefault="00475680" w:rsidP="00440BC5">
      <w:pPr>
        <w:rPr>
          <w:noProof/>
        </w:rPr>
      </w:pPr>
      <w:r>
        <w:rPr>
          <w:noProof/>
        </w:rPr>
        <w:t>Tyto držené likvidity se v nákladech na podporované programy nijak neprojevily. Naopak přebytečné množství držených peněžních prostředků podléhalo po celé druhé pololetí roku 2024 aktivnímu řízení likvidity s cílem optimalizovat výnosy z držby hotovosti bez rizika protistrany. Díky tomuto aktivnímu řízení likvidity byl od července do prosince 2024 dosažen čistý příjem z držených peněžních prostředků ve výši 58,1 milionu EUR. Po sečtení se zisky za první pololetí roku 2024 činily roční zisky z držby likvidity ke konci roku</w:t>
      </w:r>
      <w:r>
        <w:rPr>
          <w:rFonts w:ascii="Calibri" w:hAnsi="Calibri"/>
          <w:noProof/>
        </w:rPr>
        <w:t> </w:t>
      </w:r>
      <w:r>
        <w:rPr>
          <w:noProof/>
        </w:rPr>
        <w:t xml:space="preserve">139,9 milionu EUR. Tento příjem bude poměrně rozdělen mezi rozpočet EU a příjemce půjček, zejména členské státy v rámci úvěrového programu nástroje RRF. </w:t>
      </w:r>
    </w:p>
    <w:p w14:paraId="795EF447" w14:textId="341E071D" w:rsidR="00DF5658" w:rsidRDefault="001401DA" w:rsidP="00DF5658">
      <w:pPr>
        <w:pStyle w:val="Heading1"/>
        <w:rPr>
          <w:noProof/>
        </w:rPr>
      </w:pPr>
      <w:bookmarkStart w:id="55" w:name="_Toc192863149"/>
      <w:bookmarkStart w:id="56" w:name="_Hlk187423718"/>
      <w:bookmarkEnd w:id="53"/>
      <w:r>
        <w:rPr>
          <w:noProof/>
        </w:rPr>
        <w:t>Kroky k dalšímu rozvoji ekosystému dluhopisů EU</w:t>
      </w:r>
      <w:bookmarkEnd w:id="54"/>
      <w:bookmarkEnd w:id="55"/>
    </w:p>
    <w:p w14:paraId="1AEA051A" w14:textId="2AE87235" w:rsidR="00847A54" w:rsidRDefault="00847A54" w:rsidP="00847A54">
      <w:pPr>
        <w:rPr>
          <w:noProof/>
        </w:rPr>
      </w:pPr>
      <w:r>
        <w:rPr>
          <w:noProof/>
        </w:rPr>
        <w:t>V říjnu 2024 Komise spustila nástroj pro zpětné odkupy dluhopisů EU, který umožňuje EU nabídnout svým primárním dealerům možnost dočasně získat konkrétní dluhopisy EU. Cílem tohoto nástroje je pomoci primárním dealerům v EU zveřejňovat pevné a veřejné kotace dluhopisů EU, aby si investoři mohli být jisti podmínkami, za kterých mohou obchodovat s dluhopisy EU na sekundárním trhu, což zlepší efektivitu a likviditu trhu s dluhopisy EU.</w:t>
      </w:r>
    </w:p>
    <w:p w14:paraId="1ED269A0" w14:textId="640A7C41" w:rsidR="00847A54" w:rsidRDefault="00847A54" w:rsidP="00847A54">
      <w:pPr>
        <w:rPr>
          <w:noProof/>
        </w:rPr>
      </w:pPr>
      <w:r>
        <w:rPr>
          <w:noProof/>
        </w:rPr>
        <w:t>Vytvoření nástroje pro zpětné odkupy následuje kroky mnoha velkých emitentů, kteří tuto službu nabízejí svým primárním dealerům, a je přirozeným dalším krokem v prohlubování ekosystému trhu s dluhopisy EU. Spuštěním tohoto systému splnila EU poslední ze závazků, které přijala v prosinci 2022 v souvislosti s kroky k vybudování kapacit na podporu trhu s dluhopisy EU.</w:t>
      </w:r>
    </w:p>
    <w:p w14:paraId="092AD4ED" w14:textId="61FC9A52" w:rsidR="00847A54" w:rsidRDefault="00847A54" w:rsidP="00847A54">
      <w:pPr>
        <w:rPr>
          <w:noProof/>
        </w:rPr>
      </w:pPr>
      <w:r>
        <w:rPr>
          <w:noProof/>
        </w:rPr>
        <w:t xml:space="preserve">Pokračující vývoj ekosystému pro dluhopisy EU spolu s konsolidací objemů financování v rámci jednotného přístupu k financování (v platnosti od ledna 2023) rovněž umožnily účastníkům trhu přijímat nezávislé iniciativy, které by mohly dále podpořit fungování trhu s dluhopisy EU. </w:t>
      </w:r>
    </w:p>
    <w:p w14:paraId="0C481F75" w14:textId="5AFC0C1F" w:rsidR="00DF5658" w:rsidRDefault="004C7FC5" w:rsidP="001B0E99">
      <w:pPr>
        <w:rPr>
          <w:noProof/>
        </w:rPr>
      </w:pPr>
      <w:r>
        <w:rPr>
          <w:noProof/>
        </w:rPr>
        <w:t xml:space="preserve">Mezi tyto nezávislé iniciativy patřilo zavedení futures na index dluhopisů EU v prosinci 2024. Přední evropská burza oznámila svůj obnovený zájem uvést v průběhu roku 2025 na trh tradiční (fyzicky vypořádávané) futures na dluhopisy EU. Dostupnost těchto futures dále podpoří investice do dluhopisů EU tím, že umožní účastníkům trhu zajistit otevřené pozice v dluhopisech EU a posoudit očekávání trhu ohledně ceny dluhopisů EU. Poskytovatelé indexů nadále zvažovali, jak nejlépe zařadit dluhopisy EU do různých indexů, přičemž správce druhého indexu sdělil, že po konzultaci s uživateli indexů ještě není připraven zahrnout dluhopisy EU do svých příslušných státních indexů, ale že situaci později znovu posoudí. </w:t>
      </w:r>
    </w:p>
    <w:p w14:paraId="6B3B3AB6" w14:textId="5C4F77D7" w:rsidR="00456072" w:rsidRPr="00A87F59" w:rsidRDefault="00456072" w:rsidP="00A87F59">
      <w:pPr>
        <w:pStyle w:val="Heading1"/>
        <w:rPr>
          <w:noProof/>
        </w:rPr>
      </w:pPr>
      <w:bookmarkStart w:id="57" w:name="_Ref169300365"/>
      <w:bookmarkStart w:id="58" w:name="_Ref169300367"/>
      <w:bookmarkStart w:id="59" w:name="_Toc192863150"/>
      <w:r>
        <w:rPr>
          <w:noProof/>
        </w:rPr>
        <w:t>Další milníky ve druhé polovině roku 202</w:t>
      </w:r>
      <w:bookmarkEnd w:id="57"/>
      <w:bookmarkEnd w:id="58"/>
      <w:r>
        <w:rPr>
          <w:noProof/>
        </w:rPr>
        <w:t>4</w:t>
      </w:r>
      <w:bookmarkEnd w:id="59"/>
    </w:p>
    <w:p w14:paraId="5A4859E4" w14:textId="6FACD352" w:rsidR="00456072" w:rsidRPr="00F60F12" w:rsidRDefault="00DF5658" w:rsidP="00A87F59">
      <w:pPr>
        <w:pStyle w:val="Heading2"/>
        <w:rPr>
          <w:noProof/>
        </w:rPr>
      </w:pPr>
      <w:bookmarkStart w:id="60" w:name="_Toc187347932"/>
      <w:bookmarkStart w:id="61" w:name="_Toc187702016"/>
      <w:bookmarkStart w:id="62" w:name="_Toc190904652"/>
      <w:r>
        <w:rPr>
          <w:noProof/>
        </w:rPr>
        <w:t>Zpráva o přidělování a dopadech zelených dluhopisů nástroje NextGeneration EU za rok 2024</w:t>
      </w:r>
      <w:bookmarkEnd w:id="60"/>
      <w:bookmarkEnd w:id="61"/>
      <w:bookmarkEnd w:id="62"/>
    </w:p>
    <w:p w14:paraId="5DBC0FB7" w14:textId="4259CC2F" w:rsidR="001A57FF" w:rsidRPr="00A94EFC" w:rsidRDefault="001A57FF" w:rsidP="001A57FF">
      <w:pPr>
        <w:rPr>
          <w:noProof/>
        </w:rPr>
      </w:pPr>
      <w:bookmarkStart w:id="63" w:name="_Toc187702017"/>
      <w:bookmarkStart w:id="64" w:name="_Toc169303180"/>
      <w:r>
        <w:rPr>
          <w:noProof/>
        </w:rPr>
        <w:t>Tři roky po vydání prvních zelených dluhopisů v říjnu 2021 činil objem emisí zelených dluhopisů nástroje NGEU na konci roku 2024 více než 68 miliard EUR. Tyto dluhopisy byly vydány na základě již vykázaných a ověřených výdajů souvisejících s klimatem ve výši 53 miliard EUR a celkového objemu výdajů souvisejících s klimatem v hodnotě 264 miliard EUR obsažených v plánech členských států, které jsou financovány z RRF.</w:t>
      </w:r>
    </w:p>
    <w:p w14:paraId="12B3C829" w14:textId="04292ECB" w:rsidR="001A57FF" w:rsidRDefault="001A57FF" w:rsidP="001A57FF">
      <w:pPr>
        <w:rPr>
          <w:noProof/>
        </w:rPr>
      </w:pPr>
      <w:r>
        <w:rPr>
          <w:noProof/>
        </w:rPr>
        <w:t xml:space="preserve">V souladu s požadavky na podávání zpráv v rámci zelených dluhopisů nástroje NGEU zveřejnila Komise v listopadu výroční </w:t>
      </w:r>
      <w:hyperlink r:id="rId35" w:history="1">
        <w:r>
          <w:rPr>
            <w:rStyle w:val="Hyperlink"/>
            <w:noProof/>
          </w:rPr>
          <w:t>zprávu o přidělování a dopadech zelených dluhopisů nástroje NextGenerationEU</w:t>
        </w:r>
      </w:hyperlink>
      <w:r>
        <w:rPr>
          <w:noProof/>
        </w:rPr>
        <w:t xml:space="preserve"> za rok 2024. </w:t>
      </w:r>
    </w:p>
    <w:p w14:paraId="161276DB" w14:textId="140E4416" w:rsidR="001A57FF" w:rsidRPr="009704A7" w:rsidRDefault="001A57FF" w:rsidP="001A57FF">
      <w:pPr>
        <w:rPr>
          <w:noProof/>
        </w:rPr>
      </w:pPr>
      <w:r>
        <w:rPr>
          <w:noProof/>
        </w:rPr>
        <w:t xml:space="preserve">Ze zprávy vyplývá (na základě mezního data 1. srpna 2024), že: </w:t>
      </w:r>
    </w:p>
    <w:p w14:paraId="6D26210C" w14:textId="70E669C0" w:rsidR="00DB4A9B" w:rsidRPr="00C97E32" w:rsidRDefault="001A57FF" w:rsidP="001A57FF">
      <w:pPr>
        <w:pStyle w:val="ListParagraph"/>
        <w:numPr>
          <w:ilvl w:val="0"/>
          <w:numId w:val="37"/>
        </w:numPr>
        <w:rPr>
          <w:rFonts w:ascii="EC Square Sans Pro" w:hAnsi="EC Square Sans Pro"/>
          <w:noProof/>
        </w:rPr>
      </w:pPr>
      <w:r>
        <w:rPr>
          <w:rFonts w:ascii="EC Square Sans Pro" w:hAnsi="EC Square Sans Pro"/>
          <w:noProof/>
        </w:rPr>
        <w:t>Soubor způsobilých výdajů na zelené dluhopisy nástroje NGEU se v roce 2024 zvýšil na 264,6 miliardy EUR, což je téměř o 40 % více než v roce 2023. Tento nárůst byl způsoben především vyššími výdaji souvisejícími s přechodem na novou klimatickou politiku poté, co byly plány pro oživení a odolnost členských států revidovány tak, aby zahrnovaly plán REPowerEU.</w:t>
      </w:r>
    </w:p>
    <w:p w14:paraId="6CD2A7E9" w14:textId="5CE05043" w:rsidR="00C97E32" w:rsidRPr="00C97E32" w:rsidRDefault="00555E15" w:rsidP="001A57FF">
      <w:pPr>
        <w:pStyle w:val="ListParagraph"/>
        <w:numPr>
          <w:ilvl w:val="0"/>
          <w:numId w:val="37"/>
        </w:numPr>
        <w:rPr>
          <w:rFonts w:ascii="EC Square Sans Pro" w:hAnsi="EC Square Sans Pro"/>
          <w:noProof/>
        </w:rPr>
      </w:pPr>
      <w:r>
        <w:rPr>
          <w:rFonts w:ascii="EC Square Sans Pro" w:hAnsi="EC Square Sans Pro"/>
          <w:noProof/>
        </w:rPr>
        <w:t>Soubor zelených dluhopisů nástroje NGEU je i nadále pevně v souladu s taxonomií EU, přičemž 63,4 % celkového souboru způsobilých výdajů na zelené dluhopisy nástroje NGEU bylo vyhodnoceno jako plně nebo v podstatné míře odpovídající taxonomickým metrikám EU (ve</w:t>
      </w:r>
      <w:r w:rsidR="0060544B">
        <w:rPr>
          <w:rFonts w:ascii="Calibri" w:hAnsi="Calibri" w:cs="Calibri"/>
          <w:noProof/>
        </w:rPr>
        <w:t> </w:t>
      </w:r>
      <w:r>
        <w:rPr>
          <w:rFonts w:ascii="EC Square Sans Pro" w:hAnsi="EC Square Sans Pro"/>
          <w:noProof/>
        </w:rPr>
        <w:t xml:space="preserve">srovnání s 57,5 % v roce 2023). </w:t>
      </w:r>
    </w:p>
    <w:p w14:paraId="58452BB4" w14:textId="585EF85C" w:rsidR="001A57FF" w:rsidRPr="00C97E32" w:rsidRDefault="001A57FF" w:rsidP="001A57FF">
      <w:pPr>
        <w:pStyle w:val="ListParagraph"/>
        <w:numPr>
          <w:ilvl w:val="0"/>
          <w:numId w:val="37"/>
        </w:numPr>
        <w:rPr>
          <w:noProof/>
        </w:rPr>
      </w:pPr>
      <w:r>
        <w:rPr>
          <w:rFonts w:ascii="EC Square Sans Pro" w:hAnsi="EC Square Sans Pro"/>
          <w:noProof/>
        </w:rPr>
        <w:t>Očekává se, že úplné zavedení investic financovaných zelenými dluhopisy nástroje NGEU sníží emise skleníkových plynů v EU o 55 milionů tun ročně, což představuje 1,5 % všech emisí skleníkových plynů v EU.</w:t>
      </w:r>
      <w:r>
        <w:rPr>
          <w:noProof/>
        </w:rPr>
        <w:t xml:space="preserve"> </w:t>
      </w:r>
    </w:p>
    <w:p w14:paraId="66FAD1BA" w14:textId="19469A09" w:rsidR="00D9063C" w:rsidRDefault="001A57FF" w:rsidP="0026697C">
      <w:pPr>
        <w:rPr>
          <w:noProof/>
        </w:rPr>
      </w:pPr>
      <w:r>
        <w:rPr>
          <w:noProof/>
        </w:rPr>
        <w:t>Do budoucna budou zelené dluhopisy nástroje NGEU stále častěji vydávány současně s tím, jak budou členské státy vykazovat a potvrzovat způsobilé výdaje. U výdajů, které budou potvrzeny po roce 2026, může Komise vydat zelené dluhopisy nástroje NGEU, které nahradí splatné konvenční dluhopisy ve fázi refinancování. Tento přístup zajišťuje, že všechny způsobilé výdaje jsou před vydáním dluhopisů plně ověřeny.</w:t>
      </w:r>
      <w:bookmarkEnd w:id="63"/>
    </w:p>
    <w:p w14:paraId="15D20713" w14:textId="2CD23F29" w:rsidR="001401DA" w:rsidRPr="009C1A13" w:rsidRDefault="007D6C82" w:rsidP="009C1A13">
      <w:pPr>
        <w:pStyle w:val="Heading1"/>
        <w:rPr>
          <w:noProof/>
        </w:rPr>
      </w:pPr>
      <w:bookmarkStart w:id="65" w:name="_Toc192863151"/>
      <w:bookmarkStart w:id="66" w:name="_Hlk155276042"/>
      <w:bookmarkStart w:id="67" w:name="_Hlk158303590"/>
      <w:bookmarkStart w:id="68" w:name="_Hlk158382887"/>
      <w:bookmarkEnd w:id="56"/>
      <w:bookmarkEnd w:id="64"/>
      <w:r>
        <w:rPr>
          <w:noProof/>
        </w:rPr>
        <w:t>Výhled týkající se emisí na první pololetí roku 2025</w:t>
      </w:r>
      <w:bookmarkEnd w:id="65"/>
    </w:p>
    <w:bookmarkEnd w:id="66"/>
    <w:bookmarkEnd w:id="67"/>
    <w:bookmarkEnd w:id="68"/>
    <w:p w14:paraId="6C59CE6F" w14:textId="13E646C9" w:rsidR="003874C8" w:rsidRPr="00A55ED6" w:rsidRDefault="003874C8" w:rsidP="003874C8">
      <w:pPr>
        <w:rPr>
          <w:noProof/>
        </w:rPr>
      </w:pPr>
      <w:r>
        <w:rPr>
          <w:noProof/>
        </w:rPr>
        <w:t>Dne 10. prosince 2024 oznámila Komise svůj záměr vydat v první polovině roku 2025 dluhopisy EU v hodnotě až 90 miliard EUR, což je nejvyšší pololetní cíl financování od zahájení strategie diverzifikovaného financování v roce 2021. Na základě prognóz čerpání prostředků EU očekává, že v</w:t>
      </w:r>
      <w:r w:rsidR="0060544B">
        <w:rPr>
          <w:rFonts w:ascii="Calibri" w:hAnsi="Calibri" w:cs="Calibri"/>
          <w:noProof/>
        </w:rPr>
        <w:t> </w:t>
      </w:r>
      <w:r>
        <w:rPr>
          <w:noProof/>
        </w:rPr>
        <w:t xml:space="preserve">roce 2025 získá prostřednictvím emise dluhopisů EU 160 miliard EUR. Tyto potřeby financování odrážejí širokou škálu stávajících i nových politických programů EU, které jsou financovány z výnosů z dluhopisů EU, jež byly ve druhé polovině roku 2024 rozšířeny o novou mimořádnou půjčku makrofinanční pomoci Ukrajině ve výši 18,1 miliardy EUR v rámci dohody G7 a novou podporu kandidátským zemím v rámci investiční facility pro západní Balkán a sousední země (např. Egypt a Jordánsko). </w:t>
      </w:r>
    </w:p>
    <w:p w14:paraId="4C5176A7" w14:textId="46430963" w:rsidR="003874C8" w:rsidRDefault="003874C8" w:rsidP="003874C8">
      <w:pPr>
        <w:rPr>
          <w:noProof/>
        </w:rPr>
      </w:pPr>
      <w:r>
        <w:rPr>
          <w:noProof/>
        </w:rPr>
        <w:t>Částky získané vydáním dluhopisů EU budou doplněny krátkodobým financováním prostřednictvím pokladničních poukázek EU a dalších nástrojů krátkodobého financování. Zvýšení objemů pokladničních poukázek EU bude umožněno zavedením aukcí třístranných pokladničních poukázek a spuštěním nové 12měsíční linie pokladničních poukázek v lednu 2025, která doplní stávající 3měsíční a 6měsíční linii.</w:t>
      </w:r>
    </w:p>
    <w:p w14:paraId="43AF04B0" w14:textId="0BBAFACD" w:rsidR="00063474" w:rsidRPr="00D3353D" w:rsidRDefault="0088395D" w:rsidP="00E7763D">
      <w:pPr>
        <w:rPr>
          <w:noProof/>
        </w:rPr>
      </w:pPr>
      <w:r>
        <w:rPr>
          <w:noProof/>
        </w:rPr>
        <w:t>V souladu se zvýšeným cílem financování se také očekává, že v první polovině roku 2025 bude prostřednictvím aukcí vydáno více dluhopisů, čímž se podíl aukcí udrží na stabilní úrovni. Toto zvýšení bude umožněno zavedením třístranných aukcí dluhopisů v první polovině roku 2025. Stejně tak Komise pracuje na zavedení nesoutěžního přidělování dluhopisů v aukcích (tzv. zajišťovací opce), aby bylo možné přidělit omezené dodatečné množství dražených dluhopisů bezprostředně po aukci. Tuto dodatečnou funkci využívá také mnoho státních aukčních programů, aby své primární dealery motivovaly k podpoře aukcí tím, že jim umožňuje získat další dluhopisy za výhodných podmínek, pokud se tržní cena po aukci změní v jejich prospěch. Komise usiluje o zavedení nesoutěžních přídělů v rámci plánu financování na druhou polovinu roku 2025.</w:t>
      </w:r>
    </w:p>
    <w:p w14:paraId="7DBF6AC6" w14:textId="0ED63147" w:rsidR="003F3424" w:rsidRPr="00103817" w:rsidRDefault="003F3424" w:rsidP="00F13D4C">
      <w:pPr>
        <w:rPr>
          <w:noProof/>
        </w:rPr>
        <w:sectPr w:rsidR="003F3424" w:rsidRPr="00103817" w:rsidSect="00CA43D7">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440" w:left="1440" w:header="708" w:footer="708" w:gutter="0"/>
          <w:cols w:space="708"/>
          <w:docGrid w:linePitch="360"/>
        </w:sectPr>
      </w:pPr>
    </w:p>
    <w:p w14:paraId="1A69248E" w14:textId="72CEED08" w:rsidR="00D73D12" w:rsidRDefault="00325F9E" w:rsidP="00F9742E">
      <w:pPr>
        <w:rPr>
          <w:b/>
          <w:bCs/>
          <w:noProof/>
          <w:color w:val="034EA2" w:themeColor="accent1"/>
        </w:rPr>
      </w:pPr>
      <w:r>
        <w:rPr>
          <w:b/>
          <w:noProof/>
          <w:color w:val="034EA2" w:themeColor="accent1"/>
        </w:rPr>
        <w:t>Příloha: Ukazatele provádění týkající se využití prostředků k dosažení cílů zastřešující strategie řízení dluhu Komise v oblasti účinnosti a účelnosti</w:t>
      </w:r>
    </w:p>
    <w:tbl>
      <w:tblPr>
        <w:tblStyle w:val="GridTable4-Accent5"/>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1664"/>
        <w:gridCol w:w="3264"/>
        <w:gridCol w:w="2268"/>
        <w:gridCol w:w="2551"/>
        <w:gridCol w:w="4678"/>
      </w:tblGrid>
      <w:tr w:rsidR="00515675" w:rsidRPr="008562DF" w14:paraId="49380785" w14:textId="77777777" w:rsidTr="04A2D39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928" w:type="dxa"/>
            <w:gridSpan w:val="2"/>
            <w:shd w:val="clear" w:color="auto" w:fill="034EA2" w:themeFill="accent1"/>
            <w:vAlign w:val="center"/>
          </w:tcPr>
          <w:p w14:paraId="43AA69EA" w14:textId="77777777" w:rsidR="00515675" w:rsidRPr="008562DF" w:rsidRDefault="00515675" w:rsidP="001E1429">
            <w:pPr>
              <w:jc w:val="center"/>
              <w:rPr>
                <w:noProof/>
                <w:sz w:val="18"/>
                <w:szCs w:val="18"/>
              </w:rPr>
            </w:pPr>
            <w:r>
              <w:rPr>
                <w:noProof/>
                <w:sz w:val="18"/>
              </w:rPr>
              <w:t>Prostředky</w:t>
            </w:r>
          </w:p>
        </w:tc>
        <w:tc>
          <w:tcPr>
            <w:tcW w:w="2268" w:type="dxa"/>
            <w:shd w:val="clear" w:color="auto" w:fill="034EA2" w:themeFill="accent1"/>
            <w:vAlign w:val="center"/>
          </w:tcPr>
          <w:p w14:paraId="7BAE177C" w14:textId="77777777" w:rsidR="00515675" w:rsidRPr="008562DF" w:rsidRDefault="00515675" w:rsidP="001E1429">
            <w:pPr>
              <w:ind w:left="113" w:hanging="113"/>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rPr>
              <w:t>Ukazatel</w:t>
            </w:r>
          </w:p>
        </w:tc>
        <w:tc>
          <w:tcPr>
            <w:tcW w:w="2551" w:type="dxa"/>
            <w:shd w:val="clear" w:color="auto" w:fill="034EA2" w:themeFill="accent1"/>
            <w:vAlign w:val="center"/>
          </w:tcPr>
          <w:p w14:paraId="60C7FC50" w14:textId="77777777" w:rsidR="00515675" w:rsidRPr="008562DF" w:rsidRDefault="00515675" w:rsidP="001E1429">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rPr>
              <w:t>Hodnota ve druhém pololetí 2024 (není-li uvedeno jinak)</w:t>
            </w:r>
          </w:p>
        </w:tc>
        <w:tc>
          <w:tcPr>
            <w:tcW w:w="4678" w:type="dxa"/>
            <w:shd w:val="clear" w:color="auto" w:fill="034EA2" w:themeFill="accent1"/>
            <w:vAlign w:val="center"/>
          </w:tcPr>
          <w:p w14:paraId="73276419" w14:textId="77777777" w:rsidR="00515675" w:rsidRPr="008562DF" w:rsidRDefault="00515675" w:rsidP="001E1429">
            <w:pPr>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rPr>
              <w:t>Komentář k plnění ve druhém pololetí 2024</w:t>
            </w:r>
          </w:p>
        </w:tc>
      </w:tr>
      <w:tr w:rsidR="00515675" w:rsidRPr="008562DF" w14:paraId="4B9315AC"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05855DA6" w14:textId="77777777" w:rsidR="00515675" w:rsidRPr="008562DF" w:rsidRDefault="00515675" w:rsidP="001E1429">
            <w:pPr>
              <w:jc w:val="left"/>
              <w:rPr>
                <w:noProof/>
                <w:color w:val="034EA2" w:themeColor="accent1"/>
                <w:sz w:val="18"/>
                <w:szCs w:val="18"/>
              </w:rPr>
            </w:pPr>
            <w:r>
              <w:rPr>
                <w:noProof/>
                <w:color w:val="034EA2" w:themeColor="accent1"/>
                <w:sz w:val="18"/>
              </w:rPr>
              <w:t>Provádění programu dluhopisů EU</w:t>
            </w:r>
          </w:p>
          <w:p w14:paraId="68666518" w14:textId="77777777" w:rsidR="00515675" w:rsidRPr="008562DF" w:rsidRDefault="00515675" w:rsidP="001E1429">
            <w:pPr>
              <w:rPr>
                <w:noProof/>
                <w:sz w:val="18"/>
                <w:szCs w:val="18"/>
              </w:rPr>
            </w:pPr>
          </w:p>
        </w:tc>
        <w:tc>
          <w:tcPr>
            <w:tcW w:w="3264" w:type="dxa"/>
            <w:vMerge w:val="restart"/>
            <w:shd w:val="clear" w:color="auto" w:fill="auto"/>
          </w:tcPr>
          <w:p w14:paraId="3B4147F9" w14:textId="77777777" w:rsidR="00515675" w:rsidRPr="008562DF" w:rsidRDefault="00515675" w:rsidP="001E1429">
            <w:pPr>
              <w:pStyle w:val="ListParagraph"/>
              <w:numPr>
                <w:ilvl w:val="0"/>
                <w:numId w:val="27"/>
              </w:numPr>
              <w:spacing w:after="60" w:line="240" w:lineRule="auto"/>
              <w:ind w:left="170" w:hanging="170"/>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18"/>
                <w:szCs w:val="18"/>
              </w:rPr>
            </w:pPr>
            <w:r>
              <w:rPr>
                <w:rFonts w:ascii="EC Square Sans Pro" w:hAnsi="EC Square Sans Pro"/>
                <w:noProof/>
                <w:color w:val="034EA2" w:themeColor="accent1"/>
                <w:sz w:val="18"/>
              </w:rPr>
              <w:t xml:space="preserve"> Pravidelné emise na celé křivce</w:t>
            </w:r>
          </w:p>
          <w:p w14:paraId="5272F7C5" w14:textId="77777777"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Pravidelné emise dluhopisů EU (a zelených dluhopisů nástroje NGEU) ve všech splatnostech na celé křivce (až do 30 let) s cílem poskytnout různým typům investorů investiční příležitosti jako způsob, jak udržet silnou poptávku investorů, a tím i flexibilitu při určování objemů emisí a splatností jednotlivých transakcí na základě tržních podmínek.</w:t>
            </w:r>
          </w:p>
        </w:tc>
        <w:tc>
          <w:tcPr>
            <w:tcW w:w="2268" w:type="dxa"/>
            <w:shd w:val="clear" w:color="auto" w:fill="auto"/>
          </w:tcPr>
          <w:p w14:paraId="1F981204" w14:textId="77777777" w:rsidR="00515675" w:rsidRPr="008562DF" w:rsidRDefault="00515675" w:rsidP="001E1429">
            <w:pPr>
              <w:pStyle w:val="ListParagraph"/>
              <w:numPr>
                <w:ilvl w:val="0"/>
                <w:numId w:val="20"/>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Rozdělení emisního programu podle splatnosti</w:t>
            </w:r>
          </w:p>
        </w:tc>
        <w:tc>
          <w:tcPr>
            <w:tcW w:w="2551" w:type="dxa"/>
            <w:shd w:val="clear" w:color="auto" w:fill="auto"/>
          </w:tcPr>
          <w:p w14:paraId="27F7E7F0" w14:textId="77777777"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1–4 roky: 15 %</w:t>
            </w:r>
          </w:p>
          <w:p w14:paraId="6C89BCC6" w14:textId="77777777"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 xml:space="preserve">4–8 let: 37 % </w:t>
            </w:r>
          </w:p>
          <w:p w14:paraId="7B1BE8EB" w14:textId="77777777"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8–12 let: 10 %</w:t>
            </w:r>
          </w:p>
          <w:p w14:paraId="78C37C46" w14:textId="77777777"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12–17 let: 12 %</w:t>
            </w:r>
          </w:p>
          <w:p w14:paraId="7E8381D6" w14:textId="77777777"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17–23 let: 8 %</w:t>
            </w:r>
          </w:p>
          <w:p w14:paraId="1618EB0D" w14:textId="77777777"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23–31 let: 17 %</w:t>
            </w:r>
          </w:p>
        </w:tc>
        <w:tc>
          <w:tcPr>
            <w:tcW w:w="4678" w:type="dxa"/>
            <w:vMerge w:val="restart"/>
            <w:shd w:val="clear" w:color="auto" w:fill="auto"/>
          </w:tcPr>
          <w:p w14:paraId="54FE1263" w14:textId="310FF167" w:rsidR="00515675" w:rsidRPr="00B3107D" w:rsidRDefault="00515675" w:rsidP="001E1429">
            <w:pPr>
              <w:spacing w:after="120"/>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Ve druhém pololetí roku 2024 Komise sledovala svůj cíl prostřednictvím pravidelných emisí dluhopisů s různou dobou splatnosti, aby zajistila likviditu křivky EU ve všech segmentech. Transakce financování byly rozloženy do období šesti měsíců, aby byla zajištěna pravidelná přítomnost na trhu. V porovnání s prvním pololetím roku 2024 došlo k</w:t>
            </w:r>
            <w:r w:rsidR="0060544B">
              <w:rPr>
                <w:rFonts w:ascii="Calibri" w:hAnsi="Calibri" w:cs="Calibri"/>
                <w:noProof/>
                <w:sz w:val="18"/>
              </w:rPr>
              <w:t> </w:t>
            </w:r>
            <w:r>
              <w:rPr>
                <w:noProof/>
                <w:sz w:val="18"/>
              </w:rPr>
              <w:t>menšímu počtu transakcí, neboť cíl financování pro druhé pololetí roku 2024 ve výši až 65 miliard EUR byl nižší než cíl financování pro první pololetí roku 2024 ve výši 75 miliard EUR.</w:t>
            </w:r>
          </w:p>
          <w:p w14:paraId="32143070" w14:textId="55389551" w:rsidR="00515675" w:rsidRPr="008562DF" w:rsidRDefault="00515675" w:rsidP="001E1429">
            <w:pPr>
              <w:spacing w:after="120"/>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 xml:space="preserve">Emise zelených dluhopisů byly o něco nižší než v první polovině roku 2024, což je v souladu s nižším cílem financování, kumulativními vykázanými zelenými výdaji členských států a vhodnou kalibrací emisí zelených dluhopisů k těmto výdajům. </w:t>
            </w:r>
          </w:p>
        </w:tc>
      </w:tr>
      <w:tr w:rsidR="00515675" w:rsidRPr="008562DF" w14:paraId="22CABA41"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4B35148" w14:textId="77777777" w:rsidR="00515675" w:rsidRPr="008562DF" w:rsidRDefault="00515675" w:rsidP="001E1429">
            <w:pPr>
              <w:jc w:val="left"/>
              <w:rPr>
                <w:noProof/>
                <w:color w:val="034EA2" w:themeColor="accent1"/>
                <w:sz w:val="18"/>
                <w:szCs w:val="18"/>
              </w:rPr>
            </w:pPr>
          </w:p>
        </w:tc>
        <w:tc>
          <w:tcPr>
            <w:tcW w:w="3264" w:type="dxa"/>
            <w:vMerge/>
          </w:tcPr>
          <w:p w14:paraId="4E422347" w14:textId="77777777" w:rsidR="00515675" w:rsidRPr="008562DF" w:rsidRDefault="00515675" w:rsidP="001E1429">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5A5038C0" w14:textId="77777777" w:rsidR="00515675" w:rsidRPr="008562DF" w:rsidRDefault="00515675" w:rsidP="001E1429">
            <w:pPr>
              <w:pStyle w:val="ListParagraph"/>
              <w:numPr>
                <w:ilvl w:val="0"/>
                <w:numId w:val="20"/>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i/>
                <w:iCs/>
                <w:noProof/>
                <w:sz w:val="18"/>
                <w:szCs w:val="18"/>
              </w:rPr>
            </w:pPr>
            <w:r>
              <w:rPr>
                <w:rFonts w:ascii="EC Square Sans Pro" w:hAnsi="EC Square Sans Pro"/>
                <w:i/>
                <w:noProof/>
                <w:sz w:val="18"/>
              </w:rPr>
              <w:t>Včasná distribuce emisí</w:t>
            </w:r>
          </w:p>
          <w:p w14:paraId="529E1569" w14:textId="77777777" w:rsidR="00515675" w:rsidRPr="008562DF" w:rsidRDefault="00515675" w:rsidP="001E1429">
            <w:pPr>
              <w:spacing w:after="40"/>
              <w:ind w:left="226" w:hanging="113"/>
              <w:jc w:val="left"/>
              <w:cnfStyle w:val="000000000000" w:firstRow="0" w:lastRow="0" w:firstColumn="0" w:lastColumn="0" w:oddVBand="0" w:evenVBand="0" w:oddHBand="0" w:evenHBand="0" w:firstRowFirstColumn="0" w:firstRowLastColumn="0" w:lastRowFirstColumn="0" w:lastRowLastColumn="0"/>
              <w:rPr>
                <w:i/>
                <w:iCs/>
                <w:noProof/>
                <w:sz w:val="18"/>
                <w:szCs w:val="18"/>
              </w:rPr>
            </w:pPr>
          </w:p>
        </w:tc>
        <w:tc>
          <w:tcPr>
            <w:tcW w:w="2551" w:type="dxa"/>
            <w:shd w:val="clear" w:color="auto" w:fill="auto"/>
          </w:tcPr>
          <w:p w14:paraId="15A83A0F" w14:textId="08A00629" w:rsidR="00515675" w:rsidRPr="008562DF" w:rsidRDefault="006D00D3" w:rsidP="001E1429">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Čtyři syndikace a šest aukcí dluhopisů, což znamená jedna nebo dvě emise měsíčně.</w:t>
            </w:r>
          </w:p>
        </w:tc>
        <w:tc>
          <w:tcPr>
            <w:tcW w:w="4678" w:type="dxa"/>
            <w:vMerge/>
          </w:tcPr>
          <w:p w14:paraId="71C80DEA" w14:textId="77777777" w:rsidR="00515675" w:rsidRPr="008562DF" w:rsidRDefault="00515675" w:rsidP="001E1429">
            <w:pPr>
              <w:cnfStyle w:val="000000000000" w:firstRow="0" w:lastRow="0" w:firstColumn="0" w:lastColumn="0" w:oddVBand="0" w:evenVBand="0" w:oddHBand="0" w:evenHBand="0" w:firstRowFirstColumn="0" w:firstRowLastColumn="0" w:lastRowFirstColumn="0" w:lastRowLastColumn="0"/>
              <w:rPr>
                <w:noProof/>
                <w:sz w:val="18"/>
                <w:szCs w:val="18"/>
              </w:rPr>
            </w:pPr>
          </w:p>
        </w:tc>
      </w:tr>
      <w:tr w:rsidR="00515675" w:rsidRPr="008562DF" w14:paraId="14834C6F"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565806FC" w14:textId="77777777" w:rsidR="00515675" w:rsidRPr="008562DF" w:rsidRDefault="00515675" w:rsidP="001E1429">
            <w:pPr>
              <w:jc w:val="left"/>
              <w:rPr>
                <w:noProof/>
                <w:color w:val="034EA2" w:themeColor="accent1"/>
                <w:sz w:val="18"/>
                <w:szCs w:val="18"/>
              </w:rPr>
            </w:pPr>
          </w:p>
        </w:tc>
        <w:tc>
          <w:tcPr>
            <w:tcW w:w="3264" w:type="dxa"/>
            <w:vMerge/>
          </w:tcPr>
          <w:p w14:paraId="0A10D44E" w14:textId="77777777" w:rsidR="00515675" w:rsidRPr="008562DF" w:rsidRDefault="00515675" w:rsidP="001E1429">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42AD773F" w14:textId="77777777" w:rsidR="00515675" w:rsidRPr="008562DF" w:rsidRDefault="00515675" w:rsidP="001E1429">
            <w:pPr>
              <w:pStyle w:val="ListParagraph"/>
              <w:numPr>
                <w:ilvl w:val="0"/>
                <w:numId w:val="20"/>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Zelené emise</w:t>
            </w:r>
            <w:r w:rsidRPr="04A2D39D">
              <w:rPr>
                <w:rStyle w:val="FootnoteReference"/>
                <w:rFonts w:ascii="EC Square Sans Pro" w:hAnsi="EC Square Sans Pro" w:cs="Times New Roman"/>
                <w:i/>
                <w:iCs/>
                <w:noProof/>
                <w:sz w:val="18"/>
                <w:szCs w:val="18"/>
              </w:rPr>
              <w:footnoteReference w:id="13"/>
            </w:r>
          </w:p>
        </w:tc>
        <w:tc>
          <w:tcPr>
            <w:tcW w:w="2551" w:type="dxa"/>
            <w:shd w:val="clear" w:color="auto" w:fill="auto"/>
          </w:tcPr>
          <w:p w14:paraId="13C48D99" w14:textId="2FBE06BF"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8 miliard EUR prostřednictvím navyšování emisí dluhopisů EU splatných v letech 2043 a 2050.</w:t>
            </w:r>
          </w:p>
        </w:tc>
        <w:tc>
          <w:tcPr>
            <w:tcW w:w="4678" w:type="dxa"/>
            <w:vMerge/>
          </w:tcPr>
          <w:p w14:paraId="7678D4A9" w14:textId="77777777" w:rsidR="00515675" w:rsidRPr="008562DF" w:rsidRDefault="00515675" w:rsidP="001E1429">
            <w:pPr>
              <w:cnfStyle w:val="000000100000" w:firstRow="0" w:lastRow="0" w:firstColumn="0" w:lastColumn="0" w:oddVBand="0" w:evenVBand="0" w:oddHBand="1" w:evenHBand="0" w:firstRowFirstColumn="0" w:firstRowLastColumn="0" w:lastRowFirstColumn="0" w:lastRowLastColumn="0"/>
              <w:rPr>
                <w:noProof/>
                <w:sz w:val="18"/>
                <w:szCs w:val="18"/>
              </w:rPr>
            </w:pPr>
          </w:p>
        </w:tc>
      </w:tr>
      <w:tr w:rsidR="00515675" w:rsidRPr="008562DF" w14:paraId="244B4E99"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0C180DAD" w14:textId="77777777" w:rsidR="00515675" w:rsidRPr="008562DF" w:rsidRDefault="00515675" w:rsidP="001E1429">
            <w:pPr>
              <w:rPr>
                <w:noProof/>
                <w:sz w:val="18"/>
                <w:szCs w:val="18"/>
              </w:rPr>
            </w:pPr>
          </w:p>
        </w:tc>
        <w:tc>
          <w:tcPr>
            <w:tcW w:w="3264" w:type="dxa"/>
            <w:shd w:val="clear" w:color="auto" w:fill="auto"/>
          </w:tcPr>
          <w:p w14:paraId="11D1670A" w14:textId="77777777" w:rsidR="00515675" w:rsidRPr="008562DF" w:rsidRDefault="00515675" w:rsidP="001E1429">
            <w:pPr>
              <w:pStyle w:val="ListParagraph"/>
              <w:numPr>
                <w:ilvl w:val="0"/>
                <w:numId w:val="27"/>
              </w:numPr>
              <w:spacing w:after="60" w:line="240" w:lineRule="auto"/>
              <w:ind w:left="17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18"/>
                <w:szCs w:val="18"/>
              </w:rPr>
            </w:pPr>
            <w:r>
              <w:rPr>
                <w:rFonts w:ascii="EC Square Sans Pro" w:hAnsi="EC Square Sans Pro"/>
                <w:noProof/>
                <w:color w:val="034EA2" w:themeColor="accent1"/>
                <w:sz w:val="18"/>
              </w:rPr>
              <w:t xml:space="preserve"> Dosažení správné rovnováhy mezi aukcemi a syndikacemi</w:t>
            </w:r>
          </w:p>
          <w:p w14:paraId="296A9F29" w14:textId="77777777" w:rsidR="00515675" w:rsidRPr="008562DF" w:rsidRDefault="00515675" w:rsidP="001E1429">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Náležitě vyvážené používání různých technik financování v závislosti na celkovém objemu emisí a tržních podmínkách s cílem řídit rizika realizace, zlepšit likviditu sekundárního trhu a zlepšit výpůjční náklady.</w:t>
            </w:r>
          </w:p>
        </w:tc>
        <w:tc>
          <w:tcPr>
            <w:tcW w:w="2268" w:type="dxa"/>
            <w:shd w:val="clear" w:color="auto" w:fill="auto"/>
          </w:tcPr>
          <w:p w14:paraId="7A68A808" w14:textId="77777777" w:rsidR="00515675" w:rsidRPr="008562DF" w:rsidRDefault="00515675" w:rsidP="001E1429">
            <w:pPr>
              <w:pStyle w:val="ListParagraph"/>
              <w:numPr>
                <w:ilvl w:val="0"/>
                <w:numId w:val="23"/>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 xml:space="preserve">Rozdělení aukcí/syndikací v % </w:t>
            </w:r>
          </w:p>
        </w:tc>
        <w:tc>
          <w:tcPr>
            <w:tcW w:w="2551" w:type="dxa"/>
            <w:shd w:val="clear" w:color="auto" w:fill="auto"/>
          </w:tcPr>
          <w:p w14:paraId="1C032754" w14:textId="77777777" w:rsidR="00515675" w:rsidRPr="008562DF" w:rsidRDefault="00515675" w:rsidP="001E1429">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 xml:space="preserve">42 % emisí dluhopisů prostřednictvím aukcí. </w:t>
            </w:r>
          </w:p>
        </w:tc>
        <w:tc>
          <w:tcPr>
            <w:tcW w:w="4678" w:type="dxa"/>
            <w:shd w:val="clear" w:color="auto" w:fill="auto"/>
          </w:tcPr>
          <w:p w14:paraId="40089510" w14:textId="377A460E" w:rsidR="00515675" w:rsidRPr="008562DF" w:rsidRDefault="00515675" w:rsidP="001E1429">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Ve druhé polovině roku 2024 vydala Komise 42 % dluhopisů EU prostřednictvím aukcí, což je v souladu s podílem v první polovině roku 2024.</w:t>
            </w:r>
          </w:p>
        </w:tc>
      </w:tr>
      <w:tr w:rsidR="00515675" w:rsidRPr="008562DF" w14:paraId="0955BDD5"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7812F781" w14:textId="77777777" w:rsidR="00515675" w:rsidRPr="008562DF" w:rsidRDefault="00515675" w:rsidP="001E1429">
            <w:pPr>
              <w:rPr>
                <w:noProof/>
                <w:sz w:val="18"/>
                <w:szCs w:val="18"/>
              </w:rPr>
            </w:pPr>
          </w:p>
        </w:tc>
        <w:tc>
          <w:tcPr>
            <w:tcW w:w="3264" w:type="dxa"/>
            <w:vMerge w:val="restart"/>
            <w:shd w:val="clear" w:color="auto" w:fill="auto"/>
          </w:tcPr>
          <w:p w14:paraId="0AAE0B59" w14:textId="77777777" w:rsidR="00515675" w:rsidRPr="008562DF" w:rsidRDefault="00515675" w:rsidP="001E1429">
            <w:pPr>
              <w:pStyle w:val="ListParagraph"/>
              <w:numPr>
                <w:ilvl w:val="0"/>
                <w:numId w:val="27"/>
              </w:numPr>
              <w:spacing w:after="60"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18"/>
                <w:szCs w:val="18"/>
              </w:rPr>
            </w:pPr>
            <w:r>
              <w:rPr>
                <w:rFonts w:ascii="EC Square Sans Pro" w:hAnsi="EC Square Sans Pro"/>
                <w:noProof/>
                <w:color w:val="034EA2" w:themeColor="accent1"/>
                <w:sz w:val="18"/>
              </w:rPr>
              <w:t xml:space="preserve"> Zavedení velkých a likvidních referenčních dluhopisů</w:t>
            </w:r>
          </w:p>
          <w:p w14:paraId="51F615FF" w14:textId="77777777" w:rsidR="00515675" w:rsidRPr="008562DF" w:rsidRDefault="00515675" w:rsidP="001E1429">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Navýšení stávajících dluhopisů EU, aby se nesplacený objem různých linií dostal na úroveň odpovídající velkým a likvidním referenčním liniím.</w:t>
            </w:r>
          </w:p>
        </w:tc>
        <w:tc>
          <w:tcPr>
            <w:tcW w:w="2268" w:type="dxa"/>
            <w:shd w:val="clear" w:color="auto" w:fill="auto"/>
          </w:tcPr>
          <w:p w14:paraId="68B6A81C" w14:textId="77777777" w:rsidR="00515675" w:rsidRPr="008562DF" w:rsidRDefault="00515675" w:rsidP="001E1429">
            <w:pPr>
              <w:pStyle w:val="ListParagraph"/>
              <w:numPr>
                <w:ilvl w:val="0"/>
                <w:numId w:val="22"/>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iCs/>
                <w:noProof/>
                <w:sz w:val="18"/>
                <w:szCs w:val="18"/>
              </w:rPr>
            </w:pPr>
            <w:r>
              <w:rPr>
                <w:rFonts w:ascii="EC Square Sans Pro" w:hAnsi="EC Square Sans Pro"/>
                <w:i/>
                <w:noProof/>
                <w:sz w:val="18"/>
              </w:rPr>
              <w:t>Emise prostřednictvím nových dluhopisů vs. objem vydaný prostřednictvím navyšování stávajících dluhopisů</w:t>
            </w:r>
          </w:p>
        </w:tc>
        <w:tc>
          <w:tcPr>
            <w:tcW w:w="2551" w:type="dxa"/>
            <w:shd w:val="clear" w:color="auto" w:fill="auto"/>
          </w:tcPr>
          <w:p w14:paraId="425C1728" w14:textId="77777777" w:rsidR="00515675" w:rsidRDefault="00515675" w:rsidP="001E1429">
            <w:pPr>
              <w:pStyle w:val="ListParagraph"/>
              <w:numPr>
                <w:ilvl w:val="0"/>
                <w:numId w:val="15"/>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sz w:val="18"/>
                <w:szCs w:val="18"/>
              </w:rPr>
            </w:pPr>
            <w:r>
              <w:rPr>
                <w:rFonts w:ascii="EC Square Sans Pro" w:hAnsi="EC Square Sans Pro"/>
                <w:noProof/>
                <w:sz w:val="18"/>
              </w:rPr>
              <w:t xml:space="preserve">10 miliard EUR prostřednictvím nových dluhopisů </w:t>
            </w:r>
          </w:p>
          <w:p w14:paraId="61F14354" w14:textId="77777777" w:rsidR="00515675" w:rsidRPr="000500DD" w:rsidRDefault="00515675" w:rsidP="001E1429">
            <w:pPr>
              <w:pStyle w:val="ListParagraph"/>
              <w:numPr>
                <w:ilvl w:val="0"/>
                <w:numId w:val="15"/>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sz w:val="18"/>
                <w:szCs w:val="18"/>
              </w:rPr>
            </w:pPr>
            <w:r>
              <w:rPr>
                <w:rFonts w:ascii="EC Square Sans Pro" w:hAnsi="EC Square Sans Pro"/>
                <w:noProof/>
                <w:sz w:val="18"/>
              </w:rPr>
              <w:t>54,2 miliardy EUR prostřednictvím navyšování stávajících dluhopisů</w:t>
            </w:r>
          </w:p>
        </w:tc>
        <w:tc>
          <w:tcPr>
            <w:tcW w:w="4678" w:type="dxa"/>
            <w:vMerge w:val="restart"/>
            <w:shd w:val="clear" w:color="auto" w:fill="auto"/>
          </w:tcPr>
          <w:p w14:paraId="7FB0D9A2" w14:textId="77777777" w:rsidR="00515675" w:rsidRPr="00F32988" w:rsidRDefault="00515675" w:rsidP="001E1429">
            <w:pPr>
              <w:cnfStyle w:val="000000100000" w:firstRow="0" w:lastRow="0" w:firstColumn="0" w:lastColumn="0" w:oddVBand="0" w:evenVBand="0" w:oddHBand="1" w:evenHBand="0" w:firstRowFirstColumn="0" w:firstRowLastColumn="0" w:lastRowFirstColumn="0" w:lastRowLastColumn="0"/>
              <w:rPr>
                <w:noProof/>
                <w:spacing w:val="-4"/>
                <w:sz w:val="18"/>
                <w:szCs w:val="18"/>
              </w:rPr>
            </w:pPr>
            <w:r>
              <w:rPr>
                <w:noProof/>
                <w:sz w:val="18"/>
              </w:rPr>
              <w:t>Komise s cílem podpořit likviditu cenných papírů EU využila své transakce k navýšení stávajících linií financování, přičemž zhruba 84 % objemu financování bylo mobilizováno prostřednictvím navýšení stávajících dluhopisů.</w:t>
            </w:r>
          </w:p>
          <w:p w14:paraId="3E9A202D" w14:textId="77777777" w:rsidR="00515675" w:rsidRPr="00F32988" w:rsidRDefault="00515675" w:rsidP="001E1429">
            <w:pPr>
              <w:cnfStyle w:val="000000100000" w:firstRow="0" w:lastRow="0" w:firstColumn="0" w:lastColumn="0" w:oddVBand="0" w:evenVBand="0" w:oddHBand="1" w:evenHBand="0" w:firstRowFirstColumn="0" w:firstRowLastColumn="0" w:lastRowFirstColumn="0" w:lastRowLastColumn="0"/>
              <w:rPr>
                <w:noProof/>
                <w:sz w:val="18"/>
                <w:szCs w:val="18"/>
              </w:rPr>
            </w:pPr>
          </w:p>
          <w:p w14:paraId="39D12FCC" w14:textId="29ABCD2C" w:rsidR="00515675" w:rsidRPr="00F32988" w:rsidRDefault="00515675" w:rsidP="001E1429">
            <w:pP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 xml:space="preserve">Na základě doporučení primárních dealerů EU byly zavedeny nové linie financování, které mají trhu poskytnout nové referenční linie tam, kde je to na křivce potřeba. Nové pětileté a sedmileté dluhopisy byly uvedeny na trh v druhé polovině roku 2024. </w:t>
            </w:r>
          </w:p>
          <w:p w14:paraId="29236998" w14:textId="77777777" w:rsidR="00515675" w:rsidRPr="00F32988" w:rsidRDefault="00515675" w:rsidP="001E1429">
            <w:pPr>
              <w:cnfStyle w:val="000000100000" w:firstRow="0" w:lastRow="0" w:firstColumn="0" w:lastColumn="0" w:oddVBand="0" w:evenVBand="0" w:oddHBand="1" w:evenHBand="0" w:firstRowFirstColumn="0" w:firstRowLastColumn="0" w:lastRowFirstColumn="0" w:lastRowLastColumn="0"/>
              <w:rPr>
                <w:noProof/>
                <w:sz w:val="18"/>
                <w:szCs w:val="18"/>
              </w:rPr>
            </w:pPr>
          </w:p>
          <w:p w14:paraId="4E96C6CE" w14:textId="6AAE23C7" w:rsidR="00515675" w:rsidRPr="00F32988" w:rsidRDefault="00515675" w:rsidP="001E1429">
            <w:pP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V důsledku toho se průměrná nesplacená částka na jeden dluhopis do konce prosince 2024 mírně zvýšila na přibližně 15 miliard EUR, což zajistilo stálou likviditu dluhopisů.</w:t>
            </w:r>
          </w:p>
        </w:tc>
      </w:tr>
      <w:tr w:rsidR="00515675" w:rsidRPr="008562DF" w14:paraId="3089CEDE"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3960448F" w14:textId="77777777" w:rsidR="00515675" w:rsidRPr="008562DF" w:rsidRDefault="00515675" w:rsidP="001E1429">
            <w:pPr>
              <w:rPr>
                <w:noProof/>
                <w:sz w:val="18"/>
                <w:szCs w:val="18"/>
              </w:rPr>
            </w:pPr>
          </w:p>
        </w:tc>
        <w:tc>
          <w:tcPr>
            <w:tcW w:w="3264" w:type="dxa"/>
            <w:vMerge/>
          </w:tcPr>
          <w:p w14:paraId="3D32F3EC" w14:textId="77777777" w:rsidR="00515675" w:rsidRPr="008562DF" w:rsidRDefault="00515675" w:rsidP="001E1429">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66C473A2" w14:textId="77777777" w:rsidR="00515675" w:rsidRPr="008562DF" w:rsidRDefault="00515675" w:rsidP="001E1429">
            <w:pPr>
              <w:pStyle w:val="ListParagraph"/>
              <w:numPr>
                <w:ilvl w:val="0"/>
                <w:numId w:val="22"/>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Rychlost navyšování nových dluhopisů</w:t>
            </w:r>
            <w:r w:rsidRPr="04A2D39D">
              <w:rPr>
                <w:rStyle w:val="FootnoteReference"/>
                <w:rFonts w:ascii="EC Square Sans Pro" w:hAnsi="EC Square Sans Pro" w:cs="Times New Roman"/>
                <w:i/>
                <w:iCs/>
                <w:noProof/>
                <w:sz w:val="18"/>
                <w:szCs w:val="18"/>
              </w:rPr>
              <w:footnoteReference w:id="14"/>
            </w:r>
          </w:p>
        </w:tc>
        <w:tc>
          <w:tcPr>
            <w:tcW w:w="2551" w:type="dxa"/>
            <w:shd w:val="clear" w:color="auto" w:fill="auto"/>
          </w:tcPr>
          <w:p w14:paraId="1994F1F5" w14:textId="77777777" w:rsidR="00515675" w:rsidRPr="008562DF" w:rsidRDefault="00515675" w:rsidP="001E1429">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2 měsíce</w:t>
            </w:r>
          </w:p>
        </w:tc>
        <w:tc>
          <w:tcPr>
            <w:tcW w:w="4678" w:type="dxa"/>
            <w:vMerge/>
          </w:tcPr>
          <w:p w14:paraId="02131142" w14:textId="77777777" w:rsidR="00515675" w:rsidRPr="008562DF" w:rsidRDefault="00515675" w:rsidP="001E1429">
            <w:pPr>
              <w:cnfStyle w:val="000000000000" w:firstRow="0" w:lastRow="0" w:firstColumn="0" w:lastColumn="0" w:oddVBand="0" w:evenVBand="0" w:oddHBand="0" w:evenHBand="0" w:firstRowFirstColumn="0" w:firstRowLastColumn="0" w:lastRowFirstColumn="0" w:lastRowLastColumn="0"/>
              <w:rPr>
                <w:noProof/>
                <w:sz w:val="18"/>
                <w:szCs w:val="18"/>
              </w:rPr>
            </w:pPr>
          </w:p>
        </w:tc>
      </w:tr>
      <w:tr w:rsidR="00515675" w:rsidRPr="008562DF" w14:paraId="20501354"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31D1F5D7" w14:textId="77777777" w:rsidR="00515675" w:rsidRPr="008562DF" w:rsidRDefault="00515675" w:rsidP="001E1429">
            <w:pPr>
              <w:rPr>
                <w:noProof/>
                <w:sz w:val="18"/>
                <w:szCs w:val="18"/>
              </w:rPr>
            </w:pPr>
          </w:p>
        </w:tc>
        <w:tc>
          <w:tcPr>
            <w:tcW w:w="3264" w:type="dxa"/>
            <w:vMerge/>
          </w:tcPr>
          <w:p w14:paraId="5ED105C1" w14:textId="77777777" w:rsidR="00515675" w:rsidRPr="008562DF" w:rsidRDefault="00515675" w:rsidP="001E1429">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13D6B65A" w14:textId="77777777" w:rsidR="00515675" w:rsidRPr="008562DF" w:rsidRDefault="00515675" w:rsidP="001E1429">
            <w:pPr>
              <w:pStyle w:val="ListParagraph"/>
              <w:numPr>
                <w:ilvl w:val="0"/>
                <w:numId w:val="22"/>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iCs/>
                <w:noProof/>
                <w:sz w:val="18"/>
                <w:szCs w:val="18"/>
              </w:rPr>
            </w:pPr>
            <w:r>
              <w:rPr>
                <w:rFonts w:ascii="EC Square Sans Pro" w:hAnsi="EC Square Sans Pro"/>
                <w:i/>
                <w:noProof/>
                <w:sz w:val="18"/>
              </w:rPr>
              <w:t>Průměrná velikost nesplacených dluhopisů</w:t>
            </w:r>
            <w:r w:rsidRPr="04A2D39D">
              <w:rPr>
                <w:rStyle w:val="FootnoteReference"/>
                <w:rFonts w:ascii="EC Square Sans Pro" w:hAnsi="EC Square Sans Pro" w:cs="Times New Roman"/>
                <w:i/>
                <w:iCs/>
                <w:noProof/>
                <w:sz w:val="18"/>
                <w:szCs w:val="18"/>
              </w:rPr>
              <w:footnoteReference w:id="15"/>
            </w:r>
          </w:p>
        </w:tc>
        <w:tc>
          <w:tcPr>
            <w:tcW w:w="2551" w:type="dxa"/>
            <w:shd w:val="clear" w:color="auto" w:fill="auto"/>
          </w:tcPr>
          <w:p w14:paraId="2F1E4A20" w14:textId="77777777" w:rsidR="00515675" w:rsidRPr="008562DF" w:rsidRDefault="00515675" w:rsidP="001E1429">
            <w:pP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Přibližně 15 miliard</w:t>
            </w:r>
          </w:p>
        </w:tc>
        <w:tc>
          <w:tcPr>
            <w:tcW w:w="4678" w:type="dxa"/>
            <w:vMerge/>
          </w:tcPr>
          <w:p w14:paraId="380E86A4" w14:textId="77777777" w:rsidR="00515675" w:rsidRPr="008562DF" w:rsidRDefault="00515675" w:rsidP="001E1429">
            <w:pPr>
              <w:cnfStyle w:val="000000100000" w:firstRow="0" w:lastRow="0" w:firstColumn="0" w:lastColumn="0" w:oddVBand="0" w:evenVBand="0" w:oddHBand="1" w:evenHBand="0" w:firstRowFirstColumn="0" w:firstRowLastColumn="0" w:lastRowFirstColumn="0" w:lastRowLastColumn="0"/>
              <w:rPr>
                <w:noProof/>
                <w:sz w:val="18"/>
                <w:szCs w:val="18"/>
              </w:rPr>
            </w:pPr>
          </w:p>
        </w:tc>
      </w:tr>
      <w:tr w:rsidR="00515675" w:rsidRPr="008562DF" w14:paraId="7FC29503"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3B023783" w14:textId="77777777" w:rsidR="00515675" w:rsidRPr="008562DF" w:rsidRDefault="00515675" w:rsidP="001E1429">
            <w:pPr>
              <w:rPr>
                <w:noProof/>
                <w:sz w:val="18"/>
                <w:szCs w:val="18"/>
              </w:rPr>
            </w:pPr>
          </w:p>
        </w:tc>
        <w:tc>
          <w:tcPr>
            <w:tcW w:w="3264" w:type="dxa"/>
            <w:vMerge/>
          </w:tcPr>
          <w:p w14:paraId="5F1866B1" w14:textId="77777777" w:rsidR="00515675" w:rsidRPr="008562DF" w:rsidRDefault="00515675" w:rsidP="001E1429">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462886CB" w14:textId="796B2596" w:rsidR="00515675" w:rsidRPr="008562DF" w:rsidRDefault="00515675" w:rsidP="001E1429">
            <w:pPr>
              <w:pStyle w:val="ListParagraph"/>
              <w:numPr>
                <w:ilvl w:val="0"/>
                <w:numId w:val="22"/>
              </w:numPr>
              <w:spacing w:after="40" w:line="240" w:lineRule="auto"/>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Obrat v poměru k</w:t>
            </w:r>
            <w:r w:rsidR="0060544B">
              <w:rPr>
                <w:rFonts w:ascii="Calibri" w:hAnsi="Calibri" w:cs="Calibri"/>
                <w:i/>
                <w:noProof/>
                <w:sz w:val="18"/>
              </w:rPr>
              <w:t> </w:t>
            </w:r>
            <w:r>
              <w:rPr>
                <w:rFonts w:ascii="EC Square Sans Pro" w:hAnsi="EC Square Sans Pro"/>
                <w:i/>
                <w:noProof/>
                <w:sz w:val="18"/>
              </w:rPr>
              <w:t>objemu emise</w:t>
            </w:r>
          </w:p>
        </w:tc>
        <w:tc>
          <w:tcPr>
            <w:tcW w:w="2551" w:type="dxa"/>
            <w:shd w:val="clear" w:color="auto" w:fill="auto"/>
          </w:tcPr>
          <w:p w14:paraId="1BC7E234" w14:textId="6E835ADE" w:rsidR="00515675" w:rsidRPr="00B14C49" w:rsidRDefault="004A0E52" w:rsidP="001E1429">
            <w:pPr>
              <w:jc w:val="left"/>
              <w:cnfStyle w:val="000000000000" w:firstRow="0" w:lastRow="0" w:firstColumn="0" w:lastColumn="0" w:oddVBand="0" w:evenVBand="0" w:oddHBand="0" w:evenHBand="0" w:firstRowFirstColumn="0" w:firstRowLastColumn="0" w:lastRowFirstColumn="0" w:lastRowLastColumn="0"/>
              <w:rPr>
                <w:noProof/>
                <w:sz w:val="18"/>
                <w:szCs w:val="18"/>
                <w:highlight w:val="yellow"/>
              </w:rPr>
            </w:pPr>
            <w:r>
              <w:rPr>
                <w:noProof/>
                <w:sz w:val="18"/>
              </w:rPr>
              <w:t>Přibližně 155 % ve druhé polovině roku 2024 oproti 139 % v první polovině roku 2024</w:t>
            </w:r>
          </w:p>
        </w:tc>
        <w:tc>
          <w:tcPr>
            <w:tcW w:w="4678" w:type="dxa"/>
            <w:vMerge/>
          </w:tcPr>
          <w:p w14:paraId="5E3DB12B" w14:textId="77777777" w:rsidR="00515675" w:rsidRPr="008562DF" w:rsidRDefault="00515675" w:rsidP="001E1429">
            <w:pPr>
              <w:cnfStyle w:val="000000000000" w:firstRow="0" w:lastRow="0" w:firstColumn="0" w:lastColumn="0" w:oddVBand="0" w:evenVBand="0" w:oddHBand="0" w:evenHBand="0" w:firstRowFirstColumn="0" w:firstRowLastColumn="0" w:lastRowFirstColumn="0" w:lastRowLastColumn="0"/>
              <w:rPr>
                <w:noProof/>
                <w:sz w:val="18"/>
                <w:szCs w:val="18"/>
              </w:rPr>
            </w:pPr>
          </w:p>
        </w:tc>
      </w:tr>
      <w:tr w:rsidR="00855155" w:rsidRPr="00965EC1" w14:paraId="614A2488"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6DB7E7C" w14:textId="77777777" w:rsidR="00855155" w:rsidRPr="008562DF" w:rsidRDefault="00855155" w:rsidP="00855155">
            <w:pPr>
              <w:rPr>
                <w:noProof/>
                <w:sz w:val="18"/>
                <w:szCs w:val="18"/>
              </w:rPr>
            </w:pPr>
          </w:p>
        </w:tc>
        <w:tc>
          <w:tcPr>
            <w:tcW w:w="3264" w:type="dxa"/>
            <w:vMerge/>
          </w:tcPr>
          <w:p w14:paraId="0D90588E" w14:textId="77777777" w:rsidR="00855155" w:rsidRPr="008562DF" w:rsidRDefault="00855155" w:rsidP="00855155">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75A1FC93" w14:textId="77777777" w:rsidR="00855155" w:rsidRPr="008562DF" w:rsidRDefault="00855155" w:rsidP="00855155">
            <w:pPr>
              <w:pStyle w:val="ListParagraph"/>
              <w:numPr>
                <w:ilvl w:val="0"/>
                <w:numId w:val="22"/>
              </w:numPr>
              <w:spacing w:after="40" w:line="240" w:lineRule="auto"/>
              <w:ind w:left="226" w:hanging="113"/>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Absolutní obrat</w:t>
            </w:r>
          </w:p>
        </w:tc>
        <w:tc>
          <w:tcPr>
            <w:tcW w:w="2551" w:type="dxa"/>
            <w:shd w:val="clear" w:color="auto" w:fill="auto"/>
          </w:tcPr>
          <w:p w14:paraId="62638E0F" w14:textId="58BE0A6C" w:rsidR="00855155" w:rsidRPr="00811C3B" w:rsidRDefault="00855155" w:rsidP="00855155">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894 miliard EUR ve druhém pololetí roku 2024 oproti 714 miliardám EUR v prvním pololetí roku 2024</w:t>
            </w:r>
          </w:p>
        </w:tc>
        <w:tc>
          <w:tcPr>
            <w:tcW w:w="4678" w:type="dxa"/>
            <w:vMerge/>
          </w:tcPr>
          <w:p w14:paraId="204DBCA1" w14:textId="77777777" w:rsidR="00855155" w:rsidRPr="00753637"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p>
        </w:tc>
      </w:tr>
      <w:tr w:rsidR="00855155" w:rsidRPr="008562DF" w14:paraId="6CDFCE19"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74687083" w14:textId="77777777" w:rsidR="00855155" w:rsidRPr="00753637" w:rsidRDefault="00855155" w:rsidP="00855155">
            <w:pPr>
              <w:rPr>
                <w:noProof/>
                <w:sz w:val="18"/>
                <w:szCs w:val="18"/>
              </w:rPr>
            </w:pPr>
          </w:p>
        </w:tc>
        <w:tc>
          <w:tcPr>
            <w:tcW w:w="3264" w:type="dxa"/>
            <w:vMerge w:val="restart"/>
            <w:shd w:val="clear" w:color="auto" w:fill="auto"/>
          </w:tcPr>
          <w:p w14:paraId="65B13C23" w14:textId="77777777" w:rsidR="00855155" w:rsidRPr="008562DF" w:rsidRDefault="00855155" w:rsidP="00855155">
            <w:pPr>
              <w:pStyle w:val="ListParagraph"/>
              <w:numPr>
                <w:ilvl w:val="0"/>
                <w:numId w:val="28"/>
              </w:numPr>
              <w:spacing w:after="60" w:line="240" w:lineRule="auto"/>
              <w:ind w:left="170" w:hanging="170"/>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18"/>
                <w:szCs w:val="18"/>
              </w:rPr>
            </w:pPr>
            <w:r>
              <w:rPr>
                <w:rFonts w:ascii="EC Square Sans Pro" w:hAnsi="EC Square Sans Pro"/>
                <w:noProof/>
                <w:color w:val="034EA2" w:themeColor="accent1"/>
                <w:sz w:val="18"/>
              </w:rPr>
              <w:t xml:space="preserve"> Řízení profilu splatnosti emisí dluhopisů EU s řádným ohledem na:</w:t>
            </w:r>
          </w:p>
          <w:p w14:paraId="5B5CEFF1" w14:textId="77777777" w:rsidR="00855155" w:rsidRPr="008562DF" w:rsidRDefault="00855155" w:rsidP="0085515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18"/>
                <w:szCs w:val="18"/>
              </w:rPr>
            </w:pPr>
            <w:r>
              <w:rPr>
                <w:rFonts w:ascii="EC Square Sans Pro" w:hAnsi="EC Square Sans Pro"/>
                <w:noProof/>
                <w:sz w:val="18"/>
              </w:rPr>
              <w:t>dočasnou dodatečnou rezervu (pro výpůjčky související s nástrojem NGEU) a trvalou rezervu (pro MFA+) v rámci rozpočtu EU,</w:t>
            </w:r>
          </w:p>
          <w:p w14:paraId="176DD99A" w14:textId="77777777" w:rsidR="00855155" w:rsidRPr="008562DF" w:rsidRDefault="00855155" w:rsidP="0085515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18"/>
                <w:szCs w:val="18"/>
              </w:rPr>
            </w:pPr>
            <w:r>
              <w:rPr>
                <w:rFonts w:ascii="EC Square Sans Pro" w:hAnsi="EC Square Sans Pro"/>
                <w:noProof/>
                <w:sz w:val="18"/>
              </w:rPr>
              <w:t xml:space="preserve">budoucí umoření výplat v daném roce, </w:t>
            </w:r>
          </w:p>
          <w:p w14:paraId="6C41B5BF" w14:textId="77777777" w:rsidR="00855155" w:rsidRPr="008562DF" w:rsidRDefault="00855155" w:rsidP="0085515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18"/>
                <w:szCs w:val="18"/>
              </w:rPr>
            </w:pPr>
            <w:r>
              <w:rPr>
                <w:rFonts w:ascii="EC Square Sans Pro" w:hAnsi="EC Square Sans Pro"/>
                <w:noProof/>
                <w:sz w:val="18"/>
              </w:rPr>
              <w:t>stabilní budoucí potřeby refinancování,</w:t>
            </w:r>
          </w:p>
          <w:p w14:paraId="2FE64132" w14:textId="77777777" w:rsidR="00855155" w:rsidRPr="008562DF" w:rsidRDefault="00855155" w:rsidP="0085515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18"/>
                <w:szCs w:val="18"/>
              </w:rPr>
            </w:pPr>
            <w:r>
              <w:rPr>
                <w:rFonts w:ascii="EC Square Sans Pro" w:hAnsi="EC Square Sans Pro"/>
                <w:noProof/>
                <w:sz w:val="18"/>
              </w:rPr>
              <w:t>potřebu chránit rating EU, aby se zajistily nízké výpůjční náklady v dlouhodobém horizontu a silná poptávka ze strany hlavní investorské základny.</w:t>
            </w:r>
          </w:p>
        </w:tc>
        <w:tc>
          <w:tcPr>
            <w:tcW w:w="2268" w:type="dxa"/>
            <w:shd w:val="clear" w:color="auto" w:fill="auto"/>
          </w:tcPr>
          <w:p w14:paraId="2F5FE8B7" w14:textId="77777777" w:rsidR="00855155" w:rsidRPr="008562DF" w:rsidRDefault="00855155" w:rsidP="00855155">
            <w:pPr>
              <w:pStyle w:val="ListParagraph"/>
              <w:numPr>
                <w:ilvl w:val="0"/>
                <w:numId w:val="21"/>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 xml:space="preserve">Průměrná splatnost emise </w:t>
            </w:r>
          </w:p>
        </w:tc>
        <w:tc>
          <w:tcPr>
            <w:tcW w:w="2551" w:type="dxa"/>
            <w:shd w:val="clear" w:color="auto" w:fill="auto"/>
          </w:tcPr>
          <w:p w14:paraId="0D6F8E3F" w14:textId="77777777" w:rsidR="00855155" w:rsidRPr="008562DF"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 xml:space="preserve">Přibližně 12 let </w:t>
            </w:r>
          </w:p>
        </w:tc>
        <w:tc>
          <w:tcPr>
            <w:tcW w:w="4678" w:type="dxa"/>
            <w:vMerge w:val="restart"/>
            <w:shd w:val="clear" w:color="auto" w:fill="auto"/>
          </w:tcPr>
          <w:p w14:paraId="0BB0D198" w14:textId="40AD1343" w:rsidR="00855155" w:rsidRPr="00F32988"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Ve druhém pololetí roku 2024 měly emise dluhopisů EU průměrnou splatnost 12 let. To odráželo potřebu rozložit profil odkupů v čase a zároveň přilákat investory k</w:t>
            </w:r>
            <w:r w:rsidR="0060544B">
              <w:rPr>
                <w:rFonts w:ascii="Calibri" w:hAnsi="Calibri" w:cs="Calibri"/>
                <w:noProof/>
                <w:sz w:val="18"/>
              </w:rPr>
              <w:t> </w:t>
            </w:r>
            <w:r>
              <w:rPr>
                <w:noProof/>
                <w:sz w:val="18"/>
              </w:rPr>
              <w:t>transakcím na primárním trhu EU. Průměrná doba splatnosti zůstala pod maximální průměrnou dobou splatnosti 17 let stanovenou v rozhodnutí o ročních výpůjčkách na rok 2024.</w:t>
            </w:r>
          </w:p>
          <w:p w14:paraId="19656B5E" w14:textId="77777777" w:rsidR="00855155" w:rsidRPr="00F32988"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p>
          <w:p w14:paraId="62D4C2FF" w14:textId="77777777" w:rsidR="00855155" w:rsidRPr="008562DF"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Průměrná doba do splatnosti nesplaceného dluhu zůstala stabilní (přibližně 12 let).</w:t>
            </w:r>
          </w:p>
          <w:p w14:paraId="1749A647" w14:textId="77777777" w:rsidR="00855155"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p>
          <w:p w14:paraId="7F7CAC02" w14:textId="265DCB7C" w:rsidR="00855155" w:rsidRPr="008562DF"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Refinancování zůstalo rovněž stabilní, což je odrazem minulých emisí a souvisejícího profilu umořování.</w:t>
            </w:r>
          </w:p>
        </w:tc>
      </w:tr>
      <w:tr w:rsidR="00855155" w:rsidRPr="008562DF" w14:paraId="5FD08962"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0F27B35" w14:textId="77777777" w:rsidR="00855155" w:rsidRPr="008562DF" w:rsidRDefault="00855155" w:rsidP="00855155">
            <w:pPr>
              <w:rPr>
                <w:noProof/>
                <w:sz w:val="18"/>
                <w:szCs w:val="18"/>
              </w:rPr>
            </w:pPr>
          </w:p>
        </w:tc>
        <w:tc>
          <w:tcPr>
            <w:tcW w:w="3264" w:type="dxa"/>
            <w:vMerge/>
          </w:tcPr>
          <w:p w14:paraId="516D9045" w14:textId="77777777" w:rsidR="00855155" w:rsidRPr="008562DF" w:rsidRDefault="00855155" w:rsidP="00855155">
            <w:pPr>
              <w:pStyle w:val="ListParagraph"/>
              <w:numPr>
                <w:ilvl w:val="0"/>
                <w:numId w:val="28"/>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7344961B" w14:textId="77777777" w:rsidR="00855155" w:rsidRPr="008562DF" w:rsidRDefault="00855155" w:rsidP="00855155">
            <w:pPr>
              <w:pStyle w:val="ListParagraph"/>
              <w:numPr>
                <w:ilvl w:val="0"/>
                <w:numId w:val="21"/>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Průměrná doba do splatnosti nesplaceného dluhu</w:t>
            </w:r>
          </w:p>
        </w:tc>
        <w:tc>
          <w:tcPr>
            <w:tcW w:w="2551" w:type="dxa"/>
            <w:shd w:val="clear" w:color="auto" w:fill="auto"/>
          </w:tcPr>
          <w:p w14:paraId="293F915B" w14:textId="77777777"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Přibližně 12 let</w:t>
            </w:r>
          </w:p>
        </w:tc>
        <w:tc>
          <w:tcPr>
            <w:tcW w:w="4678" w:type="dxa"/>
            <w:vMerge/>
          </w:tcPr>
          <w:p w14:paraId="06B81A2B" w14:textId="77777777"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p>
        </w:tc>
      </w:tr>
      <w:tr w:rsidR="00855155" w:rsidRPr="008562DF" w14:paraId="6064274F"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5E33636B" w14:textId="77777777" w:rsidR="00855155" w:rsidRPr="008562DF" w:rsidRDefault="00855155" w:rsidP="00855155">
            <w:pPr>
              <w:rPr>
                <w:noProof/>
                <w:sz w:val="18"/>
                <w:szCs w:val="18"/>
              </w:rPr>
            </w:pPr>
          </w:p>
        </w:tc>
        <w:tc>
          <w:tcPr>
            <w:tcW w:w="3264" w:type="dxa"/>
            <w:vMerge/>
          </w:tcPr>
          <w:p w14:paraId="7479F282" w14:textId="77777777" w:rsidR="00855155" w:rsidRPr="008562DF" w:rsidRDefault="00855155" w:rsidP="00855155">
            <w:pPr>
              <w:pStyle w:val="ListParagraph"/>
              <w:numPr>
                <w:ilvl w:val="0"/>
                <w:numId w:val="28"/>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055961FC" w14:textId="15C590D4" w:rsidR="00855155" w:rsidRPr="008562DF" w:rsidRDefault="00855155" w:rsidP="00855155">
            <w:pPr>
              <w:pStyle w:val="ListParagraph"/>
              <w:numPr>
                <w:ilvl w:val="0"/>
                <w:numId w:val="21"/>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Refinancování v krátkodobém horizontu, tj. procento nesplacených dluhopisů a pokladničních poukázek se splatností v</w:t>
            </w:r>
            <w:r w:rsidR="0060544B">
              <w:rPr>
                <w:rFonts w:ascii="Calibri" w:hAnsi="Calibri" w:cs="Calibri"/>
                <w:i/>
                <w:noProof/>
                <w:sz w:val="18"/>
              </w:rPr>
              <w:t> </w:t>
            </w:r>
            <w:r>
              <w:rPr>
                <w:rFonts w:ascii="EC Square Sans Pro" w:hAnsi="EC Square Sans Pro"/>
                <w:i/>
                <w:noProof/>
                <w:sz w:val="18"/>
              </w:rPr>
              <w:t>příštích 12 měsících</w:t>
            </w:r>
          </w:p>
        </w:tc>
        <w:tc>
          <w:tcPr>
            <w:tcW w:w="2551" w:type="dxa"/>
            <w:shd w:val="clear" w:color="auto" w:fill="auto"/>
          </w:tcPr>
          <w:p w14:paraId="5110C4A8" w14:textId="38BBEB78" w:rsidR="00855155" w:rsidRPr="008562DF"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Méně než 10 %</w:t>
            </w:r>
          </w:p>
        </w:tc>
        <w:tc>
          <w:tcPr>
            <w:tcW w:w="4678" w:type="dxa"/>
            <w:vMerge/>
          </w:tcPr>
          <w:p w14:paraId="0B553F25" w14:textId="77777777" w:rsidR="00855155" w:rsidRPr="008562DF"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p>
        </w:tc>
      </w:tr>
      <w:tr w:rsidR="00855155" w:rsidRPr="008562DF" w14:paraId="7562A384"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7D44FCBA" w14:textId="77777777" w:rsidR="00855155" w:rsidRPr="008562DF" w:rsidRDefault="00855155" w:rsidP="00855155">
            <w:pPr>
              <w:rPr>
                <w:noProof/>
                <w:sz w:val="18"/>
                <w:szCs w:val="18"/>
              </w:rPr>
            </w:pPr>
          </w:p>
        </w:tc>
        <w:tc>
          <w:tcPr>
            <w:tcW w:w="3264" w:type="dxa"/>
            <w:vMerge/>
          </w:tcPr>
          <w:p w14:paraId="5AA07583" w14:textId="77777777" w:rsidR="00855155" w:rsidRPr="008562DF" w:rsidRDefault="00855155" w:rsidP="00855155">
            <w:pPr>
              <w:pStyle w:val="ListParagraph"/>
              <w:numPr>
                <w:ilvl w:val="0"/>
                <w:numId w:val="28"/>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18"/>
                <w:szCs w:val="18"/>
              </w:rPr>
            </w:pPr>
          </w:p>
        </w:tc>
        <w:tc>
          <w:tcPr>
            <w:tcW w:w="2268" w:type="dxa"/>
            <w:shd w:val="clear" w:color="auto" w:fill="auto"/>
          </w:tcPr>
          <w:p w14:paraId="58C90BDD" w14:textId="123BEB80" w:rsidR="00855155" w:rsidRPr="00A5711F" w:rsidRDefault="00855155" w:rsidP="00855155">
            <w:pPr>
              <w:pStyle w:val="ListParagraph"/>
              <w:numPr>
                <w:ilvl w:val="0"/>
                <w:numId w:val="21"/>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pacing w:val="-6"/>
                <w:sz w:val="18"/>
                <w:szCs w:val="18"/>
              </w:rPr>
            </w:pPr>
            <w:r>
              <w:rPr>
                <w:rFonts w:ascii="EC Square Sans Pro" w:hAnsi="EC Square Sans Pro"/>
                <w:i/>
                <w:noProof/>
                <w:sz w:val="18"/>
              </w:rPr>
              <w:t>Refinancování ve střednědobém horizontu, tj. procento nesplacených dluhopisů a pokladničních poukázek se splatností v</w:t>
            </w:r>
            <w:r w:rsidR="0060544B">
              <w:rPr>
                <w:rFonts w:ascii="Calibri" w:hAnsi="Calibri" w:cs="Calibri"/>
                <w:i/>
                <w:noProof/>
                <w:sz w:val="18"/>
              </w:rPr>
              <w:t> </w:t>
            </w:r>
            <w:r>
              <w:rPr>
                <w:rFonts w:ascii="EC Square Sans Pro" w:hAnsi="EC Square Sans Pro"/>
                <w:i/>
                <w:noProof/>
                <w:sz w:val="18"/>
              </w:rPr>
              <w:t>příštích 5 letech</w:t>
            </w:r>
          </w:p>
        </w:tc>
        <w:tc>
          <w:tcPr>
            <w:tcW w:w="2551" w:type="dxa"/>
            <w:shd w:val="clear" w:color="auto" w:fill="auto"/>
          </w:tcPr>
          <w:p w14:paraId="33D8FEFE" w14:textId="160C4F46"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Méně než 37 %.</w:t>
            </w:r>
          </w:p>
        </w:tc>
        <w:tc>
          <w:tcPr>
            <w:tcW w:w="4678" w:type="dxa"/>
            <w:vMerge/>
          </w:tcPr>
          <w:p w14:paraId="26BB2AB8" w14:textId="77777777"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p>
        </w:tc>
      </w:tr>
      <w:tr w:rsidR="00855155" w:rsidRPr="008562DF" w14:paraId="53FD8A04"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6427F484" w14:textId="77777777" w:rsidR="00855155" w:rsidRPr="008562DF" w:rsidRDefault="00855155" w:rsidP="00855155">
            <w:pPr>
              <w:jc w:val="left"/>
              <w:rPr>
                <w:noProof/>
                <w:color w:val="034EA2" w:themeColor="accent1"/>
                <w:sz w:val="18"/>
                <w:szCs w:val="18"/>
              </w:rPr>
            </w:pPr>
            <w:r>
              <w:rPr>
                <w:noProof/>
                <w:color w:val="034EA2" w:themeColor="accent1"/>
                <w:sz w:val="18"/>
              </w:rPr>
              <w:t>Provádění programu pokladničních poukázek EU</w:t>
            </w:r>
          </w:p>
          <w:p w14:paraId="6BDC45A4" w14:textId="77777777" w:rsidR="00855155" w:rsidRPr="008562DF" w:rsidRDefault="00855155" w:rsidP="00855155">
            <w:pPr>
              <w:rPr>
                <w:noProof/>
                <w:sz w:val="18"/>
                <w:szCs w:val="18"/>
              </w:rPr>
            </w:pPr>
          </w:p>
        </w:tc>
        <w:tc>
          <w:tcPr>
            <w:tcW w:w="3264" w:type="dxa"/>
            <w:vMerge w:val="restart"/>
            <w:shd w:val="clear" w:color="auto" w:fill="auto"/>
          </w:tcPr>
          <w:p w14:paraId="7C688EAC" w14:textId="77777777" w:rsidR="00855155" w:rsidRPr="002F10CB"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Pravidelné vydávání pokladničních poukázek EU se splatností do jednoho roku prostřednictvím aukcí s cílem přilákat další investory (nebo další portfolia stávajících investorů) a podpořit řízení likvidity.</w:t>
            </w:r>
          </w:p>
        </w:tc>
        <w:tc>
          <w:tcPr>
            <w:tcW w:w="2268" w:type="dxa"/>
            <w:shd w:val="clear" w:color="auto" w:fill="auto"/>
          </w:tcPr>
          <w:p w14:paraId="5236647A" w14:textId="77777777" w:rsidR="00855155" w:rsidRPr="002F10CB" w:rsidRDefault="00855155" w:rsidP="00855155">
            <w:pPr>
              <w:pStyle w:val="ListParagraph"/>
              <w:numPr>
                <w:ilvl w:val="0"/>
                <w:numId w:val="24"/>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i/>
                <w:iCs/>
                <w:noProof/>
                <w:sz w:val="18"/>
                <w:szCs w:val="18"/>
              </w:rPr>
            </w:pPr>
            <w:r>
              <w:rPr>
                <w:rFonts w:ascii="EC Square Sans Pro" w:hAnsi="EC Square Sans Pro"/>
                <w:i/>
                <w:noProof/>
                <w:sz w:val="18"/>
              </w:rPr>
              <w:t>Nesplacený objem pokladničních poukázek EU</w:t>
            </w:r>
          </w:p>
        </w:tc>
        <w:tc>
          <w:tcPr>
            <w:tcW w:w="2551" w:type="dxa"/>
            <w:shd w:val="clear" w:color="auto" w:fill="auto"/>
          </w:tcPr>
          <w:p w14:paraId="0BB9903D" w14:textId="77777777" w:rsidR="00855155" w:rsidRPr="002F10CB"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20–25 miliard EUR</w:t>
            </w:r>
          </w:p>
        </w:tc>
        <w:tc>
          <w:tcPr>
            <w:tcW w:w="4678" w:type="dxa"/>
            <w:vMerge w:val="restart"/>
            <w:shd w:val="clear" w:color="auto" w:fill="auto"/>
          </w:tcPr>
          <w:p w14:paraId="68DF278F" w14:textId="77777777" w:rsidR="00855155" w:rsidRPr="002F10CB"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Nesplacený dluh v rámci programu pokladničních poukázek EU se v průběhu období zvýšil z přibližně 20 miliard EUR na přibližně 25 miliard EUR v rámci rozvoje programu, který má v případě potřeby poskytnout dodatečnou likviditu.</w:t>
            </w:r>
          </w:p>
        </w:tc>
      </w:tr>
      <w:tr w:rsidR="00855155" w:rsidRPr="008562DF" w14:paraId="72EA0DDA"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40A498F7" w14:textId="77777777" w:rsidR="00855155" w:rsidRPr="008562DF" w:rsidRDefault="00855155" w:rsidP="00855155">
            <w:pPr>
              <w:jc w:val="left"/>
              <w:rPr>
                <w:noProof/>
                <w:color w:val="034EA2" w:themeColor="accent1"/>
                <w:sz w:val="18"/>
                <w:szCs w:val="18"/>
              </w:rPr>
            </w:pPr>
          </w:p>
        </w:tc>
        <w:tc>
          <w:tcPr>
            <w:tcW w:w="3264" w:type="dxa"/>
            <w:vMerge/>
          </w:tcPr>
          <w:p w14:paraId="058D0996" w14:textId="77777777" w:rsidR="00855155" w:rsidRPr="008562DF" w:rsidRDefault="00855155" w:rsidP="00855155">
            <w:pPr>
              <w:jc w:val="left"/>
              <w:cnfStyle w:val="000000100000" w:firstRow="0" w:lastRow="0" w:firstColumn="0" w:lastColumn="0" w:oddVBand="0" w:evenVBand="0" w:oddHBand="1" w:evenHBand="0" w:firstRowFirstColumn="0" w:firstRowLastColumn="0" w:lastRowFirstColumn="0" w:lastRowLastColumn="0"/>
              <w:rPr>
                <w:noProof/>
                <w:sz w:val="18"/>
                <w:szCs w:val="18"/>
              </w:rPr>
            </w:pPr>
          </w:p>
        </w:tc>
        <w:tc>
          <w:tcPr>
            <w:tcW w:w="2268" w:type="dxa"/>
            <w:shd w:val="clear" w:color="auto" w:fill="auto"/>
          </w:tcPr>
          <w:p w14:paraId="0EB56868" w14:textId="77777777" w:rsidR="00855155" w:rsidRPr="008562DF" w:rsidRDefault="00855155" w:rsidP="00855155">
            <w:pPr>
              <w:pStyle w:val="ListParagraph"/>
              <w:numPr>
                <w:ilvl w:val="0"/>
                <w:numId w:val="24"/>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Počet aukcí pokladničních poukázek EU</w:t>
            </w:r>
          </w:p>
        </w:tc>
        <w:tc>
          <w:tcPr>
            <w:tcW w:w="2551" w:type="dxa"/>
            <w:shd w:val="clear" w:color="auto" w:fill="auto"/>
          </w:tcPr>
          <w:p w14:paraId="60731800" w14:textId="77777777"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10</w:t>
            </w:r>
          </w:p>
        </w:tc>
        <w:tc>
          <w:tcPr>
            <w:tcW w:w="4678" w:type="dxa"/>
            <w:vMerge/>
          </w:tcPr>
          <w:p w14:paraId="3A6C9702" w14:textId="77777777"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p>
        </w:tc>
      </w:tr>
      <w:tr w:rsidR="00855155" w:rsidRPr="008562DF" w14:paraId="25619B42"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shd w:val="clear" w:color="auto" w:fill="auto"/>
          </w:tcPr>
          <w:p w14:paraId="18225424" w14:textId="77777777" w:rsidR="00855155" w:rsidRPr="008562DF" w:rsidRDefault="00855155" w:rsidP="00855155">
            <w:pPr>
              <w:rPr>
                <w:noProof/>
                <w:sz w:val="18"/>
                <w:szCs w:val="18"/>
              </w:rPr>
            </w:pPr>
            <w:r>
              <w:rPr>
                <w:noProof/>
                <w:color w:val="034EA2" w:themeColor="accent1"/>
                <w:sz w:val="18"/>
              </w:rPr>
              <w:t>Řízení likvidity</w:t>
            </w:r>
          </w:p>
        </w:tc>
        <w:tc>
          <w:tcPr>
            <w:tcW w:w="3264" w:type="dxa"/>
            <w:shd w:val="clear" w:color="auto" w:fill="auto"/>
          </w:tcPr>
          <w:p w14:paraId="7802AAF0" w14:textId="78E36A07" w:rsidR="00855155" w:rsidRPr="008562DF"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Řízení fondu likvidity na základě platebních závazků, potřeb v oblasti výplaty prostředků a nákladů na pokladní hotovost s náležitým ohledem na převládající podmínky na trhu.</w:t>
            </w:r>
          </w:p>
        </w:tc>
        <w:tc>
          <w:tcPr>
            <w:tcW w:w="2268" w:type="dxa"/>
            <w:shd w:val="clear" w:color="auto" w:fill="auto"/>
          </w:tcPr>
          <w:p w14:paraId="1964AC6E" w14:textId="44A3887A" w:rsidR="00855155" w:rsidRPr="008562DF" w:rsidRDefault="00855155" w:rsidP="00855155">
            <w:pPr>
              <w:pStyle w:val="ListParagraph"/>
              <w:numPr>
                <w:ilvl w:val="0"/>
                <w:numId w:val="25"/>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Počet výpadků plateb z</w:t>
            </w:r>
            <w:r w:rsidR="0060544B">
              <w:rPr>
                <w:rFonts w:ascii="Calibri" w:hAnsi="Calibri" w:cs="Calibri"/>
                <w:i/>
                <w:noProof/>
                <w:sz w:val="18"/>
              </w:rPr>
              <w:t> </w:t>
            </w:r>
            <w:r>
              <w:rPr>
                <w:rFonts w:ascii="EC Square Sans Pro" w:hAnsi="EC Square Sans Pro"/>
                <w:i/>
                <w:noProof/>
                <w:sz w:val="18"/>
              </w:rPr>
              <w:t>důvodu nedostatku likvidity</w:t>
            </w:r>
          </w:p>
        </w:tc>
        <w:tc>
          <w:tcPr>
            <w:tcW w:w="2551" w:type="dxa"/>
            <w:shd w:val="clear" w:color="auto" w:fill="auto"/>
          </w:tcPr>
          <w:p w14:paraId="4637B986" w14:textId="77777777" w:rsidR="00855155" w:rsidRPr="008562DF"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Žádné</w:t>
            </w:r>
          </w:p>
        </w:tc>
        <w:tc>
          <w:tcPr>
            <w:tcW w:w="4678" w:type="dxa"/>
            <w:shd w:val="clear" w:color="auto" w:fill="auto"/>
          </w:tcPr>
          <w:p w14:paraId="62D5210B" w14:textId="188CFE01" w:rsidR="00855155" w:rsidRPr="008562DF"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Komise splnila všechny potřeby v oblasti výplat prostředků a v druhé polovině roku 2024 nedošlo k žádnému selhání při vypořádání.</w:t>
            </w:r>
          </w:p>
        </w:tc>
      </w:tr>
      <w:tr w:rsidR="00855155" w:rsidRPr="008562DF" w14:paraId="1DDCD7DB"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shd w:val="clear" w:color="auto" w:fill="auto"/>
          </w:tcPr>
          <w:p w14:paraId="2C8DFAE9" w14:textId="77777777" w:rsidR="00855155" w:rsidRPr="008562DF" w:rsidRDefault="00855155" w:rsidP="00855155">
            <w:pPr>
              <w:jc w:val="left"/>
              <w:rPr>
                <w:noProof/>
                <w:sz w:val="18"/>
                <w:szCs w:val="18"/>
              </w:rPr>
            </w:pPr>
            <w:r>
              <w:rPr>
                <w:noProof/>
                <w:color w:val="034EA2" w:themeColor="accent1"/>
                <w:sz w:val="18"/>
              </w:rPr>
              <w:t>Síť primárních dealerů</w:t>
            </w:r>
          </w:p>
        </w:tc>
        <w:tc>
          <w:tcPr>
            <w:tcW w:w="3264" w:type="dxa"/>
            <w:shd w:val="clear" w:color="auto" w:fill="auto"/>
          </w:tcPr>
          <w:p w14:paraId="5DDF7E81" w14:textId="3BDD073C"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Přilákání široké škály finančních institucí, které jsou pevně odhodlány podporovat emise EU.</w:t>
            </w:r>
          </w:p>
        </w:tc>
        <w:tc>
          <w:tcPr>
            <w:tcW w:w="2268" w:type="dxa"/>
            <w:shd w:val="clear" w:color="auto" w:fill="auto"/>
          </w:tcPr>
          <w:p w14:paraId="62050E1A" w14:textId="7039DD80" w:rsidR="00855155" w:rsidRPr="008562DF" w:rsidRDefault="00855155" w:rsidP="00855155">
            <w:pPr>
              <w:pStyle w:val="ListParagraph"/>
              <w:numPr>
                <w:ilvl w:val="0"/>
                <w:numId w:val="13"/>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iCs/>
                <w:noProof/>
                <w:sz w:val="18"/>
                <w:szCs w:val="18"/>
              </w:rPr>
            </w:pPr>
            <w:bookmarkStart w:id="69" w:name="_Hlk187078956"/>
            <w:r>
              <w:rPr>
                <w:rFonts w:ascii="EC Square Sans Pro" w:hAnsi="EC Square Sans Pro"/>
                <w:i/>
                <w:noProof/>
                <w:sz w:val="18"/>
              </w:rPr>
              <w:t>Počet institucí, které podepsaly upisovací závazky u transakcí za posledních šest měsíců</w:t>
            </w:r>
            <w:bookmarkEnd w:id="69"/>
          </w:p>
        </w:tc>
        <w:tc>
          <w:tcPr>
            <w:tcW w:w="2551" w:type="dxa"/>
            <w:shd w:val="clear" w:color="auto" w:fill="auto"/>
          </w:tcPr>
          <w:p w14:paraId="76FAE338" w14:textId="14B1E47F" w:rsidR="00855155" w:rsidRPr="008562DF" w:rsidRDefault="00855155" w:rsidP="00855155">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15 (v porovnání se 19 v první polovině roku 2024).</w:t>
            </w:r>
          </w:p>
        </w:tc>
        <w:tc>
          <w:tcPr>
            <w:tcW w:w="4678" w:type="dxa"/>
            <w:shd w:val="clear" w:color="auto" w:fill="auto"/>
          </w:tcPr>
          <w:p w14:paraId="11EBCB24" w14:textId="60E17C19"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bCs/>
                <w:noProof/>
                <w:sz w:val="18"/>
                <w:szCs w:val="18"/>
              </w:rPr>
            </w:pPr>
            <w:r>
              <w:rPr>
                <w:noProof/>
                <w:sz w:val="18"/>
              </w:rPr>
              <w:t>Primární dealeři v EU Komisi nadále podporovali a rotace při syndikaci pomohla Komisi co nejlépe využít všechny banky způsobilé účastnit se syndikátu.</w:t>
            </w:r>
          </w:p>
        </w:tc>
      </w:tr>
      <w:tr w:rsidR="00855155" w:rsidRPr="008562DF" w14:paraId="0491B753"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3C51B3BE" w14:textId="77777777" w:rsidR="00855155" w:rsidRPr="008562DF" w:rsidRDefault="00855155" w:rsidP="00855155">
            <w:pPr>
              <w:jc w:val="left"/>
              <w:rPr>
                <w:noProof/>
                <w:sz w:val="18"/>
                <w:szCs w:val="18"/>
              </w:rPr>
            </w:pPr>
            <w:r>
              <w:rPr>
                <w:noProof/>
                <w:color w:val="034EA2" w:themeColor="accent1"/>
                <w:sz w:val="18"/>
              </w:rPr>
              <w:t xml:space="preserve">Komunikace s různými zúčastněnými stranami na trhu a srovnatelnými emitenty </w:t>
            </w:r>
          </w:p>
        </w:tc>
        <w:tc>
          <w:tcPr>
            <w:tcW w:w="3264" w:type="dxa"/>
            <w:vMerge w:val="restart"/>
            <w:shd w:val="clear" w:color="auto" w:fill="auto"/>
          </w:tcPr>
          <w:p w14:paraId="256948EE" w14:textId="2A730EEC" w:rsidR="00855155" w:rsidRPr="008562DF"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Udržování a budování důvěry s investorskou základnou, účastníky trhu a srovnatelnými emitenty s cílem podpořit poptávku po dluhu EU a zlepšit znalosti EU o dynamice trhu a potřebách investorů.</w:t>
            </w:r>
          </w:p>
        </w:tc>
        <w:tc>
          <w:tcPr>
            <w:tcW w:w="2268" w:type="dxa"/>
            <w:shd w:val="clear" w:color="auto" w:fill="auto"/>
          </w:tcPr>
          <w:p w14:paraId="531FA22F" w14:textId="77777777" w:rsidR="00855155" w:rsidRPr="008562DF" w:rsidRDefault="00855155" w:rsidP="00855155">
            <w:pPr>
              <w:pStyle w:val="ListParagraph"/>
              <w:numPr>
                <w:ilvl w:val="0"/>
                <w:numId w:val="26"/>
              </w:numPr>
              <w:spacing w:after="40"/>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 xml:space="preserve">Odchylky od předem oznámených termínů zveřejnění plánů financování </w:t>
            </w:r>
          </w:p>
        </w:tc>
        <w:tc>
          <w:tcPr>
            <w:tcW w:w="2551" w:type="dxa"/>
            <w:shd w:val="clear" w:color="auto" w:fill="auto"/>
          </w:tcPr>
          <w:p w14:paraId="7F9DC91A" w14:textId="77777777" w:rsidR="00855155" w:rsidRPr="008562DF"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Žádné</w:t>
            </w:r>
          </w:p>
        </w:tc>
        <w:tc>
          <w:tcPr>
            <w:tcW w:w="4678" w:type="dxa"/>
            <w:vMerge w:val="restart"/>
            <w:shd w:val="clear" w:color="auto" w:fill="auto"/>
          </w:tcPr>
          <w:p w14:paraId="6338D717" w14:textId="77777777" w:rsidR="00855155" w:rsidRPr="00F32988" w:rsidRDefault="00855155" w:rsidP="00855155">
            <w:pPr>
              <w:spacing w:after="120"/>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 xml:space="preserve">Komise v souladu s předchozími oznámeními udržovala pravidelnou a předvídatelnou komunikaci s trhy. </w:t>
            </w:r>
          </w:p>
          <w:p w14:paraId="16A075E2" w14:textId="74F314A6" w:rsidR="00855155" w:rsidRPr="008562DF" w:rsidRDefault="00F71DFB" w:rsidP="00855155">
            <w:pPr>
              <w:spacing w:after="120"/>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Ve druhé polovině roku 2024 došlo ke snížení alokace o 1 miliardu EUR z důvodu zajištění atraktivních podmínek financování u aukcí dluhopisů.</w:t>
            </w:r>
          </w:p>
          <w:p w14:paraId="24D7217D" w14:textId="1FAC08E4" w:rsidR="00855155" w:rsidRPr="008562DF" w:rsidRDefault="00855155" w:rsidP="00855155">
            <w:pPr>
              <w:spacing w:after="120"/>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Komise pravidelně zveřejňovala statistiky investorů, které zůstaly stabilní, a její diverzifikovaná investorská základna se nadále zvyšovala.</w:t>
            </w:r>
          </w:p>
          <w:p w14:paraId="6C2C8FB3" w14:textId="77777777" w:rsidR="00855155" w:rsidRPr="008562DF"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p>
        </w:tc>
      </w:tr>
      <w:tr w:rsidR="00855155" w:rsidRPr="008562DF" w14:paraId="62A4F545" w14:textId="77777777" w:rsidTr="04A2D3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53290D7" w14:textId="77777777" w:rsidR="00855155" w:rsidRPr="008562DF" w:rsidRDefault="00855155" w:rsidP="00855155">
            <w:pPr>
              <w:rPr>
                <w:noProof/>
                <w:color w:val="034EA2" w:themeColor="accent1"/>
                <w:sz w:val="18"/>
                <w:szCs w:val="18"/>
              </w:rPr>
            </w:pPr>
          </w:p>
        </w:tc>
        <w:tc>
          <w:tcPr>
            <w:tcW w:w="3264" w:type="dxa"/>
            <w:vMerge/>
          </w:tcPr>
          <w:p w14:paraId="5FEB6FF4" w14:textId="77777777" w:rsidR="00855155" w:rsidRPr="008562DF" w:rsidRDefault="00855155" w:rsidP="00855155">
            <w:pPr>
              <w:jc w:val="left"/>
              <w:cnfStyle w:val="000000100000" w:firstRow="0" w:lastRow="0" w:firstColumn="0" w:lastColumn="0" w:oddVBand="0" w:evenVBand="0" w:oddHBand="1" w:evenHBand="0" w:firstRowFirstColumn="0" w:firstRowLastColumn="0" w:lastRowFirstColumn="0" w:lastRowLastColumn="0"/>
              <w:rPr>
                <w:noProof/>
                <w:sz w:val="18"/>
                <w:szCs w:val="18"/>
              </w:rPr>
            </w:pPr>
          </w:p>
        </w:tc>
        <w:tc>
          <w:tcPr>
            <w:tcW w:w="2268" w:type="dxa"/>
            <w:shd w:val="clear" w:color="auto" w:fill="auto"/>
          </w:tcPr>
          <w:p w14:paraId="6632DA66" w14:textId="77777777" w:rsidR="00855155" w:rsidRPr="008562DF" w:rsidRDefault="00855155" w:rsidP="00855155">
            <w:pPr>
              <w:pStyle w:val="ListParagraph"/>
              <w:numPr>
                <w:ilvl w:val="0"/>
                <w:numId w:val="26"/>
              </w:numPr>
              <w:spacing w:after="40"/>
              <w:ind w:left="226" w:hanging="113"/>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 xml:space="preserve">Odchylka od objemů oznámených v plánu financování </w:t>
            </w:r>
          </w:p>
        </w:tc>
        <w:tc>
          <w:tcPr>
            <w:tcW w:w="2551" w:type="dxa"/>
            <w:shd w:val="clear" w:color="auto" w:fill="auto"/>
          </w:tcPr>
          <w:p w14:paraId="47F1776F" w14:textId="77777777" w:rsidR="00855155" w:rsidRPr="008562DF" w:rsidRDefault="00855155" w:rsidP="00855155">
            <w:pPr>
              <w:jc w:val="left"/>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rPr>
              <w:t>Méně než 1 miliarda EUR nebo méně než 2 % (ve srovnání s méně než 2 % v první polovině roku 2024).</w:t>
            </w:r>
          </w:p>
        </w:tc>
        <w:tc>
          <w:tcPr>
            <w:tcW w:w="4678" w:type="dxa"/>
            <w:vMerge/>
          </w:tcPr>
          <w:p w14:paraId="157FCB3F" w14:textId="77777777" w:rsidR="00855155" w:rsidRPr="008562DF" w:rsidRDefault="00855155" w:rsidP="00855155">
            <w:pPr>
              <w:cnfStyle w:val="000000100000" w:firstRow="0" w:lastRow="0" w:firstColumn="0" w:lastColumn="0" w:oddVBand="0" w:evenVBand="0" w:oddHBand="1" w:evenHBand="0" w:firstRowFirstColumn="0" w:firstRowLastColumn="0" w:lastRowFirstColumn="0" w:lastRowLastColumn="0"/>
              <w:rPr>
                <w:noProof/>
                <w:sz w:val="18"/>
                <w:szCs w:val="18"/>
              </w:rPr>
            </w:pPr>
          </w:p>
        </w:tc>
      </w:tr>
      <w:tr w:rsidR="00855155" w:rsidRPr="008562DF" w14:paraId="6C55C8BE" w14:textId="77777777" w:rsidTr="04A2D39D">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D62398C" w14:textId="77777777" w:rsidR="00855155" w:rsidRPr="008562DF" w:rsidRDefault="00855155" w:rsidP="00855155">
            <w:pPr>
              <w:rPr>
                <w:noProof/>
                <w:color w:val="034EA2" w:themeColor="accent1"/>
                <w:sz w:val="18"/>
                <w:szCs w:val="18"/>
              </w:rPr>
            </w:pPr>
          </w:p>
        </w:tc>
        <w:tc>
          <w:tcPr>
            <w:tcW w:w="3264" w:type="dxa"/>
            <w:vMerge/>
          </w:tcPr>
          <w:p w14:paraId="6C4695C2" w14:textId="77777777" w:rsidR="00855155" w:rsidRPr="008562DF"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p>
        </w:tc>
        <w:tc>
          <w:tcPr>
            <w:tcW w:w="2268" w:type="dxa"/>
            <w:shd w:val="clear" w:color="auto" w:fill="auto"/>
          </w:tcPr>
          <w:p w14:paraId="6AEC34E0" w14:textId="77777777" w:rsidR="00855155" w:rsidRPr="008562DF" w:rsidRDefault="00855155" w:rsidP="00855155">
            <w:pPr>
              <w:pStyle w:val="ListParagraph"/>
              <w:numPr>
                <w:ilvl w:val="0"/>
                <w:numId w:val="26"/>
              </w:numPr>
              <w:spacing w:after="40"/>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iCs/>
                <w:noProof/>
                <w:sz w:val="18"/>
                <w:szCs w:val="18"/>
              </w:rPr>
            </w:pPr>
            <w:r>
              <w:rPr>
                <w:rFonts w:ascii="EC Square Sans Pro" w:hAnsi="EC Square Sans Pro"/>
                <w:i/>
                <w:noProof/>
                <w:sz w:val="18"/>
              </w:rPr>
              <w:t>Statistika rozdělení investorů</w:t>
            </w:r>
          </w:p>
        </w:tc>
        <w:tc>
          <w:tcPr>
            <w:tcW w:w="2551" w:type="dxa"/>
            <w:shd w:val="clear" w:color="auto" w:fill="auto"/>
          </w:tcPr>
          <w:p w14:paraId="43E73872" w14:textId="77777777" w:rsidR="00855155" w:rsidRPr="00B54EDF"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 xml:space="preserve">Podle typu: </w:t>
            </w:r>
          </w:p>
          <w:p w14:paraId="186D47DB" w14:textId="1FA18E5F" w:rsidR="00855155" w:rsidRPr="00B54EDF"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 xml:space="preserve">centrální banky / státní instituce 25,1 %, správci fondů 22,5 %, finanční správy bank 21,9 %, pojišťovny a penzijní fondy 20,5 %, banky 7,3 %, hedgeové fondy 2,6 % </w:t>
            </w:r>
          </w:p>
          <w:p w14:paraId="04AC14B1" w14:textId="630E0D44" w:rsidR="00855155" w:rsidRPr="008562DF" w:rsidRDefault="00855155" w:rsidP="00855155">
            <w:pPr>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rPr>
              <w:t>Podle zemí/regionů: Spojené království 19,4 %, severské země 12,4 %, Francie 11,7 %, Benelux 9,2 %, Itálie 8,8 %, Asie a Tichomoří 8,2 %, Německo 8,1 %, Pyrenejský poloostrov 7,9 %, ostatní EU 7,4 %, ostatní Evropa mimo EU 2,6 %, Severní a Jižní Amerika 2,2 %, Blízký východ a Afrika 2,0 %.</w:t>
            </w:r>
          </w:p>
        </w:tc>
        <w:tc>
          <w:tcPr>
            <w:tcW w:w="4678" w:type="dxa"/>
            <w:vMerge/>
          </w:tcPr>
          <w:p w14:paraId="58A27B01" w14:textId="77777777" w:rsidR="00855155" w:rsidRPr="008562DF" w:rsidRDefault="00855155" w:rsidP="00855155">
            <w:pPr>
              <w:cnfStyle w:val="000000000000" w:firstRow="0" w:lastRow="0" w:firstColumn="0" w:lastColumn="0" w:oddVBand="0" w:evenVBand="0" w:oddHBand="0" w:evenHBand="0" w:firstRowFirstColumn="0" w:firstRowLastColumn="0" w:lastRowFirstColumn="0" w:lastRowLastColumn="0"/>
              <w:rPr>
                <w:noProof/>
                <w:sz w:val="18"/>
                <w:szCs w:val="18"/>
              </w:rPr>
            </w:pPr>
          </w:p>
        </w:tc>
      </w:tr>
    </w:tbl>
    <w:p w14:paraId="07037DC9" w14:textId="77777777" w:rsidR="00515675" w:rsidRPr="003F16EC" w:rsidRDefault="00515675" w:rsidP="00515675">
      <w:pPr>
        <w:rPr>
          <w:b/>
          <w:bCs/>
          <w:noProof/>
          <w:color w:val="034EA2" w:themeColor="accent1"/>
        </w:rPr>
      </w:pPr>
    </w:p>
    <w:sectPr w:rsidR="00515675" w:rsidRPr="003F16EC" w:rsidSect="00A046A3">
      <w:headerReference w:type="even" r:id="rId42"/>
      <w:headerReference w:type="default" r:id="rId43"/>
      <w:footerReference w:type="even" r:id="rId44"/>
      <w:footerReference w:type="default" r:id="rId45"/>
      <w:headerReference w:type="first" r:id="rId46"/>
      <w:footerReference w:type="first" r:id="rId47"/>
      <w:pgSz w:w="16839" w:h="11907"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10EE" w14:textId="77777777" w:rsidR="0072321D" w:rsidRDefault="0072321D" w:rsidP="008B6253">
      <w:pPr>
        <w:spacing w:after="0"/>
      </w:pPr>
      <w:r>
        <w:separator/>
      </w:r>
    </w:p>
  </w:endnote>
  <w:endnote w:type="continuationSeparator" w:id="0">
    <w:p w14:paraId="05D7D68B" w14:textId="77777777" w:rsidR="0072321D" w:rsidRDefault="0072321D" w:rsidP="008B6253">
      <w:pPr>
        <w:spacing w:after="0"/>
      </w:pPr>
      <w:r>
        <w:continuationSeparator/>
      </w:r>
    </w:p>
  </w:endnote>
  <w:endnote w:type="continuationNotice" w:id="1">
    <w:p w14:paraId="0A5DAD71" w14:textId="77777777" w:rsidR="0072321D" w:rsidRDefault="007232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altName w:val="Bahnschrift Light"/>
    <w:charset w:val="00"/>
    <w:family w:val="swiss"/>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4AB0" w14:textId="4313442C" w:rsidR="00B44F79" w:rsidRPr="00B44F79" w:rsidRDefault="00B44F79" w:rsidP="00B44F79">
    <w:pPr>
      <w:pStyle w:val="FooterCoverPage"/>
      <w:rPr>
        <w:rFonts w:ascii="Arial" w:hAnsi="Arial" w:cs="Arial"/>
        <w:b/>
        <w:sz w:val="48"/>
      </w:rPr>
    </w:pPr>
    <w:r w:rsidRPr="00B44F79">
      <w:rPr>
        <w:rFonts w:ascii="Arial" w:hAnsi="Arial" w:cs="Arial"/>
        <w:b/>
        <w:sz w:val="48"/>
      </w:rPr>
      <w:t>CS</w:t>
    </w:r>
    <w:r w:rsidRPr="00B44F79">
      <w:rPr>
        <w:rFonts w:ascii="Arial" w:hAnsi="Arial" w:cs="Arial"/>
        <w:b/>
        <w:sz w:val="48"/>
      </w:rPr>
      <w:tab/>
    </w:r>
    <w:r w:rsidRPr="00B44F79">
      <w:rPr>
        <w:rFonts w:ascii="Arial" w:hAnsi="Arial" w:cs="Arial"/>
        <w:b/>
        <w:sz w:val="48"/>
      </w:rPr>
      <w:tab/>
    </w:r>
    <w:r w:rsidRPr="00B44F79">
      <w:tab/>
    </w:r>
    <w:r w:rsidRPr="00B44F79">
      <w:rPr>
        <w:rFonts w:ascii="Arial" w:hAnsi="Arial" w:cs="Arial"/>
        <w:b/>
        <w:sz w:val="48"/>
      </w:rPr>
      <w:t>CS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FFC7" w14:textId="77777777" w:rsidR="001C2621" w:rsidRDefault="001C262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F71" w14:textId="649A40BC" w:rsidR="001C2621" w:rsidRDefault="001C2621">
    <w:pPr>
      <w:pStyle w:val="Footer"/>
      <w:jc w:val="center"/>
      <w:rPr>
        <w:noProof/>
      </w:rPr>
    </w:pPr>
    <w:r>
      <w:fldChar w:fldCharType="begin"/>
    </w:r>
    <w:r>
      <w:instrText xml:space="preserve"> PAGE   \* MERGEFORMAT </w:instrText>
    </w:r>
    <w:r>
      <w:fldChar w:fldCharType="separate"/>
    </w:r>
    <w:r w:rsidR="004A00F6">
      <w:t>10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856E" w14:textId="77777777" w:rsidR="001C2621" w:rsidRDefault="001C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3A01" w14:textId="52358298" w:rsidR="00B44F79" w:rsidRPr="00B44F79" w:rsidRDefault="00B44F79" w:rsidP="00B44F79">
    <w:pPr>
      <w:pStyle w:val="FooterCoverPage"/>
      <w:rPr>
        <w:rFonts w:ascii="Arial" w:hAnsi="Arial" w:cs="Arial"/>
        <w:b/>
        <w:sz w:val="48"/>
      </w:rPr>
    </w:pPr>
    <w:r w:rsidRPr="00B44F79">
      <w:rPr>
        <w:rFonts w:ascii="Arial" w:hAnsi="Arial" w:cs="Arial"/>
        <w:b/>
        <w:sz w:val="48"/>
      </w:rPr>
      <w:t>CS</w:t>
    </w:r>
    <w:r w:rsidRPr="00B44F79">
      <w:rPr>
        <w:rFonts w:ascii="Arial" w:hAnsi="Arial" w:cs="Arial"/>
        <w:b/>
        <w:sz w:val="48"/>
      </w:rPr>
      <w:tab/>
    </w:r>
    <w:r w:rsidRPr="00B44F79">
      <w:rPr>
        <w:rFonts w:ascii="Arial" w:hAnsi="Arial" w:cs="Arial"/>
        <w:b/>
        <w:sz w:val="48"/>
      </w:rPr>
      <w:tab/>
    </w:r>
    <w:r w:rsidRPr="00B44F79">
      <w:tab/>
    </w:r>
    <w:r w:rsidRPr="00B44F79">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63" w14:textId="77777777" w:rsidR="00B44F79" w:rsidRPr="00B44F79" w:rsidRDefault="00B44F79" w:rsidP="00B44F7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73F5" w14:textId="77777777" w:rsidR="001C2621" w:rsidRDefault="001C26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C523" w14:textId="77777777" w:rsidR="001C2621" w:rsidRPr="007352EE" w:rsidRDefault="001C2621" w:rsidP="00BD68A5">
    <w:pPr>
      <w:pStyle w:val="FooterCoverPage"/>
      <w:rPr>
        <w:rFonts w:ascii="Arial" w:hAnsi="Arial" w:cs="Arial"/>
        <w:b/>
        <w:sz w:val="48"/>
      </w:rPr>
    </w:pPr>
    <w:r>
      <w:rPr>
        <w:rFonts w:ascii="Arial" w:hAnsi="Arial"/>
        <w:b/>
        <w:sz w:val="48"/>
      </w:rPr>
      <w:t>CS</w:t>
    </w:r>
    <w:r>
      <w:rPr>
        <w:rFonts w:ascii="Arial" w:hAnsi="Arial"/>
        <w:b/>
        <w:sz w:val="48"/>
      </w:rPr>
      <w:tab/>
    </w:r>
    <w:r>
      <w:rPr>
        <w:rFonts w:ascii="Arial" w:hAnsi="Arial"/>
        <w:b/>
        <w:sz w:val="48"/>
      </w:rPr>
      <w:tab/>
    </w:r>
    <w:r>
      <w:tab/>
    </w:r>
    <w:r>
      <w:rPr>
        <w:rFonts w:ascii="Arial" w:hAnsi="Arial"/>
        <w:b/>
        <w:sz w:val="48"/>
      </w:rPr>
      <w:t>CS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83E4" w14:textId="77777777" w:rsidR="001C2621" w:rsidRDefault="001C26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B17A" w14:textId="77777777" w:rsidR="001C2621" w:rsidRDefault="001C262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95215"/>
      <w:docPartObj>
        <w:docPartGallery w:val="Page Numbers (Bottom of Page)"/>
        <w:docPartUnique/>
      </w:docPartObj>
    </w:sdtPr>
    <w:sdtEndPr>
      <w:rPr>
        <w:noProof/>
      </w:rPr>
    </w:sdtEndPr>
    <w:sdtContent>
      <w:p w14:paraId="19D1479D" w14:textId="4AAA4E38" w:rsidR="001C2621" w:rsidRDefault="001C2621">
        <w:pPr>
          <w:pStyle w:val="Footer"/>
          <w:jc w:val="right"/>
        </w:pPr>
        <w:r>
          <w:fldChar w:fldCharType="begin"/>
        </w:r>
        <w:r>
          <w:instrText xml:space="preserve"> PAGE   \* MERGEFORMAT </w:instrText>
        </w:r>
        <w:r>
          <w:fldChar w:fldCharType="separate"/>
        </w:r>
        <w:r w:rsidR="00B44F79">
          <w:rPr>
            <w:noProof/>
          </w:rPr>
          <w:t>1</w:t>
        </w:r>
        <w:r>
          <w:fldChar w:fldCharType="end"/>
        </w:r>
      </w:p>
    </w:sdtContent>
  </w:sdt>
  <w:p w14:paraId="0CB50D4F" w14:textId="77777777" w:rsidR="001C2621" w:rsidRDefault="001C262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0206" w14:textId="77777777" w:rsidR="001C2621" w:rsidRDefault="001C2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1AECA" w14:textId="77777777" w:rsidR="0072321D" w:rsidRDefault="0072321D" w:rsidP="008B6253">
      <w:pPr>
        <w:spacing w:after="0"/>
      </w:pPr>
      <w:r>
        <w:separator/>
      </w:r>
    </w:p>
  </w:footnote>
  <w:footnote w:type="continuationSeparator" w:id="0">
    <w:p w14:paraId="418B1C37" w14:textId="77777777" w:rsidR="0072321D" w:rsidRDefault="0072321D" w:rsidP="008B6253">
      <w:pPr>
        <w:spacing w:after="0"/>
      </w:pPr>
      <w:r>
        <w:continuationSeparator/>
      </w:r>
    </w:p>
  </w:footnote>
  <w:footnote w:type="continuationNotice" w:id="1">
    <w:p w14:paraId="21443F8A" w14:textId="77777777" w:rsidR="0072321D" w:rsidRDefault="0072321D">
      <w:pPr>
        <w:spacing w:after="0"/>
      </w:pPr>
    </w:p>
  </w:footnote>
  <w:footnote w:id="2">
    <w:p w14:paraId="36A6D2BF" w14:textId="0FDCEEA8" w:rsidR="00072047" w:rsidRPr="000659B4" w:rsidRDefault="00072047" w:rsidP="00072047">
      <w:pPr>
        <w:pStyle w:val="FootnoteText"/>
        <w:ind w:left="0" w:firstLine="0"/>
      </w:pPr>
      <w:r>
        <w:rPr>
          <w:rStyle w:val="FootnoteReference"/>
        </w:rPr>
        <w:footnoteRef/>
      </w:r>
      <w:r>
        <w:t xml:space="preserve"> V souladu s metodikou přiřazování nákladů stanovenou v prováděcím rozhodnutí Komise (EU) 2024/1974.</w:t>
      </w:r>
    </w:p>
  </w:footnote>
  <w:footnote w:id="3">
    <w:p w14:paraId="7D8748D8" w14:textId="77777777" w:rsidR="00F333BA" w:rsidRPr="001A5608" w:rsidRDefault="00F333BA" w:rsidP="00F333BA">
      <w:pPr>
        <w:pStyle w:val="FootnoteText"/>
      </w:pPr>
      <w:r>
        <w:rPr>
          <w:rStyle w:val="FootnoteReference"/>
        </w:rPr>
        <w:footnoteRef/>
      </w:r>
      <w:r>
        <w:rPr>
          <w:rStyle w:val="FootnoteReference"/>
        </w:rPr>
        <w:t xml:space="preserve"> </w:t>
      </w:r>
      <w:r>
        <w:t>Evropský nástroj pro dočasnou podporu na zmírnění rizik nezaměstnanosti v mimořádné situaci (SURE).</w:t>
      </w:r>
    </w:p>
  </w:footnote>
  <w:footnote w:id="4">
    <w:p w14:paraId="4A028087" w14:textId="2CBB7C47" w:rsidR="00F333BA" w:rsidRPr="000659B4" w:rsidRDefault="00F333BA" w:rsidP="00F333BA">
      <w:pPr>
        <w:pStyle w:val="FootnoteText"/>
        <w:ind w:left="0" w:firstLine="0"/>
      </w:pPr>
      <w:r>
        <w:rPr>
          <w:rStyle w:val="FootnoteReference"/>
        </w:rPr>
        <w:footnoteRef/>
      </w:r>
      <w:r>
        <w:t xml:space="preserve"> Vypracováno v souladu s článkem 13 prováděcího rozhodnutí Komise C(2023)8010, které stanoví opatření pro provádění jednotného přístupu k financování výpůjčních operací a operací řízení dluhu.</w:t>
      </w:r>
    </w:p>
  </w:footnote>
  <w:footnote w:id="5">
    <w:p w14:paraId="5D0990D6" w14:textId="07AC947C" w:rsidR="00F333BA" w:rsidRPr="000659B4" w:rsidRDefault="00F333BA" w:rsidP="00F333BA">
      <w:pPr>
        <w:pStyle w:val="FootnoteText"/>
        <w:ind w:left="0" w:firstLine="0"/>
      </w:pPr>
      <w:r>
        <w:rPr>
          <w:rStyle w:val="FootnoteReference"/>
        </w:rPr>
        <w:footnoteRef/>
      </w:r>
      <w:r>
        <w:t xml:space="preserve"> Viz například výroční zprávy o </w:t>
      </w:r>
      <w:hyperlink r:id="rId1" w:history="1">
        <w:r>
          <w:rPr>
            <w:rStyle w:val="Hyperlink"/>
          </w:rPr>
          <w:t>Nástroji pro oživení a odolnost</w:t>
        </w:r>
      </w:hyperlink>
      <w:r>
        <w:t xml:space="preserve"> a </w:t>
      </w:r>
      <w:hyperlink r:id="rId2" w:history="1">
        <w:r>
          <w:rPr>
            <w:rStyle w:val="Hyperlink"/>
          </w:rPr>
          <w:t>makrofinanční pomoci</w:t>
        </w:r>
      </w:hyperlink>
      <w:r>
        <w:t xml:space="preserve"> a </w:t>
      </w:r>
      <w:hyperlink r:id="rId3" w:history="1">
        <w:r>
          <w:rPr>
            <w:rStyle w:val="Hyperlink"/>
          </w:rPr>
          <w:t>zpráva o přidělování a dopadech zelených dluhopisů nástroje NextGenerationEU</w:t>
        </w:r>
      </w:hyperlink>
      <w:r>
        <w:t xml:space="preserve">.  </w:t>
      </w:r>
    </w:p>
  </w:footnote>
  <w:footnote w:id="6">
    <w:p w14:paraId="53063AC2" w14:textId="70A49A6A" w:rsidR="00F333BA" w:rsidRPr="000659B4" w:rsidRDefault="00F333BA" w:rsidP="00F333BA">
      <w:pPr>
        <w:pStyle w:val="FootnoteText"/>
      </w:pPr>
      <w:r>
        <w:rPr>
          <w:rStyle w:val="FootnoteReference"/>
        </w:rPr>
        <w:footnoteRef/>
      </w:r>
      <w:r>
        <w:t xml:space="preserve"> </w:t>
      </w:r>
      <w:hyperlink r:id="rId4" w:history="1">
        <w:r>
          <w:rPr>
            <w:rStyle w:val="Hyperlink"/>
          </w:rPr>
          <w:t>Zvláštní zpráva 16/2023:</w:t>
        </w:r>
      </w:hyperlink>
      <w:hyperlink r:id="rId5" w:history="1">
        <w:r>
          <w:rPr>
            <w:rStyle w:val="Hyperlink"/>
          </w:rPr>
          <w:t xml:space="preserve"> Jak Komise spravuje dluh nástroje Evropské unie na podporu oživení (NGEU)</w:t>
        </w:r>
      </w:hyperlink>
      <w:r>
        <w:t xml:space="preserve"> a </w:t>
      </w:r>
      <w:hyperlink r:id="rId6" w:history="1">
        <w:r>
          <w:rPr>
            <w:rStyle w:val="Hyperlink"/>
          </w:rPr>
          <w:t>odpovědi Komise</w:t>
        </w:r>
      </w:hyperlink>
      <w:r>
        <w:t>.</w:t>
      </w:r>
    </w:p>
  </w:footnote>
  <w:footnote w:id="7">
    <w:p w14:paraId="3108F639" w14:textId="18A5D886" w:rsidR="00F333BA" w:rsidRPr="00B551F9" w:rsidRDefault="00F333BA" w:rsidP="00F333BA">
      <w:pPr>
        <w:pStyle w:val="FootnoteText"/>
        <w:ind w:left="0" w:firstLine="0"/>
      </w:pPr>
      <w:r>
        <w:rPr>
          <w:rStyle w:val="FootnoteReference"/>
        </w:rPr>
        <w:footnoteRef/>
      </w:r>
      <w:r>
        <w:t xml:space="preserve"> Popis zastřešující strategie řízení dluhu naleznete v pololetní zprávě o provádění výpůjčních a úvěrových operací EU za období od 1. ledna 2023 do 30. června 2023, viz čtvrtá </w:t>
      </w:r>
      <w:hyperlink r:id="rId7" w:history="1">
        <w:r>
          <w:rPr>
            <w:rStyle w:val="Hyperlink"/>
          </w:rPr>
          <w:t>pololetní zpráva o provádění výpůjčních a úvěrových operací EU (europa.eu)</w:t>
        </w:r>
      </w:hyperlink>
      <w:r>
        <w:t>).</w:t>
      </w:r>
    </w:p>
  </w:footnote>
  <w:footnote w:id="8">
    <w:p w14:paraId="0D2FD9E0" w14:textId="1193A835" w:rsidR="005C414E" w:rsidRPr="00877CA0" w:rsidRDefault="005C414E" w:rsidP="005C414E">
      <w:pPr>
        <w:pStyle w:val="FootnoteText"/>
        <w:ind w:left="113" w:hanging="113"/>
      </w:pPr>
      <w:r>
        <w:rPr>
          <w:rStyle w:val="FootnoteReference"/>
        </w:rPr>
        <w:footnoteRef/>
      </w:r>
      <w:r>
        <w:t xml:space="preserve"> Ty zahrnují Platformu strategických technologií pro Evropu (STEP), program Horizont Evropa, Fond InvestEU, ReactEU, mechanismus civilní ochrany Unie (RescEU), Evropský zemědělský fond pro rozvoj venkova (EZFRV) a Fond pro spravedlivou transformaci.</w:t>
      </w:r>
    </w:p>
  </w:footnote>
  <w:footnote w:id="9">
    <w:p w14:paraId="7FC61A99" w14:textId="7292D153" w:rsidR="005C414E" w:rsidRPr="00C44E47" w:rsidRDefault="005C414E" w:rsidP="005C414E">
      <w:pPr>
        <w:pStyle w:val="FootnoteText"/>
        <w:ind w:left="113" w:hanging="113"/>
      </w:pPr>
      <w:r>
        <w:rPr>
          <w:rStyle w:val="FootnoteReference"/>
        </w:rPr>
        <w:footnoteRef/>
      </w:r>
      <w:r>
        <w:t xml:space="preserve"> Další výdaje nástroje NGEU ve výši 9,6 miliardy EUR byly financovány z jiných zdrojů (tj. ze systému obchodování s emisemi (ETS) a z rezervy na vyrovnání se s důsledky brexitu).</w:t>
      </w:r>
    </w:p>
  </w:footnote>
  <w:footnote w:id="10">
    <w:p w14:paraId="0AF853BC" w14:textId="27B13B43" w:rsidR="001C2621" w:rsidRPr="00C44E47" w:rsidRDefault="001C2621" w:rsidP="00456D3B">
      <w:pPr>
        <w:pStyle w:val="FootnoteText"/>
        <w:ind w:left="113" w:hanging="113"/>
      </w:pPr>
      <w:r>
        <w:rPr>
          <w:rStyle w:val="FootnoteReference"/>
        </w:rPr>
        <w:footnoteRef/>
      </w:r>
      <w:r>
        <w:t xml:space="preserve"> </w:t>
      </w:r>
      <w:bookmarkStart w:id="38" w:name="_Hlk187333391"/>
      <w:r>
        <w:t>Doposud přilákaly dluhopisy EU vydané prostřednictvím syndikace celkem více než 1 900 různých investorů z</w:t>
      </w:r>
      <w:r w:rsidR="0060544B">
        <w:rPr>
          <w:rFonts w:ascii="Calibri" w:hAnsi="Calibri" w:cs="Calibri"/>
        </w:rPr>
        <w:t> </w:t>
      </w:r>
      <w:r>
        <w:t>více než 70 různých zemí. Více než 65 % investic do syndikací dluhopisů EU pochází od investorů ze zemí EU a téměř 20 % od mezinárodních investorů působících ve Spojeném království. Zbylá část investic pochází od mezinárodních investorů z Asie nebo jiných evropských zemí mimo EU, např. Norska a Švýcarska. Více než 65 % vydaných dluhopisů EU koupili investoři se strategií „kup a drž“ (tj. správci fondů, pojišťovny, penzijní fondy a centrální banky / státní instituce). Dostatečně jsou také zastoupeni investoři, kteří požadují různé doby splatnosti. Centrální banky / státní instituce a finanční správy bank (které obvykle preferují investice do dluhopisů se splatností do deseti let) se na nákupech dluhopisů EU na primárních trzích v rámci syndikovaných transakcí podílejí přibližně 47 %, zatímco penzijní fondy a pojišťovny (které preferují splatnosti nad deset let) představují více než 20 %.</w:t>
      </w:r>
      <w:bookmarkEnd w:id="38"/>
    </w:p>
  </w:footnote>
  <w:footnote w:id="11">
    <w:p w14:paraId="24050A48" w14:textId="3C0AF7D2" w:rsidR="001C2621" w:rsidRPr="006839E6" w:rsidRDefault="001C2621" w:rsidP="006839E6">
      <w:pPr>
        <w:pStyle w:val="FootnoteText"/>
        <w:ind w:left="113" w:hanging="113"/>
      </w:pPr>
      <w:r>
        <w:rPr>
          <w:rStyle w:val="FootnoteReference"/>
        </w:rPr>
        <w:footnoteRef/>
      </w:r>
      <w:r>
        <w:t xml:space="preserve"> Toto nové emisní ážio je prémie, kterou emitent platí, aby přesvědčil investory ke koupi svých dluhopisů na primárním trhu, a nikoli na sekundárním trhu. </w:t>
      </w:r>
    </w:p>
  </w:footnote>
  <w:footnote w:id="12">
    <w:p w14:paraId="734BE8F3" w14:textId="1AA043BC" w:rsidR="009E499F" w:rsidRPr="00C83356" w:rsidRDefault="009E499F" w:rsidP="009E499F">
      <w:pPr>
        <w:pStyle w:val="FootnoteText"/>
        <w:ind w:left="113" w:hanging="113"/>
      </w:pPr>
      <w:r>
        <w:rPr>
          <w:rStyle w:val="FootnoteReference"/>
        </w:rPr>
        <w:footnoteRef/>
      </w:r>
      <w:r>
        <w:rPr>
          <w:rStyle w:val="FootnoteReference"/>
        </w:rPr>
        <w:t xml:space="preserve"> </w:t>
      </w:r>
      <w:r>
        <w:t>V případě nástroje NextGenerationEU jsou vzniklé úrokové náklady přidělovány do rozpočtu EU a členským státům, které dostávají půjčky, v souladu s metodikou stanovenou v prováděcím rozhodnutí Komise (EU) 2021/1095 a navazujícími prováděcími rozhodnutími Komise (EU) 2022/9701 a 2024/1974. Tato metodika rozlišuje tři různé kategorie nákladů: i) náklady na financování výplat nevratné podpory a půjček vypočtené pro šestiměsíční časové úseky; ii) náklady na držení a správu likvidity a iii) administrativní náklady. Rozdělení na jednotlivé programy je možné od druhé poloviny roku 2024, kdy vstoupilo v platnost prováděcí rozhodnutí Komise (EU, Euratom) 2024/1974. Aby se předešlo jakémukoli zpětnému účinku, programy, které byly financovány a vyplaceny před zavedením této metodiky (např. půjčky v rámci MFA+ Ukrajině a výjimečné překlenovací financování v rámci Nástroje pro Ukrajinu), zůstávají v rámci jednotného přístupu k financování spojeny s výpůjčními a úvěrovými operacemi nástroje NGEU.</w:t>
      </w:r>
    </w:p>
  </w:footnote>
  <w:footnote w:id="13">
    <w:p w14:paraId="32030774" w14:textId="46E409FF" w:rsidR="00515675" w:rsidRPr="00FA1F7E" w:rsidRDefault="00515675" w:rsidP="00515675">
      <w:pPr>
        <w:pStyle w:val="FootnoteText"/>
        <w:rPr>
          <w:sz w:val="18"/>
          <w:szCs w:val="18"/>
        </w:rPr>
      </w:pPr>
      <w:r>
        <w:rPr>
          <w:rStyle w:val="FootnoteReference"/>
          <w:sz w:val="18"/>
          <w:szCs w:val="18"/>
        </w:rPr>
        <w:footnoteRef/>
      </w:r>
      <w:r>
        <w:t xml:space="preserve"> Další informace o zelených dluhopisech nástroje NGEU naleznete v přehledu ukazatelů zelených dluhopisů nástroje NGEU zde:</w:t>
      </w:r>
      <w:r>
        <w:rPr>
          <w:sz w:val="18"/>
        </w:rPr>
        <w:t xml:space="preserve"> </w:t>
      </w:r>
      <w:hyperlink r:id="rId8" w:history="1">
        <w:r>
          <w:rPr>
            <w:rStyle w:val="Hyperlink"/>
            <w:sz w:val="18"/>
          </w:rPr>
          <w:t>Přehled ukazatelů (europa.eu)</w:t>
        </w:r>
      </w:hyperlink>
    </w:p>
  </w:footnote>
  <w:footnote w:id="14">
    <w:p w14:paraId="3941AC4E" w14:textId="27029CD1" w:rsidR="00515675" w:rsidRPr="00FA1F7E" w:rsidRDefault="00515675" w:rsidP="00515675">
      <w:pPr>
        <w:spacing w:after="0"/>
        <w:rPr>
          <w:sz w:val="18"/>
          <w:szCs w:val="18"/>
        </w:rPr>
      </w:pPr>
      <w:r>
        <w:rPr>
          <w:rStyle w:val="FootnoteReference"/>
          <w:sz w:val="18"/>
          <w:szCs w:val="18"/>
        </w:rPr>
        <w:footnoteRef/>
      </w:r>
      <w:r>
        <w:rPr>
          <w:sz w:val="18"/>
        </w:rPr>
        <w:t xml:space="preserve"> Na základě průměrného počtu měsíců mezi novou emisí a prvním navýšením při zohlednění nových linií navýšených během 2. pololetí roku 2024.</w:t>
      </w:r>
    </w:p>
    <w:p w14:paraId="277C0AE6" w14:textId="77777777" w:rsidR="00515675" w:rsidRPr="00391716" w:rsidRDefault="00515675" w:rsidP="00515675">
      <w:pPr>
        <w:pStyle w:val="FootnoteText"/>
        <w:ind w:left="0" w:firstLine="0"/>
        <w:rPr>
          <w:sz w:val="18"/>
          <w:szCs w:val="18"/>
        </w:rPr>
      </w:pPr>
    </w:p>
  </w:footnote>
  <w:footnote w:id="15">
    <w:p w14:paraId="5CBAD5DF" w14:textId="6D9322A9" w:rsidR="00515675" w:rsidRPr="0002172B" w:rsidRDefault="00515675" w:rsidP="00515675">
      <w:pPr>
        <w:pStyle w:val="FootnoteText"/>
      </w:pPr>
      <w:r>
        <w:rPr>
          <w:rStyle w:val="FootnoteReference"/>
          <w:sz w:val="18"/>
          <w:szCs w:val="18"/>
        </w:rPr>
        <w:footnoteRef/>
      </w:r>
      <w:r>
        <w:rPr>
          <w:sz w:val="18"/>
        </w:rPr>
        <w:t xml:space="preserve"> Nesplacené dluhopisy oproti počtu dluhopisů ke konci 2. pololetí 2024, na základě dluhopisů vydaných v rámci strategie diverzifikovaného financování.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CA6E" w14:textId="77777777" w:rsidR="00B44F79" w:rsidRPr="00B44F79" w:rsidRDefault="00B44F79" w:rsidP="00B44F79">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7D7D" w14:textId="77777777" w:rsidR="001C2621" w:rsidRDefault="001C26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54C" w14:textId="77777777" w:rsidR="001C2621" w:rsidRDefault="001C26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6542" w14:textId="77777777" w:rsidR="001C2621" w:rsidRDefault="001C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C40B" w14:textId="77777777" w:rsidR="00B44F79" w:rsidRPr="00B44F79" w:rsidRDefault="00B44F79" w:rsidP="00B44F7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957D" w14:textId="77777777" w:rsidR="00B44F79" w:rsidRPr="00B44F79" w:rsidRDefault="00B44F79" w:rsidP="00B44F7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2ED0" w14:textId="77777777" w:rsidR="001C2621" w:rsidRDefault="001C2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3EC3" w14:textId="77777777" w:rsidR="001C2621" w:rsidRDefault="001C26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F291" w14:textId="77777777" w:rsidR="001C2621" w:rsidRDefault="001C26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6167" w14:textId="77777777" w:rsidR="001C2621" w:rsidRDefault="001C26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BCEE" w14:textId="77777777" w:rsidR="001C2621" w:rsidRPr="00657B16" w:rsidRDefault="001C2621" w:rsidP="00892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C5B" w14:textId="77777777" w:rsidR="001C2621" w:rsidRDefault="001C2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7285"/>
    <w:multiLevelType w:val="hybridMultilevel"/>
    <w:tmpl w:val="03C0452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161A4A"/>
    <w:multiLevelType w:val="hybridMultilevel"/>
    <w:tmpl w:val="9D847452"/>
    <w:lvl w:ilvl="0" w:tplc="0D9A2F4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B670D"/>
    <w:multiLevelType w:val="hybridMultilevel"/>
    <w:tmpl w:val="7C3C86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F15449"/>
    <w:multiLevelType w:val="hybridMultilevel"/>
    <w:tmpl w:val="680CEC7A"/>
    <w:lvl w:ilvl="0" w:tplc="4DC4E9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194ED2"/>
    <w:multiLevelType w:val="hybridMultilevel"/>
    <w:tmpl w:val="2B06D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55A0B"/>
    <w:multiLevelType w:val="hybridMultilevel"/>
    <w:tmpl w:val="04DCAB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366335"/>
    <w:multiLevelType w:val="hybridMultilevel"/>
    <w:tmpl w:val="505C6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7E7CA7"/>
    <w:multiLevelType w:val="hybridMultilevel"/>
    <w:tmpl w:val="DC8443FA"/>
    <w:lvl w:ilvl="0" w:tplc="36305444">
      <w:start w:val="1"/>
      <w:numFmt w:val="bullet"/>
      <w:lvlText w:val="-"/>
      <w:lvlJc w:val="left"/>
      <w:pPr>
        <w:ind w:left="720" w:hanging="360"/>
      </w:pPr>
      <w:rPr>
        <w:rFonts w:ascii="EC Square Sans Pro" w:eastAsia="Times New Roman" w:hAnsi="EC Square Sans Pro" w:cs="Times New Roman" w:hint="default"/>
        <w:b/>
        <w:bCs/>
        <w:color w:val="70AD47"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F05598"/>
    <w:multiLevelType w:val="hybridMultilevel"/>
    <w:tmpl w:val="2C3074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D43C7C"/>
    <w:multiLevelType w:val="hybridMultilevel"/>
    <w:tmpl w:val="58C04AA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614371"/>
    <w:multiLevelType w:val="hybridMultilevel"/>
    <w:tmpl w:val="7C3C86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A71202"/>
    <w:multiLevelType w:val="hybridMultilevel"/>
    <w:tmpl w:val="28CCA644"/>
    <w:lvl w:ilvl="0" w:tplc="111E0DF2">
      <w:start w:val="1"/>
      <w:numFmt w:val="bullet"/>
      <w:lvlText w:val=""/>
      <w:lvlJc w:val="left"/>
      <w:pPr>
        <w:ind w:left="720" w:hanging="360"/>
      </w:pPr>
      <w:rPr>
        <w:rFonts w:ascii="Symbol" w:hAnsi="Symbol" w:hint="default"/>
        <w:color w:val="034EA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084BB5"/>
    <w:multiLevelType w:val="hybridMultilevel"/>
    <w:tmpl w:val="DFC08A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751D3"/>
    <w:multiLevelType w:val="hybridMultilevel"/>
    <w:tmpl w:val="2CA2CE64"/>
    <w:lvl w:ilvl="0" w:tplc="6ECAA736">
      <w:start w:val="1"/>
      <w:numFmt w:val="lowerRoman"/>
      <w:lvlText w:val="%1."/>
      <w:lvlJc w:val="righ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E24E98"/>
    <w:multiLevelType w:val="hybridMultilevel"/>
    <w:tmpl w:val="E37CC0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27F54"/>
    <w:multiLevelType w:val="hybridMultilevel"/>
    <w:tmpl w:val="010A5B40"/>
    <w:lvl w:ilvl="0" w:tplc="42947A9C">
      <w:start w:val="1"/>
      <w:numFmt w:val="bullet"/>
      <w:lvlText w:val="•"/>
      <w:lvlJc w:val="left"/>
      <w:pPr>
        <w:tabs>
          <w:tab w:val="num" w:pos="720"/>
        </w:tabs>
        <w:ind w:left="720" w:hanging="360"/>
      </w:pPr>
      <w:rPr>
        <w:rFonts w:ascii="Arial" w:hAnsi="Arial" w:hint="default"/>
      </w:rPr>
    </w:lvl>
    <w:lvl w:ilvl="1" w:tplc="215AC05A" w:tentative="1">
      <w:start w:val="1"/>
      <w:numFmt w:val="bullet"/>
      <w:lvlText w:val="•"/>
      <w:lvlJc w:val="left"/>
      <w:pPr>
        <w:tabs>
          <w:tab w:val="num" w:pos="1440"/>
        </w:tabs>
        <w:ind w:left="1440" w:hanging="360"/>
      </w:pPr>
      <w:rPr>
        <w:rFonts w:ascii="Arial" w:hAnsi="Arial" w:hint="default"/>
      </w:rPr>
    </w:lvl>
    <w:lvl w:ilvl="2" w:tplc="ADD695E0" w:tentative="1">
      <w:start w:val="1"/>
      <w:numFmt w:val="bullet"/>
      <w:lvlText w:val="•"/>
      <w:lvlJc w:val="left"/>
      <w:pPr>
        <w:tabs>
          <w:tab w:val="num" w:pos="2160"/>
        </w:tabs>
        <w:ind w:left="2160" w:hanging="360"/>
      </w:pPr>
      <w:rPr>
        <w:rFonts w:ascii="Arial" w:hAnsi="Arial" w:hint="default"/>
      </w:rPr>
    </w:lvl>
    <w:lvl w:ilvl="3" w:tplc="529CBC18" w:tentative="1">
      <w:start w:val="1"/>
      <w:numFmt w:val="bullet"/>
      <w:lvlText w:val="•"/>
      <w:lvlJc w:val="left"/>
      <w:pPr>
        <w:tabs>
          <w:tab w:val="num" w:pos="2880"/>
        </w:tabs>
        <w:ind w:left="2880" w:hanging="360"/>
      </w:pPr>
      <w:rPr>
        <w:rFonts w:ascii="Arial" w:hAnsi="Arial" w:hint="default"/>
      </w:rPr>
    </w:lvl>
    <w:lvl w:ilvl="4" w:tplc="87264A7C" w:tentative="1">
      <w:start w:val="1"/>
      <w:numFmt w:val="bullet"/>
      <w:lvlText w:val="•"/>
      <w:lvlJc w:val="left"/>
      <w:pPr>
        <w:tabs>
          <w:tab w:val="num" w:pos="3600"/>
        </w:tabs>
        <w:ind w:left="3600" w:hanging="360"/>
      </w:pPr>
      <w:rPr>
        <w:rFonts w:ascii="Arial" w:hAnsi="Arial" w:hint="default"/>
      </w:rPr>
    </w:lvl>
    <w:lvl w:ilvl="5" w:tplc="0C662316" w:tentative="1">
      <w:start w:val="1"/>
      <w:numFmt w:val="bullet"/>
      <w:lvlText w:val="•"/>
      <w:lvlJc w:val="left"/>
      <w:pPr>
        <w:tabs>
          <w:tab w:val="num" w:pos="4320"/>
        </w:tabs>
        <w:ind w:left="4320" w:hanging="360"/>
      </w:pPr>
      <w:rPr>
        <w:rFonts w:ascii="Arial" w:hAnsi="Arial" w:hint="default"/>
      </w:rPr>
    </w:lvl>
    <w:lvl w:ilvl="6" w:tplc="6BB69D36" w:tentative="1">
      <w:start w:val="1"/>
      <w:numFmt w:val="bullet"/>
      <w:lvlText w:val="•"/>
      <w:lvlJc w:val="left"/>
      <w:pPr>
        <w:tabs>
          <w:tab w:val="num" w:pos="5040"/>
        </w:tabs>
        <w:ind w:left="5040" w:hanging="360"/>
      </w:pPr>
      <w:rPr>
        <w:rFonts w:ascii="Arial" w:hAnsi="Arial" w:hint="default"/>
      </w:rPr>
    </w:lvl>
    <w:lvl w:ilvl="7" w:tplc="AF4A540C" w:tentative="1">
      <w:start w:val="1"/>
      <w:numFmt w:val="bullet"/>
      <w:lvlText w:val="•"/>
      <w:lvlJc w:val="left"/>
      <w:pPr>
        <w:tabs>
          <w:tab w:val="num" w:pos="5760"/>
        </w:tabs>
        <w:ind w:left="5760" w:hanging="360"/>
      </w:pPr>
      <w:rPr>
        <w:rFonts w:ascii="Arial" w:hAnsi="Arial" w:hint="default"/>
      </w:rPr>
    </w:lvl>
    <w:lvl w:ilvl="8" w:tplc="CAF800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120080"/>
    <w:multiLevelType w:val="hybridMultilevel"/>
    <w:tmpl w:val="9D4E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473A4"/>
    <w:multiLevelType w:val="hybridMultilevel"/>
    <w:tmpl w:val="6D3E5978"/>
    <w:lvl w:ilvl="0" w:tplc="CDBC193C">
      <w:start w:val="1"/>
      <w:numFmt w:val="bullet"/>
      <w:lvlText w:val=""/>
      <w:lvlJc w:val="left"/>
      <w:pPr>
        <w:ind w:left="360" w:hanging="360"/>
      </w:pPr>
      <w:rPr>
        <w:rFonts w:ascii="Symbol" w:hAnsi="Symbol" w:hint="default"/>
        <w:color w:val="034EA2"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C62327"/>
    <w:multiLevelType w:val="hybridMultilevel"/>
    <w:tmpl w:val="7E726144"/>
    <w:lvl w:ilvl="0" w:tplc="F1D08040">
      <w:start w:val="1"/>
      <w:numFmt w:val="bullet"/>
      <w:lvlText w:val="•"/>
      <w:lvlJc w:val="left"/>
      <w:pPr>
        <w:tabs>
          <w:tab w:val="num" w:pos="720"/>
        </w:tabs>
        <w:ind w:left="720" w:hanging="360"/>
      </w:pPr>
      <w:rPr>
        <w:rFonts w:ascii="Arial" w:hAnsi="Arial" w:hint="default"/>
      </w:rPr>
    </w:lvl>
    <w:lvl w:ilvl="1" w:tplc="925C4DA6" w:tentative="1">
      <w:start w:val="1"/>
      <w:numFmt w:val="bullet"/>
      <w:lvlText w:val="•"/>
      <w:lvlJc w:val="left"/>
      <w:pPr>
        <w:tabs>
          <w:tab w:val="num" w:pos="1440"/>
        </w:tabs>
        <w:ind w:left="1440" w:hanging="360"/>
      </w:pPr>
      <w:rPr>
        <w:rFonts w:ascii="Arial" w:hAnsi="Arial" w:hint="default"/>
      </w:rPr>
    </w:lvl>
    <w:lvl w:ilvl="2" w:tplc="3E7C8AA6" w:tentative="1">
      <w:start w:val="1"/>
      <w:numFmt w:val="bullet"/>
      <w:lvlText w:val="•"/>
      <w:lvlJc w:val="left"/>
      <w:pPr>
        <w:tabs>
          <w:tab w:val="num" w:pos="2160"/>
        </w:tabs>
        <w:ind w:left="2160" w:hanging="360"/>
      </w:pPr>
      <w:rPr>
        <w:rFonts w:ascii="Arial" w:hAnsi="Arial" w:hint="default"/>
      </w:rPr>
    </w:lvl>
    <w:lvl w:ilvl="3" w:tplc="A94A1B4E" w:tentative="1">
      <w:start w:val="1"/>
      <w:numFmt w:val="bullet"/>
      <w:lvlText w:val="•"/>
      <w:lvlJc w:val="left"/>
      <w:pPr>
        <w:tabs>
          <w:tab w:val="num" w:pos="2880"/>
        </w:tabs>
        <w:ind w:left="2880" w:hanging="360"/>
      </w:pPr>
      <w:rPr>
        <w:rFonts w:ascii="Arial" w:hAnsi="Arial" w:hint="default"/>
      </w:rPr>
    </w:lvl>
    <w:lvl w:ilvl="4" w:tplc="08D8C6E0" w:tentative="1">
      <w:start w:val="1"/>
      <w:numFmt w:val="bullet"/>
      <w:lvlText w:val="•"/>
      <w:lvlJc w:val="left"/>
      <w:pPr>
        <w:tabs>
          <w:tab w:val="num" w:pos="3600"/>
        </w:tabs>
        <w:ind w:left="3600" w:hanging="360"/>
      </w:pPr>
      <w:rPr>
        <w:rFonts w:ascii="Arial" w:hAnsi="Arial" w:hint="default"/>
      </w:rPr>
    </w:lvl>
    <w:lvl w:ilvl="5" w:tplc="39109110" w:tentative="1">
      <w:start w:val="1"/>
      <w:numFmt w:val="bullet"/>
      <w:lvlText w:val="•"/>
      <w:lvlJc w:val="left"/>
      <w:pPr>
        <w:tabs>
          <w:tab w:val="num" w:pos="4320"/>
        </w:tabs>
        <w:ind w:left="4320" w:hanging="360"/>
      </w:pPr>
      <w:rPr>
        <w:rFonts w:ascii="Arial" w:hAnsi="Arial" w:hint="default"/>
      </w:rPr>
    </w:lvl>
    <w:lvl w:ilvl="6" w:tplc="BA8032D4" w:tentative="1">
      <w:start w:val="1"/>
      <w:numFmt w:val="bullet"/>
      <w:lvlText w:val="•"/>
      <w:lvlJc w:val="left"/>
      <w:pPr>
        <w:tabs>
          <w:tab w:val="num" w:pos="5040"/>
        </w:tabs>
        <w:ind w:left="5040" w:hanging="360"/>
      </w:pPr>
      <w:rPr>
        <w:rFonts w:ascii="Arial" w:hAnsi="Arial" w:hint="default"/>
      </w:rPr>
    </w:lvl>
    <w:lvl w:ilvl="7" w:tplc="72C2EF70" w:tentative="1">
      <w:start w:val="1"/>
      <w:numFmt w:val="bullet"/>
      <w:lvlText w:val="•"/>
      <w:lvlJc w:val="left"/>
      <w:pPr>
        <w:tabs>
          <w:tab w:val="num" w:pos="5760"/>
        </w:tabs>
        <w:ind w:left="5760" w:hanging="360"/>
      </w:pPr>
      <w:rPr>
        <w:rFonts w:ascii="Arial" w:hAnsi="Arial" w:hint="default"/>
      </w:rPr>
    </w:lvl>
    <w:lvl w:ilvl="8" w:tplc="22848B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112BB0"/>
    <w:multiLevelType w:val="hybridMultilevel"/>
    <w:tmpl w:val="E9527C90"/>
    <w:lvl w:ilvl="0" w:tplc="0F465D34">
      <w:start w:val="12"/>
      <w:numFmt w:val="bullet"/>
      <w:lvlText w:val="-"/>
      <w:lvlJc w:val="left"/>
      <w:pPr>
        <w:ind w:left="720" w:hanging="360"/>
      </w:pPr>
      <w:rPr>
        <w:rFonts w:ascii="Verdana" w:eastAsia="Times New Roman"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A63F3E"/>
    <w:multiLevelType w:val="hybridMultilevel"/>
    <w:tmpl w:val="15F6BF5C"/>
    <w:lvl w:ilvl="0" w:tplc="FFFFFFFF">
      <w:start w:val="4"/>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E926F6"/>
    <w:multiLevelType w:val="hybridMultilevel"/>
    <w:tmpl w:val="9282F37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205736"/>
    <w:multiLevelType w:val="multilevel"/>
    <w:tmpl w:val="FC98DC46"/>
    <w:lvl w:ilvl="0">
      <w:start w:val="1"/>
      <w:numFmt w:val="decimal"/>
      <w:pStyle w:val="Heading1"/>
      <w:lvlText w:val="%1."/>
      <w:lvlJc w:val="left"/>
      <w:pPr>
        <w:ind w:left="502" w:hanging="360"/>
      </w:pPr>
    </w:lvl>
    <w:lvl w:ilvl="1">
      <w:start w:val="2"/>
      <w:numFmt w:val="decimal"/>
      <w:isLgl/>
      <w:lvlText w:val="%1.%2"/>
      <w:lvlJc w:val="left"/>
      <w:pPr>
        <w:ind w:left="720" w:hanging="360"/>
      </w:pPr>
      <w:rPr>
        <w:rFonts w:hint="default"/>
        <w:b/>
      </w:rPr>
    </w:lvl>
    <w:lvl w:ilvl="2">
      <w:start w:val="1"/>
      <w:numFmt w:val="decimalZero"/>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468" w:hanging="1800"/>
      </w:pPr>
      <w:rPr>
        <w:rFonts w:hint="default"/>
        <w:b/>
      </w:rPr>
    </w:lvl>
    <w:lvl w:ilvl="8">
      <w:start w:val="1"/>
      <w:numFmt w:val="decimal"/>
      <w:isLgl/>
      <w:lvlText w:val="%1.%2.%3.%4.%5.%6.%7.%8.%9"/>
      <w:lvlJc w:val="left"/>
      <w:pPr>
        <w:ind w:left="3686" w:hanging="1800"/>
      </w:pPr>
      <w:rPr>
        <w:rFonts w:hint="default"/>
        <w:b/>
      </w:rPr>
    </w:lvl>
  </w:abstractNum>
  <w:abstractNum w:abstractNumId="24" w15:restartNumberingAfterBreak="0">
    <w:nsid w:val="65926EE4"/>
    <w:multiLevelType w:val="hybridMultilevel"/>
    <w:tmpl w:val="D2640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32E50"/>
    <w:multiLevelType w:val="hybridMultilevel"/>
    <w:tmpl w:val="D80CF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5426B"/>
    <w:multiLevelType w:val="hybridMultilevel"/>
    <w:tmpl w:val="04DCAB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92166D"/>
    <w:multiLevelType w:val="hybridMultilevel"/>
    <w:tmpl w:val="135AE8A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140E52"/>
    <w:multiLevelType w:val="hybridMultilevel"/>
    <w:tmpl w:val="3188A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B829CE"/>
    <w:multiLevelType w:val="hybridMultilevel"/>
    <w:tmpl w:val="0D56E2F8"/>
    <w:lvl w:ilvl="0" w:tplc="D67042A2">
      <w:start w:val="1"/>
      <w:numFmt w:val="bullet"/>
      <w:lvlText w:val="•"/>
      <w:lvlJc w:val="left"/>
      <w:pPr>
        <w:tabs>
          <w:tab w:val="num" w:pos="720"/>
        </w:tabs>
        <w:ind w:left="720" w:hanging="360"/>
      </w:pPr>
      <w:rPr>
        <w:rFonts w:ascii="Arial" w:hAnsi="Arial" w:hint="default"/>
      </w:rPr>
    </w:lvl>
    <w:lvl w:ilvl="1" w:tplc="C5A001CA" w:tentative="1">
      <w:start w:val="1"/>
      <w:numFmt w:val="bullet"/>
      <w:lvlText w:val="•"/>
      <w:lvlJc w:val="left"/>
      <w:pPr>
        <w:tabs>
          <w:tab w:val="num" w:pos="1440"/>
        </w:tabs>
        <w:ind w:left="1440" w:hanging="360"/>
      </w:pPr>
      <w:rPr>
        <w:rFonts w:ascii="Arial" w:hAnsi="Arial" w:hint="default"/>
      </w:rPr>
    </w:lvl>
    <w:lvl w:ilvl="2" w:tplc="0966FE9E" w:tentative="1">
      <w:start w:val="1"/>
      <w:numFmt w:val="bullet"/>
      <w:lvlText w:val="•"/>
      <w:lvlJc w:val="left"/>
      <w:pPr>
        <w:tabs>
          <w:tab w:val="num" w:pos="2160"/>
        </w:tabs>
        <w:ind w:left="2160" w:hanging="360"/>
      </w:pPr>
      <w:rPr>
        <w:rFonts w:ascii="Arial" w:hAnsi="Arial" w:hint="default"/>
      </w:rPr>
    </w:lvl>
    <w:lvl w:ilvl="3" w:tplc="B6BAA56C" w:tentative="1">
      <w:start w:val="1"/>
      <w:numFmt w:val="bullet"/>
      <w:lvlText w:val="•"/>
      <w:lvlJc w:val="left"/>
      <w:pPr>
        <w:tabs>
          <w:tab w:val="num" w:pos="2880"/>
        </w:tabs>
        <w:ind w:left="2880" w:hanging="360"/>
      </w:pPr>
      <w:rPr>
        <w:rFonts w:ascii="Arial" w:hAnsi="Arial" w:hint="default"/>
      </w:rPr>
    </w:lvl>
    <w:lvl w:ilvl="4" w:tplc="AC3E3172" w:tentative="1">
      <w:start w:val="1"/>
      <w:numFmt w:val="bullet"/>
      <w:lvlText w:val="•"/>
      <w:lvlJc w:val="left"/>
      <w:pPr>
        <w:tabs>
          <w:tab w:val="num" w:pos="3600"/>
        </w:tabs>
        <w:ind w:left="3600" w:hanging="360"/>
      </w:pPr>
      <w:rPr>
        <w:rFonts w:ascii="Arial" w:hAnsi="Arial" w:hint="default"/>
      </w:rPr>
    </w:lvl>
    <w:lvl w:ilvl="5" w:tplc="3F4472FC" w:tentative="1">
      <w:start w:val="1"/>
      <w:numFmt w:val="bullet"/>
      <w:lvlText w:val="•"/>
      <w:lvlJc w:val="left"/>
      <w:pPr>
        <w:tabs>
          <w:tab w:val="num" w:pos="4320"/>
        </w:tabs>
        <w:ind w:left="4320" w:hanging="360"/>
      </w:pPr>
      <w:rPr>
        <w:rFonts w:ascii="Arial" w:hAnsi="Arial" w:hint="default"/>
      </w:rPr>
    </w:lvl>
    <w:lvl w:ilvl="6" w:tplc="9392BC8A" w:tentative="1">
      <w:start w:val="1"/>
      <w:numFmt w:val="bullet"/>
      <w:lvlText w:val="•"/>
      <w:lvlJc w:val="left"/>
      <w:pPr>
        <w:tabs>
          <w:tab w:val="num" w:pos="5040"/>
        </w:tabs>
        <w:ind w:left="5040" w:hanging="360"/>
      </w:pPr>
      <w:rPr>
        <w:rFonts w:ascii="Arial" w:hAnsi="Arial" w:hint="default"/>
      </w:rPr>
    </w:lvl>
    <w:lvl w:ilvl="7" w:tplc="A95A6D3A" w:tentative="1">
      <w:start w:val="1"/>
      <w:numFmt w:val="bullet"/>
      <w:lvlText w:val="•"/>
      <w:lvlJc w:val="left"/>
      <w:pPr>
        <w:tabs>
          <w:tab w:val="num" w:pos="5760"/>
        </w:tabs>
        <w:ind w:left="5760" w:hanging="360"/>
      </w:pPr>
      <w:rPr>
        <w:rFonts w:ascii="Arial" w:hAnsi="Arial" w:hint="default"/>
      </w:rPr>
    </w:lvl>
    <w:lvl w:ilvl="8" w:tplc="C9DCB5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F34744"/>
    <w:multiLevelType w:val="hybridMultilevel"/>
    <w:tmpl w:val="88DCC72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D7B3804"/>
    <w:multiLevelType w:val="hybridMultilevel"/>
    <w:tmpl w:val="9282F37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B27204"/>
    <w:multiLevelType w:val="hybridMultilevel"/>
    <w:tmpl w:val="15F6BF5C"/>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8"/>
  </w:num>
  <w:num w:numId="3">
    <w:abstractNumId w:val="1"/>
  </w:num>
  <w:num w:numId="4">
    <w:abstractNumId w:val="20"/>
  </w:num>
  <w:num w:numId="5">
    <w:abstractNumId w:val="8"/>
  </w:num>
  <w:num w:numId="6">
    <w:abstractNumId w:val="10"/>
  </w:num>
  <w:num w:numId="7">
    <w:abstractNumId w:val="13"/>
  </w:num>
  <w:num w:numId="8">
    <w:abstractNumId w:val="15"/>
  </w:num>
  <w:num w:numId="9">
    <w:abstractNumId w:val="4"/>
  </w:num>
  <w:num w:numId="10">
    <w:abstractNumId w:val="11"/>
  </w:num>
  <w:num w:numId="11">
    <w:abstractNumId w:val="25"/>
  </w:num>
  <w:num w:numId="12">
    <w:abstractNumId w:val="24"/>
  </w:num>
  <w:num w:numId="13">
    <w:abstractNumId w:val="26"/>
  </w:num>
  <w:num w:numId="14">
    <w:abstractNumId w:val="32"/>
  </w:num>
  <w:num w:numId="15">
    <w:abstractNumId w:val="18"/>
  </w:num>
  <w:num w:numId="16">
    <w:abstractNumId w:val="5"/>
  </w:num>
  <w:num w:numId="17">
    <w:abstractNumId w:val="17"/>
  </w:num>
  <w:num w:numId="18">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2"/>
  </w:num>
  <w:num w:numId="21">
    <w:abstractNumId w:val="9"/>
  </w:num>
  <w:num w:numId="22">
    <w:abstractNumId w:val="30"/>
  </w:num>
  <w:num w:numId="23">
    <w:abstractNumId w:val="31"/>
  </w:num>
  <w:num w:numId="24">
    <w:abstractNumId w:val="0"/>
  </w:num>
  <w:num w:numId="25">
    <w:abstractNumId w:val="14"/>
  </w:num>
  <w:num w:numId="26">
    <w:abstractNumId w:val="27"/>
  </w:num>
  <w:num w:numId="27">
    <w:abstractNumId w:val="2"/>
  </w:num>
  <w:num w:numId="28">
    <w:abstractNumId w:val="21"/>
  </w:num>
  <w:num w:numId="29">
    <w:abstractNumId w:val="7"/>
  </w:num>
  <w:num w:numId="30">
    <w:abstractNumId w:val="3"/>
  </w:num>
  <w:num w:numId="31">
    <w:abstractNumId w:val="12"/>
  </w:num>
  <w:num w:numId="32">
    <w:abstractNumId w:val="12"/>
  </w:num>
  <w:num w:numId="33">
    <w:abstractNumId w:val="12"/>
  </w:num>
  <w:num w:numId="34">
    <w:abstractNumId w:val="29"/>
  </w:num>
  <w:num w:numId="35">
    <w:abstractNumId w:val="19"/>
  </w:num>
  <w:num w:numId="36">
    <w:abstractNumId w:val="16"/>
  </w:num>
  <w:num w:numId="3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15150FC-444D-467D-9586-D3680A2179AE"/>
    <w:docVar w:name="LW_COVERPAGE_TYPE" w:val="1"/>
    <w:docVar w:name="LW_CROSSREFERENCE" w:val="&lt;UNUSED&gt;"/>
    <w:docVar w:name="LW_DocType" w:val="NORMAL"/>
    <w:docVar w:name="LW_EMISSION" w:val="12.3.2025"/>
    <w:docVar w:name="LW_EMISSION_ISODATE" w:val="2025-03-12"/>
    <w:docVar w:name="LW_EMISSION_LOCATION" w:val="BRX"/>
    <w:docVar w:name="LW_EMISSION_PREFIX" w:val="V Bruselu dne "/>
    <w:docVar w:name="LW_EMISSION_SUFFIX" w:val=" "/>
    <w:docVar w:name="LW_ID_DOCTYPE_NONLW" w:val="CP-006"/>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5) 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loletní zpráva o provád\u283?ní výp\u367?j\u269?ních operací, operací \u345?ízení dluhu a souvisejících úv\u283?rových operací podle \u269?lánku 13 provád\u283?cího rozhodnutí C(2023)8010_x000d__x000d__x000d__x000d__x000d__x000d__x000d__x000d__x000d__x000d__x000d__x000d__x000d__x000b__x000d__x000d__x000d__x000d__x000d__x000d__x000d__x000d__x000d__x000d__x000d__x000d__x000d__x000b_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b__x000d_1. \u269?ervence 2024 \u8211? 31. prosince 2024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b__x000d_"/>
    <w:docVar w:name="LW_TYPE.DOC.CP" w:val="ZPRÁVA KOMISE EVROPSKÉMU PARLAMENTU A RAD\u282?"/>
    <w:docVar w:name="LwApiVersions" w:val="LW4CoDe 1.24.5.0; LW 9.0, Build 20240221"/>
  </w:docVars>
  <w:rsids>
    <w:rsidRoot w:val="008B6253"/>
    <w:rsid w:val="000006A3"/>
    <w:rsid w:val="000016AC"/>
    <w:rsid w:val="0000198B"/>
    <w:rsid w:val="00001C79"/>
    <w:rsid w:val="00002581"/>
    <w:rsid w:val="000025FB"/>
    <w:rsid w:val="000027C3"/>
    <w:rsid w:val="00003760"/>
    <w:rsid w:val="00003B2C"/>
    <w:rsid w:val="00004513"/>
    <w:rsid w:val="00004853"/>
    <w:rsid w:val="00004EFF"/>
    <w:rsid w:val="00005E65"/>
    <w:rsid w:val="000065CB"/>
    <w:rsid w:val="00006945"/>
    <w:rsid w:val="00007866"/>
    <w:rsid w:val="00007DB0"/>
    <w:rsid w:val="000113D6"/>
    <w:rsid w:val="000123E4"/>
    <w:rsid w:val="00012D54"/>
    <w:rsid w:val="00012F88"/>
    <w:rsid w:val="00013124"/>
    <w:rsid w:val="00013AFC"/>
    <w:rsid w:val="00015055"/>
    <w:rsid w:val="00016108"/>
    <w:rsid w:val="00016BBF"/>
    <w:rsid w:val="0001773F"/>
    <w:rsid w:val="00017BCF"/>
    <w:rsid w:val="00017F73"/>
    <w:rsid w:val="0002126B"/>
    <w:rsid w:val="00021271"/>
    <w:rsid w:val="000214CF"/>
    <w:rsid w:val="00021B91"/>
    <w:rsid w:val="00022392"/>
    <w:rsid w:val="0002402F"/>
    <w:rsid w:val="00024157"/>
    <w:rsid w:val="000248CD"/>
    <w:rsid w:val="00025D1D"/>
    <w:rsid w:val="000264A7"/>
    <w:rsid w:val="00026571"/>
    <w:rsid w:val="000275EB"/>
    <w:rsid w:val="000304D4"/>
    <w:rsid w:val="00030B16"/>
    <w:rsid w:val="00031566"/>
    <w:rsid w:val="000339B4"/>
    <w:rsid w:val="00034162"/>
    <w:rsid w:val="00034C0A"/>
    <w:rsid w:val="00035235"/>
    <w:rsid w:val="00036A07"/>
    <w:rsid w:val="00036DE3"/>
    <w:rsid w:val="00040E1F"/>
    <w:rsid w:val="0004137B"/>
    <w:rsid w:val="0004154A"/>
    <w:rsid w:val="00042B53"/>
    <w:rsid w:val="0004460D"/>
    <w:rsid w:val="00044BC7"/>
    <w:rsid w:val="0004607D"/>
    <w:rsid w:val="00046267"/>
    <w:rsid w:val="0004632F"/>
    <w:rsid w:val="000466B2"/>
    <w:rsid w:val="00046807"/>
    <w:rsid w:val="00046F24"/>
    <w:rsid w:val="000500DD"/>
    <w:rsid w:val="00052C99"/>
    <w:rsid w:val="00052FDD"/>
    <w:rsid w:val="000545EE"/>
    <w:rsid w:val="000558F6"/>
    <w:rsid w:val="000559C6"/>
    <w:rsid w:val="00055E40"/>
    <w:rsid w:val="00056D87"/>
    <w:rsid w:val="00056EE5"/>
    <w:rsid w:val="000571C9"/>
    <w:rsid w:val="00057D8E"/>
    <w:rsid w:val="00060405"/>
    <w:rsid w:val="000623CD"/>
    <w:rsid w:val="00063474"/>
    <w:rsid w:val="00063876"/>
    <w:rsid w:val="0006518B"/>
    <w:rsid w:val="0006573D"/>
    <w:rsid w:val="000659B4"/>
    <w:rsid w:val="00065C93"/>
    <w:rsid w:val="0006645C"/>
    <w:rsid w:val="00067AC8"/>
    <w:rsid w:val="0007120F"/>
    <w:rsid w:val="00071659"/>
    <w:rsid w:val="00072047"/>
    <w:rsid w:val="000744F6"/>
    <w:rsid w:val="00074966"/>
    <w:rsid w:val="00075B6A"/>
    <w:rsid w:val="00075F80"/>
    <w:rsid w:val="0007609D"/>
    <w:rsid w:val="000761ED"/>
    <w:rsid w:val="00076F7B"/>
    <w:rsid w:val="000770E1"/>
    <w:rsid w:val="000777AF"/>
    <w:rsid w:val="00077F71"/>
    <w:rsid w:val="000804D7"/>
    <w:rsid w:val="00080B80"/>
    <w:rsid w:val="00081182"/>
    <w:rsid w:val="000811DA"/>
    <w:rsid w:val="00081EB2"/>
    <w:rsid w:val="000830C3"/>
    <w:rsid w:val="000831BF"/>
    <w:rsid w:val="00083C92"/>
    <w:rsid w:val="00084648"/>
    <w:rsid w:val="00085FEE"/>
    <w:rsid w:val="00086EE5"/>
    <w:rsid w:val="0008748B"/>
    <w:rsid w:val="0009189C"/>
    <w:rsid w:val="0009299B"/>
    <w:rsid w:val="0009414B"/>
    <w:rsid w:val="00094607"/>
    <w:rsid w:val="00094B94"/>
    <w:rsid w:val="00095BFD"/>
    <w:rsid w:val="00095DF7"/>
    <w:rsid w:val="00096802"/>
    <w:rsid w:val="00096D86"/>
    <w:rsid w:val="000973CE"/>
    <w:rsid w:val="00097D72"/>
    <w:rsid w:val="000A0545"/>
    <w:rsid w:val="000A0885"/>
    <w:rsid w:val="000A0AA1"/>
    <w:rsid w:val="000A1136"/>
    <w:rsid w:val="000A6EC7"/>
    <w:rsid w:val="000B0652"/>
    <w:rsid w:val="000B3537"/>
    <w:rsid w:val="000B4EF5"/>
    <w:rsid w:val="000B5255"/>
    <w:rsid w:val="000B6398"/>
    <w:rsid w:val="000C00E3"/>
    <w:rsid w:val="000C09D9"/>
    <w:rsid w:val="000C1517"/>
    <w:rsid w:val="000C168A"/>
    <w:rsid w:val="000C26FE"/>
    <w:rsid w:val="000C3020"/>
    <w:rsid w:val="000C3CD5"/>
    <w:rsid w:val="000C41A5"/>
    <w:rsid w:val="000C5D88"/>
    <w:rsid w:val="000C7051"/>
    <w:rsid w:val="000D008A"/>
    <w:rsid w:val="000D213D"/>
    <w:rsid w:val="000D2596"/>
    <w:rsid w:val="000D2B51"/>
    <w:rsid w:val="000D2FDD"/>
    <w:rsid w:val="000D5BA5"/>
    <w:rsid w:val="000D647C"/>
    <w:rsid w:val="000D7879"/>
    <w:rsid w:val="000D79AE"/>
    <w:rsid w:val="000E2B98"/>
    <w:rsid w:val="000E2CCD"/>
    <w:rsid w:val="000E4BFB"/>
    <w:rsid w:val="000E5618"/>
    <w:rsid w:val="000E5D4B"/>
    <w:rsid w:val="000E5EF5"/>
    <w:rsid w:val="000E6508"/>
    <w:rsid w:val="000E6611"/>
    <w:rsid w:val="000E6912"/>
    <w:rsid w:val="000E6982"/>
    <w:rsid w:val="000F037D"/>
    <w:rsid w:val="000F165A"/>
    <w:rsid w:val="000F1753"/>
    <w:rsid w:val="000F2ACA"/>
    <w:rsid w:val="000F3C9A"/>
    <w:rsid w:val="000F462D"/>
    <w:rsid w:val="000F5D63"/>
    <w:rsid w:val="000F6E3B"/>
    <w:rsid w:val="000F7CB6"/>
    <w:rsid w:val="001004B8"/>
    <w:rsid w:val="001019EB"/>
    <w:rsid w:val="00102155"/>
    <w:rsid w:val="00102ABC"/>
    <w:rsid w:val="00102D9B"/>
    <w:rsid w:val="00103817"/>
    <w:rsid w:val="0010394A"/>
    <w:rsid w:val="00103A63"/>
    <w:rsid w:val="0010410E"/>
    <w:rsid w:val="00104E19"/>
    <w:rsid w:val="0010771D"/>
    <w:rsid w:val="001077F9"/>
    <w:rsid w:val="00110D36"/>
    <w:rsid w:val="00113042"/>
    <w:rsid w:val="0011323F"/>
    <w:rsid w:val="001137FB"/>
    <w:rsid w:val="00113B9E"/>
    <w:rsid w:val="00114207"/>
    <w:rsid w:val="00114B84"/>
    <w:rsid w:val="00117185"/>
    <w:rsid w:val="0012011D"/>
    <w:rsid w:val="00120241"/>
    <w:rsid w:val="001208C2"/>
    <w:rsid w:val="00120B20"/>
    <w:rsid w:val="00121CE9"/>
    <w:rsid w:val="00122DAA"/>
    <w:rsid w:val="001268A3"/>
    <w:rsid w:val="00127DB2"/>
    <w:rsid w:val="00127FC7"/>
    <w:rsid w:val="00131111"/>
    <w:rsid w:val="0013129F"/>
    <w:rsid w:val="0013341B"/>
    <w:rsid w:val="001337A8"/>
    <w:rsid w:val="00134308"/>
    <w:rsid w:val="00135190"/>
    <w:rsid w:val="001358C9"/>
    <w:rsid w:val="001359B6"/>
    <w:rsid w:val="00135B3B"/>
    <w:rsid w:val="0013697B"/>
    <w:rsid w:val="00137822"/>
    <w:rsid w:val="00137CF7"/>
    <w:rsid w:val="001401DA"/>
    <w:rsid w:val="00140C8A"/>
    <w:rsid w:val="00141100"/>
    <w:rsid w:val="00142200"/>
    <w:rsid w:val="0014295B"/>
    <w:rsid w:val="00142F64"/>
    <w:rsid w:val="00143006"/>
    <w:rsid w:val="001431B8"/>
    <w:rsid w:val="00143B58"/>
    <w:rsid w:val="00146211"/>
    <w:rsid w:val="00146FCA"/>
    <w:rsid w:val="0014728B"/>
    <w:rsid w:val="00147839"/>
    <w:rsid w:val="001505D1"/>
    <w:rsid w:val="00150F73"/>
    <w:rsid w:val="0015107E"/>
    <w:rsid w:val="0015130B"/>
    <w:rsid w:val="001524C7"/>
    <w:rsid w:val="00154274"/>
    <w:rsid w:val="00154875"/>
    <w:rsid w:val="00154A51"/>
    <w:rsid w:val="001555A6"/>
    <w:rsid w:val="001574CF"/>
    <w:rsid w:val="0016009E"/>
    <w:rsid w:val="00160344"/>
    <w:rsid w:val="00160A0F"/>
    <w:rsid w:val="00160C1F"/>
    <w:rsid w:val="00161936"/>
    <w:rsid w:val="00162300"/>
    <w:rsid w:val="0016311F"/>
    <w:rsid w:val="00163BF4"/>
    <w:rsid w:val="00164FBD"/>
    <w:rsid w:val="00164FD6"/>
    <w:rsid w:val="0016530F"/>
    <w:rsid w:val="00165420"/>
    <w:rsid w:val="00166CA0"/>
    <w:rsid w:val="001672C7"/>
    <w:rsid w:val="00171240"/>
    <w:rsid w:val="001717F0"/>
    <w:rsid w:val="00171F26"/>
    <w:rsid w:val="00175474"/>
    <w:rsid w:val="00176299"/>
    <w:rsid w:val="001767DC"/>
    <w:rsid w:val="00177222"/>
    <w:rsid w:val="00177D92"/>
    <w:rsid w:val="00180CE3"/>
    <w:rsid w:val="00181102"/>
    <w:rsid w:val="00181A94"/>
    <w:rsid w:val="00181E20"/>
    <w:rsid w:val="0018247B"/>
    <w:rsid w:val="0018389B"/>
    <w:rsid w:val="0018490F"/>
    <w:rsid w:val="00185E6B"/>
    <w:rsid w:val="00187563"/>
    <w:rsid w:val="00190160"/>
    <w:rsid w:val="00192332"/>
    <w:rsid w:val="001936B3"/>
    <w:rsid w:val="00194F65"/>
    <w:rsid w:val="00195E47"/>
    <w:rsid w:val="001977FA"/>
    <w:rsid w:val="001A2134"/>
    <w:rsid w:val="001A3541"/>
    <w:rsid w:val="001A445F"/>
    <w:rsid w:val="001A4733"/>
    <w:rsid w:val="001A5022"/>
    <w:rsid w:val="001A5608"/>
    <w:rsid w:val="001A57FF"/>
    <w:rsid w:val="001A59C4"/>
    <w:rsid w:val="001A66D1"/>
    <w:rsid w:val="001A675E"/>
    <w:rsid w:val="001B033B"/>
    <w:rsid w:val="001B0E99"/>
    <w:rsid w:val="001B31F3"/>
    <w:rsid w:val="001B4862"/>
    <w:rsid w:val="001B6374"/>
    <w:rsid w:val="001B6617"/>
    <w:rsid w:val="001B6959"/>
    <w:rsid w:val="001B6FE8"/>
    <w:rsid w:val="001B75AB"/>
    <w:rsid w:val="001B79B9"/>
    <w:rsid w:val="001C0880"/>
    <w:rsid w:val="001C11F1"/>
    <w:rsid w:val="001C1350"/>
    <w:rsid w:val="001C13F0"/>
    <w:rsid w:val="001C2621"/>
    <w:rsid w:val="001C28B3"/>
    <w:rsid w:val="001C33B2"/>
    <w:rsid w:val="001C3C2E"/>
    <w:rsid w:val="001C445C"/>
    <w:rsid w:val="001C542F"/>
    <w:rsid w:val="001C5859"/>
    <w:rsid w:val="001C6C43"/>
    <w:rsid w:val="001D0900"/>
    <w:rsid w:val="001D1371"/>
    <w:rsid w:val="001D15D9"/>
    <w:rsid w:val="001D2A9E"/>
    <w:rsid w:val="001D2AB4"/>
    <w:rsid w:val="001D2E91"/>
    <w:rsid w:val="001D30CA"/>
    <w:rsid w:val="001D446D"/>
    <w:rsid w:val="001D478A"/>
    <w:rsid w:val="001D47EB"/>
    <w:rsid w:val="001D5B74"/>
    <w:rsid w:val="001D69E8"/>
    <w:rsid w:val="001D72F9"/>
    <w:rsid w:val="001E0283"/>
    <w:rsid w:val="001E0480"/>
    <w:rsid w:val="001E1251"/>
    <w:rsid w:val="001E1429"/>
    <w:rsid w:val="001E1475"/>
    <w:rsid w:val="001E2E34"/>
    <w:rsid w:val="001E6FE8"/>
    <w:rsid w:val="001E7B69"/>
    <w:rsid w:val="001E7C4B"/>
    <w:rsid w:val="001F33BD"/>
    <w:rsid w:val="001F36F8"/>
    <w:rsid w:val="001F3746"/>
    <w:rsid w:val="001F43CE"/>
    <w:rsid w:val="001F5B65"/>
    <w:rsid w:val="001F6191"/>
    <w:rsid w:val="001F66FD"/>
    <w:rsid w:val="001F6E5E"/>
    <w:rsid w:val="00202BDB"/>
    <w:rsid w:val="002039FF"/>
    <w:rsid w:val="00203B8E"/>
    <w:rsid w:val="002040AE"/>
    <w:rsid w:val="00204834"/>
    <w:rsid w:val="002055AD"/>
    <w:rsid w:val="00207920"/>
    <w:rsid w:val="002101E7"/>
    <w:rsid w:val="0021075C"/>
    <w:rsid w:val="002107DC"/>
    <w:rsid w:val="00210CCA"/>
    <w:rsid w:val="00211FA8"/>
    <w:rsid w:val="00212A39"/>
    <w:rsid w:val="0021450B"/>
    <w:rsid w:val="002148BF"/>
    <w:rsid w:val="002151F6"/>
    <w:rsid w:val="00216746"/>
    <w:rsid w:val="00217641"/>
    <w:rsid w:val="0021776C"/>
    <w:rsid w:val="00217ED6"/>
    <w:rsid w:val="00221E97"/>
    <w:rsid w:val="00222DEE"/>
    <w:rsid w:val="002255AC"/>
    <w:rsid w:val="0022595F"/>
    <w:rsid w:val="00231768"/>
    <w:rsid w:val="00231D56"/>
    <w:rsid w:val="00232130"/>
    <w:rsid w:val="00232636"/>
    <w:rsid w:val="002334C2"/>
    <w:rsid w:val="002338DB"/>
    <w:rsid w:val="00234ADF"/>
    <w:rsid w:val="00237A80"/>
    <w:rsid w:val="00240156"/>
    <w:rsid w:val="0024146E"/>
    <w:rsid w:val="0024343F"/>
    <w:rsid w:val="00243E6C"/>
    <w:rsid w:val="00243FE5"/>
    <w:rsid w:val="002469E9"/>
    <w:rsid w:val="0024722E"/>
    <w:rsid w:val="00252C49"/>
    <w:rsid w:val="00253A22"/>
    <w:rsid w:val="002547A5"/>
    <w:rsid w:val="00254D4D"/>
    <w:rsid w:val="0026079A"/>
    <w:rsid w:val="00260BF1"/>
    <w:rsid w:val="00260CFD"/>
    <w:rsid w:val="00261126"/>
    <w:rsid w:val="002619C8"/>
    <w:rsid w:val="00261F4B"/>
    <w:rsid w:val="00262915"/>
    <w:rsid w:val="00262A23"/>
    <w:rsid w:val="00262AC8"/>
    <w:rsid w:val="00264614"/>
    <w:rsid w:val="002667A6"/>
    <w:rsid w:val="0026697C"/>
    <w:rsid w:val="00266B45"/>
    <w:rsid w:val="00266C5C"/>
    <w:rsid w:val="00267604"/>
    <w:rsid w:val="002703F1"/>
    <w:rsid w:val="00270C15"/>
    <w:rsid w:val="00274144"/>
    <w:rsid w:val="00275FE6"/>
    <w:rsid w:val="00276737"/>
    <w:rsid w:val="00276FC8"/>
    <w:rsid w:val="00280E09"/>
    <w:rsid w:val="002815FA"/>
    <w:rsid w:val="00282E65"/>
    <w:rsid w:val="002835C6"/>
    <w:rsid w:val="00284F80"/>
    <w:rsid w:val="002855E5"/>
    <w:rsid w:val="002858D3"/>
    <w:rsid w:val="00285D29"/>
    <w:rsid w:val="00286E0A"/>
    <w:rsid w:val="00287A0F"/>
    <w:rsid w:val="002913C3"/>
    <w:rsid w:val="002918A6"/>
    <w:rsid w:val="002936F3"/>
    <w:rsid w:val="00293811"/>
    <w:rsid w:val="00295066"/>
    <w:rsid w:val="002955CD"/>
    <w:rsid w:val="002958AA"/>
    <w:rsid w:val="00296908"/>
    <w:rsid w:val="002A1200"/>
    <w:rsid w:val="002A3273"/>
    <w:rsid w:val="002A3A30"/>
    <w:rsid w:val="002A6325"/>
    <w:rsid w:val="002A67DD"/>
    <w:rsid w:val="002A798E"/>
    <w:rsid w:val="002B0728"/>
    <w:rsid w:val="002B107F"/>
    <w:rsid w:val="002B1A1A"/>
    <w:rsid w:val="002B278C"/>
    <w:rsid w:val="002B2A5F"/>
    <w:rsid w:val="002B3935"/>
    <w:rsid w:val="002B4027"/>
    <w:rsid w:val="002B4117"/>
    <w:rsid w:val="002B535A"/>
    <w:rsid w:val="002B5B25"/>
    <w:rsid w:val="002B627C"/>
    <w:rsid w:val="002B7257"/>
    <w:rsid w:val="002C0014"/>
    <w:rsid w:val="002C0915"/>
    <w:rsid w:val="002C0B94"/>
    <w:rsid w:val="002C0C35"/>
    <w:rsid w:val="002C134A"/>
    <w:rsid w:val="002C1BE5"/>
    <w:rsid w:val="002C29AA"/>
    <w:rsid w:val="002C2D32"/>
    <w:rsid w:val="002C3985"/>
    <w:rsid w:val="002C4890"/>
    <w:rsid w:val="002C59A6"/>
    <w:rsid w:val="002C69E8"/>
    <w:rsid w:val="002C6D51"/>
    <w:rsid w:val="002C6DC8"/>
    <w:rsid w:val="002C7AD0"/>
    <w:rsid w:val="002D1554"/>
    <w:rsid w:val="002D32CA"/>
    <w:rsid w:val="002D5366"/>
    <w:rsid w:val="002D54AC"/>
    <w:rsid w:val="002D71E2"/>
    <w:rsid w:val="002D769E"/>
    <w:rsid w:val="002E086B"/>
    <w:rsid w:val="002E0AC8"/>
    <w:rsid w:val="002E2F3C"/>
    <w:rsid w:val="002E39D3"/>
    <w:rsid w:val="002E4FA7"/>
    <w:rsid w:val="002E56EE"/>
    <w:rsid w:val="002E570D"/>
    <w:rsid w:val="002E757F"/>
    <w:rsid w:val="002F10E6"/>
    <w:rsid w:val="002F24D1"/>
    <w:rsid w:val="002F28D6"/>
    <w:rsid w:val="002F4F1A"/>
    <w:rsid w:val="002F58AB"/>
    <w:rsid w:val="002F58B5"/>
    <w:rsid w:val="002F6BF4"/>
    <w:rsid w:val="002F6E61"/>
    <w:rsid w:val="002F7560"/>
    <w:rsid w:val="002F7768"/>
    <w:rsid w:val="002F7DBD"/>
    <w:rsid w:val="0030157E"/>
    <w:rsid w:val="00303189"/>
    <w:rsid w:val="0030390C"/>
    <w:rsid w:val="00303954"/>
    <w:rsid w:val="0030418A"/>
    <w:rsid w:val="0030467E"/>
    <w:rsid w:val="0030557B"/>
    <w:rsid w:val="00306786"/>
    <w:rsid w:val="00310433"/>
    <w:rsid w:val="00311FEB"/>
    <w:rsid w:val="00312A3E"/>
    <w:rsid w:val="003130F2"/>
    <w:rsid w:val="00313841"/>
    <w:rsid w:val="00313B5F"/>
    <w:rsid w:val="00313D8B"/>
    <w:rsid w:val="00314041"/>
    <w:rsid w:val="003160E0"/>
    <w:rsid w:val="00316BEE"/>
    <w:rsid w:val="003173C5"/>
    <w:rsid w:val="00320534"/>
    <w:rsid w:val="0032072E"/>
    <w:rsid w:val="00322997"/>
    <w:rsid w:val="003244E6"/>
    <w:rsid w:val="003247A7"/>
    <w:rsid w:val="003257E5"/>
    <w:rsid w:val="00325F9E"/>
    <w:rsid w:val="00326FD4"/>
    <w:rsid w:val="003277B5"/>
    <w:rsid w:val="00327C9D"/>
    <w:rsid w:val="00330D09"/>
    <w:rsid w:val="00330EEA"/>
    <w:rsid w:val="00331131"/>
    <w:rsid w:val="00333383"/>
    <w:rsid w:val="00334EED"/>
    <w:rsid w:val="003352BC"/>
    <w:rsid w:val="0033618F"/>
    <w:rsid w:val="00337165"/>
    <w:rsid w:val="003377B6"/>
    <w:rsid w:val="003409E9"/>
    <w:rsid w:val="00340F05"/>
    <w:rsid w:val="00342348"/>
    <w:rsid w:val="00343040"/>
    <w:rsid w:val="003437C9"/>
    <w:rsid w:val="00343D6C"/>
    <w:rsid w:val="003468B4"/>
    <w:rsid w:val="00350522"/>
    <w:rsid w:val="00350B76"/>
    <w:rsid w:val="00350EEC"/>
    <w:rsid w:val="0035219A"/>
    <w:rsid w:val="00352458"/>
    <w:rsid w:val="00352BF1"/>
    <w:rsid w:val="00352DCC"/>
    <w:rsid w:val="00353839"/>
    <w:rsid w:val="003547C7"/>
    <w:rsid w:val="00356700"/>
    <w:rsid w:val="00361B1E"/>
    <w:rsid w:val="00363BC3"/>
    <w:rsid w:val="00364E2A"/>
    <w:rsid w:val="00365323"/>
    <w:rsid w:val="003668D8"/>
    <w:rsid w:val="00366E07"/>
    <w:rsid w:val="00367924"/>
    <w:rsid w:val="00370204"/>
    <w:rsid w:val="00370471"/>
    <w:rsid w:val="003707F5"/>
    <w:rsid w:val="003707FA"/>
    <w:rsid w:val="003722FA"/>
    <w:rsid w:val="00372518"/>
    <w:rsid w:val="0037406F"/>
    <w:rsid w:val="00374646"/>
    <w:rsid w:val="00374A49"/>
    <w:rsid w:val="00375246"/>
    <w:rsid w:val="0037681F"/>
    <w:rsid w:val="00380223"/>
    <w:rsid w:val="00381941"/>
    <w:rsid w:val="003824EB"/>
    <w:rsid w:val="003835FD"/>
    <w:rsid w:val="003843F4"/>
    <w:rsid w:val="00384A09"/>
    <w:rsid w:val="00384CCF"/>
    <w:rsid w:val="003874C8"/>
    <w:rsid w:val="00387E02"/>
    <w:rsid w:val="00391716"/>
    <w:rsid w:val="003925C4"/>
    <w:rsid w:val="003926DF"/>
    <w:rsid w:val="0039294E"/>
    <w:rsid w:val="00394AA7"/>
    <w:rsid w:val="00395373"/>
    <w:rsid w:val="00395DF8"/>
    <w:rsid w:val="00396252"/>
    <w:rsid w:val="00396CA2"/>
    <w:rsid w:val="003974D6"/>
    <w:rsid w:val="003976C1"/>
    <w:rsid w:val="003A2408"/>
    <w:rsid w:val="003A39EA"/>
    <w:rsid w:val="003A42A4"/>
    <w:rsid w:val="003A47A7"/>
    <w:rsid w:val="003A4BBC"/>
    <w:rsid w:val="003A63C0"/>
    <w:rsid w:val="003A6B34"/>
    <w:rsid w:val="003A70A1"/>
    <w:rsid w:val="003A77A2"/>
    <w:rsid w:val="003A7DA8"/>
    <w:rsid w:val="003B0BAD"/>
    <w:rsid w:val="003B1D98"/>
    <w:rsid w:val="003B2793"/>
    <w:rsid w:val="003B52C9"/>
    <w:rsid w:val="003B5F66"/>
    <w:rsid w:val="003B6C79"/>
    <w:rsid w:val="003C0307"/>
    <w:rsid w:val="003C0956"/>
    <w:rsid w:val="003C42DA"/>
    <w:rsid w:val="003C4469"/>
    <w:rsid w:val="003C4943"/>
    <w:rsid w:val="003C524B"/>
    <w:rsid w:val="003C52F3"/>
    <w:rsid w:val="003C657A"/>
    <w:rsid w:val="003D0FED"/>
    <w:rsid w:val="003D31CE"/>
    <w:rsid w:val="003D357F"/>
    <w:rsid w:val="003D5F52"/>
    <w:rsid w:val="003D7150"/>
    <w:rsid w:val="003D7999"/>
    <w:rsid w:val="003D7DB4"/>
    <w:rsid w:val="003D7F22"/>
    <w:rsid w:val="003E1782"/>
    <w:rsid w:val="003E27DC"/>
    <w:rsid w:val="003E2F5B"/>
    <w:rsid w:val="003E3635"/>
    <w:rsid w:val="003E3C67"/>
    <w:rsid w:val="003E3DF4"/>
    <w:rsid w:val="003E4A9D"/>
    <w:rsid w:val="003E4BE8"/>
    <w:rsid w:val="003E4E21"/>
    <w:rsid w:val="003E6F22"/>
    <w:rsid w:val="003F16EC"/>
    <w:rsid w:val="003F19E5"/>
    <w:rsid w:val="003F3424"/>
    <w:rsid w:val="003F3D5E"/>
    <w:rsid w:val="003F3F62"/>
    <w:rsid w:val="003F53BF"/>
    <w:rsid w:val="003F55A3"/>
    <w:rsid w:val="003F6229"/>
    <w:rsid w:val="003F654D"/>
    <w:rsid w:val="003F775B"/>
    <w:rsid w:val="0040010E"/>
    <w:rsid w:val="00402C7D"/>
    <w:rsid w:val="0040365E"/>
    <w:rsid w:val="0040566D"/>
    <w:rsid w:val="00406798"/>
    <w:rsid w:val="00406FC4"/>
    <w:rsid w:val="00407ED3"/>
    <w:rsid w:val="00410705"/>
    <w:rsid w:val="004109ED"/>
    <w:rsid w:val="004110DC"/>
    <w:rsid w:val="00411F86"/>
    <w:rsid w:val="00412F6D"/>
    <w:rsid w:val="00417698"/>
    <w:rsid w:val="00420A36"/>
    <w:rsid w:val="00420A92"/>
    <w:rsid w:val="0042179B"/>
    <w:rsid w:val="00422A17"/>
    <w:rsid w:val="00423091"/>
    <w:rsid w:val="00423F17"/>
    <w:rsid w:val="0042440C"/>
    <w:rsid w:val="0042478D"/>
    <w:rsid w:val="00424D8E"/>
    <w:rsid w:val="004258ED"/>
    <w:rsid w:val="00425E4F"/>
    <w:rsid w:val="004261C9"/>
    <w:rsid w:val="00426ED0"/>
    <w:rsid w:val="00427760"/>
    <w:rsid w:val="00430382"/>
    <w:rsid w:val="00432655"/>
    <w:rsid w:val="00432A72"/>
    <w:rsid w:val="00432EF9"/>
    <w:rsid w:val="00434763"/>
    <w:rsid w:val="00434E9A"/>
    <w:rsid w:val="004354A2"/>
    <w:rsid w:val="004366D5"/>
    <w:rsid w:val="0043697C"/>
    <w:rsid w:val="00440BC5"/>
    <w:rsid w:val="00441C73"/>
    <w:rsid w:val="00441CDD"/>
    <w:rsid w:val="00442A22"/>
    <w:rsid w:val="004432DE"/>
    <w:rsid w:val="00443911"/>
    <w:rsid w:val="00443EEF"/>
    <w:rsid w:val="004446BA"/>
    <w:rsid w:val="00444C81"/>
    <w:rsid w:val="00446140"/>
    <w:rsid w:val="0045252A"/>
    <w:rsid w:val="00452999"/>
    <w:rsid w:val="00452D19"/>
    <w:rsid w:val="00453ADD"/>
    <w:rsid w:val="0045555D"/>
    <w:rsid w:val="00456072"/>
    <w:rsid w:val="00456822"/>
    <w:rsid w:val="00456C7D"/>
    <w:rsid w:val="00456D3B"/>
    <w:rsid w:val="00460382"/>
    <w:rsid w:val="00462A26"/>
    <w:rsid w:val="00462ECF"/>
    <w:rsid w:val="0046302A"/>
    <w:rsid w:val="004650A2"/>
    <w:rsid w:val="00466FA8"/>
    <w:rsid w:val="004675E6"/>
    <w:rsid w:val="00470A50"/>
    <w:rsid w:val="00471184"/>
    <w:rsid w:val="00471D64"/>
    <w:rsid w:val="00472563"/>
    <w:rsid w:val="0047269B"/>
    <w:rsid w:val="00473001"/>
    <w:rsid w:val="004745F2"/>
    <w:rsid w:val="004751DA"/>
    <w:rsid w:val="00475680"/>
    <w:rsid w:val="00475E00"/>
    <w:rsid w:val="00476FFD"/>
    <w:rsid w:val="00477911"/>
    <w:rsid w:val="00477D1E"/>
    <w:rsid w:val="00480A1F"/>
    <w:rsid w:val="00482E48"/>
    <w:rsid w:val="00483303"/>
    <w:rsid w:val="0048379F"/>
    <w:rsid w:val="0048674A"/>
    <w:rsid w:val="0048700A"/>
    <w:rsid w:val="00487DA6"/>
    <w:rsid w:val="004904E7"/>
    <w:rsid w:val="004908A7"/>
    <w:rsid w:val="00491026"/>
    <w:rsid w:val="00491B57"/>
    <w:rsid w:val="0049203F"/>
    <w:rsid w:val="00493041"/>
    <w:rsid w:val="004930B6"/>
    <w:rsid w:val="0049506B"/>
    <w:rsid w:val="00495ADD"/>
    <w:rsid w:val="004977A4"/>
    <w:rsid w:val="0049785D"/>
    <w:rsid w:val="004A00F6"/>
    <w:rsid w:val="004A0271"/>
    <w:rsid w:val="004A0BA9"/>
    <w:rsid w:val="004A0E52"/>
    <w:rsid w:val="004A127E"/>
    <w:rsid w:val="004A2C87"/>
    <w:rsid w:val="004A4C37"/>
    <w:rsid w:val="004A561F"/>
    <w:rsid w:val="004A61C9"/>
    <w:rsid w:val="004A6527"/>
    <w:rsid w:val="004A73B2"/>
    <w:rsid w:val="004A7891"/>
    <w:rsid w:val="004B06F0"/>
    <w:rsid w:val="004B07BD"/>
    <w:rsid w:val="004B097C"/>
    <w:rsid w:val="004B11E1"/>
    <w:rsid w:val="004B159C"/>
    <w:rsid w:val="004B1671"/>
    <w:rsid w:val="004B29D1"/>
    <w:rsid w:val="004B3199"/>
    <w:rsid w:val="004B58D1"/>
    <w:rsid w:val="004B75BB"/>
    <w:rsid w:val="004B780F"/>
    <w:rsid w:val="004C17DE"/>
    <w:rsid w:val="004C1A08"/>
    <w:rsid w:val="004C23E6"/>
    <w:rsid w:val="004C2DA5"/>
    <w:rsid w:val="004C351A"/>
    <w:rsid w:val="004C49A2"/>
    <w:rsid w:val="004C4BA9"/>
    <w:rsid w:val="004C562D"/>
    <w:rsid w:val="004C5BE8"/>
    <w:rsid w:val="004C68F8"/>
    <w:rsid w:val="004C69CA"/>
    <w:rsid w:val="004C7FC5"/>
    <w:rsid w:val="004D086E"/>
    <w:rsid w:val="004D0899"/>
    <w:rsid w:val="004D0EB0"/>
    <w:rsid w:val="004D1861"/>
    <w:rsid w:val="004D39C2"/>
    <w:rsid w:val="004D4588"/>
    <w:rsid w:val="004D4B99"/>
    <w:rsid w:val="004D59F2"/>
    <w:rsid w:val="004E1833"/>
    <w:rsid w:val="004E1A9B"/>
    <w:rsid w:val="004E287C"/>
    <w:rsid w:val="004E380B"/>
    <w:rsid w:val="004E3F51"/>
    <w:rsid w:val="004E49E1"/>
    <w:rsid w:val="004E4B5D"/>
    <w:rsid w:val="004E5242"/>
    <w:rsid w:val="004E7244"/>
    <w:rsid w:val="004E7BA3"/>
    <w:rsid w:val="004F0A38"/>
    <w:rsid w:val="004F2370"/>
    <w:rsid w:val="004F3029"/>
    <w:rsid w:val="004F4654"/>
    <w:rsid w:val="004F575E"/>
    <w:rsid w:val="004F5D0C"/>
    <w:rsid w:val="004F6168"/>
    <w:rsid w:val="004F72E5"/>
    <w:rsid w:val="004F775B"/>
    <w:rsid w:val="004F7DB0"/>
    <w:rsid w:val="0050054D"/>
    <w:rsid w:val="00500C37"/>
    <w:rsid w:val="00500DC7"/>
    <w:rsid w:val="005018C6"/>
    <w:rsid w:val="00501B59"/>
    <w:rsid w:val="00501CA3"/>
    <w:rsid w:val="005021EA"/>
    <w:rsid w:val="0050453A"/>
    <w:rsid w:val="00504C75"/>
    <w:rsid w:val="005058F7"/>
    <w:rsid w:val="005072AE"/>
    <w:rsid w:val="00510A78"/>
    <w:rsid w:val="00511341"/>
    <w:rsid w:val="00511532"/>
    <w:rsid w:val="00512207"/>
    <w:rsid w:val="00512726"/>
    <w:rsid w:val="00512C51"/>
    <w:rsid w:val="0051310D"/>
    <w:rsid w:val="0051368B"/>
    <w:rsid w:val="0051433A"/>
    <w:rsid w:val="00514EF3"/>
    <w:rsid w:val="00515408"/>
    <w:rsid w:val="00515675"/>
    <w:rsid w:val="00520896"/>
    <w:rsid w:val="00524128"/>
    <w:rsid w:val="0052432C"/>
    <w:rsid w:val="00525A42"/>
    <w:rsid w:val="00525DD6"/>
    <w:rsid w:val="0052611C"/>
    <w:rsid w:val="00526244"/>
    <w:rsid w:val="005265EE"/>
    <w:rsid w:val="00526640"/>
    <w:rsid w:val="005269EF"/>
    <w:rsid w:val="0052705F"/>
    <w:rsid w:val="00527BF7"/>
    <w:rsid w:val="00527BFE"/>
    <w:rsid w:val="00531685"/>
    <w:rsid w:val="00532874"/>
    <w:rsid w:val="00532E05"/>
    <w:rsid w:val="00533E04"/>
    <w:rsid w:val="0053408A"/>
    <w:rsid w:val="005341C2"/>
    <w:rsid w:val="0053490A"/>
    <w:rsid w:val="005371A6"/>
    <w:rsid w:val="00537A70"/>
    <w:rsid w:val="0054119B"/>
    <w:rsid w:val="005428DB"/>
    <w:rsid w:val="00542A6E"/>
    <w:rsid w:val="00542EFD"/>
    <w:rsid w:val="00543FD9"/>
    <w:rsid w:val="00545761"/>
    <w:rsid w:val="00545864"/>
    <w:rsid w:val="00545F6E"/>
    <w:rsid w:val="00546180"/>
    <w:rsid w:val="00547173"/>
    <w:rsid w:val="00547755"/>
    <w:rsid w:val="00547DE9"/>
    <w:rsid w:val="00547E7D"/>
    <w:rsid w:val="00550CD9"/>
    <w:rsid w:val="005515C3"/>
    <w:rsid w:val="00551B89"/>
    <w:rsid w:val="00552430"/>
    <w:rsid w:val="00552F6F"/>
    <w:rsid w:val="00553237"/>
    <w:rsid w:val="005533A7"/>
    <w:rsid w:val="005543D6"/>
    <w:rsid w:val="00554456"/>
    <w:rsid w:val="005547C4"/>
    <w:rsid w:val="0055580C"/>
    <w:rsid w:val="00555E15"/>
    <w:rsid w:val="00556A0B"/>
    <w:rsid w:val="005601D1"/>
    <w:rsid w:val="0056086D"/>
    <w:rsid w:val="00560991"/>
    <w:rsid w:val="00561F48"/>
    <w:rsid w:val="00562772"/>
    <w:rsid w:val="00562CEC"/>
    <w:rsid w:val="005630F9"/>
    <w:rsid w:val="0056358A"/>
    <w:rsid w:val="00563BBD"/>
    <w:rsid w:val="00564724"/>
    <w:rsid w:val="00564896"/>
    <w:rsid w:val="00564D50"/>
    <w:rsid w:val="00565805"/>
    <w:rsid w:val="00566DBD"/>
    <w:rsid w:val="00567602"/>
    <w:rsid w:val="00570D76"/>
    <w:rsid w:val="00570D82"/>
    <w:rsid w:val="00570F8D"/>
    <w:rsid w:val="00571587"/>
    <w:rsid w:val="00571A9E"/>
    <w:rsid w:val="0057337E"/>
    <w:rsid w:val="00574761"/>
    <w:rsid w:val="0057694A"/>
    <w:rsid w:val="00580C86"/>
    <w:rsid w:val="00581289"/>
    <w:rsid w:val="00582DDA"/>
    <w:rsid w:val="00583183"/>
    <w:rsid w:val="005837D1"/>
    <w:rsid w:val="0058487B"/>
    <w:rsid w:val="00585379"/>
    <w:rsid w:val="00585EB8"/>
    <w:rsid w:val="005866B3"/>
    <w:rsid w:val="00587543"/>
    <w:rsid w:val="0059049F"/>
    <w:rsid w:val="005909A6"/>
    <w:rsid w:val="00590CE0"/>
    <w:rsid w:val="00591ED7"/>
    <w:rsid w:val="00592E38"/>
    <w:rsid w:val="00593541"/>
    <w:rsid w:val="005939F1"/>
    <w:rsid w:val="00595034"/>
    <w:rsid w:val="005956F3"/>
    <w:rsid w:val="005971A7"/>
    <w:rsid w:val="00597FCD"/>
    <w:rsid w:val="005A01CF"/>
    <w:rsid w:val="005A055B"/>
    <w:rsid w:val="005A0BF8"/>
    <w:rsid w:val="005A169C"/>
    <w:rsid w:val="005A214F"/>
    <w:rsid w:val="005A2447"/>
    <w:rsid w:val="005A2C6D"/>
    <w:rsid w:val="005A374D"/>
    <w:rsid w:val="005A484A"/>
    <w:rsid w:val="005A4EE1"/>
    <w:rsid w:val="005A522E"/>
    <w:rsid w:val="005A544A"/>
    <w:rsid w:val="005A76CE"/>
    <w:rsid w:val="005B02C7"/>
    <w:rsid w:val="005B0CDE"/>
    <w:rsid w:val="005B1BB2"/>
    <w:rsid w:val="005B1F67"/>
    <w:rsid w:val="005B2E28"/>
    <w:rsid w:val="005B2E50"/>
    <w:rsid w:val="005B2EFB"/>
    <w:rsid w:val="005B4C56"/>
    <w:rsid w:val="005C0297"/>
    <w:rsid w:val="005C0779"/>
    <w:rsid w:val="005C0B64"/>
    <w:rsid w:val="005C0CD1"/>
    <w:rsid w:val="005C37A0"/>
    <w:rsid w:val="005C37F5"/>
    <w:rsid w:val="005C3F78"/>
    <w:rsid w:val="005C414E"/>
    <w:rsid w:val="005C41D9"/>
    <w:rsid w:val="005C4C97"/>
    <w:rsid w:val="005C5AB7"/>
    <w:rsid w:val="005C63E3"/>
    <w:rsid w:val="005C6A1E"/>
    <w:rsid w:val="005C70C7"/>
    <w:rsid w:val="005C75F9"/>
    <w:rsid w:val="005D04B7"/>
    <w:rsid w:val="005D297C"/>
    <w:rsid w:val="005D46F7"/>
    <w:rsid w:val="005D515D"/>
    <w:rsid w:val="005D59EF"/>
    <w:rsid w:val="005D5D3C"/>
    <w:rsid w:val="005D6F11"/>
    <w:rsid w:val="005D71B6"/>
    <w:rsid w:val="005E2CD1"/>
    <w:rsid w:val="005E4653"/>
    <w:rsid w:val="005E4AD8"/>
    <w:rsid w:val="005E4E8C"/>
    <w:rsid w:val="005E54EC"/>
    <w:rsid w:val="005E7022"/>
    <w:rsid w:val="005E77E4"/>
    <w:rsid w:val="005F0AA4"/>
    <w:rsid w:val="005F37FD"/>
    <w:rsid w:val="005F4F81"/>
    <w:rsid w:val="005F5F02"/>
    <w:rsid w:val="005F7189"/>
    <w:rsid w:val="005F7A04"/>
    <w:rsid w:val="005F7E9D"/>
    <w:rsid w:val="00600674"/>
    <w:rsid w:val="006008AF"/>
    <w:rsid w:val="00600CB1"/>
    <w:rsid w:val="006012E4"/>
    <w:rsid w:val="0060139C"/>
    <w:rsid w:val="00601905"/>
    <w:rsid w:val="00601A09"/>
    <w:rsid w:val="0060544B"/>
    <w:rsid w:val="006063F4"/>
    <w:rsid w:val="006067E8"/>
    <w:rsid w:val="006073D6"/>
    <w:rsid w:val="00607408"/>
    <w:rsid w:val="00607C1D"/>
    <w:rsid w:val="006115E1"/>
    <w:rsid w:val="006142DC"/>
    <w:rsid w:val="00614787"/>
    <w:rsid w:val="006148CC"/>
    <w:rsid w:val="00615A56"/>
    <w:rsid w:val="00620EEA"/>
    <w:rsid w:val="00621274"/>
    <w:rsid w:val="0062182B"/>
    <w:rsid w:val="00621889"/>
    <w:rsid w:val="006237D6"/>
    <w:rsid w:val="00625C66"/>
    <w:rsid w:val="006263DE"/>
    <w:rsid w:val="00626AC1"/>
    <w:rsid w:val="00630397"/>
    <w:rsid w:val="00630A1F"/>
    <w:rsid w:val="00632AD6"/>
    <w:rsid w:val="0063369B"/>
    <w:rsid w:val="006336D6"/>
    <w:rsid w:val="006352E7"/>
    <w:rsid w:val="00637D21"/>
    <w:rsid w:val="00640611"/>
    <w:rsid w:val="006409AF"/>
    <w:rsid w:val="00642983"/>
    <w:rsid w:val="006429A5"/>
    <w:rsid w:val="00642A38"/>
    <w:rsid w:val="006430EA"/>
    <w:rsid w:val="0064354F"/>
    <w:rsid w:val="006441EE"/>
    <w:rsid w:val="00645FB5"/>
    <w:rsid w:val="006469DE"/>
    <w:rsid w:val="00647E00"/>
    <w:rsid w:val="00647EE7"/>
    <w:rsid w:val="006502DB"/>
    <w:rsid w:val="006507A6"/>
    <w:rsid w:val="00651ECE"/>
    <w:rsid w:val="0065253B"/>
    <w:rsid w:val="006526C6"/>
    <w:rsid w:val="00652D66"/>
    <w:rsid w:val="00654088"/>
    <w:rsid w:val="00655CA2"/>
    <w:rsid w:val="006565E0"/>
    <w:rsid w:val="006601F5"/>
    <w:rsid w:val="00661018"/>
    <w:rsid w:val="00661D36"/>
    <w:rsid w:val="006638BA"/>
    <w:rsid w:val="00663A40"/>
    <w:rsid w:val="0066452E"/>
    <w:rsid w:val="00665AFE"/>
    <w:rsid w:val="006661B7"/>
    <w:rsid w:val="0066722F"/>
    <w:rsid w:val="00667E38"/>
    <w:rsid w:val="006710FA"/>
    <w:rsid w:val="006728B2"/>
    <w:rsid w:val="006754A8"/>
    <w:rsid w:val="0067556E"/>
    <w:rsid w:val="00676EA2"/>
    <w:rsid w:val="00677192"/>
    <w:rsid w:val="006776C3"/>
    <w:rsid w:val="00680782"/>
    <w:rsid w:val="00680C46"/>
    <w:rsid w:val="00681F32"/>
    <w:rsid w:val="0068361C"/>
    <w:rsid w:val="00683814"/>
    <w:rsid w:val="006839E6"/>
    <w:rsid w:val="0068450A"/>
    <w:rsid w:val="0068501F"/>
    <w:rsid w:val="0068622C"/>
    <w:rsid w:val="00690E88"/>
    <w:rsid w:val="006913DC"/>
    <w:rsid w:val="006914EA"/>
    <w:rsid w:val="00693973"/>
    <w:rsid w:val="00694E2D"/>
    <w:rsid w:val="00695370"/>
    <w:rsid w:val="0069582D"/>
    <w:rsid w:val="0069603F"/>
    <w:rsid w:val="006963ED"/>
    <w:rsid w:val="0069675F"/>
    <w:rsid w:val="006A0214"/>
    <w:rsid w:val="006A07E7"/>
    <w:rsid w:val="006A578A"/>
    <w:rsid w:val="006A72DE"/>
    <w:rsid w:val="006A74F1"/>
    <w:rsid w:val="006B0540"/>
    <w:rsid w:val="006B12D9"/>
    <w:rsid w:val="006B2FB3"/>
    <w:rsid w:val="006B472A"/>
    <w:rsid w:val="006B726B"/>
    <w:rsid w:val="006C015E"/>
    <w:rsid w:val="006C0EC4"/>
    <w:rsid w:val="006C1195"/>
    <w:rsid w:val="006C22A4"/>
    <w:rsid w:val="006C29D5"/>
    <w:rsid w:val="006C5F19"/>
    <w:rsid w:val="006C6378"/>
    <w:rsid w:val="006C6606"/>
    <w:rsid w:val="006C66D8"/>
    <w:rsid w:val="006C67C1"/>
    <w:rsid w:val="006C76F6"/>
    <w:rsid w:val="006D00D3"/>
    <w:rsid w:val="006D00F8"/>
    <w:rsid w:val="006D0545"/>
    <w:rsid w:val="006D139D"/>
    <w:rsid w:val="006D23F1"/>
    <w:rsid w:val="006D3171"/>
    <w:rsid w:val="006D541E"/>
    <w:rsid w:val="006D5A2A"/>
    <w:rsid w:val="006D6314"/>
    <w:rsid w:val="006D6C0E"/>
    <w:rsid w:val="006E10F7"/>
    <w:rsid w:val="006E1A53"/>
    <w:rsid w:val="006E2250"/>
    <w:rsid w:val="006E2644"/>
    <w:rsid w:val="006E2A5C"/>
    <w:rsid w:val="006E3BF2"/>
    <w:rsid w:val="006E6023"/>
    <w:rsid w:val="006E680B"/>
    <w:rsid w:val="006E7742"/>
    <w:rsid w:val="006F11E7"/>
    <w:rsid w:val="006F1EFC"/>
    <w:rsid w:val="006F2571"/>
    <w:rsid w:val="006F3037"/>
    <w:rsid w:val="006F3103"/>
    <w:rsid w:val="006F4E45"/>
    <w:rsid w:val="006F55DB"/>
    <w:rsid w:val="006F5904"/>
    <w:rsid w:val="006F65FE"/>
    <w:rsid w:val="006F6702"/>
    <w:rsid w:val="006F6FD4"/>
    <w:rsid w:val="006F7559"/>
    <w:rsid w:val="006F7AAA"/>
    <w:rsid w:val="0070205F"/>
    <w:rsid w:val="00702571"/>
    <w:rsid w:val="00702AD4"/>
    <w:rsid w:val="00702AE0"/>
    <w:rsid w:val="00702D9F"/>
    <w:rsid w:val="0070358A"/>
    <w:rsid w:val="0070410F"/>
    <w:rsid w:val="007057CC"/>
    <w:rsid w:val="007070F9"/>
    <w:rsid w:val="00707B56"/>
    <w:rsid w:val="00710028"/>
    <w:rsid w:val="0071009D"/>
    <w:rsid w:val="0071167C"/>
    <w:rsid w:val="007118E2"/>
    <w:rsid w:val="00711B9E"/>
    <w:rsid w:val="007120FC"/>
    <w:rsid w:val="00713A80"/>
    <w:rsid w:val="00713B9A"/>
    <w:rsid w:val="00714BD1"/>
    <w:rsid w:val="00715042"/>
    <w:rsid w:val="007164DA"/>
    <w:rsid w:val="0072000B"/>
    <w:rsid w:val="0072040A"/>
    <w:rsid w:val="00720B1A"/>
    <w:rsid w:val="0072321D"/>
    <w:rsid w:val="00723236"/>
    <w:rsid w:val="00723A8F"/>
    <w:rsid w:val="00724759"/>
    <w:rsid w:val="007249C2"/>
    <w:rsid w:val="007253FD"/>
    <w:rsid w:val="0073033C"/>
    <w:rsid w:val="00730738"/>
    <w:rsid w:val="00731D10"/>
    <w:rsid w:val="00732337"/>
    <w:rsid w:val="00733125"/>
    <w:rsid w:val="00733174"/>
    <w:rsid w:val="007332A0"/>
    <w:rsid w:val="00733BD7"/>
    <w:rsid w:val="007352C3"/>
    <w:rsid w:val="00735865"/>
    <w:rsid w:val="00735D8C"/>
    <w:rsid w:val="00736030"/>
    <w:rsid w:val="00737114"/>
    <w:rsid w:val="0074065A"/>
    <w:rsid w:val="007436A5"/>
    <w:rsid w:val="00745105"/>
    <w:rsid w:val="00745414"/>
    <w:rsid w:val="0074596B"/>
    <w:rsid w:val="00745AF5"/>
    <w:rsid w:val="00746CFD"/>
    <w:rsid w:val="00750734"/>
    <w:rsid w:val="0075167C"/>
    <w:rsid w:val="00751AE1"/>
    <w:rsid w:val="00751D64"/>
    <w:rsid w:val="00752CE1"/>
    <w:rsid w:val="00752E23"/>
    <w:rsid w:val="00753637"/>
    <w:rsid w:val="0075403C"/>
    <w:rsid w:val="00755B19"/>
    <w:rsid w:val="007560BD"/>
    <w:rsid w:val="00760221"/>
    <w:rsid w:val="00760A2E"/>
    <w:rsid w:val="00761E44"/>
    <w:rsid w:val="00762833"/>
    <w:rsid w:val="00762CEF"/>
    <w:rsid w:val="007633EC"/>
    <w:rsid w:val="00763711"/>
    <w:rsid w:val="00763ACD"/>
    <w:rsid w:val="0076452C"/>
    <w:rsid w:val="007653FA"/>
    <w:rsid w:val="007662F6"/>
    <w:rsid w:val="0076678F"/>
    <w:rsid w:val="00766EBC"/>
    <w:rsid w:val="00767241"/>
    <w:rsid w:val="00767800"/>
    <w:rsid w:val="00767987"/>
    <w:rsid w:val="0077082E"/>
    <w:rsid w:val="007712C5"/>
    <w:rsid w:val="0077171F"/>
    <w:rsid w:val="00772A8D"/>
    <w:rsid w:val="00772D70"/>
    <w:rsid w:val="00773531"/>
    <w:rsid w:val="00773F0E"/>
    <w:rsid w:val="00774C7F"/>
    <w:rsid w:val="00775B43"/>
    <w:rsid w:val="00775D9C"/>
    <w:rsid w:val="00775EC1"/>
    <w:rsid w:val="00776436"/>
    <w:rsid w:val="007764AF"/>
    <w:rsid w:val="00777D12"/>
    <w:rsid w:val="00780B69"/>
    <w:rsid w:val="00780DE7"/>
    <w:rsid w:val="00781659"/>
    <w:rsid w:val="00782D0A"/>
    <w:rsid w:val="00782EAB"/>
    <w:rsid w:val="00784312"/>
    <w:rsid w:val="0078579B"/>
    <w:rsid w:val="00785CBA"/>
    <w:rsid w:val="00786210"/>
    <w:rsid w:val="00786E34"/>
    <w:rsid w:val="00786F26"/>
    <w:rsid w:val="00787AB4"/>
    <w:rsid w:val="00790A35"/>
    <w:rsid w:val="0079106F"/>
    <w:rsid w:val="007911DD"/>
    <w:rsid w:val="007916CB"/>
    <w:rsid w:val="007917AA"/>
    <w:rsid w:val="00792B58"/>
    <w:rsid w:val="00792D94"/>
    <w:rsid w:val="007930D6"/>
    <w:rsid w:val="007943CC"/>
    <w:rsid w:val="00794B42"/>
    <w:rsid w:val="00795578"/>
    <w:rsid w:val="00795699"/>
    <w:rsid w:val="00796810"/>
    <w:rsid w:val="00796DA8"/>
    <w:rsid w:val="00797E47"/>
    <w:rsid w:val="007A0D9A"/>
    <w:rsid w:val="007A197C"/>
    <w:rsid w:val="007A1FE8"/>
    <w:rsid w:val="007A2190"/>
    <w:rsid w:val="007A373F"/>
    <w:rsid w:val="007A660C"/>
    <w:rsid w:val="007A74E8"/>
    <w:rsid w:val="007B0523"/>
    <w:rsid w:val="007B08DA"/>
    <w:rsid w:val="007B2A55"/>
    <w:rsid w:val="007B3621"/>
    <w:rsid w:val="007B3B54"/>
    <w:rsid w:val="007B66F0"/>
    <w:rsid w:val="007B6993"/>
    <w:rsid w:val="007B7F4E"/>
    <w:rsid w:val="007C0D23"/>
    <w:rsid w:val="007C36D5"/>
    <w:rsid w:val="007C4284"/>
    <w:rsid w:val="007C4BA8"/>
    <w:rsid w:val="007C6091"/>
    <w:rsid w:val="007C76AC"/>
    <w:rsid w:val="007C7A34"/>
    <w:rsid w:val="007D00A6"/>
    <w:rsid w:val="007D0CE6"/>
    <w:rsid w:val="007D191B"/>
    <w:rsid w:val="007D3332"/>
    <w:rsid w:val="007D380E"/>
    <w:rsid w:val="007D4E4A"/>
    <w:rsid w:val="007D607F"/>
    <w:rsid w:val="007D6AD6"/>
    <w:rsid w:val="007D6C82"/>
    <w:rsid w:val="007D6E3C"/>
    <w:rsid w:val="007D7C6D"/>
    <w:rsid w:val="007E251D"/>
    <w:rsid w:val="007E4A8A"/>
    <w:rsid w:val="007E5972"/>
    <w:rsid w:val="007E5AB1"/>
    <w:rsid w:val="007E5C6F"/>
    <w:rsid w:val="007E6C81"/>
    <w:rsid w:val="007E77E8"/>
    <w:rsid w:val="007F07C3"/>
    <w:rsid w:val="007F0ECC"/>
    <w:rsid w:val="007F10A6"/>
    <w:rsid w:val="007F2DED"/>
    <w:rsid w:val="007F3F70"/>
    <w:rsid w:val="007F5F6F"/>
    <w:rsid w:val="007F6BD3"/>
    <w:rsid w:val="007F7B35"/>
    <w:rsid w:val="00800146"/>
    <w:rsid w:val="008002D3"/>
    <w:rsid w:val="008004E8"/>
    <w:rsid w:val="00800C56"/>
    <w:rsid w:val="00800EF0"/>
    <w:rsid w:val="00801BB1"/>
    <w:rsid w:val="00804B18"/>
    <w:rsid w:val="00804D23"/>
    <w:rsid w:val="00804D94"/>
    <w:rsid w:val="00804E4F"/>
    <w:rsid w:val="008056EF"/>
    <w:rsid w:val="00805883"/>
    <w:rsid w:val="0080768A"/>
    <w:rsid w:val="00807E14"/>
    <w:rsid w:val="00810743"/>
    <w:rsid w:val="00810A51"/>
    <w:rsid w:val="00810A53"/>
    <w:rsid w:val="00810E0F"/>
    <w:rsid w:val="00811C3B"/>
    <w:rsid w:val="00812772"/>
    <w:rsid w:val="008129E9"/>
    <w:rsid w:val="00813C69"/>
    <w:rsid w:val="0081661C"/>
    <w:rsid w:val="0081666A"/>
    <w:rsid w:val="008204F3"/>
    <w:rsid w:val="00820BC1"/>
    <w:rsid w:val="008210AC"/>
    <w:rsid w:val="008211C8"/>
    <w:rsid w:val="00821699"/>
    <w:rsid w:val="00821A0B"/>
    <w:rsid w:val="008229A6"/>
    <w:rsid w:val="00822BCC"/>
    <w:rsid w:val="00822FCC"/>
    <w:rsid w:val="008262CA"/>
    <w:rsid w:val="0082698E"/>
    <w:rsid w:val="00827F4B"/>
    <w:rsid w:val="00830857"/>
    <w:rsid w:val="0083106C"/>
    <w:rsid w:val="00831921"/>
    <w:rsid w:val="0083273D"/>
    <w:rsid w:val="00832D8D"/>
    <w:rsid w:val="00832ED7"/>
    <w:rsid w:val="008349E8"/>
    <w:rsid w:val="00836C79"/>
    <w:rsid w:val="0083737E"/>
    <w:rsid w:val="00837AF0"/>
    <w:rsid w:val="00840773"/>
    <w:rsid w:val="0084414B"/>
    <w:rsid w:val="00844CB3"/>
    <w:rsid w:val="00844DD8"/>
    <w:rsid w:val="0084544F"/>
    <w:rsid w:val="00845ED1"/>
    <w:rsid w:val="00846CB6"/>
    <w:rsid w:val="00847561"/>
    <w:rsid w:val="00847A54"/>
    <w:rsid w:val="0085119E"/>
    <w:rsid w:val="00851DE2"/>
    <w:rsid w:val="00851FBB"/>
    <w:rsid w:val="008532B9"/>
    <w:rsid w:val="008533E8"/>
    <w:rsid w:val="00855155"/>
    <w:rsid w:val="00855953"/>
    <w:rsid w:val="00855CCF"/>
    <w:rsid w:val="008562DF"/>
    <w:rsid w:val="00856D8B"/>
    <w:rsid w:val="008606D0"/>
    <w:rsid w:val="008611B0"/>
    <w:rsid w:val="008619D4"/>
    <w:rsid w:val="00864262"/>
    <w:rsid w:val="00864E2C"/>
    <w:rsid w:val="00865195"/>
    <w:rsid w:val="00865480"/>
    <w:rsid w:val="008718CB"/>
    <w:rsid w:val="00872418"/>
    <w:rsid w:val="00872E1F"/>
    <w:rsid w:val="0087342A"/>
    <w:rsid w:val="00873D64"/>
    <w:rsid w:val="00874092"/>
    <w:rsid w:val="008759B5"/>
    <w:rsid w:val="00877B96"/>
    <w:rsid w:val="00877CA0"/>
    <w:rsid w:val="008803BD"/>
    <w:rsid w:val="008805AC"/>
    <w:rsid w:val="00880AA2"/>
    <w:rsid w:val="00881F53"/>
    <w:rsid w:val="0088253F"/>
    <w:rsid w:val="00882B2E"/>
    <w:rsid w:val="0088395D"/>
    <w:rsid w:val="00883EE5"/>
    <w:rsid w:val="00885279"/>
    <w:rsid w:val="008855E7"/>
    <w:rsid w:val="00886DAC"/>
    <w:rsid w:val="0089037E"/>
    <w:rsid w:val="008907E7"/>
    <w:rsid w:val="00890FB6"/>
    <w:rsid w:val="008927F4"/>
    <w:rsid w:val="00893E3B"/>
    <w:rsid w:val="0089415E"/>
    <w:rsid w:val="008943E5"/>
    <w:rsid w:val="008946CA"/>
    <w:rsid w:val="00895D25"/>
    <w:rsid w:val="00896F9A"/>
    <w:rsid w:val="008979B0"/>
    <w:rsid w:val="008A02D6"/>
    <w:rsid w:val="008A0C66"/>
    <w:rsid w:val="008A17A6"/>
    <w:rsid w:val="008A2F85"/>
    <w:rsid w:val="008A3E6A"/>
    <w:rsid w:val="008A4A43"/>
    <w:rsid w:val="008A4D9E"/>
    <w:rsid w:val="008A6A46"/>
    <w:rsid w:val="008A6B5E"/>
    <w:rsid w:val="008A6BA6"/>
    <w:rsid w:val="008A6DA6"/>
    <w:rsid w:val="008A7DDB"/>
    <w:rsid w:val="008B0474"/>
    <w:rsid w:val="008B0587"/>
    <w:rsid w:val="008B0676"/>
    <w:rsid w:val="008B23B9"/>
    <w:rsid w:val="008B287B"/>
    <w:rsid w:val="008B466E"/>
    <w:rsid w:val="008B5224"/>
    <w:rsid w:val="008B5335"/>
    <w:rsid w:val="008B5BDC"/>
    <w:rsid w:val="008B6206"/>
    <w:rsid w:val="008B6253"/>
    <w:rsid w:val="008C0B34"/>
    <w:rsid w:val="008C0F4B"/>
    <w:rsid w:val="008C2215"/>
    <w:rsid w:val="008C383B"/>
    <w:rsid w:val="008C3C0C"/>
    <w:rsid w:val="008C40C7"/>
    <w:rsid w:val="008C4F58"/>
    <w:rsid w:val="008C533A"/>
    <w:rsid w:val="008C60C2"/>
    <w:rsid w:val="008C63E1"/>
    <w:rsid w:val="008C687B"/>
    <w:rsid w:val="008C79A4"/>
    <w:rsid w:val="008D3098"/>
    <w:rsid w:val="008D388C"/>
    <w:rsid w:val="008D4780"/>
    <w:rsid w:val="008D4B79"/>
    <w:rsid w:val="008D4CA4"/>
    <w:rsid w:val="008D536D"/>
    <w:rsid w:val="008D788C"/>
    <w:rsid w:val="008D7E8A"/>
    <w:rsid w:val="008E0BCE"/>
    <w:rsid w:val="008E17D3"/>
    <w:rsid w:val="008E1C79"/>
    <w:rsid w:val="008E1D15"/>
    <w:rsid w:val="008E2651"/>
    <w:rsid w:val="008E43C3"/>
    <w:rsid w:val="008E4F81"/>
    <w:rsid w:val="008E562E"/>
    <w:rsid w:val="008E5B42"/>
    <w:rsid w:val="008E6065"/>
    <w:rsid w:val="008F079D"/>
    <w:rsid w:val="008F12BB"/>
    <w:rsid w:val="008F23DD"/>
    <w:rsid w:val="008F2F2E"/>
    <w:rsid w:val="008F3C04"/>
    <w:rsid w:val="008F7517"/>
    <w:rsid w:val="00900DE2"/>
    <w:rsid w:val="009019C0"/>
    <w:rsid w:val="00901B92"/>
    <w:rsid w:val="00901F98"/>
    <w:rsid w:val="00902938"/>
    <w:rsid w:val="00902AFF"/>
    <w:rsid w:val="0090305E"/>
    <w:rsid w:val="00903DF1"/>
    <w:rsid w:val="00906359"/>
    <w:rsid w:val="00910BA2"/>
    <w:rsid w:val="00910C6C"/>
    <w:rsid w:val="00910E8F"/>
    <w:rsid w:val="00911008"/>
    <w:rsid w:val="0091353C"/>
    <w:rsid w:val="009139D9"/>
    <w:rsid w:val="00913EC8"/>
    <w:rsid w:val="00915315"/>
    <w:rsid w:val="0091594F"/>
    <w:rsid w:val="00915CBF"/>
    <w:rsid w:val="009166BC"/>
    <w:rsid w:val="009175A9"/>
    <w:rsid w:val="00920161"/>
    <w:rsid w:val="00920B4C"/>
    <w:rsid w:val="00921221"/>
    <w:rsid w:val="009216BF"/>
    <w:rsid w:val="00921C31"/>
    <w:rsid w:val="00921D3F"/>
    <w:rsid w:val="00922D50"/>
    <w:rsid w:val="00923220"/>
    <w:rsid w:val="009236B2"/>
    <w:rsid w:val="00924D26"/>
    <w:rsid w:val="009266EF"/>
    <w:rsid w:val="0092689E"/>
    <w:rsid w:val="00927020"/>
    <w:rsid w:val="0092755B"/>
    <w:rsid w:val="00930594"/>
    <w:rsid w:val="00931193"/>
    <w:rsid w:val="00931685"/>
    <w:rsid w:val="00931877"/>
    <w:rsid w:val="00931C51"/>
    <w:rsid w:val="009331D5"/>
    <w:rsid w:val="00933578"/>
    <w:rsid w:val="00933FF5"/>
    <w:rsid w:val="00934248"/>
    <w:rsid w:val="0093486C"/>
    <w:rsid w:val="009363AD"/>
    <w:rsid w:val="009363CC"/>
    <w:rsid w:val="00936D60"/>
    <w:rsid w:val="00937123"/>
    <w:rsid w:val="0094078E"/>
    <w:rsid w:val="009413B6"/>
    <w:rsid w:val="0094151F"/>
    <w:rsid w:val="00941A51"/>
    <w:rsid w:val="0094267A"/>
    <w:rsid w:val="009428DB"/>
    <w:rsid w:val="0094290B"/>
    <w:rsid w:val="00943313"/>
    <w:rsid w:val="0094369E"/>
    <w:rsid w:val="009438D2"/>
    <w:rsid w:val="00945A9D"/>
    <w:rsid w:val="00945D79"/>
    <w:rsid w:val="00947B55"/>
    <w:rsid w:val="009507F5"/>
    <w:rsid w:val="00950D10"/>
    <w:rsid w:val="0095117B"/>
    <w:rsid w:val="009516E6"/>
    <w:rsid w:val="009536A9"/>
    <w:rsid w:val="00953920"/>
    <w:rsid w:val="0095572E"/>
    <w:rsid w:val="00956424"/>
    <w:rsid w:val="009571DF"/>
    <w:rsid w:val="0096065D"/>
    <w:rsid w:val="0096105C"/>
    <w:rsid w:val="0096195B"/>
    <w:rsid w:val="00963A1F"/>
    <w:rsid w:val="0096526A"/>
    <w:rsid w:val="00965E9A"/>
    <w:rsid w:val="00965EC1"/>
    <w:rsid w:val="00966166"/>
    <w:rsid w:val="00966269"/>
    <w:rsid w:val="00966CF2"/>
    <w:rsid w:val="009678F3"/>
    <w:rsid w:val="00970261"/>
    <w:rsid w:val="009704A7"/>
    <w:rsid w:val="0097076C"/>
    <w:rsid w:val="009714A1"/>
    <w:rsid w:val="00971672"/>
    <w:rsid w:val="00971B2B"/>
    <w:rsid w:val="00972C84"/>
    <w:rsid w:val="00973A8D"/>
    <w:rsid w:val="0097414C"/>
    <w:rsid w:val="00974665"/>
    <w:rsid w:val="00974EB4"/>
    <w:rsid w:val="009758E3"/>
    <w:rsid w:val="0097648B"/>
    <w:rsid w:val="00977E2D"/>
    <w:rsid w:val="009805C3"/>
    <w:rsid w:val="009808D5"/>
    <w:rsid w:val="00980D74"/>
    <w:rsid w:val="00982FDF"/>
    <w:rsid w:val="00983819"/>
    <w:rsid w:val="0098518A"/>
    <w:rsid w:val="00985B09"/>
    <w:rsid w:val="00987D13"/>
    <w:rsid w:val="00992168"/>
    <w:rsid w:val="00992281"/>
    <w:rsid w:val="00992D76"/>
    <w:rsid w:val="009938CC"/>
    <w:rsid w:val="009944DB"/>
    <w:rsid w:val="0099453B"/>
    <w:rsid w:val="009946A3"/>
    <w:rsid w:val="009948BC"/>
    <w:rsid w:val="00994EDF"/>
    <w:rsid w:val="00995D0F"/>
    <w:rsid w:val="00996115"/>
    <w:rsid w:val="00996E1E"/>
    <w:rsid w:val="0099784E"/>
    <w:rsid w:val="009A0198"/>
    <w:rsid w:val="009A01E1"/>
    <w:rsid w:val="009A0CBD"/>
    <w:rsid w:val="009A16A3"/>
    <w:rsid w:val="009A1935"/>
    <w:rsid w:val="009A1B95"/>
    <w:rsid w:val="009A2C42"/>
    <w:rsid w:val="009A3010"/>
    <w:rsid w:val="009A3C57"/>
    <w:rsid w:val="009A6B07"/>
    <w:rsid w:val="009A6C61"/>
    <w:rsid w:val="009A73C3"/>
    <w:rsid w:val="009A7D29"/>
    <w:rsid w:val="009B2063"/>
    <w:rsid w:val="009B2A88"/>
    <w:rsid w:val="009B2C99"/>
    <w:rsid w:val="009B3417"/>
    <w:rsid w:val="009B3A74"/>
    <w:rsid w:val="009B4285"/>
    <w:rsid w:val="009B4E2A"/>
    <w:rsid w:val="009B507C"/>
    <w:rsid w:val="009B56EB"/>
    <w:rsid w:val="009B5DE2"/>
    <w:rsid w:val="009B647F"/>
    <w:rsid w:val="009B678B"/>
    <w:rsid w:val="009B705D"/>
    <w:rsid w:val="009B74B3"/>
    <w:rsid w:val="009C1073"/>
    <w:rsid w:val="009C1A13"/>
    <w:rsid w:val="009C2C1E"/>
    <w:rsid w:val="009C4827"/>
    <w:rsid w:val="009C4CA0"/>
    <w:rsid w:val="009C5F8F"/>
    <w:rsid w:val="009C65F9"/>
    <w:rsid w:val="009C7A54"/>
    <w:rsid w:val="009C7E88"/>
    <w:rsid w:val="009D0549"/>
    <w:rsid w:val="009D07EE"/>
    <w:rsid w:val="009D0F28"/>
    <w:rsid w:val="009D10D6"/>
    <w:rsid w:val="009D1126"/>
    <w:rsid w:val="009D18F6"/>
    <w:rsid w:val="009D2E41"/>
    <w:rsid w:val="009D31AF"/>
    <w:rsid w:val="009D32AB"/>
    <w:rsid w:val="009D3405"/>
    <w:rsid w:val="009D5D10"/>
    <w:rsid w:val="009D60A9"/>
    <w:rsid w:val="009D6831"/>
    <w:rsid w:val="009D7B64"/>
    <w:rsid w:val="009E0388"/>
    <w:rsid w:val="009E0845"/>
    <w:rsid w:val="009E132D"/>
    <w:rsid w:val="009E1442"/>
    <w:rsid w:val="009E155D"/>
    <w:rsid w:val="009E1A95"/>
    <w:rsid w:val="009E2B64"/>
    <w:rsid w:val="009E330D"/>
    <w:rsid w:val="009E499F"/>
    <w:rsid w:val="009E5066"/>
    <w:rsid w:val="009E58BB"/>
    <w:rsid w:val="009E62F9"/>
    <w:rsid w:val="009E6999"/>
    <w:rsid w:val="009E7F85"/>
    <w:rsid w:val="009F0B2D"/>
    <w:rsid w:val="009F0C8A"/>
    <w:rsid w:val="009F196E"/>
    <w:rsid w:val="009F1D3A"/>
    <w:rsid w:val="009F2CBE"/>
    <w:rsid w:val="009F3413"/>
    <w:rsid w:val="009F7677"/>
    <w:rsid w:val="009F790C"/>
    <w:rsid w:val="00A00080"/>
    <w:rsid w:val="00A00FE6"/>
    <w:rsid w:val="00A0158F"/>
    <w:rsid w:val="00A02D98"/>
    <w:rsid w:val="00A0375B"/>
    <w:rsid w:val="00A041D0"/>
    <w:rsid w:val="00A046A3"/>
    <w:rsid w:val="00A067D6"/>
    <w:rsid w:val="00A074EA"/>
    <w:rsid w:val="00A0763B"/>
    <w:rsid w:val="00A07697"/>
    <w:rsid w:val="00A078D3"/>
    <w:rsid w:val="00A07ACF"/>
    <w:rsid w:val="00A07E76"/>
    <w:rsid w:val="00A1028E"/>
    <w:rsid w:val="00A1084A"/>
    <w:rsid w:val="00A1134F"/>
    <w:rsid w:val="00A11F51"/>
    <w:rsid w:val="00A12163"/>
    <w:rsid w:val="00A1301D"/>
    <w:rsid w:val="00A1362A"/>
    <w:rsid w:val="00A1427B"/>
    <w:rsid w:val="00A15D5F"/>
    <w:rsid w:val="00A1683B"/>
    <w:rsid w:val="00A171AD"/>
    <w:rsid w:val="00A21296"/>
    <w:rsid w:val="00A22F27"/>
    <w:rsid w:val="00A25E8B"/>
    <w:rsid w:val="00A270AE"/>
    <w:rsid w:val="00A273F7"/>
    <w:rsid w:val="00A27A43"/>
    <w:rsid w:val="00A31923"/>
    <w:rsid w:val="00A31C96"/>
    <w:rsid w:val="00A36B12"/>
    <w:rsid w:val="00A37440"/>
    <w:rsid w:val="00A41F10"/>
    <w:rsid w:val="00A41FD0"/>
    <w:rsid w:val="00A4309F"/>
    <w:rsid w:val="00A43C10"/>
    <w:rsid w:val="00A450A6"/>
    <w:rsid w:val="00A4558E"/>
    <w:rsid w:val="00A462A7"/>
    <w:rsid w:val="00A46D38"/>
    <w:rsid w:val="00A46F12"/>
    <w:rsid w:val="00A50306"/>
    <w:rsid w:val="00A5040B"/>
    <w:rsid w:val="00A50927"/>
    <w:rsid w:val="00A5095C"/>
    <w:rsid w:val="00A50B02"/>
    <w:rsid w:val="00A50D24"/>
    <w:rsid w:val="00A512A6"/>
    <w:rsid w:val="00A521CC"/>
    <w:rsid w:val="00A534AD"/>
    <w:rsid w:val="00A53651"/>
    <w:rsid w:val="00A53CD2"/>
    <w:rsid w:val="00A543D6"/>
    <w:rsid w:val="00A547D6"/>
    <w:rsid w:val="00A55ED6"/>
    <w:rsid w:val="00A568F0"/>
    <w:rsid w:val="00A5711F"/>
    <w:rsid w:val="00A5781C"/>
    <w:rsid w:val="00A62854"/>
    <w:rsid w:val="00A62B4B"/>
    <w:rsid w:val="00A632F3"/>
    <w:rsid w:val="00A64F9B"/>
    <w:rsid w:val="00A65380"/>
    <w:rsid w:val="00A65782"/>
    <w:rsid w:val="00A65BCF"/>
    <w:rsid w:val="00A66DA5"/>
    <w:rsid w:val="00A6763F"/>
    <w:rsid w:val="00A70679"/>
    <w:rsid w:val="00A70DF7"/>
    <w:rsid w:val="00A71C78"/>
    <w:rsid w:val="00A72D25"/>
    <w:rsid w:val="00A73181"/>
    <w:rsid w:val="00A73791"/>
    <w:rsid w:val="00A73AF9"/>
    <w:rsid w:val="00A7460A"/>
    <w:rsid w:val="00A74A03"/>
    <w:rsid w:val="00A75719"/>
    <w:rsid w:val="00A759AD"/>
    <w:rsid w:val="00A80F43"/>
    <w:rsid w:val="00A8112D"/>
    <w:rsid w:val="00A81372"/>
    <w:rsid w:val="00A824B4"/>
    <w:rsid w:val="00A84C8E"/>
    <w:rsid w:val="00A84D69"/>
    <w:rsid w:val="00A855A6"/>
    <w:rsid w:val="00A85A2C"/>
    <w:rsid w:val="00A85C89"/>
    <w:rsid w:val="00A85DAB"/>
    <w:rsid w:val="00A86BD9"/>
    <w:rsid w:val="00A86EB0"/>
    <w:rsid w:val="00A87C39"/>
    <w:rsid w:val="00A87F59"/>
    <w:rsid w:val="00A9046C"/>
    <w:rsid w:val="00A9084E"/>
    <w:rsid w:val="00A92957"/>
    <w:rsid w:val="00A95AE0"/>
    <w:rsid w:val="00A95BD7"/>
    <w:rsid w:val="00A961B6"/>
    <w:rsid w:val="00A96239"/>
    <w:rsid w:val="00AA1F50"/>
    <w:rsid w:val="00AA24D5"/>
    <w:rsid w:val="00AA3373"/>
    <w:rsid w:val="00AA3546"/>
    <w:rsid w:val="00AA4417"/>
    <w:rsid w:val="00AA6490"/>
    <w:rsid w:val="00AA6602"/>
    <w:rsid w:val="00AB0F9A"/>
    <w:rsid w:val="00AB1D7B"/>
    <w:rsid w:val="00AB20AA"/>
    <w:rsid w:val="00AB29A2"/>
    <w:rsid w:val="00AB2E9C"/>
    <w:rsid w:val="00AB311E"/>
    <w:rsid w:val="00AB39BC"/>
    <w:rsid w:val="00AB4083"/>
    <w:rsid w:val="00AB4AF4"/>
    <w:rsid w:val="00AB5D50"/>
    <w:rsid w:val="00AB673C"/>
    <w:rsid w:val="00AC02DD"/>
    <w:rsid w:val="00AC1040"/>
    <w:rsid w:val="00AC1A37"/>
    <w:rsid w:val="00AC2C4C"/>
    <w:rsid w:val="00AC53AE"/>
    <w:rsid w:val="00AC5DAB"/>
    <w:rsid w:val="00AD0495"/>
    <w:rsid w:val="00AD0771"/>
    <w:rsid w:val="00AD08A6"/>
    <w:rsid w:val="00AD3417"/>
    <w:rsid w:val="00AD3476"/>
    <w:rsid w:val="00AD3976"/>
    <w:rsid w:val="00AD5145"/>
    <w:rsid w:val="00AD5911"/>
    <w:rsid w:val="00AD734F"/>
    <w:rsid w:val="00AE21A6"/>
    <w:rsid w:val="00AE2783"/>
    <w:rsid w:val="00AE6C69"/>
    <w:rsid w:val="00AE7114"/>
    <w:rsid w:val="00AF09CF"/>
    <w:rsid w:val="00AF12BE"/>
    <w:rsid w:val="00AF175B"/>
    <w:rsid w:val="00AF3092"/>
    <w:rsid w:val="00AF3D43"/>
    <w:rsid w:val="00AF6546"/>
    <w:rsid w:val="00AF66B9"/>
    <w:rsid w:val="00AF709D"/>
    <w:rsid w:val="00B005B6"/>
    <w:rsid w:val="00B0090A"/>
    <w:rsid w:val="00B01AC2"/>
    <w:rsid w:val="00B02618"/>
    <w:rsid w:val="00B02B81"/>
    <w:rsid w:val="00B0605A"/>
    <w:rsid w:val="00B07AE0"/>
    <w:rsid w:val="00B103BF"/>
    <w:rsid w:val="00B10792"/>
    <w:rsid w:val="00B11EE8"/>
    <w:rsid w:val="00B11FAD"/>
    <w:rsid w:val="00B12D15"/>
    <w:rsid w:val="00B14D27"/>
    <w:rsid w:val="00B14D36"/>
    <w:rsid w:val="00B16275"/>
    <w:rsid w:val="00B163C5"/>
    <w:rsid w:val="00B168E6"/>
    <w:rsid w:val="00B17556"/>
    <w:rsid w:val="00B217C5"/>
    <w:rsid w:val="00B219C7"/>
    <w:rsid w:val="00B22230"/>
    <w:rsid w:val="00B23755"/>
    <w:rsid w:val="00B2444A"/>
    <w:rsid w:val="00B24D55"/>
    <w:rsid w:val="00B27871"/>
    <w:rsid w:val="00B27CA6"/>
    <w:rsid w:val="00B27FE1"/>
    <w:rsid w:val="00B306B7"/>
    <w:rsid w:val="00B3107D"/>
    <w:rsid w:val="00B311E9"/>
    <w:rsid w:val="00B312C7"/>
    <w:rsid w:val="00B31CC1"/>
    <w:rsid w:val="00B32B8F"/>
    <w:rsid w:val="00B33560"/>
    <w:rsid w:val="00B33BCF"/>
    <w:rsid w:val="00B345B6"/>
    <w:rsid w:val="00B35E31"/>
    <w:rsid w:val="00B36115"/>
    <w:rsid w:val="00B36598"/>
    <w:rsid w:val="00B368C3"/>
    <w:rsid w:val="00B37171"/>
    <w:rsid w:val="00B37814"/>
    <w:rsid w:val="00B40F65"/>
    <w:rsid w:val="00B4100C"/>
    <w:rsid w:val="00B41195"/>
    <w:rsid w:val="00B42064"/>
    <w:rsid w:val="00B42A25"/>
    <w:rsid w:val="00B44F79"/>
    <w:rsid w:val="00B45F6E"/>
    <w:rsid w:val="00B4643F"/>
    <w:rsid w:val="00B46D14"/>
    <w:rsid w:val="00B47C0D"/>
    <w:rsid w:val="00B47F53"/>
    <w:rsid w:val="00B50B36"/>
    <w:rsid w:val="00B512D0"/>
    <w:rsid w:val="00B537CD"/>
    <w:rsid w:val="00B547E6"/>
    <w:rsid w:val="00B54EDF"/>
    <w:rsid w:val="00B551F9"/>
    <w:rsid w:val="00B568F1"/>
    <w:rsid w:val="00B57748"/>
    <w:rsid w:val="00B57AB1"/>
    <w:rsid w:val="00B60214"/>
    <w:rsid w:val="00B60611"/>
    <w:rsid w:val="00B636F0"/>
    <w:rsid w:val="00B648A0"/>
    <w:rsid w:val="00B64CC1"/>
    <w:rsid w:val="00B668E1"/>
    <w:rsid w:val="00B67062"/>
    <w:rsid w:val="00B67790"/>
    <w:rsid w:val="00B70348"/>
    <w:rsid w:val="00B70F4E"/>
    <w:rsid w:val="00B71EEE"/>
    <w:rsid w:val="00B72277"/>
    <w:rsid w:val="00B7261C"/>
    <w:rsid w:val="00B72E66"/>
    <w:rsid w:val="00B73527"/>
    <w:rsid w:val="00B73E75"/>
    <w:rsid w:val="00B74CA8"/>
    <w:rsid w:val="00B7513E"/>
    <w:rsid w:val="00B75886"/>
    <w:rsid w:val="00B759EB"/>
    <w:rsid w:val="00B75C5C"/>
    <w:rsid w:val="00B75D15"/>
    <w:rsid w:val="00B76A38"/>
    <w:rsid w:val="00B77E6E"/>
    <w:rsid w:val="00B80050"/>
    <w:rsid w:val="00B804EB"/>
    <w:rsid w:val="00B8055A"/>
    <w:rsid w:val="00B83DDA"/>
    <w:rsid w:val="00B861F6"/>
    <w:rsid w:val="00B86D39"/>
    <w:rsid w:val="00B87456"/>
    <w:rsid w:val="00B87BE3"/>
    <w:rsid w:val="00B908B8"/>
    <w:rsid w:val="00B909E3"/>
    <w:rsid w:val="00B90C0F"/>
    <w:rsid w:val="00B90DE3"/>
    <w:rsid w:val="00B921BB"/>
    <w:rsid w:val="00B93571"/>
    <w:rsid w:val="00B935E8"/>
    <w:rsid w:val="00B93895"/>
    <w:rsid w:val="00B96418"/>
    <w:rsid w:val="00B966AD"/>
    <w:rsid w:val="00B96FC3"/>
    <w:rsid w:val="00BA025A"/>
    <w:rsid w:val="00BA0B58"/>
    <w:rsid w:val="00BA2500"/>
    <w:rsid w:val="00BA2ADF"/>
    <w:rsid w:val="00BA2ED4"/>
    <w:rsid w:val="00BA3133"/>
    <w:rsid w:val="00BA3247"/>
    <w:rsid w:val="00BA394E"/>
    <w:rsid w:val="00BA4BF0"/>
    <w:rsid w:val="00BA4F5A"/>
    <w:rsid w:val="00BA7BA6"/>
    <w:rsid w:val="00BB005C"/>
    <w:rsid w:val="00BB0445"/>
    <w:rsid w:val="00BB05DC"/>
    <w:rsid w:val="00BB07E3"/>
    <w:rsid w:val="00BB0B4E"/>
    <w:rsid w:val="00BB1BCA"/>
    <w:rsid w:val="00BB308F"/>
    <w:rsid w:val="00BB3AF8"/>
    <w:rsid w:val="00BB40A8"/>
    <w:rsid w:val="00BB5195"/>
    <w:rsid w:val="00BB5286"/>
    <w:rsid w:val="00BB59C0"/>
    <w:rsid w:val="00BB6D5E"/>
    <w:rsid w:val="00BB6EAD"/>
    <w:rsid w:val="00BB6F0B"/>
    <w:rsid w:val="00BC051C"/>
    <w:rsid w:val="00BC09CA"/>
    <w:rsid w:val="00BC0CE6"/>
    <w:rsid w:val="00BC2B00"/>
    <w:rsid w:val="00BC3CA9"/>
    <w:rsid w:val="00BC3F44"/>
    <w:rsid w:val="00BC4EBB"/>
    <w:rsid w:val="00BC5BE0"/>
    <w:rsid w:val="00BC5D06"/>
    <w:rsid w:val="00BC6B7E"/>
    <w:rsid w:val="00BD12EA"/>
    <w:rsid w:val="00BD142C"/>
    <w:rsid w:val="00BD1A7E"/>
    <w:rsid w:val="00BD21E3"/>
    <w:rsid w:val="00BD275C"/>
    <w:rsid w:val="00BD2C72"/>
    <w:rsid w:val="00BD3D19"/>
    <w:rsid w:val="00BD3E56"/>
    <w:rsid w:val="00BD4221"/>
    <w:rsid w:val="00BD45AF"/>
    <w:rsid w:val="00BD50FB"/>
    <w:rsid w:val="00BD527A"/>
    <w:rsid w:val="00BD5CC8"/>
    <w:rsid w:val="00BD5EEB"/>
    <w:rsid w:val="00BD5F9F"/>
    <w:rsid w:val="00BD68A5"/>
    <w:rsid w:val="00BD6917"/>
    <w:rsid w:val="00BD6E49"/>
    <w:rsid w:val="00BD7489"/>
    <w:rsid w:val="00BD74EC"/>
    <w:rsid w:val="00BD7AB1"/>
    <w:rsid w:val="00BD7D77"/>
    <w:rsid w:val="00BE069B"/>
    <w:rsid w:val="00BE07B2"/>
    <w:rsid w:val="00BE0B4D"/>
    <w:rsid w:val="00BE145B"/>
    <w:rsid w:val="00BE1D7D"/>
    <w:rsid w:val="00BE2922"/>
    <w:rsid w:val="00BE2956"/>
    <w:rsid w:val="00BE318B"/>
    <w:rsid w:val="00BE40D6"/>
    <w:rsid w:val="00BE4521"/>
    <w:rsid w:val="00BE470E"/>
    <w:rsid w:val="00BE7053"/>
    <w:rsid w:val="00BE70A5"/>
    <w:rsid w:val="00BE77A7"/>
    <w:rsid w:val="00BF064E"/>
    <w:rsid w:val="00BF0898"/>
    <w:rsid w:val="00BF56CF"/>
    <w:rsid w:val="00BF5876"/>
    <w:rsid w:val="00BF7ABF"/>
    <w:rsid w:val="00BF7E10"/>
    <w:rsid w:val="00C00C65"/>
    <w:rsid w:val="00C02227"/>
    <w:rsid w:val="00C0366E"/>
    <w:rsid w:val="00C03848"/>
    <w:rsid w:val="00C04940"/>
    <w:rsid w:val="00C04C34"/>
    <w:rsid w:val="00C0505E"/>
    <w:rsid w:val="00C05724"/>
    <w:rsid w:val="00C061CA"/>
    <w:rsid w:val="00C07DEC"/>
    <w:rsid w:val="00C07F6B"/>
    <w:rsid w:val="00C10D28"/>
    <w:rsid w:val="00C12C05"/>
    <w:rsid w:val="00C13350"/>
    <w:rsid w:val="00C13877"/>
    <w:rsid w:val="00C14137"/>
    <w:rsid w:val="00C151CC"/>
    <w:rsid w:val="00C15F2E"/>
    <w:rsid w:val="00C16A4F"/>
    <w:rsid w:val="00C17523"/>
    <w:rsid w:val="00C1764C"/>
    <w:rsid w:val="00C17C84"/>
    <w:rsid w:val="00C17F9A"/>
    <w:rsid w:val="00C20C72"/>
    <w:rsid w:val="00C20E0D"/>
    <w:rsid w:val="00C2124D"/>
    <w:rsid w:val="00C21AA9"/>
    <w:rsid w:val="00C23D3C"/>
    <w:rsid w:val="00C23FB6"/>
    <w:rsid w:val="00C240AB"/>
    <w:rsid w:val="00C249BB"/>
    <w:rsid w:val="00C25F02"/>
    <w:rsid w:val="00C261E0"/>
    <w:rsid w:val="00C30399"/>
    <w:rsid w:val="00C30E3F"/>
    <w:rsid w:val="00C30FD5"/>
    <w:rsid w:val="00C3131E"/>
    <w:rsid w:val="00C31E5F"/>
    <w:rsid w:val="00C3298E"/>
    <w:rsid w:val="00C342E4"/>
    <w:rsid w:val="00C35CD9"/>
    <w:rsid w:val="00C37856"/>
    <w:rsid w:val="00C40D5E"/>
    <w:rsid w:val="00C426CB"/>
    <w:rsid w:val="00C43354"/>
    <w:rsid w:val="00C4405A"/>
    <w:rsid w:val="00C44890"/>
    <w:rsid w:val="00C44912"/>
    <w:rsid w:val="00C44E47"/>
    <w:rsid w:val="00C45C1A"/>
    <w:rsid w:val="00C46220"/>
    <w:rsid w:val="00C466E9"/>
    <w:rsid w:val="00C47826"/>
    <w:rsid w:val="00C47A89"/>
    <w:rsid w:val="00C50368"/>
    <w:rsid w:val="00C50605"/>
    <w:rsid w:val="00C51AB6"/>
    <w:rsid w:val="00C51B45"/>
    <w:rsid w:val="00C52551"/>
    <w:rsid w:val="00C531FB"/>
    <w:rsid w:val="00C54A27"/>
    <w:rsid w:val="00C559AE"/>
    <w:rsid w:val="00C60216"/>
    <w:rsid w:val="00C602C6"/>
    <w:rsid w:val="00C60558"/>
    <w:rsid w:val="00C633C5"/>
    <w:rsid w:val="00C633CA"/>
    <w:rsid w:val="00C6453D"/>
    <w:rsid w:val="00C64675"/>
    <w:rsid w:val="00C64AB8"/>
    <w:rsid w:val="00C71004"/>
    <w:rsid w:val="00C715AD"/>
    <w:rsid w:val="00C71B42"/>
    <w:rsid w:val="00C71E5C"/>
    <w:rsid w:val="00C7276C"/>
    <w:rsid w:val="00C74AA7"/>
    <w:rsid w:val="00C75817"/>
    <w:rsid w:val="00C75E4E"/>
    <w:rsid w:val="00C764BB"/>
    <w:rsid w:val="00C77085"/>
    <w:rsid w:val="00C8066F"/>
    <w:rsid w:val="00C809F9"/>
    <w:rsid w:val="00C80D0B"/>
    <w:rsid w:val="00C81B23"/>
    <w:rsid w:val="00C8231F"/>
    <w:rsid w:val="00C82446"/>
    <w:rsid w:val="00C8297A"/>
    <w:rsid w:val="00C83356"/>
    <w:rsid w:val="00C853A3"/>
    <w:rsid w:val="00C863A5"/>
    <w:rsid w:val="00C86667"/>
    <w:rsid w:val="00C87A9F"/>
    <w:rsid w:val="00C92A3B"/>
    <w:rsid w:val="00C92EBC"/>
    <w:rsid w:val="00C94584"/>
    <w:rsid w:val="00C94FC6"/>
    <w:rsid w:val="00C9543F"/>
    <w:rsid w:val="00C95DD4"/>
    <w:rsid w:val="00C9641E"/>
    <w:rsid w:val="00C96CA0"/>
    <w:rsid w:val="00C9792D"/>
    <w:rsid w:val="00C97E32"/>
    <w:rsid w:val="00CA098D"/>
    <w:rsid w:val="00CA0EA4"/>
    <w:rsid w:val="00CA1596"/>
    <w:rsid w:val="00CA19BF"/>
    <w:rsid w:val="00CA211C"/>
    <w:rsid w:val="00CA2256"/>
    <w:rsid w:val="00CA43D7"/>
    <w:rsid w:val="00CA77EA"/>
    <w:rsid w:val="00CB02F4"/>
    <w:rsid w:val="00CB24A3"/>
    <w:rsid w:val="00CB277A"/>
    <w:rsid w:val="00CB27C7"/>
    <w:rsid w:val="00CB2828"/>
    <w:rsid w:val="00CB36BC"/>
    <w:rsid w:val="00CB3AA0"/>
    <w:rsid w:val="00CB5904"/>
    <w:rsid w:val="00CB6185"/>
    <w:rsid w:val="00CB64B7"/>
    <w:rsid w:val="00CB72AD"/>
    <w:rsid w:val="00CC01CC"/>
    <w:rsid w:val="00CC045D"/>
    <w:rsid w:val="00CC0D21"/>
    <w:rsid w:val="00CC15C9"/>
    <w:rsid w:val="00CC4073"/>
    <w:rsid w:val="00CC43A8"/>
    <w:rsid w:val="00CC44E4"/>
    <w:rsid w:val="00CC5489"/>
    <w:rsid w:val="00CC5C7F"/>
    <w:rsid w:val="00CC5EB3"/>
    <w:rsid w:val="00CC6BA9"/>
    <w:rsid w:val="00CC6FD6"/>
    <w:rsid w:val="00CC7334"/>
    <w:rsid w:val="00CC743B"/>
    <w:rsid w:val="00CC7E05"/>
    <w:rsid w:val="00CD11F0"/>
    <w:rsid w:val="00CD2C5C"/>
    <w:rsid w:val="00CD3F0A"/>
    <w:rsid w:val="00CD484C"/>
    <w:rsid w:val="00CD50EA"/>
    <w:rsid w:val="00CD66CA"/>
    <w:rsid w:val="00CD6862"/>
    <w:rsid w:val="00CD6EC6"/>
    <w:rsid w:val="00CD79C4"/>
    <w:rsid w:val="00CD7C4D"/>
    <w:rsid w:val="00CE068C"/>
    <w:rsid w:val="00CE092F"/>
    <w:rsid w:val="00CE2886"/>
    <w:rsid w:val="00CE311A"/>
    <w:rsid w:val="00CE34A2"/>
    <w:rsid w:val="00CE3769"/>
    <w:rsid w:val="00CE3862"/>
    <w:rsid w:val="00CE3D95"/>
    <w:rsid w:val="00CE62E0"/>
    <w:rsid w:val="00CF0060"/>
    <w:rsid w:val="00CF040B"/>
    <w:rsid w:val="00CF06D5"/>
    <w:rsid w:val="00CF1114"/>
    <w:rsid w:val="00CF29A0"/>
    <w:rsid w:val="00CF2C74"/>
    <w:rsid w:val="00CF3BA0"/>
    <w:rsid w:val="00CF4AC4"/>
    <w:rsid w:val="00CF5DC4"/>
    <w:rsid w:val="00CF6027"/>
    <w:rsid w:val="00CF616B"/>
    <w:rsid w:val="00CF61A0"/>
    <w:rsid w:val="00CF62CF"/>
    <w:rsid w:val="00D00934"/>
    <w:rsid w:val="00D02D0C"/>
    <w:rsid w:val="00D05443"/>
    <w:rsid w:val="00D060A0"/>
    <w:rsid w:val="00D110B2"/>
    <w:rsid w:val="00D12565"/>
    <w:rsid w:val="00D129D9"/>
    <w:rsid w:val="00D15076"/>
    <w:rsid w:val="00D171FA"/>
    <w:rsid w:val="00D2043C"/>
    <w:rsid w:val="00D22AE6"/>
    <w:rsid w:val="00D23533"/>
    <w:rsid w:val="00D260C5"/>
    <w:rsid w:val="00D26CB0"/>
    <w:rsid w:val="00D2793E"/>
    <w:rsid w:val="00D306F4"/>
    <w:rsid w:val="00D30EF9"/>
    <w:rsid w:val="00D31252"/>
    <w:rsid w:val="00D312CC"/>
    <w:rsid w:val="00D31B75"/>
    <w:rsid w:val="00D325E9"/>
    <w:rsid w:val="00D33216"/>
    <w:rsid w:val="00D3353D"/>
    <w:rsid w:val="00D34F43"/>
    <w:rsid w:val="00D3563A"/>
    <w:rsid w:val="00D36031"/>
    <w:rsid w:val="00D3648A"/>
    <w:rsid w:val="00D3721F"/>
    <w:rsid w:val="00D40955"/>
    <w:rsid w:val="00D40C2D"/>
    <w:rsid w:val="00D418D6"/>
    <w:rsid w:val="00D42605"/>
    <w:rsid w:val="00D43379"/>
    <w:rsid w:val="00D4505C"/>
    <w:rsid w:val="00D47568"/>
    <w:rsid w:val="00D5002D"/>
    <w:rsid w:val="00D50941"/>
    <w:rsid w:val="00D50C01"/>
    <w:rsid w:val="00D50F7F"/>
    <w:rsid w:val="00D52047"/>
    <w:rsid w:val="00D52069"/>
    <w:rsid w:val="00D5396A"/>
    <w:rsid w:val="00D54782"/>
    <w:rsid w:val="00D554AF"/>
    <w:rsid w:val="00D56CFA"/>
    <w:rsid w:val="00D56EF0"/>
    <w:rsid w:val="00D57348"/>
    <w:rsid w:val="00D5787B"/>
    <w:rsid w:val="00D57DD8"/>
    <w:rsid w:val="00D6067D"/>
    <w:rsid w:val="00D614D2"/>
    <w:rsid w:val="00D6235C"/>
    <w:rsid w:val="00D624F8"/>
    <w:rsid w:val="00D62573"/>
    <w:rsid w:val="00D64DD7"/>
    <w:rsid w:val="00D6659D"/>
    <w:rsid w:val="00D66763"/>
    <w:rsid w:val="00D66AE3"/>
    <w:rsid w:val="00D676BA"/>
    <w:rsid w:val="00D7056F"/>
    <w:rsid w:val="00D707B9"/>
    <w:rsid w:val="00D70884"/>
    <w:rsid w:val="00D70967"/>
    <w:rsid w:val="00D73D12"/>
    <w:rsid w:val="00D73DFC"/>
    <w:rsid w:val="00D741CA"/>
    <w:rsid w:val="00D742B5"/>
    <w:rsid w:val="00D757BF"/>
    <w:rsid w:val="00D7623A"/>
    <w:rsid w:val="00D7652A"/>
    <w:rsid w:val="00D769F2"/>
    <w:rsid w:val="00D76BD8"/>
    <w:rsid w:val="00D7754F"/>
    <w:rsid w:val="00D77C83"/>
    <w:rsid w:val="00D815F0"/>
    <w:rsid w:val="00D82844"/>
    <w:rsid w:val="00D82F29"/>
    <w:rsid w:val="00D83EF4"/>
    <w:rsid w:val="00D84897"/>
    <w:rsid w:val="00D848D3"/>
    <w:rsid w:val="00D8633C"/>
    <w:rsid w:val="00D86514"/>
    <w:rsid w:val="00D9063C"/>
    <w:rsid w:val="00D93936"/>
    <w:rsid w:val="00D940BF"/>
    <w:rsid w:val="00D95129"/>
    <w:rsid w:val="00D95188"/>
    <w:rsid w:val="00D96367"/>
    <w:rsid w:val="00D9747A"/>
    <w:rsid w:val="00D975B1"/>
    <w:rsid w:val="00D97EF4"/>
    <w:rsid w:val="00DA003D"/>
    <w:rsid w:val="00DA0DD1"/>
    <w:rsid w:val="00DA1B82"/>
    <w:rsid w:val="00DA1CEA"/>
    <w:rsid w:val="00DA2349"/>
    <w:rsid w:val="00DA2B2F"/>
    <w:rsid w:val="00DA3889"/>
    <w:rsid w:val="00DA39A5"/>
    <w:rsid w:val="00DA789B"/>
    <w:rsid w:val="00DB1071"/>
    <w:rsid w:val="00DB2233"/>
    <w:rsid w:val="00DB3549"/>
    <w:rsid w:val="00DB3B1D"/>
    <w:rsid w:val="00DB3F1A"/>
    <w:rsid w:val="00DB4822"/>
    <w:rsid w:val="00DB4A9B"/>
    <w:rsid w:val="00DB4AB6"/>
    <w:rsid w:val="00DB52FF"/>
    <w:rsid w:val="00DB57CF"/>
    <w:rsid w:val="00DB5919"/>
    <w:rsid w:val="00DB6542"/>
    <w:rsid w:val="00DB761C"/>
    <w:rsid w:val="00DB7DA5"/>
    <w:rsid w:val="00DC1E69"/>
    <w:rsid w:val="00DC2305"/>
    <w:rsid w:val="00DC38EE"/>
    <w:rsid w:val="00DC3E3D"/>
    <w:rsid w:val="00DC416D"/>
    <w:rsid w:val="00DC4494"/>
    <w:rsid w:val="00DC48DF"/>
    <w:rsid w:val="00DC4A1B"/>
    <w:rsid w:val="00DC5EEF"/>
    <w:rsid w:val="00DD0D1A"/>
    <w:rsid w:val="00DD0DB2"/>
    <w:rsid w:val="00DD2044"/>
    <w:rsid w:val="00DD2A57"/>
    <w:rsid w:val="00DD2DE8"/>
    <w:rsid w:val="00DD324A"/>
    <w:rsid w:val="00DD3361"/>
    <w:rsid w:val="00DD514E"/>
    <w:rsid w:val="00DD57BA"/>
    <w:rsid w:val="00DE2986"/>
    <w:rsid w:val="00DE29C3"/>
    <w:rsid w:val="00DE34DA"/>
    <w:rsid w:val="00DE4377"/>
    <w:rsid w:val="00DE563C"/>
    <w:rsid w:val="00DF0BCB"/>
    <w:rsid w:val="00DF0F6A"/>
    <w:rsid w:val="00DF131F"/>
    <w:rsid w:val="00DF187D"/>
    <w:rsid w:val="00DF21D3"/>
    <w:rsid w:val="00DF2C1A"/>
    <w:rsid w:val="00DF2E42"/>
    <w:rsid w:val="00DF4731"/>
    <w:rsid w:val="00DF4B32"/>
    <w:rsid w:val="00DF52DE"/>
    <w:rsid w:val="00DF5658"/>
    <w:rsid w:val="00DF5FAE"/>
    <w:rsid w:val="00E01996"/>
    <w:rsid w:val="00E01E9C"/>
    <w:rsid w:val="00E0210B"/>
    <w:rsid w:val="00E02208"/>
    <w:rsid w:val="00E0230B"/>
    <w:rsid w:val="00E0244F"/>
    <w:rsid w:val="00E03481"/>
    <w:rsid w:val="00E03A59"/>
    <w:rsid w:val="00E041E0"/>
    <w:rsid w:val="00E06416"/>
    <w:rsid w:val="00E12F6A"/>
    <w:rsid w:val="00E130D8"/>
    <w:rsid w:val="00E14B07"/>
    <w:rsid w:val="00E1511F"/>
    <w:rsid w:val="00E153F4"/>
    <w:rsid w:val="00E16EEC"/>
    <w:rsid w:val="00E209DB"/>
    <w:rsid w:val="00E20AFC"/>
    <w:rsid w:val="00E2120A"/>
    <w:rsid w:val="00E21C09"/>
    <w:rsid w:val="00E21E50"/>
    <w:rsid w:val="00E22DDC"/>
    <w:rsid w:val="00E2353B"/>
    <w:rsid w:val="00E24082"/>
    <w:rsid w:val="00E2426F"/>
    <w:rsid w:val="00E268AD"/>
    <w:rsid w:val="00E278BD"/>
    <w:rsid w:val="00E306EB"/>
    <w:rsid w:val="00E308DA"/>
    <w:rsid w:val="00E31443"/>
    <w:rsid w:val="00E336D2"/>
    <w:rsid w:val="00E34811"/>
    <w:rsid w:val="00E34D04"/>
    <w:rsid w:val="00E35D2F"/>
    <w:rsid w:val="00E3602F"/>
    <w:rsid w:val="00E36866"/>
    <w:rsid w:val="00E40C65"/>
    <w:rsid w:val="00E4144D"/>
    <w:rsid w:val="00E445DE"/>
    <w:rsid w:val="00E4536F"/>
    <w:rsid w:val="00E45FD7"/>
    <w:rsid w:val="00E460ED"/>
    <w:rsid w:val="00E462F0"/>
    <w:rsid w:val="00E46BB5"/>
    <w:rsid w:val="00E470E5"/>
    <w:rsid w:val="00E47E3E"/>
    <w:rsid w:val="00E51452"/>
    <w:rsid w:val="00E5220D"/>
    <w:rsid w:val="00E52306"/>
    <w:rsid w:val="00E52C73"/>
    <w:rsid w:val="00E53A75"/>
    <w:rsid w:val="00E54105"/>
    <w:rsid w:val="00E544C5"/>
    <w:rsid w:val="00E55541"/>
    <w:rsid w:val="00E561A9"/>
    <w:rsid w:val="00E56567"/>
    <w:rsid w:val="00E5667C"/>
    <w:rsid w:val="00E57621"/>
    <w:rsid w:val="00E5779C"/>
    <w:rsid w:val="00E631E9"/>
    <w:rsid w:val="00E63502"/>
    <w:rsid w:val="00E6355E"/>
    <w:rsid w:val="00E6358D"/>
    <w:rsid w:val="00E63612"/>
    <w:rsid w:val="00E6380D"/>
    <w:rsid w:val="00E63E54"/>
    <w:rsid w:val="00E63F2F"/>
    <w:rsid w:val="00E63FAB"/>
    <w:rsid w:val="00E646CE"/>
    <w:rsid w:val="00E65FEC"/>
    <w:rsid w:val="00E67408"/>
    <w:rsid w:val="00E675C0"/>
    <w:rsid w:val="00E67B25"/>
    <w:rsid w:val="00E71805"/>
    <w:rsid w:val="00E723D1"/>
    <w:rsid w:val="00E7253C"/>
    <w:rsid w:val="00E727FE"/>
    <w:rsid w:val="00E742AE"/>
    <w:rsid w:val="00E7593D"/>
    <w:rsid w:val="00E7690E"/>
    <w:rsid w:val="00E76992"/>
    <w:rsid w:val="00E7763D"/>
    <w:rsid w:val="00E8024C"/>
    <w:rsid w:val="00E81087"/>
    <w:rsid w:val="00E811A6"/>
    <w:rsid w:val="00E823CD"/>
    <w:rsid w:val="00E834C5"/>
    <w:rsid w:val="00E83992"/>
    <w:rsid w:val="00E85E78"/>
    <w:rsid w:val="00E85E9C"/>
    <w:rsid w:val="00E85EE5"/>
    <w:rsid w:val="00E864BD"/>
    <w:rsid w:val="00E87235"/>
    <w:rsid w:val="00E87AAF"/>
    <w:rsid w:val="00E9001B"/>
    <w:rsid w:val="00E9023F"/>
    <w:rsid w:val="00E91029"/>
    <w:rsid w:val="00E922DF"/>
    <w:rsid w:val="00E9236A"/>
    <w:rsid w:val="00E92C01"/>
    <w:rsid w:val="00E9547B"/>
    <w:rsid w:val="00E96000"/>
    <w:rsid w:val="00E979F7"/>
    <w:rsid w:val="00EA0740"/>
    <w:rsid w:val="00EA11EB"/>
    <w:rsid w:val="00EA1520"/>
    <w:rsid w:val="00EA2AA3"/>
    <w:rsid w:val="00EA3115"/>
    <w:rsid w:val="00EA6F46"/>
    <w:rsid w:val="00EA71C2"/>
    <w:rsid w:val="00EA7361"/>
    <w:rsid w:val="00EA79DE"/>
    <w:rsid w:val="00EA7A4D"/>
    <w:rsid w:val="00EB1AB6"/>
    <w:rsid w:val="00EB218C"/>
    <w:rsid w:val="00EB3372"/>
    <w:rsid w:val="00EB393C"/>
    <w:rsid w:val="00EB39F9"/>
    <w:rsid w:val="00EB47DD"/>
    <w:rsid w:val="00EB49F7"/>
    <w:rsid w:val="00EB6034"/>
    <w:rsid w:val="00EC0718"/>
    <w:rsid w:val="00EC0818"/>
    <w:rsid w:val="00EC08A0"/>
    <w:rsid w:val="00EC0942"/>
    <w:rsid w:val="00EC0C18"/>
    <w:rsid w:val="00EC0DDB"/>
    <w:rsid w:val="00EC0F07"/>
    <w:rsid w:val="00EC43E1"/>
    <w:rsid w:val="00EC442D"/>
    <w:rsid w:val="00EC66B0"/>
    <w:rsid w:val="00EC7667"/>
    <w:rsid w:val="00EC7F27"/>
    <w:rsid w:val="00ED0806"/>
    <w:rsid w:val="00ED0F8F"/>
    <w:rsid w:val="00ED1389"/>
    <w:rsid w:val="00ED2171"/>
    <w:rsid w:val="00ED2294"/>
    <w:rsid w:val="00ED38DC"/>
    <w:rsid w:val="00ED3942"/>
    <w:rsid w:val="00ED5650"/>
    <w:rsid w:val="00ED6804"/>
    <w:rsid w:val="00ED6DAF"/>
    <w:rsid w:val="00ED75D7"/>
    <w:rsid w:val="00ED76CE"/>
    <w:rsid w:val="00ED7D0E"/>
    <w:rsid w:val="00EE01EE"/>
    <w:rsid w:val="00EE104F"/>
    <w:rsid w:val="00EE2607"/>
    <w:rsid w:val="00EE2830"/>
    <w:rsid w:val="00EE2B30"/>
    <w:rsid w:val="00EE2C0C"/>
    <w:rsid w:val="00EE3051"/>
    <w:rsid w:val="00EE43CE"/>
    <w:rsid w:val="00EE47C9"/>
    <w:rsid w:val="00EE4D2C"/>
    <w:rsid w:val="00EE5577"/>
    <w:rsid w:val="00EE631F"/>
    <w:rsid w:val="00EE675E"/>
    <w:rsid w:val="00EF016E"/>
    <w:rsid w:val="00EF0994"/>
    <w:rsid w:val="00EF106A"/>
    <w:rsid w:val="00EF38A4"/>
    <w:rsid w:val="00EF4D17"/>
    <w:rsid w:val="00EF5CD7"/>
    <w:rsid w:val="00EF68C7"/>
    <w:rsid w:val="00EF6991"/>
    <w:rsid w:val="00EF6CCC"/>
    <w:rsid w:val="00EF6F31"/>
    <w:rsid w:val="00EF73A3"/>
    <w:rsid w:val="00F004A0"/>
    <w:rsid w:val="00F006D1"/>
    <w:rsid w:val="00F01C78"/>
    <w:rsid w:val="00F02405"/>
    <w:rsid w:val="00F02986"/>
    <w:rsid w:val="00F033DB"/>
    <w:rsid w:val="00F03AF2"/>
    <w:rsid w:val="00F06087"/>
    <w:rsid w:val="00F1027B"/>
    <w:rsid w:val="00F11836"/>
    <w:rsid w:val="00F12E70"/>
    <w:rsid w:val="00F130B8"/>
    <w:rsid w:val="00F131F1"/>
    <w:rsid w:val="00F13D4C"/>
    <w:rsid w:val="00F14661"/>
    <w:rsid w:val="00F154AA"/>
    <w:rsid w:val="00F159B2"/>
    <w:rsid w:val="00F162A8"/>
    <w:rsid w:val="00F17EFF"/>
    <w:rsid w:val="00F20813"/>
    <w:rsid w:val="00F21CD3"/>
    <w:rsid w:val="00F2283B"/>
    <w:rsid w:val="00F23458"/>
    <w:rsid w:val="00F25332"/>
    <w:rsid w:val="00F255CC"/>
    <w:rsid w:val="00F26048"/>
    <w:rsid w:val="00F26AE1"/>
    <w:rsid w:val="00F301E6"/>
    <w:rsid w:val="00F32988"/>
    <w:rsid w:val="00F33393"/>
    <w:rsid w:val="00F333BA"/>
    <w:rsid w:val="00F33DEF"/>
    <w:rsid w:val="00F3661F"/>
    <w:rsid w:val="00F36BA9"/>
    <w:rsid w:val="00F377B8"/>
    <w:rsid w:val="00F37831"/>
    <w:rsid w:val="00F402B2"/>
    <w:rsid w:val="00F40D30"/>
    <w:rsid w:val="00F41C25"/>
    <w:rsid w:val="00F431F3"/>
    <w:rsid w:val="00F4410F"/>
    <w:rsid w:val="00F4441B"/>
    <w:rsid w:val="00F46018"/>
    <w:rsid w:val="00F464A6"/>
    <w:rsid w:val="00F46B6D"/>
    <w:rsid w:val="00F47063"/>
    <w:rsid w:val="00F47376"/>
    <w:rsid w:val="00F47DD5"/>
    <w:rsid w:val="00F50489"/>
    <w:rsid w:val="00F50AA9"/>
    <w:rsid w:val="00F50F23"/>
    <w:rsid w:val="00F50FBB"/>
    <w:rsid w:val="00F5171E"/>
    <w:rsid w:val="00F517C8"/>
    <w:rsid w:val="00F52CE6"/>
    <w:rsid w:val="00F5307F"/>
    <w:rsid w:val="00F54024"/>
    <w:rsid w:val="00F55A79"/>
    <w:rsid w:val="00F55C9E"/>
    <w:rsid w:val="00F561B0"/>
    <w:rsid w:val="00F56A08"/>
    <w:rsid w:val="00F57E1D"/>
    <w:rsid w:val="00F60EB5"/>
    <w:rsid w:val="00F60F12"/>
    <w:rsid w:val="00F6157C"/>
    <w:rsid w:val="00F62977"/>
    <w:rsid w:val="00F62E14"/>
    <w:rsid w:val="00F62ED5"/>
    <w:rsid w:val="00F639CE"/>
    <w:rsid w:val="00F64146"/>
    <w:rsid w:val="00F64E24"/>
    <w:rsid w:val="00F64EE3"/>
    <w:rsid w:val="00F652FE"/>
    <w:rsid w:val="00F66676"/>
    <w:rsid w:val="00F700F4"/>
    <w:rsid w:val="00F70324"/>
    <w:rsid w:val="00F705FB"/>
    <w:rsid w:val="00F71904"/>
    <w:rsid w:val="00F71DFB"/>
    <w:rsid w:val="00F71E43"/>
    <w:rsid w:val="00F726BB"/>
    <w:rsid w:val="00F72C08"/>
    <w:rsid w:val="00F73068"/>
    <w:rsid w:val="00F75723"/>
    <w:rsid w:val="00F75F06"/>
    <w:rsid w:val="00F774AD"/>
    <w:rsid w:val="00F777EE"/>
    <w:rsid w:val="00F8148E"/>
    <w:rsid w:val="00F81553"/>
    <w:rsid w:val="00F82BBF"/>
    <w:rsid w:val="00F836DC"/>
    <w:rsid w:val="00F844A0"/>
    <w:rsid w:val="00F84747"/>
    <w:rsid w:val="00F8491E"/>
    <w:rsid w:val="00F84EBB"/>
    <w:rsid w:val="00F85764"/>
    <w:rsid w:val="00F85CBB"/>
    <w:rsid w:val="00F867FC"/>
    <w:rsid w:val="00F87AB3"/>
    <w:rsid w:val="00F87E8E"/>
    <w:rsid w:val="00F91FB0"/>
    <w:rsid w:val="00F923A5"/>
    <w:rsid w:val="00F93C79"/>
    <w:rsid w:val="00F943B2"/>
    <w:rsid w:val="00F946A9"/>
    <w:rsid w:val="00F953AC"/>
    <w:rsid w:val="00F959C7"/>
    <w:rsid w:val="00F95FD7"/>
    <w:rsid w:val="00F96BE2"/>
    <w:rsid w:val="00F96DDE"/>
    <w:rsid w:val="00F97153"/>
    <w:rsid w:val="00F9742E"/>
    <w:rsid w:val="00FA03FE"/>
    <w:rsid w:val="00FA1F7E"/>
    <w:rsid w:val="00FA256C"/>
    <w:rsid w:val="00FA3815"/>
    <w:rsid w:val="00FA3C9C"/>
    <w:rsid w:val="00FA6020"/>
    <w:rsid w:val="00FA612D"/>
    <w:rsid w:val="00FA68C2"/>
    <w:rsid w:val="00FA68E8"/>
    <w:rsid w:val="00FA6ECC"/>
    <w:rsid w:val="00FA7E39"/>
    <w:rsid w:val="00FB2051"/>
    <w:rsid w:val="00FB27C3"/>
    <w:rsid w:val="00FB284B"/>
    <w:rsid w:val="00FB2867"/>
    <w:rsid w:val="00FB46A7"/>
    <w:rsid w:val="00FB4B11"/>
    <w:rsid w:val="00FB5A91"/>
    <w:rsid w:val="00FB6E71"/>
    <w:rsid w:val="00FB6E8D"/>
    <w:rsid w:val="00FB72E6"/>
    <w:rsid w:val="00FB76FD"/>
    <w:rsid w:val="00FC1879"/>
    <w:rsid w:val="00FC3CCC"/>
    <w:rsid w:val="00FC59BC"/>
    <w:rsid w:val="00FC5CFE"/>
    <w:rsid w:val="00FC5FF8"/>
    <w:rsid w:val="00FC62A3"/>
    <w:rsid w:val="00FC69D5"/>
    <w:rsid w:val="00FD0501"/>
    <w:rsid w:val="00FD0EE1"/>
    <w:rsid w:val="00FD1044"/>
    <w:rsid w:val="00FD190D"/>
    <w:rsid w:val="00FD4208"/>
    <w:rsid w:val="00FD741E"/>
    <w:rsid w:val="00FE0F8D"/>
    <w:rsid w:val="00FE1536"/>
    <w:rsid w:val="00FE2382"/>
    <w:rsid w:val="00FE29DC"/>
    <w:rsid w:val="00FE2E17"/>
    <w:rsid w:val="00FE3E7E"/>
    <w:rsid w:val="00FE5106"/>
    <w:rsid w:val="00FE587A"/>
    <w:rsid w:val="00FE5D3A"/>
    <w:rsid w:val="00FE6858"/>
    <w:rsid w:val="00FE6E28"/>
    <w:rsid w:val="00FE7980"/>
    <w:rsid w:val="00FF080E"/>
    <w:rsid w:val="00FF125E"/>
    <w:rsid w:val="00FF1436"/>
    <w:rsid w:val="00FF2ABC"/>
    <w:rsid w:val="00FF5171"/>
    <w:rsid w:val="00FF57E2"/>
    <w:rsid w:val="00FF6691"/>
    <w:rsid w:val="00FF6728"/>
    <w:rsid w:val="00FF6B6B"/>
    <w:rsid w:val="00FF7356"/>
    <w:rsid w:val="00FF757F"/>
    <w:rsid w:val="00FF7703"/>
    <w:rsid w:val="00FF78D9"/>
    <w:rsid w:val="00FF7D13"/>
    <w:rsid w:val="00FF7E6B"/>
    <w:rsid w:val="023D4326"/>
    <w:rsid w:val="04A2D39D"/>
    <w:rsid w:val="0D353577"/>
    <w:rsid w:val="0E388B1A"/>
    <w:rsid w:val="18EA121D"/>
    <w:rsid w:val="1ACBD1D2"/>
    <w:rsid w:val="1BEB6044"/>
    <w:rsid w:val="29DAD07D"/>
    <w:rsid w:val="2F76101F"/>
    <w:rsid w:val="3134600D"/>
    <w:rsid w:val="4203F3B2"/>
    <w:rsid w:val="4292D8C3"/>
    <w:rsid w:val="4439011F"/>
    <w:rsid w:val="4802C35B"/>
    <w:rsid w:val="4E7C6B93"/>
    <w:rsid w:val="5C990295"/>
    <w:rsid w:val="5D4B8F4C"/>
    <w:rsid w:val="6016FD19"/>
    <w:rsid w:val="63F8525A"/>
    <w:rsid w:val="689FB946"/>
    <w:rsid w:val="6A3B62FE"/>
    <w:rsid w:val="6BB2DFDB"/>
    <w:rsid w:val="712E3AAC"/>
    <w:rsid w:val="79CAB406"/>
    <w:rsid w:val="7D842421"/>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96028F"/>
  <w15:docId w15:val="{B0F25B92-0DE4-4A6D-BACF-25067B1E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B8"/>
    <w:pPr>
      <w:spacing w:line="240" w:lineRule="auto"/>
      <w:jc w:val="both"/>
    </w:pPr>
    <w:rPr>
      <w:rFonts w:ascii="EC Square Sans Pro" w:hAnsi="EC Square Sans Pro" w:cs="Times New Roman"/>
      <w:szCs w:val="24"/>
    </w:rPr>
  </w:style>
  <w:style w:type="paragraph" w:styleId="Heading1">
    <w:name w:val="heading 1"/>
    <w:basedOn w:val="Normal"/>
    <w:next w:val="Normal"/>
    <w:link w:val="Heading1Char"/>
    <w:uiPriority w:val="9"/>
    <w:qFormat/>
    <w:rsid w:val="00BE145B"/>
    <w:pPr>
      <w:keepNext/>
      <w:keepLines/>
      <w:numPr>
        <w:numId w:val="1"/>
      </w:numPr>
      <w:spacing w:before="360" w:after="240"/>
      <w:ind w:left="340" w:hanging="340"/>
      <w:outlineLvl w:val="0"/>
    </w:pPr>
    <w:rPr>
      <w:rFonts w:eastAsiaTheme="majorEastAsia" w:cstheme="majorBidi"/>
      <w:b/>
      <w:color w:val="034EA2" w:themeColor="accent1"/>
      <w:sz w:val="32"/>
      <w:szCs w:val="32"/>
    </w:rPr>
  </w:style>
  <w:style w:type="paragraph" w:styleId="Heading2">
    <w:name w:val="heading 2"/>
    <w:basedOn w:val="Normal"/>
    <w:next w:val="Normal"/>
    <w:link w:val="Heading2Char"/>
    <w:uiPriority w:val="9"/>
    <w:unhideWhenUsed/>
    <w:qFormat/>
    <w:rsid w:val="002703F1"/>
    <w:pPr>
      <w:keepNext/>
      <w:keepLines/>
      <w:spacing w:before="240"/>
      <w:outlineLvl w:val="1"/>
    </w:pPr>
    <w:rPr>
      <w:rFonts w:eastAsiaTheme="majorEastAsia" w:cstheme="majorBidi"/>
      <w:caps/>
      <w:color w:val="70AD47" w:themeColor="accent2"/>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45B"/>
    <w:rPr>
      <w:rFonts w:ascii="EC Square Sans Pro" w:eastAsiaTheme="majorEastAsia" w:hAnsi="EC Square Sans Pro" w:cstheme="majorBidi"/>
      <w:b/>
      <w:color w:val="034EA2" w:themeColor="accent1"/>
      <w:sz w:val="32"/>
      <w:szCs w:val="32"/>
      <w:lang w:val="cs-CZ"/>
    </w:rPr>
  </w:style>
  <w:style w:type="paragraph" w:styleId="Header">
    <w:name w:val="header"/>
    <w:basedOn w:val="Normal"/>
    <w:link w:val="HeaderChar"/>
    <w:uiPriority w:val="99"/>
    <w:unhideWhenUsed/>
    <w:rsid w:val="008B6253"/>
    <w:pPr>
      <w:tabs>
        <w:tab w:val="center" w:pos="4513"/>
        <w:tab w:val="right" w:pos="9026"/>
      </w:tabs>
      <w:spacing w:after="0"/>
    </w:pPr>
  </w:style>
  <w:style w:type="character" w:customStyle="1" w:styleId="HeaderChar">
    <w:name w:val="Header Char"/>
    <w:basedOn w:val="DefaultParagraphFont"/>
    <w:link w:val="Header"/>
    <w:uiPriority w:val="99"/>
    <w:rsid w:val="008B6253"/>
    <w:rPr>
      <w:rFonts w:ascii="Times New Roman" w:hAnsi="Times New Roman" w:cs="Times New Roman"/>
      <w:sz w:val="24"/>
      <w:szCs w:val="24"/>
      <w:lang w:val="cs-CZ"/>
    </w:rPr>
  </w:style>
  <w:style w:type="paragraph" w:styleId="Footer">
    <w:name w:val="footer"/>
    <w:basedOn w:val="Normal"/>
    <w:link w:val="FooterChar"/>
    <w:uiPriority w:val="99"/>
    <w:unhideWhenUsed/>
    <w:rsid w:val="008B6253"/>
    <w:pPr>
      <w:tabs>
        <w:tab w:val="center" w:pos="4513"/>
        <w:tab w:val="right" w:pos="9026"/>
      </w:tabs>
      <w:spacing w:after="0"/>
    </w:pPr>
  </w:style>
  <w:style w:type="character" w:customStyle="1" w:styleId="FooterChar">
    <w:name w:val="Footer Char"/>
    <w:basedOn w:val="DefaultParagraphFont"/>
    <w:link w:val="Footer"/>
    <w:uiPriority w:val="99"/>
    <w:rsid w:val="008B6253"/>
    <w:rPr>
      <w:rFonts w:ascii="Times New Roman" w:hAnsi="Times New Roman" w:cs="Times New Roman"/>
      <w:sz w:val="24"/>
      <w:szCs w:val="24"/>
      <w:lang w:val="cs-CZ"/>
    </w:rPr>
  </w:style>
  <w:style w:type="paragraph" w:customStyle="1" w:styleId="FooterCoverPage">
    <w:name w:val="Footer Cover Page"/>
    <w:basedOn w:val="Normal"/>
    <w:link w:val="FooterCoverPageChar"/>
    <w:rsid w:val="008B6253"/>
    <w:pPr>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sid w:val="008B6253"/>
    <w:rPr>
      <w:rFonts w:ascii="Times New Roman" w:hAnsi="Times New Roman" w:cs="Times New Roman"/>
      <w:sz w:val="24"/>
      <w:szCs w:val="24"/>
    </w:rPr>
  </w:style>
  <w:style w:type="paragraph" w:customStyle="1" w:styleId="HeaderCoverPage">
    <w:name w:val="Header Cover Page"/>
    <w:basedOn w:val="Normal"/>
    <w:link w:val="HeaderCoverPageChar"/>
    <w:rsid w:val="008B6253"/>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sid w:val="008B6253"/>
    <w:rPr>
      <w:rFonts w:ascii="Times New Roman" w:hAnsi="Times New Roman" w:cs="Times New Roman"/>
      <w:sz w:val="24"/>
      <w:szCs w:val="24"/>
    </w:r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
    <w:link w:val="BVIfnrChar"/>
    <w:uiPriority w:val="99"/>
    <w:qFormat/>
    <w:rsid w:val="008B6253"/>
    <w:rPr>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t"/>
    <w:basedOn w:val="Normal"/>
    <w:link w:val="FootnoteTextChar"/>
    <w:uiPriority w:val="99"/>
    <w:qFormat/>
    <w:rsid w:val="008B6253"/>
    <w:pPr>
      <w:spacing w:after="0"/>
      <w:ind w:left="720" w:hanging="720"/>
    </w:pPr>
    <w:rPr>
      <w:rFonts w:eastAsia="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basedOn w:val="DefaultParagraphFont"/>
    <w:link w:val="FootnoteText"/>
    <w:uiPriority w:val="99"/>
    <w:rsid w:val="008B6253"/>
    <w:rPr>
      <w:rFonts w:ascii="Times New Roman" w:eastAsia="Times New Roman" w:hAnsi="Times New Roman" w:cs="Times New Roman"/>
      <w:sz w:val="20"/>
      <w:szCs w:val="20"/>
      <w:lang w:val="cs-CZ"/>
    </w:rPr>
  </w:style>
  <w:style w:type="paragraph" w:styleId="TOC1">
    <w:name w:val="toc 1"/>
    <w:basedOn w:val="Normal"/>
    <w:next w:val="Normal"/>
    <w:uiPriority w:val="39"/>
    <w:qFormat/>
    <w:rsid w:val="008B6253"/>
    <w:pPr>
      <w:tabs>
        <w:tab w:val="right" w:leader="dot" w:pos="9071"/>
      </w:tabs>
      <w:spacing w:before="60" w:after="120"/>
      <w:ind w:left="850" w:hanging="850"/>
    </w:pPr>
    <w:rPr>
      <w:rFonts w:eastAsia="Times New Roman"/>
    </w:rPr>
  </w:style>
  <w:style w:type="paragraph" w:styleId="TOCHeading">
    <w:name w:val="TOC Heading"/>
    <w:basedOn w:val="Normal"/>
    <w:next w:val="Normal"/>
    <w:link w:val="TOCHeadingChar"/>
    <w:uiPriority w:val="39"/>
    <w:qFormat/>
    <w:rsid w:val="008B6253"/>
    <w:pPr>
      <w:spacing w:before="120" w:after="240"/>
      <w:jc w:val="center"/>
    </w:pPr>
    <w:rPr>
      <w:rFonts w:eastAsia="Times New Roman"/>
      <w:b/>
      <w:sz w:val="28"/>
    </w:rPr>
  </w:style>
  <w:style w:type="character" w:styleId="Hyperlink">
    <w:name w:val="Hyperlink"/>
    <w:uiPriority w:val="99"/>
    <w:rsid w:val="008B6253"/>
    <w:rPr>
      <w:rFonts w:cs="Times New Roman"/>
      <w:color w:val="0000FF"/>
      <w:u w:val="single"/>
      <w:shd w:val="clear" w:color="auto" w:fill="auto"/>
    </w:rPr>
  </w:style>
  <w:style w:type="character" w:customStyle="1" w:styleId="TOCHeadingChar">
    <w:name w:val="TOC Heading Char"/>
    <w:link w:val="TOCHeading"/>
    <w:uiPriority w:val="39"/>
    <w:rsid w:val="008B6253"/>
    <w:rPr>
      <w:rFonts w:ascii="Times New Roman" w:eastAsia="Times New Roman" w:hAnsi="Times New Roman" w:cs="Times New Roman"/>
      <w:b/>
      <w:sz w:val="28"/>
      <w:szCs w:val="24"/>
      <w:lang w:val="cs-CZ"/>
    </w:rPr>
  </w:style>
  <w:style w:type="paragraph" w:styleId="Subtitle">
    <w:name w:val="Subtitle"/>
    <w:basedOn w:val="Normal"/>
    <w:next w:val="Normal"/>
    <w:link w:val="SubtitleChar"/>
    <w:qFormat/>
    <w:rsid w:val="008B6253"/>
    <w:pPr>
      <w:spacing w:before="120" w:after="60"/>
      <w:jc w:val="center"/>
      <w:outlineLvl w:val="1"/>
    </w:pPr>
    <w:rPr>
      <w:rFonts w:ascii="Cambria" w:eastAsia="Times New Roman" w:hAnsi="Cambria"/>
    </w:rPr>
  </w:style>
  <w:style w:type="character" w:customStyle="1" w:styleId="SubtitleChar">
    <w:name w:val="Subtitle Char"/>
    <w:basedOn w:val="DefaultParagraphFont"/>
    <w:link w:val="Subtitle"/>
    <w:rsid w:val="008B6253"/>
    <w:rPr>
      <w:rFonts w:ascii="Cambria" w:eastAsia="Times New Roman" w:hAnsi="Cambria" w:cs="Times New Roman"/>
      <w:sz w:val="24"/>
      <w:szCs w:val="24"/>
      <w:lang w:val="cs-CZ"/>
    </w:rPr>
  </w:style>
  <w:style w:type="paragraph" w:styleId="NormalWeb">
    <w:name w:val="Normal (Web)"/>
    <w:basedOn w:val="Normal"/>
    <w:uiPriority w:val="99"/>
    <w:unhideWhenUsed/>
    <w:rsid w:val="008B6253"/>
    <w:pPr>
      <w:spacing w:before="100" w:beforeAutospacing="1" w:after="100" w:afterAutospacing="1"/>
    </w:pPr>
    <w:rPr>
      <w:rFonts w:eastAsia="Times New Roman"/>
      <w:lang w:eastAsia="en-GB"/>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rsid w:val="008B6253"/>
    <w:pPr>
      <w:spacing w:line="240" w:lineRule="exact"/>
    </w:pPr>
    <w:rPr>
      <w:rFonts w:asciiTheme="minorHAnsi" w:hAnsiTheme="minorHAnsi" w:cstheme="minorBidi"/>
      <w:szCs w:val="22"/>
      <w:vertAlign w:val="superscript"/>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8B6253"/>
    <w:pPr>
      <w:spacing w:line="259" w:lineRule="auto"/>
      <w:ind w:left="720"/>
      <w:contextualSpacing/>
    </w:pPr>
    <w:rPr>
      <w:rFonts w:asciiTheme="minorHAnsi" w:hAnsiTheme="minorHAnsi" w:cstheme="minorBidi"/>
      <w:szCs w:val="22"/>
    </w:rPr>
  </w:style>
  <w:style w:type="character" w:styleId="IntenseReference">
    <w:name w:val="Intense Reference"/>
    <w:basedOn w:val="DefaultParagraphFont"/>
    <w:uiPriority w:val="32"/>
    <w:qFormat/>
    <w:rsid w:val="008B6253"/>
    <w:rPr>
      <w:b/>
      <w:bCs/>
      <w:smallCaps/>
      <w:color w:val="034EA2" w:themeColor="accent1"/>
      <w:spacing w:val="5"/>
    </w:rPr>
  </w:style>
  <w:style w:type="table" w:styleId="GridTable1Light-Accent1">
    <w:name w:val="Grid Table 1 Light Accent 1"/>
    <w:basedOn w:val="TableNormal"/>
    <w:uiPriority w:val="46"/>
    <w:rsid w:val="008B625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7B6FC" w:themeColor="accent1" w:themeTint="66"/>
        <w:left w:val="single" w:sz="4" w:space="0" w:color="77B6FC" w:themeColor="accent1" w:themeTint="66"/>
        <w:bottom w:val="single" w:sz="4" w:space="0" w:color="77B6FC" w:themeColor="accent1" w:themeTint="66"/>
        <w:right w:val="single" w:sz="4" w:space="0" w:color="77B6FC" w:themeColor="accent1" w:themeTint="66"/>
        <w:insideH w:val="single" w:sz="4" w:space="0" w:color="77B6FC" w:themeColor="accent1" w:themeTint="66"/>
        <w:insideV w:val="single" w:sz="4" w:space="0" w:color="77B6FC" w:themeColor="accent1" w:themeTint="66"/>
      </w:tblBorders>
    </w:tblPr>
    <w:tblStylePr w:type="firstRow">
      <w:rPr>
        <w:b/>
        <w:bCs/>
      </w:rPr>
      <w:tblPr/>
      <w:tcPr>
        <w:tcBorders>
          <w:bottom w:val="single" w:sz="12" w:space="0" w:color="3391FB" w:themeColor="accent1" w:themeTint="99"/>
        </w:tcBorders>
      </w:tcPr>
    </w:tblStylePr>
    <w:tblStylePr w:type="lastRow">
      <w:rPr>
        <w:b/>
        <w:bCs/>
      </w:rPr>
      <w:tblPr/>
      <w:tcPr>
        <w:tcBorders>
          <w:top w:val="double" w:sz="2" w:space="0" w:color="3391FB"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qFormat/>
    <w:locked/>
    <w:rsid w:val="008B6253"/>
    <w:rPr>
      <w:lang w:val="cs-CZ"/>
    </w:rPr>
  </w:style>
  <w:style w:type="table" w:customStyle="1" w:styleId="TableGrid1">
    <w:name w:val="Table Grid1"/>
    <w:basedOn w:val="TableNormal"/>
    <w:next w:val="TableGrid"/>
    <w:uiPriority w:val="39"/>
    <w:rsid w:val="008B625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8B6253"/>
    <w:rPr>
      <w:color w:val="0000FF"/>
      <w:shd w:val="clear" w:color="auto" w:fill="auto"/>
    </w:rPr>
  </w:style>
  <w:style w:type="paragraph" w:customStyle="1" w:styleId="Pagedecouverture">
    <w:name w:val="Page de couverture"/>
    <w:basedOn w:val="Normal"/>
    <w:next w:val="Normal"/>
    <w:rsid w:val="008B6253"/>
    <w:pPr>
      <w:spacing w:after="0"/>
    </w:pPr>
    <w:rPr>
      <w:szCs w:val="22"/>
    </w:rPr>
  </w:style>
  <w:style w:type="paragraph" w:customStyle="1" w:styleId="FooterSensitivity">
    <w:name w:val="Footer Sensitivity"/>
    <w:basedOn w:val="Normal"/>
    <w:link w:val="FooterSensitivityChar"/>
    <w:rsid w:val="008B6253"/>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TOCHeadingChar"/>
    <w:link w:val="FooterSensitivity"/>
    <w:rsid w:val="008B6253"/>
    <w:rPr>
      <w:rFonts w:ascii="Times New Roman" w:eastAsia="Times New Roman" w:hAnsi="Times New Roman" w:cs="Times New Roman"/>
      <w:b/>
      <w:sz w:val="32"/>
      <w:szCs w:val="24"/>
      <w:lang w:val="cs-CZ"/>
    </w:rPr>
  </w:style>
  <w:style w:type="paragraph" w:customStyle="1" w:styleId="HeaderSensitivity">
    <w:name w:val="Header Sensitivity"/>
    <w:basedOn w:val="Normal"/>
    <w:link w:val="HeaderSensitivityChar"/>
    <w:rsid w:val="008B6253"/>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sid w:val="008B6253"/>
    <w:rPr>
      <w:rFonts w:ascii="Times New Roman" w:eastAsia="Times New Roman" w:hAnsi="Times New Roman" w:cs="Times New Roman"/>
      <w:b/>
      <w:sz w:val="32"/>
      <w:szCs w:val="24"/>
      <w:lang w:val="cs-CZ"/>
    </w:rPr>
  </w:style>
  <w:style w:type="paragraph" w:customStyle="1" w:styleId="HeaderSensitivityRight">
    <w:name w:val="Header Sensitivity Right"/>
    <w:basedOn w:val="Normal"/>
    <w:link w:val="HeaderSensitivityRightChar"/>
    <w:rsid w:val="008B6253"/>
    <w:pPr>
      <w:spacing w:after="120"/>
      <w:jc w:val="right"/>
    </w:pPr>
    <w:rPr>
      <w:rFonts w:ascii="Times New Roman" w:hAnsi="Times New Roman"/>
      <w:sz w:val="28"/>
    </w:rPr>
  </w:style>
  <w:style w:type="character" w:customStyle="1" w:styleId="HeaderSensitivityRightChar">
    <w:name w:val="Header Sensitivity Right Char"/>
    <w:basedOn w:val="TOCHeadingChar"/>
    <w:link w:val="HeaderSensitivityRight"/>
    <w:rsid w:val="008B6253"/>
    <w:rPr>
      <w:rFonts w:ascii="Times New Roman" w:eastAsia="Times New Roman" w:hAnsi="Times New Roman" w:cs="Times New Roman"/>
      <w:b w:val="0"/>
      <w:sz w:val="28"/>
      <w:szCs w:val="24"/>
      <w:lang w:val="cs-CZ"/>
    </w:rPr>
  </w:style>
  <w:style w:type="table" w:customStyle="1" w:styleId="TableGrid11">
    <w:name w:val="Table Grid11"/>
    <w:basedOn w:val="TableNormal"/>
    <w:next w:val="TableGrid"/>
    <w:uiPriority w:val="39"/>
    <w:rsid w:val="00804E4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54AF"/>
    <w:pPr>
      <w:spacing w:after="100"/>
      <w:ind w:left="240"/>
    </w:pPr>
  </w:style>
  <w:style w:type="character" w:styleId="CommentReference">
    <w:name w:val="annotation reference"/>
    <w:basedOn w:val="DefaultParagraphFont"/>
    <w:uiPriority w:val="99"/>
    <w:semiHidden/>
    <w:unhideWhenUsed/>
    <w:rsid w:val="00D56EF0"/>
    <w:rPr>
      <w:sz w:val="16"/>
      <w:szCs w:val="16"/>
    </w:rPr>
  </w:style>
  <w:style w:type="paragraph" w:styleId="CommentText">
    <w:name w:val="annotation text"/>
    <w:basedOn w:val="Normal"/>
    <w:link w:val="CommentTextChar"/>
    <w:uiPriority w:val="99"/>
    <w:unhideWhenUsed/>
    <w:rsid w:val="00D56EF0"/>
    <w:rPr>
      <w:sz w:val="20"/>
      <w:szCs w:val="20"/>
    </w:rPr>
  </w:style>
  <w:style w:type="character" w:customStyle="1" w:styleId="CommentTextChar">
    <w:name w:val="Comment Text Char"/>
    <w:basedOn w:val="DefaultParagraphFont"/>
    <w:link w:val="CommentText"/>
    <w:uiPriority w:val="99"/>
    <w:rsid w:val="00D56EF0"/>
    <w:rPr>
      <w:rFonts w:ascii="Times New Roman" w:hAnsi="Times New Roman" w:cs="Times New Roman"/>
      <w:sz w:val="20"/>
      <w:szCs w:val="20"/>
      <w:lang w:val="cs-CZ"/>
    </w:rPr>
  </w:style>
  <w:style w:type="paragraph" w:styleId="BalloonText">
    <w:name w:val="Balloon Text"/>
    <w:basedOn w:val="Normal"/>
    <w:link w:val="BalloonTextChar"/>
    <w:uiPriority w:val="99"/>
    <w:semiHidden/>
    <w:unhideWhenUsed/>
    <w:rsid w:val="00D56E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F0"/>
    <w:rPr>
      <w:rFonts w:ascii="Segoe UI" w:hAnsi="Segoe UI" w:cs="Segoe UI"/>
      <w:sz w:val="18"/>
      <w:szCs w:val="18"/>
      <w:lang w:val="cs-CZ"/>
    </w:rPr>
  </w:style>
  <w:style w:type="paragraph" w:styleId="CommentSubject">
    <w:name w:val="annotation subject"/>
    <w:basedOn w:val="CommentText"/>
    <w:next w:val="CommentText"/>
    <w:link w:val="CommentSubjectChar"/>
    <w:uiPriority w:val="99"/>
    <w:semiHidden/>
    <w:unhideWhenUsed/>
    <w:rsid w:val="002B7257"/>
    <w:rPr>
      <w:b/>
      <w:bCs/>
    </w:rPr>
  </w:style>
  <w:style w:type="character" w:customStyle="1" w:styleId="CommentSubjectChar">
    <w:name w:val="Comment Subject Char"/>
    <w:basedOn w:val="CommentTextChar"/>
    <w:link w:val="CommentSubject"/>
    <w:uiPriority w:val="99"/>
    <w:semiHidden/>
    <w:rsid w:val="002B7257"/>
    <w:rPr>
      <w:rFonts w:ascii="Times New Roman" w:hAnsi="Times New Roman" w:cs="Times New Roman"/>
      <w:b/>
      <w:bCs/>
      <w:sz w:val="20"/>
      <w:szCs w:val="20"/>
      <w:lang w:val="cs-CZ"/>
    </w:rPr>
  </w:style>
  <w:style w:type="paragraph" w:styleId="Revision">
    <w:name w:val="Revision"/>
    <w:hidden/>
    <w:uiPriority w:val="99"/>
    <w:semiHidden/>
    <w:rsid w:val="00E834C5"/>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D275C"/>
    <w:rPr>
      <w:b/>
      <w:bCs/>
    </w:rPr>
  </w:style>
  <w:style w:type="character" w:customStyle="1" w:styleId="Heading2Char">
    <w:name w:val="Heading 2 Char"/>
    <w:basedOn w:val="DefaultParagraphFont"/>
    <w:link w:val="Heading2"/>
    <w:uiPriority w:val="9"/>
    <w:rsid w:val="002703F1"/>
    <w:rPr>
      <w:rFonts w:ascii="EC Square Sans Pro" w:eastAsiaTheme="majorEastAsia" w:hAnsi="EC Square Sans Pro" w:cstheme="majorBidi"/>
      <w:caps/>
      <w:color w:val="70AD47" w:themeColor="accent2"/>
      <w:sz w:val="24"/>
      <w:szCs w:val="26"/>
      <w:lang w:val="cs-CZ"/>
    </w:rPr>
  </w:style>
  <w:style w:type="character" w:styleId="FollowedHyperlink">
    <w:name w:val="FollowedHyperlink"/>
    <w:basedOn w:val="DefaultParagraphFont"/>
    <w:uiPriority w:val="99"/>
    <w:semiHidden/>
    <w:unhideWhenUsed/>
    <w:rsid w:val="001C3C2E"/>
    <w:rPr>
      <w:color w:val="954F72" w:themeColor="followedHyperlink"/>
      <w:u w:val="single"/>
    </w:rPr>
  </w:style>
  <w:style w:type="paragraph" w:styleId="PlainText">
    <w:name w:val="Plain Text"/>
    <w:basedOn w:val="Normal"/>
    <w:link w:val="PlainTextChar"/>
    <w:uiPriority w:val="99"/>
    <w:unhideWhenUsed/>
    <w:rsid w:val="00547755"/>
    <w:pPr>
      <w:spacing w:after="0"/>
    </w:pPr>
    <w:rPr>
      <w:rFonts w:ascii="Calibri" w:hAnsi="Calibri" w:cstheme="minorBidi"/>
      <w:szCs w:val="21"/>
    </w:rPr>
  </w:style>
  <w:style w:type="character" w:customStyle="1" w:styleId="PlainTextChar">
    <w:name w:val="Plain Text Char"/>
    <w:basedOn w:val="DefaultParagraphFont"/>
    <w:link w:val="PlainText"/>
    <w:uiPriority w:val="99"/>
    <w:rsid w:val="00547755"/>
    <w:rPr>
      <w:rFonts w:ascii="Calibri" w:hAnsi="Calibri"/>
      <w:szCs w:val="21"/>
      <w:lang w:val="cs-CZ"/>
    </w:rPr>
  </w:style>
  <w:style w:type="paragraph" w:customStyle="1" w:styleId="ecl-page-header-standardiseddescription">
    <w:name w:val="ecl-page-header-standardised__description"/>
    <w:basedOn w:val="Normal"/>
    <w:uiPriority w:val="99"/>
    <w:rsid w:val="007A1FE8"/>
    <w:pPr>
      <w:spacing w:before="100" w:beforeAutospacing="1" w:after="100" w:afterAutospacing="1"/>
    </w:pPr>
    <w:rPr>
      <w:rFonts w:eastAsia="Times New Roman"/>
      <w:lang w:eastAsia="en-GB"/>
    </w:rPr>
  </w:style>
  <w:style w:type="character" w:customStyle="1" w:styleId="UnresolvedMention1">
    <w:name w:val="Unresolved Mention1"/>
    <w:basedOn w:val="DefaultParagraphFont"/>
    <w:uiPriority w:val="99"/>
    <w:semiHidden/>
    <w:unhideWhenUsed/>
    <w:rsid w:val="00580C86"/>
    <w:rPr>
      <w:color w:val="605E5C"/>
      <w:shd w:val="clear" w:color="auto" w:fill="E1DFDD"/>
    </w:rPr>
  </w:style>
  <w:style w:type="character" w:customStyle="1" w:styleId="UnresolvedMention">
    <w:name w:val="Unresolved Mention"/>
    <w:basedOn w:val="DefaultParagraphFont"/>
    <w:uiPriority w:val="99"/>
    <w:semiHidden/>
    <w:unhideWhenUsed/>
    <w:rsid w:val="00B7513E"/>
    <w:rPr>
      <w:color w:val="605E5C"/>
      <w:shd w:val="clear" w:color="auto" w:fill="E1DFDD"/>
    </w:rPr>
  </w:style>
  <w:style w:type="table" w:styleId="GridTable4-Accent5">
    <w:name w:val="Grid Table 4 Accent 5"/>
    <w:basedOn w:val="TableNormal"/>
    <w:uiPriority w:val="49"/>
    <w:rsid w:val="00FA60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2">
    <w:name w:val="Text 2"/>
    <w:basedOn w:val="Normal"/>
    <w:uiPriority w:val="1"/>
    <w:qFormat/>
    <w:rsid w:val="00471184"/>
    <w:pPr>
      <w:spacing w:after="240"/>
      <w:ind w:left="1077"/>
    </w:pPr>
    <w:rPr>
      <w:rFonts w:ascii="Times New Roman" w:eastAsia="Times New Roman" w:hAnsi="Times New Roman"/>
      <w:sz w:val="24"/>
      <w:szCs w:val="20"/>
      <w:lang w:eastAsia="en-GB"/>
    </w:rPr>
  </w:style>
  <w:style w:type="character" w:customStyle="1" w:styleId="Mention">
    <w:name w:val="Mention"/>
    <w:basedOn w:val="DefaultParagraphFont"/>
    <w:uiPriority w:val="99"/>
    <w:unhideWhenUsed/>
    <w:rsid w:val="005B0CDE"/>
    <w:rPr>
      <w:color w:val="2B579A"/>
      <w:shd w:val="clear" w:color="auto" w:fill="E1DFDD"/>
    </w:rPr>
  </w:style>
  <w:style w:type="paragraph" w:customStyle="1" w:styleId="LegalNumPar">
    <w:name w:val="LegalNumPar"/>
    <w:basedOn w:val="Normal"/>
    <w:rsid w:val="00607C1D"/>
    <w:pPr>
      <w:numPr>
        <w:numId w:val="33"/>
      </w:numPr>
      <w:spacing w:line="360" w:lineRule="auto"/>
    </w:pPr>
    <w:rPr>
      <w:sz w:val="24"/>
    </w:rPr>
  </w:style>
  <w:style w:type="paragraph" w:customStyle="1" w:styleId="LegalNumPar2">
    <w:name w:val="LegalNumPar2"/>
    <w:basedOn w:val="Normal"/>
    <w:rsid w:val="00607C1D"/>
    <w:pPr>
      <w:numPr>
        <w:ilvl w:val="1"/>
        <w:numId w:val="33"/>
      </w:numPr>
      <w:spacing w:line="360" w:lineRule="auto"/>
    </w:pPr>
    <w:rPr>
      <w:sz w:val="24"/>
    </w:rPr>
  </w:style>
  <w:style w:type="paragraph" w:customStyle="1" w:styleId="LegalNumPar3">
    <w:name w:val="LegalNumPar3"/>
    <w:basedOn w:val="Normal"/>
    <w:rsid w:val="00607C1D"/>
    <w:pPr>
      <w:numPr>
        <w:ilvl w:val="2"/>
        <w:numId w:val="33"/>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865">
      <w:bodyDiv w:val="1"/>
      <w:marLeft w:val="0"/>
      <w:marRight w:val="0"/>
      <w:marTop w:val="0"/>
      <w:marBottom w:val="0"/>
      <w:divBdr>
        <w:top w:val="none" w:sz="0" w:space="0" w:color="auto"/>
        <w:left w:val="none" w:sz="0" w:space="0" w:color="auto"/>
        <w:bottom w:val="none" w:sz="0" w:space="0" w:color="auto"/>
        <w:right w:val="none" w:sz="0" w:space="0" w:color="auto"/>
      </w:divBdr>
    </w:div>
    <w:div w:id="32507214">
      <w:bodyDiv w:val="1"/>
      <w:marLeft w:val="0"/>
      <w:marRight w:val="0"/>
      <w:marTop w:val="0"/>
      <w:marBottom w:val="0"/>
      <w:divBdr>
        <w:top w:val="none" w:sz="0" w:space="0" w:color="auto"/>
        <w:left w:val="none" w:sz="0" w:space="0" w:color="auto"/>
        <w:bottom w:val="none" w:sz="0" w:space="0" w:color="auto"/>
        <w:right w:val="none" w:sz="0" w:space="0" w:color="auto"/>
      </w:divBdr>
    </w:div>
    <w:div w:id="34670410">
      <w:bodyDiv w:val="1"/>
      <w:marLeft w:val="0"/>
      <w:marRight w:val="0"/>
      <w:marTop w:val="0"/>
      <w:marBottom w:val="0"/>
      <w:divBdr>
        <w:top w:val="none" w:sz="0" w:space="0" w:color="auto"/>
        <w:left w:val="none" w:sz="0" w:space="0" w:color="auto"/>
        <w:bottom w:val="none" w:sz="0" w:space="0" w:color="auto"/>
        <w:right w:val="none" w:sz="0" w:space="0" w:color="auto"/>
      </w:divBdr>
    </w:div>
    <w:div w:id="81609872">
      <w:bodyDiv w:val="1"/>
      <w:marLeft w:val="0"/>
      <w:marRight w:val="0"/>
      <w:marTop w:val="0"/>
      <w:marBottom w:val="0"/>
      <w:divBdr>
        <w:top w:val="none" w:sz="0" w:space="0" w:color="auto"/>
        <w:left w:val="none" w:sz="0" w:space="0" w:color="auto"/>
        <w:bottom w:val="none" w:sz="0" w:space="0" w:color="auto"/>
        <w:right w:val="none" w:sz="0" w:space="0" w:color="auto"/>
      </w:divBdr>
      <w:divsChild>
        <w:div w:id="1276669232">
          <w:marLeft w:val="0"/>
          <w:marRight w:val="0"/>
          <w:marTop w:val="0"/>
          <w:marBottom w:val="0"/>
          <w:divBdr>
            <w:top w:val="none" w:sz="0" w:space="0" w:color="auto"/>
            <w:left w:val="none" w:sz="0" w:space="0" w:color="auto"/>
            <w:bottom w:val="none" w:sz="0" w:space="0" w:color="auto"/>
            <w:right w:val="none" w:sz="0" w:space="0" w:color="auto"/>
          </w:divBdr>
        </w:div>
      </w:divsChild>
    </w:div>
    <w:div w:id="84570062">
      <w:bodyDiv w:val="1"/>
      <w:marLeft w:val="0"/>
      <w:marRight w:val="0"/>
      <w:marTop w:val="0"/>
      <w:marBottom w:val="0"/>
      <w:divBdr>
        <w:top w:val="none" w:sz="0" w:space="0" w:color="auto"/>
        <w:left w:val="none" w:sz="0" w:space="0" w:color="auto"/>
        <w:bottom w:val="none" w:sz="0" w:space="0" w:color="auto"/>
        <w:right w:val="none" w:sz="0" w:space="0" w:color="auto"/>
      </w:divBdr>
    </w:div>
    <w:div w:id="115149302">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66022188">
      <w:bodyDiv w:val="1"/>
      <w:marLeft w:val="0"/>
      <w:marRight w:val="0"/>
      <w:marTop w:val="0"/>
      <w:marBottom w:val="0"/>
      <w:divBdr>
        <w:top w:val="none" w:sz="0" w:space="0" w:color="auto"/>
        <w:left w:val="none" w:sz="0" w:space="0" w:color="auto"/>
        <w:bottom w:val="none" w:sz="0" w:space="0" w:color="auto"/>
        <w:right w:val="none" w:sz="0" w:space="0" w:color="auto"/>
      </w:divBdr>
    </w:div>
    <w:div w:id="168252948">
      <w:bodyDiv w:val="1"/>
      <w:marLeft w:val="0"/>
      <w:marRight w:val="0"/>
      <w:marTop w:val="0"/>
      <w:marBottom w:val="0"/>
      <w:divBdr>
        <w:top w:val="none" w:sz="0" w:space="0" w:color="auto"/>
        <w:left w:val="none" w:sz="0" w:space="0" w:color="auto"/>
        <w:bottom w:val="none" w:sz="0" w:space="0" w:color="auto"/>
        <w:right w:val="none" w:sz="0" w:space="0" w:color="auto"/>
      </w:divBdr>
      <w:divsChild>
        <w:div w:id="182017978">
          <w:marLeft w:val="360"/>
          <w:marRight w:val="0"/>
          <w:marTop w:val="0"/>
          <w:marBottom w:val="60"/>
          <w:divBdr>
            <w:top w:val="none" w:sz="0" w:space="0" w:color="auto"/>
            <w:left w:val="none" w:sz="0" w:space="0" w:color="auto"/>
            <w:bottom w:val="none" w:sz="0" w:space="0" w:color="auto"/>
            <w:right w:val="none" w:sz="0" w:space="0" w:color="auto"/>
          </w:divBdr>
        </w:div>
      </w:divsChild>
    </w:div>
    <w:div w:id="169830019">
      <w:bodyDiv w:val="1"/>
      <w:marLeft w:val="0"/>
      <w:marRight w:val="0"/>
      <w:marTop w:val="0"/>
      <w:marBottom w:val="0"/>
      <w:divBdr>
        <w:top w:val="none" w:sz="0" w:space="0" w:color="auto"/>
        <w:left w:val="none" w:sz="0" w:space="0" w:color="auto"/>
        <w:bottom w:val="none" w:sz="0" w:space="0" w:color="auto"/>
        <w:right w:val="none" w:sz="0" w:space="0" w:color="auto"/>
      </w:divBdr>
      <w:divsChild>
        <w:div w:id="1590652496">
          <w:marLeft w:val="360"/>
          <w:marRight w:val="0"/>
          <w:marTop w:val="0"/>
          <w:marBottom w:val="60"/>
          <w:divBdr>
            <w:top w:val="none" w:sz="0" w:space="0" w:color="auto"/>
            <w:left w:val="none" w:sz="0" w:space="0" w:color="auto"/>
            <w:bottom w:val="none" w:sz="0" w:space="0" w:color="auto"/>
            <w:right w:val="none" w:sz="0" w:space="0" w:color="auto"/>
          </w:divBdr>
        </w:div>
      </w:divsChild>
    </w:div>
    <w:div w:id="204485303">
      <w:bodyDiv w:val="1"/>
      <w:marLeft w:val="0"/>
      <w:marRight w:val="0"/>
      <w:marTop w:val="0"/>
      <w:marBottom w:val="0"/>
      <w:divBdr>
        <w:top w:val="none" w:sz="0" w:space="0" w:color="auto"/>
        <w:left w:val="none" w:sz="0" w:space="0" w:color="auto"/>
        <w:bottom w:val="none" w:sz="0" w:space="0" w:color="auto"/>
        <w:right w:val="none" w:sz="0" w:space="0" w:color="auto"/>
      </w:divBdr>
    </w:div>
    <w:div w:id="210462789">
      <w:bodyDiv w:val="1"/>
      <w:marLeft w:val="0"/>
      <w:marRight w:val="0"/>
      <w:marTop w:val="0"/>
      <w:marBottom w:val="0"/>
      <w:divBdr>
        <w:top w:val="none" w:sz="0" w:space="0" w:color="auto"/>
        <w:left w:val="none" w:sz="0" w:space="0" w:color="auto"/>
        <w:bottom w:val="none" w:sz="0" w:space="0" w:color="auto"/>
        <w:right w:val="none" w:sz="0" w:space="0" w:color="auto"/>
      </w:divBdr>
    </w:div>
    <w:div w:id="226034699">
      <w:bodyDiv w:val="1"/>
      <w:marLeft w:val="0"/>
      <w:marRight w:val="0"/>
      <w:marTop w:val="0"/>
      <w:marBottom w:val="0"/>
      <w:divBdr>
        <w:top w:val="none" w:sz="0" w:space="0" w:color="auto"/>
        <w:left w:val="none" w:sz="0" w:space="0" w:color="auto"/>
        <w:bottom w:val="none" w:sz="0" w:space="0" w:color="auto"/>
        <w:right w:val="none" w:sz="0" w:space="0" w:color="auto"/>
      </w:divBdr>
    </w:div>
    <w:div w:id="238760014">
      <w:bodyDiv w:val="1"/>
      <w:marLeft w:val="0"/>
      <w:marRight w:val="0"/>
      <w:marTop w:val="0"/>
      <w:marBottom w:val="0"/>
      <w:divBdr>
        <w:top w:val="none" w:sz="0" w:space="0" w:color="auto"/>
        <w:left w:val="none" w:sz="0" w:space="0" w:color="auto"/>
        <w:bottom w:val="none" w:sz="0" w:space="0" w:color="auto"/>
        <w:right w:val="none" w:sz="0" w:space="0" w:color="auto"/>
      </w:divBdr>
    </w:div>
    <w:div w:id="265578364">
      <w:bodyDiv w:val="1"/>
      <w:marLeft w:val="0"/>
      <w:marRight w:val="0"/>
      <w:marTop w:val="0"/>
      <w:marBottom w:val="0"/>
      <w:divBdr>
        <w:top w:val="none" w:sz="0" w:space="0" w:color="auto"/>
        <w:left w:val="none" w:sz="0" w:space="0" w:color="auto"/>
        <w:bottom w:val="none" w:sz="0" w:space="0" w:color="auto"/>
        <w:right w:val="none" w:sz="0" w:space="0" w:color="auto"/>
      </w:divBdr>
    </w:div>
    <w:div w:id="279189576">
      <w:bodyDiv w:val="1"/>
      <w:marLeft w:val="0"/>
      <w:marRight w:val="0"/>
      <w:marTop w:val="0"/>
      <w:marBottom w:val="0"/>
      <w:divBdr>
        <w:top w:val="none" w:sz="0" w:space="0" w:color="auto"/>
        <w:left w:val="none" w:sz="0" w:space="0" w:color="auto"/>
        <w:bottom w:val="none" w:sz="0" w:space="0" w:color="auto"/>
        <w:right w:val="none" w:sz="0" w:space="0" w:color="auto"/>
      </w:divBdr>
    </w:div>
    <w:div w:id="284119342">
      <w:bodyDiv w:val="1"/>
      <w:marLeft w:val="0"/>
      <w:marRight w:val="0"/>
      <w:marTop w:val="0"/>
      <w:marBottom w:val="0"/>
      <w:divBdr>
        <w:top w:val="none" w:sz="0" w:space="0" w:color="auto"/>
        <w:left w:val="none" w:sz="0" w:space="0" w:color="auto"/>
        <w:bottom w:val="none" w:sz="0" w:space="0" w:color="auto"/>
        <w:right w:val="none" w:sz="0" w:space="0" w:color="auto"/>
      </w:divBdr>
    </w:div>
    <w:div w:id="287590709">
      <w:bodyDiv w:val="1"/>
      <w:marLeft w:val="0"/>
      <w:marRight w:val="0"/>
      <w:marTop w:val="0"/>
      <w:marBottom w:val="0"/>
      <w:divBdr>
        <w:top w:val="none" w:sz="0" w:space="0" w:color="auto"/>
        <w:left w:val="none" w:sz="0" w:space="0" w:color="auto"/>
        <w:bottom w:val="none" w:sz="0" w:space="0" w:color="auto"/>
        <w:right w:val="none" w:sz="0" w:space="0" w:color="auto"/>
      </w:divBdr>
      <w:divsChild>
        <w:div w:id="57674530">
          <w:marLeft w:val="360"/>
          <w:marRight w:val="0"/>
          <w:marTop w:val="0"/>
          <w:marBottom w:val="60"/>
          <w:divBdr>
            <w:top w:val="none" w:sz="0" w:space="0" w:color="auto"/>
            <w:left w:val="none" w:sz="0" w:space="0" w:color="auto"/>
            <w:bottom w:val="none" w:sz="0" w:space="0" w:color="auto"/>
            <w:right w:val="none" w:sz="0" w:space="0" w:color="auto"/>
          </w:divBdr>
        </w:div>
        <w:div w:id="521548672">
          <w:marLeft w:val="360"/>
          <w:marRight w:val="0"/>
          <w:marTop w:val="0"/>
          <w:marBottom w:val="60"/>
          <w:divBdr>
            <w:top w:val="none" w:sz="0" w:space="0" w:color="auto"/>
            <w:left w:val="none" w:sz="0" w:space="0" w:color="auto"/>
            <w:bottom w:val="none" w:sz="0" w:space="0" w:color="auto"/>
            <w:right w:val="none" w:sz="0" w:space="0" w:color="auto"/>
          </w:divBdr>
        </w:div>
      </w:divsChild>
    </w:div>
    <w:div w:id="295723376">
      <w:bodyDiv w:val="1"/>
      <w:marLeft w:val="0"/>
      <w:marRight w:val="0"/>
      <w:marTop w:val="0"/>
      <w:marBottom w:val="0"/>
      <w:divBdr>
        <w:top w:val="none" w:sz="0" w:space="0" w:color="auto"/>
        <w:left w:val="none" w:sz="0" w:space="0" w:color="auto"/>
        <w:bottom w:val="none" w:sz="0" w:space="0" w:color="auto"/>
        <w:right w:val="none" w:sz="0" w:space="0" w:color="auto"/>
      </w:divBdr>
    </w:div>
    <w:div w:id="297810240">
      <w:bodyDiv w:val="1"/>
      <w:marLeft w:val="0"/>
      <w:marRight w:val="0"/>
      <w:marTop w:val="0"/>
      <w:marBottom w:val="0"/>
      <w:divBdr>
        <w:top w:val="none" w:sz="0" w:space="0" w:color="auto"/>
        <w:left w:val="none" w:sz="0" w:space="0" w:color="auto"/>
        <w:bottom w:val="none" w:sz="0" w:space="0" w:color="auto"/>
        <w:right w:val="none" w:sz="0" w:space="0" w:color="auto"/>
      </w:divBdr>
    </w:div>
    <w:div w:id="303391389">
      <w:bodyDiv w:val="1"/>
      <w:marLeft w:val="0"/>
      <w:marRight w:val="0"/>
      <w:marTop w:val="0"/>
      <w:marBottom w:val="0"/>
      <w:divBdr>
        <w:top w:val="none" w:sz="0" w:space="0" w:color="auto"/>
        <w:left w:val="none" w:sz="0" w:space="0" w:color="auto"/>
        <w:bottom w:val="none" w:sz="0" w:space="0" w:color="auto"/>
        <w:right w:val="none" w:sz="0" w:space="0" w:color="auto"/>
      </w:divBdr>
    </w:div>
    <w:div w:id="321785287">
      <w:bodyDiv w:val="1"/>
      <w:marLeft w:val="0"/>
      <w:marRight w:val="0"/>
      <w:marTop w:val="0"/>
      <w:marBottom w:val="0"/>
      <w:divBdr>
        <w:top w:val="none" w:sz="0" w:space="0" w:color="auto"/>
        <w:left w:val="none" w:sz="0" w:space="0" w:color="auto"/>
        <w:bottom w:val="none" w:sz="0" w:space="0" w:color="auto"/>
        <w:right w:val="none" w:sz="0" w:space="0" w:color="auto"/>
      </w:divBdr>
    </w:div>
    <w:div w:id="340161298">
      <w:bodyDiv w:val="1"/>
      <w:marLeft w:val="0"/>
      <w:marRight w:val="0"/>
      <w:marTop w:val="0"/>
      <w:marBottom w:val="0"/>
      <w:divBdr>
        <w:top w:val="none" w:sz="0" w:space="0" w:color="auto"/>
        <w:left w:val="none" w:sz="0" w:space="0" w:color="auto"/>
        <w:bottom w:val="none" w:sz="0" w:space="0" w:color="auto"/>
        <w:right w:val="none" w:sz="0" w:space="0" w:color="auto"/>
      </w:divBdr>
    </w:div>
    <w:div w:id="351421111">
      <w:bodyDiv w:val="1"/>
      <w:marLeft w:val="0"/>
      <w:marRight w:val="0"/>
      <w:marTop w:val="0"/>
      <w:marBottom w:val="0"/>
      <w:divBdr>
        <w:top w:val="none" w:sz="0" w:space="0" w:color="auto"/>
        <w:left w:val="none" w:sz="0" w:space="0" w:color="auto"/>
        <w:bottom w:val="none" w:sz="0" w:space="0" w:color="auto"/>
        <w:right w:val="none" w:sz="0" w:space="0" w:color="auto"/>
      </w:divBdr>
    </w:div>
    <w:div w:id="351611388">
      <w:bodyDiv w:val="1"/>
      <w:marLeft w:val="0"/>
      <w:marRight w:val="0"/>
      <w:marTop w:val="0"/>
      <w:marBottom w:val="0"/>
      <w:divBdr>
        <w:top w:val="none" w:sz="0" w:space="0" w:color="auto"/>
        <w:left w:val="none" w:sz="0" w:space="0" w:color="auto"/>
        <w:bottom w:val="none" w:sz="0" w:space="0" w:color="auto"/>
        <w:right w:val="none" w:sz="0" w:space="0" w:color="auto"/>
      </w:divBdr>
    </w:div>
    <w:div w:id="364604937">
      <w:bodyDiv w:val="1"/>
      <w:marLeft w:val="0"/>
      <w:marRight w:val="0"/>
      <w:marTop w:val="0"/>
      <w:marBottom w:val="0"/>
      <w:divBdr>
        <w:top w:val="none" w:sz="0" w:space="0" w:color="auto"/>
        <w:left w:val="none" w:sz="0" w:space="0" w:color="auto"/>
        <w:bottom w:val="none" w:sz="0" w:space="0" w:color="auto"/>
        <w:right w:val="none" w:sz="0" w:space="0" w:color="auto"/>
      </w:divBdr>
    </w:div>
    <w:div w:id="374737370">
      <w:bodyDiv w:val="1"/>
      <w:marLeft w:val="0"/>
      <w:marRight w:val="0"/>
      <w:marTop w:val="0"/>
      <w:marBottom w:val="0"/>
      <w:divBdr>
        <w:top w:val="none" w:sz="0" w:space="0" w:color="auto"/>
        <w:left w:val="none" w:sz="0" w:space="0" w:color="auto"/>
        <w:bottom w:val="none" w:sz="0" w:space="0" w:color="auto"/>
        <w:right w:val="none" w:sz="0" w:space="0" w:color="auto"/>
      </w:divBdr>
    </w:div>
    <w:div w:id="393508607">
      <w:bodyDiv w:val="1"/>
      <w:marLeft w:val="0"/>
      <w:marRight w:val="0"/>
      <w:marTop w:val="0"/>
      <w:marBottom w:val="0"/>
      <w:divBdr>
        <w:top w:val="none" w:sz="0" w:space="0" w:color="auto"/>
        <w:left w:val="none" w:sz="0" w:space="0" w:color="auto"/>
        <w:bottom w:val="none" w:sz="0" w:space="0" w:color="auto"/>
        <w:right w:val="none" w:sz="0" w:space="0" w:color="auto"/>
      </w:divBdr>
    </w:div>
    <w:div w:id="405684663">
      <w:bodyDiv w:val="1"/>
      <w:marLeft w:val="0"/>
      <w:marRight w:val="0"/>
      <w:marTop w:val="0"/>
      <w:marBottom w:val="0"/>
      <w:divBdr>
        <w:top w:val="none" w:sz="0" w:space="0" w:color="auto"/>
        <w:left w:val="none" w:sz="0" w:space="0" w:color="auto"/>
        <w:bottom w:val="none" w:sz="0" w:space="0" w:color="auto"/>
        <w:right w:val="none" w:sz="0" w:space="0" w:color="auto"/>
      </w:divBdr>
    </w:div>
    <w:div w:id="410080985">
      <w:bodyDiv w:val="1"/>
      <w:marLeft w:val="0"/>
      <w:marRight w:val="0"/>
      <w:marTop w:val="0"/>
      <w:marBottom w:val="0"/>
      <w:divBdr>
        <w:top w:val="none" w:sz="0" w:space="0" w:color="auto"/>
        <w:left w:val="none" w:sz="0" w:space="0" w:color="auto"/>
        <w:bottom w:val="none" w:sz="0" w:space="0" w:color="auto"/>
        <w:right w:val="none" w:sz="0" w:space="0" w:color="auto"/>
      </w:divBdr>
      <w:divsChild>
        <w:div w:id="1007635415">
          <w:marLeft w:val="0"/>
          <w:marRight w:val="0"/>
          <w:marTop w:val="0"/>
          <w:marBottom w:val="0"/>
          <w:divBdr>
            <w:top w:val="none" w:sz="0" w:space="0" w:color="auto"/>
            <w:left w:val="none" w:sz="0" w:space="0" w:color="auto"/>
            <w:bottom w:val="none" w:sz="0" w:space="0" w:color="auto"/>
            <w:right w:val="none" w:sz="0" w:space="0" w:color="auto"/>
          </w:divBdr>
        </w:div>
      </w:divsChild>
    </w:div>
    <w:div w:id="442266534">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570239873">
      <w:bodyDiv w:val="1"/>
      <w:marLeft w:val="0"/>
      <w:marRight w:val="0"/>
      <w:marTop w:val="0"/>
      <w:marBottom w:val="0"/>
      <w:divBdr>
        <w:top w:val="none" w:sz="0" w:space="0" w:color="auto"/>
        <w:left w:val="none" w:sz="0" w:space="0" w:color="auto"/>
        <w:bottom w:val="none" w:sz="0" w:space="0" w:color="auto"/>
        <w:right w:val="none" w:sz="0" w:space="0" w:color="auto"/>
      </w:divBdr>
    </w:div>
    <w:div w:id="573970309">
      <w:bodyDiv w:val="1"/>
      <w:marLeft w:val="0"/>
      <w:marRight w:val="0"/>
      <w:marTop w:val="0"/>
      <w:marBottom w:val="0"/>
      <w:divBdr>
        <w:top w:val="none" w:sz="0" w:space="0" w:color="auto"/>
        <w:left w:val="none" w:sz="0" w:space="0" w:color="auto"/>
        <w:bottom w:val="none" w:sz="0" w:space="0" w:color="auto"/>
        <w:right w:val="none" w:sz="0" w:space="0" w:color="auto"/>
      </w:divBdr>
    </w:div>
    <w:div w:id="581838311">
      <w:bodyDiv w:val="1"/>
      <w:marLeft w:val="0"/>
      <w:marRight w:val="0"/>
      <w:marTop w:val="0"/>
      <w:marBottom w:val="0"/>
      <w:divBdr>
        <w:top w:val="none" w:sz="0" w:space="0" w:color="auto"/>
        <w:left w:val="none" w:sz="0" w:space="0" w:color="auto"/>
        <w:bottom w:val="none" w:sz="0" w:space="0" w:color="auto"/>
        <w:right w:val="none" w:sz="0" w:space="0" w:color="auto"/>
      </w:divBdr>
    </w:div>
    <w:div w:id="595789768">
      <w:bodyDiv w:val="1"/>
      <w:marLeft w:val="0"/>
      <w:marRight w:val="0"/>
      <w:marTop w:val="0"/>
      <w:marBottom w:val="0"/>
      <w:divBdr>
        <w:top w:val="none" w:sz="0" w:space="0" w:color="auto"/>
        <w:left w:val="none" w:sz="0" w:space="0" w:color="auto"/>
        <w:bottom w:val="none" w:sz="0" w:space="0" w:color="auto"/>
        <w:right w:val="none" w:sz="0" w:space="0" w:color="auto"/>
      </w:divBdr>
    </w:div>
    <w:div w:id="596213421">
      <w:bodyDiv w:val="1"/>
      <w:marLeft w:val="0"/>
      <w:marRight w:val="0"/>
      <w:marTop w:val="0"/>
      <w:marBottom w:val="0"/>
      <w:divBdr>
        <w:top w:val="none" w:sz="0" w:space="0" w:color="auto"/>
        <w:left w:val="none" w:sz="0" w:space="0" w:color="auto"/>
        <w:bottom w:val="none" w:sz="0" w:space="0" w:color="auto"/>
        <w:right w:val="none" w:sz="0" w:space="0" w:color="auto"/>
      </w:divBdr>
    </w:div>
    <w:div w:id="600377750">
      <w:bodyDiv w:val="1"/>
      <w:marLeft w:val="0"/>
      <w:marRight w:val="0"/>
      <w:marTop w:val="0"/>
      <w:marBottom w:val="0"/>
      <w:divBdr>
        <w:top w:val="none" w:sz="0" w:space="0" w:color="auto"/>
        <w:left w:val="none" w:sz="0" w:space="0" w:color="auto"/>
        <w:bottom w:val="none" w:sz="0" w:space="0" w:color="auto"/>
        <w:right w:val="none" w:sz="0" w:space="0" w:color="auto"/>
      </w:divBdr>
    </w:div>
    <w:div w:id="608927152">
      <w:bodyDiv w:val="1"/>
      <w:marLeft w:val="0"/>
      <w:marRight w:val="0"/>
      <w:marTop w:val="0"/>
      <w:marBottom w:val="0"/>
      <w:divBdr>
        <w:top w:val="none" w:sz="0" w:space="0" w:color="auto"/>
        <w:left w:val="none" w:sz="0" w:space="0" w:color="auto"/>
        <w:bottom w:val="none" w:sz="0" w:space="0" w:color="auto"/>
        <w:right w:val="none" w:sz="0" w:space="0" w:color="auto"/>
      </w:divBdr>
    </w:div>
    <w:div w:id="652418492">
      <w:bodyDiv w:val="1"/>
      <w:marLeft w:val="0"/>
      <w:marRight w:val="0"/>
      <w:marTop w:val="0"/>
      <w:marBottom w:val="0"/>
      <w:divBdr>
        <w:top w:val="none" w:sz="0" w:space="0" w:color="auto"/>
        <w:left w:val="none" w:sz="0" w:space="0" w:color="auto"/>
        <w:bottom w:val="none" w:sz="0" w:space="0" w:color="auto"/>
        <w:right w:val="none" w:sz="0" w:space="0" w:color="auto"/>
      </w:divBdr>
    </w:div>
    <w:div w:id="663120349">
      <w:bodyDiv w:val="1"/>
      <w:marLeft w:val="0"/>
      <w:marRight w:val="0"/>
      <w:marTop w:val="0"/>
      <w:marBottom w:val="0"/>
      <w:divBdr>
        <w:top w:val="none" w:sz="0" w:space="0" w:color="auto"/>
        <w:left w:val="none" w:sz="0" w:space="0" w:color="auto"/>
        <w:bottom w:val="none" w:sz="0" w:space="0" w:color="auto"/>
        <w:right w:val="none" w:sz="0" w:space="0" w:color="auto"/>
      </w:divBdr>
    </w:div>
    <w:div w:id="666787323">
      <w:bodyDiv w:val="1"/>
      <w:marLeft w:val="0"/>
      <w:marRight w:val="0"/>
      <w:marTop w:val="0"/>
      <w:marBottom w:val="0"/>
      <w:divBdr>
        <w:top w:val="none" w:sz="0" w:space="0" w:color="auto"/>
        <w:left w:val="none" w:sz="0" w:space="0" w:color="auto"/>
        <w:bottom w:val="none" w:sz="0" w:space="0" w:color="auto"/>
        <w:right w:val="none" w:sz="0" w:space="0" w:color="auto"/>
      </w:divBdr>
    </w:div>
    <w:div w:id="709035680">
      <w:bodyDiv w:val="1"/>
      <w:marLeft w:val="0"/>
      <w:marRight w:val="0"/>
      <w:marTop w:val="0"/>
      <w:marBottom w:val="0"/>
      <w:divBdr>
        <w:top w:val="none" w:sz="0" w:space="0" w:color="auto"/>
        <w:left w:val="none" w:sz="0" w:space="0" w:color="auto"/>
        <w:bottom w:val="none" w:sz="0" w:space="0" w:color="auto"/>
        <w:right w:val="none" w:sz="0" w:space="0" w:color="auto"/>
      </w:divBdr>
    </w:div>
    <w:div w:id="722288728">
      <w:bodyDiv w:val="1"/>
      <w:marLeft w:val="0"/>
      <w:marRight w:val="0"/>
      <w:marTop w:val="0"/>
      <w:marBottom w:val="0"/>
      <w:divBdr>
        <w:top w:val="none" w:sz="0" w:space="0" w:color="auto"/>
        <w:left w:val="none" w:sz="0" w:space="0" w:color="auto"/>
        <w:bottom w:val="none" w:sz="0" w:space="0" w:color="auto"/>
        <w:right w:val="none" w:sz="0" w:space="0" w:color="auto"/>
      </w:divBdr>
    </w:div>
    <w:div w:id="732965235">
      <w:bodyDiv w:val="1"/>
      <w:marLeft w:val="0"/>
      <w:marRight w:val="0"/>
      <w:marTop w:val="0"/>
      <w:marBottom w:val="0"/>
      <w:divBdr>
        <w:top w:val="none" w:sz="0" w:space="0" w:color="auto"/>
        <w:left w:val="none" w:sz="0" w:space="0" w:color="auto"/>
        <w:bottom w:val="none" w:sz="0" w:space="0" w:color="auto"/>
        <w:right w:val="none" w:sz="0" w:space="0" w:color="auto"/>
      </w:divBdr>
      <w:divsChild>
        <w:div w:id="2105297646">
          <w:marLeft w:val="0"/>
          <w:marRight w:val="0"/>
          <w:marTop w:val="0"/>
          <w:marBottom w:val="0"/>
          <w:divBdr>
            <w:top w:val="none" w:sz="0" w:space="0" w:color="auto"/>
            <w:left w:val="none" w:sz="0" w:space="0" w:color="auto"/>
            <w:bottom w:val="none" w:sz="0" w:space="0" w:color="auto"/>
            <w:right w:val="none" w:sz="0" w:space="0" w:color="auto"/>
          </w:divBdr>
        </w:div>
      </w:divsChild>
    </w:div>
    <w:div w:id="774792856">
      <w:bodyDiv w:val="1"/>
      <w:marLeft w:val="0"/>
      <w:marRight w:val="0"/>
      <w:marTop w:val="0"/>
      <w:marBottom w:val="0"/>
      <w:divBdr>
        <w:top w:val="none" w:sz="0" w:space="0" w:color="auto"/>
        <w:left w:val="none" w:sz="0" w:space="0" w:color="auto"/>
        <w:bottom w:val="none" w:sz="0" w:space="0" w:color="auto"/>
        <w:right w:val="none" w:sz="0" w:space="0" w:color="auto"/>
      </w:divBdr>
    </w:div>
    <w:div w:id="827554824">
      <w:bodyDiv w:val="1"/>
      <w:marLeft w:val="0"/>
      <w:marRight w:val="0"/>
      <w:marTop w:val="0"/>
      <w:marBottom w:val="0"/>
      <w:divBdr>
        <w:top w:val="none" w:sz="0" w:space="0" w:color="auto"/>
        <w:left w:val="none" w:sz="0" w:space="0" w:color="auto"/>
        <w:bottom w:val="none" w:sz="0" w:space="0" w:color="auto"/>
        <w:right w:val="none" w:sz="0" w:space="0" w:color="auto"/>
      </w:divBdr>
      <w:divsChild>
        <w:div w:id="171920167">
          <w:marLeft w:val="0"/>
          <w:marRight w:val="0"/>
          <w:marTop w:val="0"/>
          <w:marBottom w:val="0"/>
          <w:divBdr>
            <w:top w:val="none" w:sz="0" w:space="0" w:color="auto"/>
            <w:left w:val="none" w:sz="0" w:space="0" w:color="auto"/>
            <w:bottom w:val="none" w:sz="0" w:space="0" w:color="auto"/>
            <w:right w:val="none" w:sz="0" w:space="0" w:color="auto"/>
          </w:divBdr>
        </w:div>
      </w:divsChild>
    </w:div>
    <w:div w:id="850220207">
      <w:bodyDiv w:val="1"/>
      <w:marLeft w:val="0"/>
      <w:marRight w:val="0"/>
      <w:marTop w:val="0"/>
      <w:marBottom w:val="0"/>
      <w:divBdr>
        <w:top w:val="none" w:sz="0" w:space="0" w:color="auto"/>
        <w:left w:val="none" w:sz="0" w:space="0" w:color="auto"/>
        <w:bottom w:val="none" w:sz="0" w:space="0" w:color="auto"/>
        <w:right w:val="none" w:sz="0" w:space="0" w:color="auto"/>
      </w:divBdr>
    </w:div>
    <w:div w:id="875892528">
      <w:bodyDiv w:val="1"/>
      <w:marLeft w:val="0"/>
      <w:marRight w:val="0"/>
      <w:marTop w:val="0"/>
      <w:marBottom w:val="0"/>
      <w:divBdr>
        <w:top w:val="none" w:sz="0" w:space="0" w:color="auto"/>
        <w:left w:val="none" w:sz="0" w:space="0" w:color="auto"/>
        <w:bottom w:val="none" w:sz="0" w:space="0" w:color="auto"/>
        <w:right w:val="none" w:sz="0" w:space="0" w:color="auto"/>
      </w:divBdr>
    </w:div>
    <w:div w:id="970861799">
      <w:bodyDiv w:val="1"/>
      <w:marLeft w:val="0"/>
      <w:marRight w:val="0"/>
      <w:marTop w:val="0"/>
      <w:marBottom w:val="0"/>
      <w:divBdr>
        <w:top w:val="none" w:sz="0" w:space="0" w:color="auto"/>
        <w:left w:val="none" w:sz="0" w:space="0" w:color="auto"/>
        <w:bottom w:val="none" w:sz="0" w:space="0" w:color="auto"/>
        <w:right w:val="none" w:sz="0" w:space="0" w:color="auto"/>
      </w:divBdr>
      <w:divsChild>
        <w:div w:id="1946419365">
          <w:marLeft w:val="0"/>
          <w:marRight w:val="0"/>
          <w:marTop w:val="0"/>
          <w:marBottom w:val="0"/>
          <w:divBdr>
            <w:top w:val="none" w:sz="0" w:space="0" w:color="auto"/>
            <w:left w:val="none" w:sz="0" w:space="0" w:color="auto"/>
            <w:bottom w:val="none" w:sz="0" w:space="0" w:color="auto"/>
            <w:right w:val="none" w:sz="0" w:space="0" w:color="auto"/>
          </w:divBdr>
        </w:div>
      </w:divsChild>
    </w:div>
    <w:div w:id="998536824">
      <w:bodyDiv w:val="1"/>
      <w:marLeft w:val="0"/>
      <w:marRight w:val="0"/>
      <w:marTop w:val="0"/>
      <w:marBottom w:val="0"/>
      <w:divBdr>
        <w:top w:val="none" w:sz="0" w:space="0" w:color="auto"/>
        <w:left w:val="none" w:sz="0" w:space="0" w:color="auto"/>
        <w:bottom w:val="none" w:sz="0" w:space="0" w:color="auto"/>
        <w:right w:val="none" w:sz="0" w:space="0" w:color="auto"/>
      </w:divBdr>
    </w:div>
    <w:div w:id="1010527088">
      <w:bodyDiv w:val="1"/>
      <w:marLeft w:val="0"/>
      <w:marRight w:val="0"/>
      <w:marTop w:val="0"/>
      <w:marBottom w:val="0"/>
      <w:divBdr>
        <w:top w:val="none" w:sz="0" w:space="0" w:color="auto"/>
        <w:left w:val="none" w:sz="0" w:space="0" w:color="auto"/>
        <w:bottom w:val="none" w:sz="0" w:space="0" w:color="auto"/>
        <w:right w:val="none" w:sz="0" w:space="0" w:color="auto"/>
      </w:divBdr>
    </w:div>
    <w:div w:id="1012679696">
      <w:bodyDiv w:val="1"/>
      <w:marLeft w:val="0"/>
      <w:marRight w:val="0"/>
      <w:marTop w:val="0"/>
      <w:marBottom w:val="0"/>
      <w:divBdr>
        <w:top w:val="none" w:sz="0" w:space="0" w:color="auto"/>
        <w:left w:val="none" w:sz="0" w:space="0" w:color="auto"/>
        <w:bottom w:val="none" w:sz="0" w:space="0" w:color="auto"/>
        <w:right w:val="none" w:sz="0" w:space="0" w:color="auto"/>
      </w:divBdr>
    </w:div>
    <w:div w:id="1045788780">
      <w:bodyDiv w:val="1"/>
      <w:marLeft w:val="0"/>
      <w:marRight w:val="0"/>
      <w:marTop w:val="0"/>
      <w:marBottom w:val="0"/>
      <w:divBdr>
        <w:top w:val="none" w:sz="0" w:space="0" w:color="auto"/>
        <w:left w:val="none" w:sz="0" w:space="0" w:color="auto"/>
        <w:bottom w:val="none" w:sz="0" w:space="0" w:color="auto"/>
        <w:right w:val="none" w:sz="0" w:space="0" w:color="auto"/>
      </w:divBdr>
    </w:div>
    <w:div w:id="1126892997">
      <w:bodyDiv w:val="1"/>
      <w:marLeft w:val="0"/>
      <w:marRight w:val="0"/>
      <w:marTop w:val="0"/>
      <w:marBottom w:val="0"/>
      <w:divBdr>
        <w:top w:val="none" w:sz="0" w:space="0" w:color="auto"/>
        <w:left w:val="none" w:sz="0" w:space="0" w:color="auto"/>
        <w:bottom w:val="none" w:sz="0" w:space="0" w:color="auto"/>
        <w:right w:val="none" w:sz="0" w:space="0" w:color="auto"/>
      </w:divBdr>
    </w:div>
    <w:div w:id="1129395399">
      <w:bodyDiv w:val="1"/>
      <w:marLeft w:val="0"/>
      <w:marRight w:val="0"/>
      <w:marTop w:val="0"/>
      <w:marBottom w:val="0"/>
      <w:divBdr>
        <w:top w:val="none" w:sz="0" w:space="0" w:color="auto"/>
        <w:left w:val="none" w:sz="0" w:space="0" w:color="auto"/>
        <w:bottom w:val="none" w:sz="0" w:space="0" w:color="auto"/>
        <w:right w:val="none" w:sz="0" w:space="0" w:color="auto"/>
      </w:divBdr>
    </w:div>
    <w:div w:id="1156337307">
      <w:bodyDiv w:val="1"/>
      <w:marLeft w:val="0"/>
      <w:marRight w:val="0"/>
      <w:marTop w:val="0"/>
      <w:marBottom w:val="0"/>
      <w:divBdr>
        <w:top w:val="none" w:sz="0" w:space="0" w:color="auto"/>
        <w:left w:val="none" w:sz="0" w:space="0" w:color="auto"/>
        <w:bottom w:val="none" w:sz="0" w:space="0" w:color="auto"/>
        <w:right w:val="none" w:sz="0" w:space="0" w:color="auto"/>
      </w:divBdr>
    </w:div>
    <w:div w:id="1211502105">
      <w:bodyDiv w:val="1"/>
      <w:marLeft w:val="0"/>
      <w:marRight w:val="0"/>
      <w:marTop w:val="0"/>
      <w:marBottom w:val="0"/>
      <w:divBdr>
        <w:top w:val="none" w:sz="0" w:space="0" w:color="auto"/>
        <w:left w:val="none" w:sz="0" w:space="0" w:color="auto"/>
        <w:bottom w:val="none" w:sz="0" w:space="0" w:color="auto"/>
        <w:right w:val="none" w:sz="0" w:space="0" w:color="auto"/>
      </w:divBdr>
    </w:div>
    <w:div w:id="1228145319">
      <w:bodyDiv w:val="1"/>
      <w:marLeft w:val="0"/>
      <w:marRight w:val="0"/>
      <w:marTop w:val="0"/>
      <w:marBottom w:val="0"/>
      <w:divBdr>
        <w:top w:val="none" w:sz="0" w:space="0" w:color="auto"/>
        <w:left w:val="none" w:sz="0" w:space="0" w:color="auto"/>
        <w:bottom w:val="none" w:sz="0" w:space="0" w:color="auto"/>
        <w:right w:val="none" w:sz="0" w:space="0" w:color="auto"/>
      </w:divBdr>
    </w:div>
    <w:div w:id="1262833838">
      <w:bodyDiv w:val="1"/>
      <w:marLeft w:val="0"/>
      <w:marRight w:val="0"/>
      <w:marTop w:val="0"/>
      <w:marBottom w:val="0"/>
      <w:divBdr>
        <w:top w:val="none" w:sz="0" w:space="0" w:color="auto"/>
        <w:left w:val="none" w:sz="0" w:space="0" w:color="auto"/>
        <w:bottom w:val="none" w:sz="0" w:space="0" w:color="auto"/>
        <w:right w:val="none" w:sz="0" w:space="0" w:color="auto"/>
      </w:divBdr>
    </w:div>
    <w:div w:id="1287276350">
      <w:bodyDiv w:val="1"/>
      <w:marLeft w:val="0"/>
      <w:marRight w:val="0"/>
      <w:marTop w:val="0"/>
      <w:marBottom w:val="0"/>
      <w:divBdr>
        <w:top w:val="none" w:sz="0" w:space="0" w:color="auto"/>
        <w:left w:val="none" w:sz="0" w:space="0" w:color="auto"/>
        <w:bottom w:val="none" w:sz="0" w:space="0" w:color="auto"/>
        <w:right w:val="none" w:sz="0" w:space="0" w:color="auto"/>
      </w:divBdr>
    </w:div>
    <w:div w:id="1288047237">
      <w:bodyDiv w:val="1"/>
      <w:marLeft w:val="0"/>
      <w:marRight w:val="0"/>
      <w:marTop w:val="0"/>
      <w:marBottom w:val="0"/>
      <w:divBdr>
        <w:top w:val="none" w:sz="0" w:space="0" w:color="auto"/>
        <w:left w:val="none" w:sz="0" w:space="0" w:color="auto"/>
        <w:bottom w:val="none" w:sz="0" w:space="0" w:color="auto"/>
        <w:right w:val="none" w:sz="0" w:space="0" w:color="auto"/>
      </w:divBdr>
      <w:divsChild>
        <w:div w:id="111679979">
          <w:marLeft w:val="0"/>
          <w:marRight w:val="0"/>
          <w:marTop w:val="0"/>
          <w:marBottom w:val="0"/>
          <w:divBdr>
            <w:top w:val="none" w:sz="0" w:space="0" w:color="auto"/>
            <w:left w:val="none" w:sz="0" w:space="0" w:color="auto"/>
            <w:bottom w:val="none" w:sz="0" w:space="0" w:color="auto"/>
            <w:right w:val="none" w:sz="0" w:space="0" w:color="auto"/>
          </w:divBdr>
        </w:div>
      </w:divsChild>
    </w:div>
    <w:div w:id="1288388856">
      <w:bodyDiv w:val="1"/>
      <w:marLeft w:val="0"/>
      <w:marRight w:val="0"/>
      <w:marTop w:val="0"/>
      <w:marBottom w:val="0"/>
      <w:divBdr>
        <w:top w:val="none" w:sz="0" w:space="0" w:color="auto"/>
        <w:left w:val="none" w:sz="0" w:space="0" w:color="auto"/>
        <w:bottom w:val="none" w:sz="0" w:space="0" w:color="auto"/>
        <w:right w:val="none" w:sz="0" w:space="0" w:color="auto"/>
      </w:divBdr>
    </w:div>
    <w:div w:id="1290404034">
      <w:bodyDiv w:val="1"/>
      <w:marLeft w:val="0"/>
      <w:marRight w:val="0"/>
      <w:marTop w:val="0"/>
      <w:marBottom w:val="0"/>
      <w:divBdr>
        <w:top w:val="none" w:sz="0" w:space="0" w:color="auto"/>
        <w:left w:val="none" w:sz="0" w:space="0" w:color="auto"/>
        <w:bottom w:val="none" w:sz="0" w:space="0" w:color="auto"/>
        <w:right w:val="none" w:sz="0" w:space="0" w:color="auto"/>
      </w:divBdr>
    </w:div>
    <w:div w:id="1315720598">
      <w:bodyDiv w:val="1"/>
      <w:marLeft w:val="0"/>
      <w:marRight w:val="0"/>
      <w:marTop w:val="0"/>
      <w:marBottom w:val="0"/>
      <w:divBdr>
        <w:top w:val="none" w:sz="0" w:space="0" w:color="auto"/>
        <w:left w:val="none" w:sz="0" w:space="0" w:color="auto"/>
        <w:bottom w:val="none" w:sz="0" w:space="0" w:color="auto"/>
        <w:right w:val="none" w:sz="0" w:space="0" w:color="auto"/>
      </w:divBdr>
    </w:div>
    <w:div w:id="1318191764">
      <w:bodyDiv w:val="1"/>
      <w:marLeft w:val="0"/>
      <w:marRight w:val="0"/>
      <w:marTop w:val="0"/>
      <w:marBottom w:val="0"/>
      <w:divBdr>
        <w:top w:val="none" w:sz="0" w:space="0" w:color="auto"/>
        <w:left w:val="none" w:sz="0" w:space="0" w:color="auto"/>
        <w:bottom w:val="none" w:sz="0" w:space="0" w:color="auto"/>
        <w:right w:val="none" w:sz="0" w:space="0" w:color="auto"/>
      </w:divBdr>
    </w:div>
    <w:div w:id="1355961662">
      <w:bodyDiv w:val="1"/>
      <w:marLeft w:val="0"/>
      <w:marRight w:val="0"/>
      <w:marTop w:val="0"/>
      <w:marBottom w:val="0"/>
      <w:divBdr>
        <w:top w:val="none" w:sz="0" w:space="0" w:color="auto"/>
        <w:left w:val="none" w:sz="0" w:space="0" w:color="auto"/>
        <w:bottom w:val="none" w:sz="0" w:space="0" w:color="auto"/>
        <w:right w:val="none" w:sz="0" w:space="0" w:color="auto"/>
      </w:divBdr>
    </w:div>
    <w:div w:id="1388214577">
      <w:bodyDiv w:val="1"/>
      <w:marLeft w:val="0"/>
      <w:marRight w:val="0"/>
      <w:marTop w:val="0"/>
      <w:marBottom w:val="0"/>
      <w:divBdr>
        <w:top w:val="none" w:sz="0" w:space="0" w:color="auto"/>
        <w:left w:val="none" w:sz="0" w:space="0" w:color="auto"/>
        <w:bottom w:val="none" w:sz="0" w:space="0" w:color="auto"/>
        <w:right w:val="none" w:sz="0" w:space="0" w:color="auto"/>
      </w:divBdr>
      <w:divsChild>
        <w:div w:id="859125399">
          <w:marLeft w:val="0"/>
          <w:marRight w:val="0"/>
          <w:marTop w:val="0"/>
          <w:marBottom w:val="0"/>
          <w:divBdr>
            <w:top w:val="none" w:sz="0" w:space="0" w:color="auto"/>
            <w:left w:val="none" w:sz="0" w:space="0" w:color="auto"/>
            <w:bottom w:val="none" w:sz="0" w:space="0" w:color="auto"/>
            <w:right w:val="none" w:sz="0" w:space="0" w:color="auto"/>
          </w:divBdr>
        </w:div>
      </w:divsChild>
    </w:div>
    <w:div w:id="1394163210">
      <w:bodyDiv w:val="1"/>
      <w:marLeft w:val="0"/>
      <w:marRight w:val="0"/>
      <w:marTop w:val="0"/>
      <w:marBottom w:val="0"/>
      <w:divBdr>
        <w:top w:val="none" w:sz="0" w:space="0" w:color="auto"/>
        <w:left w:val="none" w:sz="0" w:space="0" w:color="auto"/>
        <w:bottom w:val="none" w:sz="0" w:space="0" w:color="auto"/>
        <w:right w:val="none" w:sz="0" w:space="0" w:color="auto"/>
      </w:divBdr>
    </w:div>
    <w:div w:id="1417903898">
      <w:bodyDiv w:val="1"/>
      <w:marLeft w:val="0"/>
      <w:marRight w:val="0"/>
      <w:marTop w:val="0"/>
      <w:marBottom w:val="0"/>
      <w:divBdr>
        <w:top w:val="none" w:sz="0" w:space="0" w:color="auto"/>
        <w:left w:val="none" w:sz="0" w:space="0" w:color="auto"/>
        <w:bottom w:val="none" w:sz="0" w:space="0" w:color="auto"/>
        <w:right w:val="none" w:sz="0" w:space="0" w:color="auto"/>
      </w:divBdr>
    </w:div>
    <w:div w:id="1450775992">
      <w:bodyDiv w:val="1"/>
      <w:marLeft w:val="0"/>
      <w:marRight w:val="0"/>
      <w:marTop w:val="0"/>
      <w:marBottom w:val="0"/>
      <w:divBdr>
        <w:top w:val="none" w:sz="0" w:space="0" w:color="auto"/>
        <w:left w:val="none" w:sz="0" w:space="0" w:color="auto"/>
        <w:bottom w:val="none" w:sz="0" w:space="0" w:color="auto"/>
        <w:right w:val="none" w:sz="0" w:space="0" w:color="auto"/>
      </w:divBdr>
    </w:div>
    <w:div w:id="1474521589">
      <w:bodyDiv w:val="1"/>
      <w:marLeft w:val="0"/>
      <w:marRight w:val="0"/>
      <w:marTop w:val="0"/>
      <w:marBottom w:val="0"/>
      <w:divBdr>
        <w:top w:val="none" w:sz="0" w:space="0" w:color="auto"/>
        <w:left w:val="none" w:sz="0" w:space="0" w:color="auto"/>
        <w:bottom w:val="none" w:sz="0" w:space="0" w:color="auto"/>
        <w:right w:val="none" w:sz="0" w:space="0" w:color="auto"/>
      </w:divBdr>
    </w:div>
    <w:div w:id="1474709656">
      <w:bodyDiv w:val="1"/>
      <w:marLeft w:val="0"/>
      <w:marRight w:val="0"/>
      <w:marTop w:val="0"/>
      <w:marBottom w:val="0"/>
      <w:divBdr>
        <w:top w:val="none" w:sz="0" w:space="0" w:color="auto"/>
        <w:left w:val="none" w:sz="0" w:space="0" w:color="auto"/>
        <w:bottom w:val="none" w:sz="0" w:space="0" w:color="auto"/>
        <w:right w:val="none" w:sz="0" w:space="0" w:color="auto"/>
      </w:divBdr>
    </w:div>
    <w:div w:id="1500196879">
      <w:bodyDiv w:val="1"/>
      <w:marLeft w:val="0"/>
      <w:marRight w:val="0"/>
      <w:marTop w:val="0"/>
      <w:marBottom w:val="0"/>
      <w:divBdr>
        <w:top w:val="none" w:sz="0" w:space="0" w:color="auto"/>
        <w:left w:val="none" w:sz="0" w:space="0" w:color="auto"/>
        <w:bottom w:val="none" w:sz="0" w:space="0" w:color="auto"/>
        <w:right w:val="none" w:sz="0" w:space="0" w:color="auto"/>
      </w:divBdr>
    </w:div>
    <w:div w:id="1569226456">
      <w:bodyDiv w:val="1"/>
      <w:marLeft w:val="0"/>
      <w:marRight w:val="0"/>
      <w:marTop w:val="0"/>
      <w:marBottom w:val="0"/>
      <w:divBdr>
        <w:top w:val="none" w:sz="0" w:space="0" w:color="auto"/>
        <w:left w:val="none" w:sz="0" w:space="0" w:color="auto"/>
        <w:bottom w:val="none" w:sz="0" w:space="0" w:color="auto"/>
        <w:right w:val="none" w:sz="0" w:space="0" w:color="auto"/>
      </w:divBdr>
    </w:div>
    <w:div w:id="1614945569">
      <w:bodyDiv w:val="1"/>
      <w:marLeft w:val="0"/>
      <w:marRight w:val="0"/>
      <w:marTop w:val="0"/>
      <w:marBottom w:val="0"/>
      <w:divBdr>
        <w:top w:val="none" w:sz="0" w:space="0" w:color="auto"/>
        <w:left w:val="none" w:sz="0" w:space="0" w:color="auto"/>
        <w:bottom w:val="none" w:sz="0" w:space="0" w:color="auto"/>
        <w:right w:val="none" w:sz="0" w:space="0" w:color="auto"/>
      </w:divBdr>
    </w:div>
    <w:div w:id="1638023686">
      <w:bodyDiv w:val="1"/>
      <w:marLeft w:val="0"/>
      <w:marRight w:val="0"/>
      <w:marTop w:val="0"/>
      <w:marBottom w:val="0"/>
      <w:divBdr>
        <w:top w:val="none" w:sz="0" w:space="0" w:color="auto"/>
        <w:left w:val="none" w:sz="0" w:space="0" w:color="auto"/>
        <w:bottom w:val="none" w:sz="0" w:space="0" w:color="auto"/>
        <w:right w:val="none" w:sz="0" w:space="0" w:color="auto"/>
      </w:divBdr>
    </w:div>
    <w:div w:id="1648700522">
      <w:bodyDiv w:val="1"/>
      <w:marLeft w:val="0"/>
      <w:marRight w:val="0"/>
      <w:marTop w:val="0"/>
      <w:marBottom w:val="0"/>
      <w:divBdr>
        <w:top w:val="none" w:sz="0" w:space="0" w:color="auto"/>
        <w:left w:val="none" w:sz="0" w:space="0" w:color="auto"/>
        <w:bottom w:val="none" w:sz="0" w:space="0" w:color="auto"/>
        <w:right w:val="none" w:sz="0" w:space="0" w:color="auto"/>
      </w:divBdr>
      <w:divsChild>
        <w:div w:id="1124738870">
          <w:marLeft w:val="0"/>
          <w:marRight w:val="0"/>
          <w:marTop w:val="0"/>
          <w:marBottom w:val="0"/>
          <w:divBdr>
            <w:top w:val="none" w:sz="0" w:space="0" w:color="auto"/>
            <w:left w:val="none" w:sz="0" w:space="0" w:color="auto"/>
            <w:bottom w:val="none" w:sz="0" w:space="0" w:color="auto"/>
            <w:right w:val="none" w:sz="0" w:space="0" w:color="auto"/>
          </w:divBdr>
        </w:div>
      </w:divsChild>
    </w:div>
    <w:div w:id="1660497559">
      <w:bodyDiv w:val="1"/>
      <w:marLeft w:val="0"/>
      <w:marRight w:val="0"/>
      <w:marTop w:val="0"/>
      <w:marBottom w:val="0"/>
      <w:divBdr>
        <w:top w:val="none" w:sz="0" w:space="0" w:color="auto"/>
        <w:left w:val="none" w:sz="0" w:space="0" w:color="auto"/>
        <w:bottom w:val="none" w:sz="0" w:space="0" w:color="auto"/>
        <w:right w:val="none" w:sz="0" w:space="0" w:color="auto"/>
      </w:divBdr>
    </w:div>
    <w:div w:id="1660814679">
      <w:bodyDiv w:val="1"/>
      <w:marLeft w:val="0"/>
      <w:marRight w:val="0"/>
      <w:marTop w:val="0"/>
      <w:marBottom w:val="0"/>
      <w:divBdr>
        <w:top w:val="none" w:sz="0" w:space="0" w:color="auto"/>
        <w:left w:val="none" w:sz="0" w:space="0" w:color="auto"/>
        <w:bottom w:val="none" w:sz="0" w:space="0" w:color="auto"/>
        <w:right w:val="none" w:sz="0" w:space="0" w:color="auto"/>
      </w:divBdr>
    </w:div>
    <w:div w:id="1669216219">
      <w:bodyDiv w:val="1"/>
      <w:marLeft w:val="0"/>
      <w:marRight w:val="0"/>
      <w:marTop w:val="0"/>
      <w:marBottom w:val="0"/>
      <w:divBdr>
        <w:top w:val="none" w:sz="0" w:space="0" w:color="auto"/>
        <w:left w:val="none" w:sz="0" w:space="0" w:color="auto"/>
        <w:bottom w:val="none" w:sz="0" w:space="0" w:color="auto"/>
        <w:right w:val="none" w:sz="0" w:space="0" w:color="auto"/>
      </w:divBdr>
    </w:div>
    <w:div w:id="1672757176">
      <w:bodyDiv w:val="1"/>
      <w:marLeft w:val="0"/>
      <w:marRight w:val="0"/>
      <w:marTop w:val="0"/>
      <w:marBottom w:val="0"/>
      <w:divBdr>
        <w:top w:val="none" w:sz="0" w:space="0" w:color="auto"/>
        <w:left w:val="none" w:sz="0" w:space="0" w:color="auto"/>
        <w:bottom w:val="none" w:sz="0" w:space="0" w:color="auto"/>
        <w:right w:val="none" w:sz="0" w:space="0" w:color="auto"/>
      </w:divBdr>
    </w:div>
    <w:div w:id="1675500195">
      <w:bodyDiv w:val="1"/>
      <w:marLeft w:val="0"/>
      <w:marRight w:val="0"/>
      <w:marTop w:val="0"/>
      <w:marBottom w:val="0"/>
      <w:divBdr>
        <w:top w:val="none" w:sz="0" w:space="0" w:color="auto"/>
        <w:left w:val="none" w:sz="0" w:space="0" w:color="auto"/>
        <w:bottom w:val="none" w:sz="0" w:space="0" w:color="auto"/>
        <w:right w:val="none" w:sz="0" w:space="0" w:color="auto"/>
      </w:divBdr>
    </w:div>
    <w:div w:id="1688209580">
      <w:bodyDiv w:val="1"/>
      <w:marLeft w:val="0"/>
      <w:marRight w:val="0"/>
      <w:marTop w:val="0"/>
      <w:marBottom w:val="0"/>
      <w:divBdr>
        <w:top w:val="none" w:sz="0" w:space="0" w:color="auto"/>
        <w:left w:val="none" w:sz="0" w:space="0" w:color="auto"/>
        <w:bottom w:val="none" w:sz="0" w:space="0" w:color="auto"/>
        <w:right w:val="none" w:sz="0" w:space="0" w:color="auto"/>
      </w:divBdr>
    </w:div>
    <w:div w:id="1706326875">
      <w:bodyDiv w:val="1"/>
      <w:marLeft w:val="0"/>
      <w:marRight w:val="0"/>
      <w:marTop w:val="0"/>
      <w:marBottom w:val="0"/>
      <w:divBdr>
        <w:top w:val="none" w:sz="0" w:space="0" w:color="auto"/>
        <w:left w:val="none" w:sz="0" w:space="0" w:color="auto"/>
        <w:bottom w:val="none" w:sz="0" w:space="0" w:color="auto"/>
        <w:right w:val="none" w:sz="0" w:space="0" w:color="auto"/>
      </w:divBdr>
    </w:div>
    <w:div w:id="1709911429">
      <w:bodyDiv w:val="1"/>
      <w:marLeft w:val="0"/>
      <w:marRight w:val="0"/>
      <w:marTop w:val="0"/>
      <w:marBottom w:val="0"/>
      <w:divBdr>
        <w:top w:val="none" w:sz="0" w:space="0" w:color="auto"/>
        <w:left w:val="none" w:sz="0" w:space="0" w:color="auto"/>
        <w:bottom w:val="none" w:sz="0" w:space="0" w:color="auto"/>
        <w:right w:val="none" w:sz="0" w:space="0" w:color="auto"/>
      </w:divBdr>
    </w:div>
    <w:div w:id="1714118258">
      <w:bodyDiv w:val="1"/>
      <w:marLeft w:val="0"/>
      <w:marRight w:val="0"/>
      <w:marTop w:val="0"/>
      <w:marBottom w:val="0"/>
      <w:divBdr>
        <w:top w:val="none" w:sz="0" w:space="0" w:color="auto"/>
        <w:left w:val="none" w:sz="0" w:space="0" w:color="auto"/>
        <w:bottom w:val="none" w:sz="0" w:space="0" w:color="auto"/>
        <w:right w:val="none" w:sz="0" w:space="0" w:color="auto"/>
      </w:divBdr>
    </w:div>
    <w:div w:id="1714383707">
      <w:bodyDiv w:val="1"/>
      <w:marLeft w:val="0"/>
      <w:marRight w:val="0"/>
      <w:marTop w:val="0"/>
      <w:marBottom w:val="0"/>
      <w:divBdr>
        <w:top w:val="none" w:sz="0" w:space="0" w:color="auto"/>
        <w:left w:val="none" w:sz="0" w:space="0" w:color="auto"/>
        <w:bottom w:val="none" w:sz="0" w:space="0" w:color="auto"/>
        <w:right w:val="none" w:sz="0" w:space="0" w:color="auto"/>
      </w:divBdr>
    </w:div>
    <w:div w:id="1723677598">
      <w:bodyDiv w:val="1"/>
      <w:marLeft w:val="0"/>
      <w:marRight w:val="0"/>
      <w:marTop w:val="0"/>
      <w:marBottom w:val="0"/>
      <w:divBdr>
        <w:top w:val="none" w:sz="0" w:space="0" w:color="auto"/>
        <w:left w:val="none" w:sz="0" w:space="0" w:color="auto"/>
        <w:bottom w:val="none" w:sz="0" w:space="0" w:color="auto"/>
        <w:right w:val="none" w:sz="0" w:space="0" w:color="auto"/>
      </w:divBdr>
    </w:div>
    <w:div w:id="1762096944">
      <w:bodyDiv w:val="1"/>
      <w:marLeft w:val="0"/>
      <w:marRight w:val="0"/>
      <w:marTop w:val="0"/>
      <w:marBottom w:val="0"/>
      <w:divBdr>
        <w:top w:val="none" w:sz="0" w:space="0" w:color="auto"/>
        <w:left w:val="none" w:sz="0" w:space="0" w:color="auto"/>
        <w:bottom w:val="none" w:sz="0" w:space="0" w:color="auto"/>
        <w:right w:val="none" w:sz="0" w:space="0" w:color="auto"/>
      </w:divBdr>
    </w:div>
    <w:div w:id="1765687436">
      <w:bodyDiv w:val="1"/>
      <w:marLeft w:val="0"/>
      <w:marRight w:val="0"/>
      <w:marTop w:val="0"/>
      <w:marBottom w:val="0"/>
      <w:divBdr>
        <w:top w:val="none" w:sz="0" w:space="0" w:color="auto"/>
        <w:left w:val="none" w:sz="0" w:space="0" w:color="auto"/>
        <w:bottom w:val="none" w:sz="0" w:space="0" w:color="auto"/>
        <w:right w:val="none" w:sz="0" w:space="0" w:color="auto"/>
      </w:divBdr>
    </w:div>
    <w:div w:id="1775784287">
      <w:bodyDiv w:val="1"/>
      <w:marLeft w:val="0"/>
      <w:marRight w:val="0"/>
      <w:marTop w:val="0"/>
      <w:marBottom w:val="0"/>
      <w:divBdr>
        <w:top w:val="none" w:sz="0" w:space="0" w:color="auto"/>
        <w:left w:val="none" w:sz="0" w:space="0" w:color="auto"/>
        <w:bottom w:val="none" w:sz="0" w:space="0" w:color="auto"/>
        <w:right w:val="none" w:sz="0" w:space="0" w:color="auto"/>
      </w:divBdr>
    </w:div>
    <w:div w:id="1785075376">
      <w:bodyDiv w:val="1"/>
      <w:marLeft w:val="0"/>
      <w:marRight w:val="0"/>
      <w:marTop w:val="0"/>
      <w:marBottom w:val="0"/>
      <w:divBdr>
        <w:top w:val="none" w:sz="0" w:space="0" w:color="auto"/>
        <w:left w:val="none" w:sz="0" w:space="0" w:color="auto"/>
        <w:bottom w:val="none" w:sz="0" w:space="0" w:color="auto"/>
        <w:right w:val="none" w:sz="0" w:space="0" w:color="auto"/>
      </w:divBdr>
    </w:div>
    <w:div w:id="1798600179">
      <w:bodyDiv w:val="1"/>
      <w:marLeft w:val="0"/>
      <w:marRight w:val="0"/>
      <w:marTop w:val="0"/>
      <w:marBottom w:val="0"/>
      <w:divBdr>
        <w:top w:val="none" w:sz="0" w:space="0" w:color="auto"/>
        <w:left w:val="none" w:sz="0" w:space="0" w:color="auto"/>
        <w:bottom w:val="none" w:sz="0" w:space="0" w:color="auto"/>
        <w:right w:val="none" w:sz="0" w:space="0" w:color="auto"/>
      </w:divBdr>
    </w:div>
    <w:div w:id="1836649100">
      <w:bodyDiv w:val="1"/>
      <w:marLeft w:val="0"/>
      <w:marRight w:val="0"/>
      <w:marTop w:val="0"/>
      <w:marBottom w:val="0"/>
      <w:divBdr>
        <w:top w:val="none" w:sz="0" w:space="0" w:color="auto"/>
        <w:left w:val="none" w:sz="0" w:space="0" w:color="auto"/>
        <w:bottom w:val="none" w:sz="0" w:space="0" w:color="auto"/>
        <w:right w:val="none" w:sz="0" w:space="0" w:color="auto"/>
      </w:divBdr>
    </w:div>
    <w:div w:id="1839616128">
      <w:bodyDiv w:val="1"/>
      <w:marLeft w:val="0"/>
      <w:marRight w:val="0"/>
      <w:marTop w:val="0"/>
      <w:marBottom w:val="0"/>
      <w:divBdr>
        <w:top w:val="none" w:sz="0" w:space="0" w:color="auto"/>
        <w:left w:val="none" w:sz="0" w:space="0" w:color="auto"/>
        <w:bottom w:val="none" w:sz="0" w:space="0" w:color="auto"/>
        <w:right w:val="none" w:sz="0" w:space="0" w:color="auto"/>
      </w:divBdr>
    </w:div>
    <w:div w:id="1840806679">
      <w:bodyDiv w:val="1"/>
      <w:marLeft w:val="0"/>
      <w:marRight w:val="0"/>
      <w:marTop w:val="0"/>
      <w:marBottom w:val="0"/>
      <w:divBdr>
        <w:top w:val="none" w:sz="0" w:space="0" w:color="auto"/>
        <w:left w:val="none" w:sz="0" w:space="0" w:color="auto"/>
        <w:bottom w:val="none" w:sz="0" w:space="0" w:color="auto"/>
        <w:right w:val="none" w:sz="0" w:space="0" w:color="auto"/>
      </w:divBdr>
    </w:div>
    <w:div w:id="1842045491">
      <w:bodyDiv w:val="1"/>
      <w:marLeft w:val="0"/>
      <w:marRight w:val="0"/>
      <w:marTop w:val="0"/>
      <w:marBottom w:val="0"/>
      <w:divBdr>
        <w:top w:val="none" w:sz="0" w:space="0" w:color="auto"/>
        <w:left w:val="none" w:sz="0" w:space="0" w:color="auto"/>
        <w:bottom w:val="none" w:sz="0" w:space="0" w:color="auto"/>
        <w:right w:val="none" w:sz="0" w:space="0" w:color="auto"/>
      </w:divBdr>
    </w:div>
    <w:div w:id="1861240334">
      <w:bodyDiv w:val="1"/>
      <w:marLeft w:val="0"/>
      <w:marRight w:val="0"/>
      <w:marTop w:val="0"/>
      <w:marBottom w:val="0"/>
      <w:divBdr>
        <w:top w:val="none" w:sz="0" w:space="0" w:color="auto"/>
        <w:left w:val="none" w:sz="0" w:space="0" w:color="auto"/>
        <w:bottom w:val="none" w:sz="0" w:space="0" w:color="auto"/>
        <w:right w:val="none" w:sz="0" w:space="0" w:color="auto"/>
      </w:divBdr>
    </w:div>
    <w:div w:id="1883394417">
      <w:bodyDiv w:val="1"/>
      <w:marLeft w:val="0"/>
      <w:marRight w:val="0"/>
      <w:marTop w:val="0"/>
      <w:marBottom w:val="0"/>
      <w:divBdr>
        <w:top w:val="none" w:sz="0" w:space="0" w:color="auto"/>
        <w:left w:val="none" w:sz="0" w:space="0" w:color="auto"/>
        <w:bottom w:val="none" w:sz="0" w:space="0" w:color="auto"/>
        <w:right w:val="none" w:sz="0" w:space="0" w:color="auto"/>
      </w:divBdr>
    </w:div>
    <w:div w:id="1894197801">
      <w:bodyDiv w:val="1"/>
      <w:marLeft w:val="0"/>
      <w:marRight w:val="0"/>
      <w:marTop w:val="0"/>
      <w:marBottom w:val="0"/>
      <w:divBdr>
        <w:top w:val="none" w:sz="0" w:space="0" w:color="auto"/>
        <w:left w:val="none" w:sz="0" w:space="0" w:color="auto"/>
        <w:bottom w:val="none" w:sz="0" w:space="0" w:color="auto"/>
        <w:right w:val="none" w:sz="0" w:space="0" w:color="auto"/>
      </w:divBdr>
    </w:div>
    <w:div w:id="1908613594">
      <w:bodyDiv w:val="1"/>
      <w:marLeft w:val="0"/>
      <w:marRight w:val="0"/>
      <w:marTop w:val="0"/>
      <w:marBottom w:val="0"/>
      <w:divBdr>
        <w:top w:val="none" w:sz="0" w:space="0" w:color="auto"/>
        <w:left w:val="none" w:sz="0" w:space="0" w:color="auto"/>
        <w:bottom w:val="none" w:sz="0" w:space="0" w:color="auto"/>
        <w:right w:val="none" w:sz="0" w:space="0" w:color="auto"/>
      </w:divBdr>
    </w:div>
    <w:div w:id="1916931386">
      <w:bodyDiv w:val="1"/>
      <w:marLeft w:val="0"/>
      <w:marRight w:val="0"/>
      <w:marTop w:val="0"/>
      <w:marBottom w:val="0"/>
      <w:divBdr>
        <w:top w:val="none" w:sz="0" w:space="0" w:color="auto"/>
        <w:left w:val="none" w:sz="0" w:space="0" w:color="auto"/>
        <w:bottom w:val="none" w:sz="0" w:space="0" w:color="auto"/>
        <w:right w:val="none" w:sz="0" w:space="0" w:color="auto"/>
      </w:divBdr>
    </w:div>
    <w:div w:id="1937863252">
      <w:bodyDiv w:val="1"/>
      <w:marLeft w:val="0"/>
      <w:marRight w:val="0"/>
      <w:marTop w:val="0"/>
      <w:marBottom w:val="0"/>
      <w:divBdr>
        <w:top w:val="none" w:sz="0" w:space="0" w:color="auto"/>
        <w:left w:val="none" w:sz="0" w:space="0" w:color="auto"/>
        <w:bottom w:val="none" w:sz="0" w:space="0" w:color="auto"/>
        <w:right w:val="none" w:sz="0" w:space="0" w:color="auto"/>
      </w:divBdr>
    </w:div>
    <w:div w:id="2019233640">
      <w:bodyDiv w:val="1"/>
      <w:marLeft w:val="0"/>
      <w:marRight w:val="0"/>
      <w:marTop w:val="0"/>
      <w:marBottom w:val="0"/>
      <w:divBdr>
        <w:top w:val="none" w:sz="0" w:space="0" w:color="auto"/>
        <w:left w:val="none" w:sz="0" w:space="0" w:color="auto"/>
        <w:bottom w:val="none" w:sz="0" w:space="0" w:color="auto"/>
        <w:right w:val="none" w:sz="0" w:space="0" w:color="auto"/>
      </w:divBdr>
    </w:div>
    <w:div w:id="2024090852">
      <w:bodyDiv w:val="1"/>
      <w:marLeft w:val="0"/>
      <w:marRight w:val="0"/>
      <w:marTop w:val="0"/>
      <w:marBottom w:val="0"/>
      <w:divBdr>
        <w:top w:val="none" w:sz="0" w:space="0" w:color="auto"/>
        <w:left w:val="none" w:sz="0" w:space="0" w:color="auto"/>
        <w:bottom w:val="none" w:sz="0" w:space="0" w:color="auto"/>
        <w:right w:val="none" w:sz="0" w:space="0" w:color="auto"/>
      </w:divBdr>
    </w:div>
    <w:div w:id="2034918745">
      <w:bodyDiv w:val="1"/>
      <w:marLeft w:val="0"/>
      <w:marRight w:val="0"/>
      <w:marTop w:val="0"/>
      <w:marBottom w:val="0"/>
      <w:divBdr>
        <w:top w:val="none" w:sz="0" w:space="0" w:color="auto"/>
        <w:left w:val="none" w:sz="0" w:space="0" w:color="auto"/>
        <w:bottom w:val="none" w:sz="0" w:space="0" w:color="auto"/>
        <w:right w:val="none" w:sz="0" w:space="0" w:color="auto"/>
      </w:divBdr>
    </w:div>
    <w:div w:id="2045592944">
      <w:bodyDiv w:val="1"/>
      <w:marLeft w:val="0"/>
      <w:marRight w:val="0"/>
      <w:marTop w:val="0"/>
      <w:marBottom w:val="0"/>
      <w:divBdr>
        <w:top w:val="none" w:sz="0" w:space="0" w:color="auto"/>
        <w:left w:val="none" w:sz="0" w:space="0" w:color="auto"/>
        <w:bottom w:val="none" w:sz="0" w:space="0" w:color="auto"/>
        <w:right w:val="none" w:sz="0" w:space="0" w:color="auto"/>
      </w:divBdr>
    </w:div>
    <w:div w:id="2065176386">
      <w:bodyDiv w:val="1"/>
      <w:marLeft w:val="0"/>
      <w:marRight w:val="0"/>
      <w:marTop w:val="0"/>
      <w:marBottom w:val="0"/>
      <w:divBdr>
        <w:top w:val="none" w:sz="0" w:space="0" w:color="auto"/>
        <w:left w:val="none" w:sz="0" w:space="0" w:color="auto"/>
        <w:bottom w:val="none" w:sz="0" w:space="0" w:color="auto"/>
        <w:right w:val="none" w:sz="0" w:space="0" w:color="auto"/>
      </w:divBdr>
    </w:div>
    <w:div w:id="2086297183">
      <w:bodyDiv w:val="1"/>
      <w:marLeft w:val="0"/>
      <w:marRight w:val="0"/>
      <w:marTop w:val="0"/>
      <w:marBottom w:val="0"/>
      <w:divBdr>
        <w:top w:val="none" w:sz="0" w:space="0" w:color="auto"/>
        <w:left w:val="none" w:sz="0" w:space="0" w:color="auto"/>
        <w:bottom w:val="none" w:sz="0" w:space="0" w:color="auto"/>
        <w:right w:val="none" w:sz="0" w:space="0" w:color="auto"/>
      </w:divBdr>
    </w:div>
    <w:div w:id="2090495717">
      <w:bodyDiv w:val="1"/>
      <w:marLeft w:val="0"/>
      <w:marRight w:val="0"/>
      <w:marTop w:val="0"/>
      <w:marBottom w:val="0"/>
      <w:divBdr>
        <w:top w:val="none" w:sz="0" w:space="0" w:color="auto"/>
        <w:left w:val="none" w:sz="0" w:space="0" w:color="auto"/>
        <w:bottom w:val="none" w:sz="0" w:space="0" w:color="auto"/>
        <w:right w:val="none" w:sz="0" w:space="0" w:color="auto"/>
      </w:divBdr>
    </w:div>
    <w:div w:id="2107459495">
      <w:bodyDiv w:val="1"/>
      <w:marLeft w:val="0"/>
      <w:marRight w:val="0"/>
      <w:marTop w:val="0"/>
      <w:marBottom w:val="0"/>
      <w:divBdr>
        <w:top w:val="none" w:sz="0" w:space="0" w:color="auto"/>
        <w:left w:val="none" w:sz="0" w:space="0" w:color="auto"/>
        <w:bottom w:val="none" w:sz="0" w:space="0" w:color="auto"/>
        <w:right w:val="none" w:sz="0" w:space="0" w:color="auto"/>
      </w:divBdr>
    </w:div>
    <w:div w:id="2110422544">
      <w:bodyDiv w:val="1"/>
      <w:marLeft w:val="0"/>
      <w:marRight w:val="0"/>
      <w:marTop w:val="0"/>
      <w:marBottom w:val="0"/>
      <w:divBdr>
        <w:top w:val="none" w:sz="0" w:space="0" w:color="auto"/>
        <w:left w:val="none" w:sz="0" w:space="0" w:color="auto"/>
        <w:bottom w:val="none" w:sz="0" w:space="0" w:color="auto"/>
        <w:right w:val="none" w:sz="0" w:space="0" w:color="auto"/>
      </w:divBdr>
    </w:div>
    <w:div w:id="212456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chart" Target="charts/chart1.xml"/><Relationship Id="rId42" Type="http://schemas.openxmlformats.org/officeDocument/2006/relationships/header" Target="header10.xml"/><Relationship Id="rId47"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image" Target="media/image10.emf"/><Relationship Id="rId38" Type="http://schemas.openxmlformats.org/officeDocument/2006/relationships/footer" Target="footer7.xm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commission.europa.eu/document/download/abdee617-a078-4ee3-a3ec-20c7d32725b5_en?filename=NextGenerationEU%20Green%20Bonds%20Allocation%20and%20Impact%20Report%202024.pdf"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png"/><Relationship Id="rId32" Type="http://schemas.openxmlformats.org/officeDocument/2006/relationships/image" Target="media/image9.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gif"/><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8.emf"/><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emf"/><Relationship Id="rId30" Type="http://schemas.openxmlformats.org/officeDocument/2006/relationships/image" Target="media/image7.emf"/><Relationship Id="rId35" Type="http://schemas.openxmlformats.org/officeDocument/2006/relationships/hyperlink" Target="https://commission.europa.eu/document/download/abdee617-a078-4ee3-a3ec-20c7d32725b5_en?filename=NextGenerationEU%20Green%20Bonds%20Allocation%20and%20Impact%20Report%202024.pdf" TargetMode="Externa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trategy-and-policy/eu-budget/eu-borrower-investor-relations/nextgenerationeu-green-bonds/dashboard_en" TargetMode="External"/><Relationship Id="rId3" Type="http://schemas.openxmlformats.org/officeDocument/2006/relationships/hyperlink" Target="https://commission.europa.eu/document/download/abdee617-a078-4ee3-a3ec-20c7d32725b5_en?filename=NextGenerationEU%20Green%20Bonds%20Allocation%20and%20Impact%20Report%202024.pdf" TargetMode="External"/><Relationship Id="rId7" Type="http://schemas.openxmlformats.org/officeDocument/2006/relationships/hyperlink" Target="https://commission.europa.eu/system/files/2023-07/Fourth%20half-yearly%20report%20on%20the%20execution%20of%20the%20EU%20borrowing%20and%20lending%20operations.PDF" TargetMode="External"/><Relationship Id="rId2" Type="http://schemas.openxmlformats.org/officeDocument/2006/relationships/hyperlink" Target="https://eur-lex.europa.eu/legal-content/CS/TXT/PDF/?uri=CELEX:52024DC0240" TargetMode="External"/><Relationship Id="rId1" Type="http://schemas.openxmlformats.org/officeDocument/2006/relationships/hyperlink" Target="https://commission.europa.eu/document/download/187852c2-07e0-4bef-af3f-5719b9077f2e_en?filename=COM_2024_474_1_EN_ACT_part1_v2.pdf" TargetMode="External"/><Relationship Id="rId6" Type="http://schemas.openxmlformats.org/officeDocument/2006/relationships/hyperlink" Target="https://www.eca.europa.eu/Lists/ECAReplies/COM-Replies-SR-2023-16/COM-Replies-SR-2023-16_CS.pdf" TargetMode="External"/><Relationship Id="rId5" Type="http://schemas.openxmlformats.org/officeDocument/2006/relationships/hyperlink" Target="https://www.eca.europa.eu/ECAPublications/SR-2023-16/SR-2023-16_CS.pdf" TargetMode="External"/><Relationship Id="rId4" Type="http://schemas.openxmlformats.org/officeDocument/2006/relationships/hyperlink" Target="https://www.eca.europa.eu/ECAPublications/SR-2023-16/SR-2023-16_CS.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ohelee\AppData\Local\Microsoft\Windows\INetCache\Content.Outlook\DEERG5ZQ\Quarterly%20and%20semi-annual%20repor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869531763880728E-2"/>
          <c:y val="4.5379537953795381E-2"/>
          <c:w val="0.89284028118244585"/>
          <c:h val="0.74970180088875027"/>
        </c:manualLayout>
      </c:layout>
      <c:lineChart>
        <c:grouping val="standard"/>
        <c:varyColors val="0"/>
        <c:ser>
          <c:idx val="0"/>
          <c:order val="0"/>
          <c:tx>
            <c:strRef>
              <c:f>Data!$B$1</c:f>
              <c:strCache>
                <c:ptCount val="1"/>
                <c:pt idx="0">
                  <c:v>EU 10y yield</c:v>
                </c:pt>
              </c:strCache>
            </c:strRef>
          </c:tx>
          <c:spPr>
            <a:ln w="28575" cap="rnd">
              <a:solidFill>
                <a:schemeClr val="accent1"/>
              </a:solidFill>
              <a:round/>
            </a:ln>
            <a:effectLst/>
          </c:spPr>
          <c:marker>
            <c:symbol val="none"/>
          </c:marker>
          <c:cat>
            <c:numRef>
              <c:f>Data!$A$2:$A$249</c:f>
              <c:numCache>
                <c:formatCode>m/d/yyyy</c:formatCode>
                <c:ptCount val="248"/>
                <c:pt idx="0">
                  <c:v>45657</c:v>
                </c:pt>
                <c:pt idx="1">
                  <c:v>45656</c:v>
                </c:pt>
                <c:pt idx="2">
                  <c:v>45653</c:v>
                </c:pt>
                <c:pt idx="3">
                  <c:v>45650</c:v>
                </c:pt>
                <c:pt idx="4">
                  <c:v>45649</c:v>
                </c:pt>
                <c:pt idx="5">
                  <c:v>45646</c:v>
                </c:pt>
                <c:pt idx="6">
                  <c:v>45645</c:v>
                </c:pt>
                <c:pt idx="7">
                  <c:v>45644</c:v>
                </c:pt>
                <c:pt idx="8">
                  <c:v>45643</c:v>
                </c:pt>
                <c:pt idx="9">
                  <c:v>45642</c:v>
                </c:pt>
                <c:pt idx="10">
                  <c:v>45639</c:v>
                </c:pt>
                <c:pt idx="11">
                  <c:v>45638</c:v>
                </c:pt>
                <c:pt idx="12">
                  <c:v>45637</c:v>
                </c:pt>
                <c:pt idx="13">
                  <c:v>45636</c:v>
                </c:pt>
                <c:pt idx="14">
                  <c:v>45635</c:v>
                </c:pt>
                <c:pt idx="15">
                  <c:v>45632</c:v>
                </c:pt>
                <c:pt idx="16">
                  <c:v>45631</c:v>
                </c:pt>
                <c:pt idx="17">
                  <c:v>45630</c:v>
                </c:pt>
                <c:pt idx="18">
                  <c:v>45629</c:v>
                </c:pt>
                <c:pt idx="19">
                  <c:v>45628</c:v>
                </c:pt>
                <c:pt idx="20">
                  <c:v>45625</c:v>
                </c:pt>
                <c:pt idx="21">
                  <c:v>45624</c:v>
                </c:pt>
                <c:pt idx="22">
                  <c:v>45623</c:v>
                </c:pt>
                <c:pt idx="23">
                  <c:v>45622</c:v>
                </c:pt>
                <c:pt idx="24">
                  <c:v>45621</c:v>
                </c:pt>
                <c:pt idx="25">
                  <c:v>45618</c:v>
                </c:pt>
                <c:pt idx="26">
                  <c:v>45617</c:v>
                </c:pt>
                <c:pt idx="27">
                  <c:v>45616</c:v>
                </c:pt>
                <c:pt idx="28">
                  <c:v>45615</c:v>
                </c:pt>
                <c:pt idx="29">
                  <c:v>45614</c:v>
                </c:pt>
                <c:pt idx="30">
                  <c:v>45611</c:v>
                </c:pt>
                <c:pt idx="31">
                  <c:v>45610</c:v>
                </c:pt>
                <c:pt idx="32">
                  <c:v>45609</c:v>
                </c:pt>
                <c:pt idx="33">
                  <c:v>45608</c:v>
                </c:pt>
                <c:pt idx="34">
                  <c:v>45607</c:v>
                </c:pt>
                <c:pt idx="35">
                  <c:v>45604</c:v>
                </c:pt>
                <c:pt idx="36">
                  <c:v>45603</c:v>
                </c:pt>
                <c:pt idx="37">
                  <c:v>45602</c:v>
                </c:pt>
                <c:pt idx="38">
                  <c:v>45601</c:v>
                </c:pt>
                <c:pt idx="39">
                  <c:v>45600</c:v>
                </c:pt>
                <c:pt idx="40">
                  <c:v>45597</c:v>
                </c:pt>
                <c:pt idx="41">
                  <c:v>45596</c:v>
                </c:pt>
                <c:pt idx="42">
                  <c:v>45595</c:v>
                </c:pt>
                <c:pt idx="43">
                  <c:v>45594</c:v>
                </c:pt>
                <c:pt idx="44">
                  <c:v>45593</c:v>
                </c:pt>
                <c:pt idx="45">
                  <c:v>45590</c:v>
                </c:pt>
                <c:pt idx="46">
                  <c:v>45589</c:v>
                </c:pt>
                <c:pt idx="47">
                  <c:v>45588</c:v>
                </c:pt>
                <c:pt idx="48">
                  <c:v>45587</c:v>
                </c:pt>
                <c:pt idx="49">
                  <c:v>45586</c:v>
                </c:pt>
                <c:pt idx="50">
                  <c:v>45583</c:v>
                </c:pt>
                <c:pt idx="51">
                  <c:v>45582</c:v>
                </c:pt>
                <c:pt idx="52">
                  <c:v>45581</c:v>
                </c:pt>
                <c:pt idx="53">
                  <c:v>45580</c:v>
                </c:pt>
                <c:pt idx="54">
                  <c:v>45579</c:v>
                </c:pt>
                <c:pt idx="55">
                  <c:v>45576</c:v>
                </c:pt>
                <c:pt idx="56">
                  <c:v>45575</c:v>
                </c:pt>
                <c:pt idx="57">
                  <c:v>45574</c:v>
                </c:pt>
                <c:pt idx="58">
                  <c:v>45573</c:v>
                </c:pt>
                <c:pt idx="59">
                  <c:v>45572</c:v>
                </c:pt>
                <c:pt idx="60">
                  <c:v>45569</c:v>
                </c:pt>
                <c:pt idx="61">
                  <c:v>45568</c:v>
                </c:pt>
                <c:pt idx="62">
                  <c:v>45567</c:v>
                </c:pt>
                <c:pt idx="63">
                  <c:v>45566</c:v>
                </c:pt>
                <c:pt idx="64">
                  <c:v>45565</c:v>
                </c:pt>
                <c:pt idx="65">
                  <c:v>45562</c:v>
                </c:pt>
                <c:pt idx="66">
                  <c:v>45561</c:v>
                </c:pt>
                <c:pt idx="67">
                  <c:v>45560</c:v>
                </c:pt>
                <c:pt idx="68">
                  <c:v>45559</c:v>
                </c:pt>
                <c:pt idx="69">
                  <c:v>45558</c:v>
                </c:pt>
                <c:pt idx="70">
                  <c:v>45555</c:v>
                </c:pt>
                <c:pt idx="71">
                  <c:v>45554</c:v>
                </c:pt>
                <c:pt idx="72">
                  <c:v>45553</c:v>
                </c:pt>
                <c:pt idx="73">
                  <c:v>45552</c:v>
                </c:pt>
                <c:pt idx="74">
                  <c:v>45551</c:v>
                </c:pt>
                <c:pt idx="75">
                  <c:v>45548</c:v>
                </c:pt>
                <c:pt idx="76">
                  <c:v>45547</c:v>
                </c:pt>
                <c:pt idx="77">
                  <c:v>45546</c:v>
                </c:pt>
                <c:pt idx="78">
                  <c:v>45545</c:v>
                </c:pt>
                <c:pt idx="79">
                  <c:v>45544</c:v>
                </c:pt>
                <c:pt idx="80">
                  <c:v>45541</c:v>
                </c:pt>
                <c:pt idx="81">
                  <c:v>45540</c:v>
                </c:pt>
                <c:pt idx="82">
                  <c:v>45539</c:v>
                </c:pt>
                <c:pt idx="83">
                  <c:v>45538</c:v>
                </c:pt>
                <c:pt idx="84">
                  <c:v>45537</c:v>
                </c:pt>
                <c:pt idx="85">
                  <c:v>45534</c:v>
                </c:pt>
                <c:pt idx="86">
                  <c:v>45533</c:v>
                </c:pt>
                <c:pt idx="87">
                  <c:v>45532</c:v>
                </c:pt>
                <c:pt idx="88">
                  <c:v>45531</c:v>
                </c:pt>
                <c:pt idx="89">
                  <c:v>45530</c:v>
                </c:pt>
                <c:pt idx="90">
                  <c:v>45527</c:v>
                </c:pt>
                <c:pt idx="91">
                  <c:v>45526</c:v>
                </c:pt>
                <c:pt idx="92">
                  <c:v>45525</c:v>
                </c:pt>
                <c:pt idx="93">
                  <c:v>45524</c:v>
                </c:pt>
                <c:pt idx="94">
                  <c:v>45523</c:v>
                </c:pt>
                <c:pt idx="95">
                  <c:v>45520</c:v>
                </c:pt>
                <c:pt idx="96">
                  <c:v>45519</c:v>
                </c:pt>
                <c:pt idx="97">
                  <c:v>45518</c:v>
                </c:pt>
                <c:pt idx="98">
                  <c:v>45517</c:v>
                </c:pt>
                <c:pt idx="99">
                  <c:v>45516</c:v>
                </c:pt>
                <c:pt idx="100">
                  <c:v>45513</c:v>
                </c:pt>
                <c:pt idx="101">
                  <c:v>45512</c:v>
                </c:pt>
                <c:pt idx="102">
                  <c:v>45511</c:v>
                </c:pt>
                <c:pt idx="103">
                  <c:v>45510</c:v>
                </c:pt>
                <c:pt idx="104">
                  <c:v>45509</c:v>
                </c:pt>
                <c:pt idx="105">
                  <c:v>45506</c:v>
                </c:pt>
                <c:pt idx="106">
                  <c:v>45505</c:v>
                </c:pt>
                <c:pt idx="107">
                  <c:v>45504</c:v>
                </c:pt>
                <c:pt idx="108">
                  <c:v>45503</c:v>
                </c:pt>
                <c:pt idx="109">
                  <c:v>45502</c:v>
                </c:pt>
                <c:pt idx="110">
                  <c:v>45499</c:v>
                </c:pt>
                <c:pt idx="111">
                  <c:v>45498</c:v>
                </c:pt>
                <c:pt idx="112">
                  <c:v>45497</c:v>
                </c:pt>
                <c:pt idx="113">
                  <c:v>45496</c:v>
                </c:pt>
                <c:pt idx="114">
                  <c:v>45495</c:v>
                </c:pt>
                <c:pt idx="115">
                  <c:v>45492</c:v>
                </c:pt>
                <c:pt idx="116">
                  <c:v>45491</c:v>
                </c:pt>
                <c:pt idx="117">
                  <c:v>45490</c:v>
                </c:pt>
                <c:pt idx="118">
                  <c:v>45489</c:v>
                </c:pt>
                <c:pt idx="119">
                  <c:v>45488</c:v>
                </c:pt>
                <c:pt idx="120">
                  <c:v>45485</c:v>
                </c:pt>
                <c:pt idx="121">
                  <c:v>45484</c:v>
                </c:pt>
                <c:pt idx="122">
                  <c:v>45483</c:v>
                </c:pt>
                <c:pt idx="123">
                  <c:v>45482</c:v>
                </c:pt>
                <c:pt idx="124">
                  <c:v>45481</c:v>
                </c:pt>
                <c:pt idx="125">
                  <c:v>45478</c:v>
                </c:pt>
                <c:pt idx="126">
                  <c:v>45477</c:v>
                </c:pt>
                <c:pt idx="127">
                  <c:v>45476</c:v>
                </c:pt>
                <c:pt idx="128">
                  <c:v>45475</c:v>
                </c:pt>
                <c:pt idx="129">
                  <c:v>45474</c:v>
                </c:pt>
                <c:pt idx="130">
                  <c:v>45471</c:v>
                </c:pt>
                <c:pt idx="131">
                  <c:v>45470</c:v>
                </c:pt>
                <c:pt idx="132">
                  <c:v>45469</c:v>
                </c:pt>
                <c:pt idx="133">
                  <c:v>45468</c:v>
                </c:pt>
                <c:pt idx="134">
                  <c:v>45467</c:v>
                </c:pt>
                <c:pt idx="135">
                  <c:v>45464</c:v>
                </c:pt>
                <c:pt idx="136">
                  <c:v>45463</c:v>
                </c:pt>
                <c:pt idx="137">
                  <c:v>45462</c:v>
                </c:pt>
                <c:pt idx="138">
                  <c:v>45461</c:v>
                </c:pt>
                <c:pt idx="139">
                  <c:v>45460</c:v>
                </c:pt>
                <c:pt idx="140">
                  <c:v>45457</c:v>
                </c:pt>
                <c:pt idx="141">
                  <c:v>45456</c:v>
                </c:pt>
                <c:pt idx="142">
                  <c:v>45455</c:v>
                </c:pt>
                <c:pt idx="143">
                  <c:v>45454</c:v>
                </c:pt>
                <c:pt idx="144">
                  <c:v>45453</c:v>
                </c:pt>
                <c:pt idx="145">
                  <c:v>45450</c:v>
                </c:pt>
                <c:pt idx="146">
                  <c:v>45449</c:v>
                </c:pt>
                <c:pt idx="147">
                  <c:v>45448</c:v>
                </c:pt>
                <c:pt idx="148">
                  <c:v>45447</c:v>
                </c:pt>
                <c:pt idx="149">
                  <c:v>45446</c:v>
                </c:pt>
                <c:pt idx="150">
                  <c:v>45443</c:v>
                </c:pt>
                <c:pt idx="151">
                  <c:v>45442</c:v>
                </c:pt>
                <c:pt idx="152">
                  <c:v>45441</c:v>
                </c:pt>
                <c:pt idx="153">
                  <c:v>45440</c:v>
                </c:pt>
                <c:pt idx="154">
                  <c:v>45439</c:v>
                </c:pt>
                <c:pt idx="155">
                  <c:v>45436</c:v>
                </c:pt>
                <c:pt idx="156">
                  <c:v>45435</c:v>
                </c:pt>
                <c:pt idx="157">
                  <c:v>45434</c:v>
                </c:pt>
                <c:pt idx="158">
                  <c:v>45433</c:v>
                </c:pt>
                <c:pt idx="159">
                  <c:v>45432</c:v>
                </c:pt>
                <c:pt idx="160">
                  <c:v>45429</c:v>
                </c:pt>
                <c:pt idx="161">
                  <c:v>45428</c:v>
                </c:pt>
                <c:pt idx="162">
                  <c:v>45427</c:v>
                </c:pt>
                <c:pt idx="163">
                  <c:v>45426</c:v>
                </c:pt>
                <c:pt idx="164">
                  <c:v>45425</c:v>
                </c:pt>
                <c:pt idx="165">
                  <c:v>45422</c:v>
                </c:pt>
                <c:pt idx="166">
                  <c:v>45421</c:v>
                </c:pt>
                <c:pt idx="167">
                  <c:v>45420</c:v>
                </c:pt>
                <c:pt idx="168">
                  <c:v>45419</c:v>
                </c:pt>
                <c:pt idx="169">
                  <c:v>45418</c:v>
                </c:pt>
                <c:pt idx="170">
                  <c:v>45415</c:v>
                </c:pt>
                <c:pt idx="171">
                  <c:v>45414</c:v>
                </c:pt>
                <c:pt idx="172">
                  <c:v>45412</c:v>
                </c:pt>
                <c:pt idx="173">
                  <c:v>45411</c:v>
                </c:pt>
                <c:pt idx="174">
                  <c:v>45408</c:v>
                </c:pt>
                <c:pt idx="175">
                  <c:v>45407</c:v>
                </c:pt>
                <c:pt idx="176">
                  <c:v>45406</c:v>
                </c:pt>
                <c:pt idx="177">
                  <c:v>45405</c:v>
                </c:pt>
                <c:pt idx="178">
                  <c:v>45404</c:v>
                </c:pt>
                <c:pt idx="179">
                  <c:v>45401</c:v>
                </c:pt>
                <c:pt idx="180">
                  <c:v>45400</c:v>
                </c:pt>
                <c:pt idx="181">
                  <c:v>45399</c:v>
                </c:pt>
                <c:pt idx="182">
                  <c:v>45398</c:v>
                </c:pt>
                <c:pt idx="183">
                  <c:v>45397</c:v>
                </c:pt>
                <c:pt idx="184">
                  <c:v>45394</c:v>
                </c:pt>
                <c:pt idx="185">
                  <c:v>45393</c:v>
                </c:pt>
                <c:pt idx="186">
                  <c:v>45392</c:v>
                </c:pt>
                <c:pt idx="187">
                  <c:v>45391</c:v>
                </c:pt>
                <c:pt idx="188">
                  <c:v>45390</c:v>
                </c:pt>
                <c:pt idx="189">
                  <c:v>45387</c:v>
                </c:pt>
                <c:pt idx="190">
                  <c:v>45386</c:v>
                </c:pt>
                <c:pt idx="191">
                  <c:v>45385</c:v>
                </c:pt>
                <c:pt idx="192">
                  <c:v>45384</c:v>
                </c:pt>
                <c:pt idx="193">
                  <c:v>45379</c:v>
                </c:pt>
                <c:pt idx="194">
                  <c:v>45378</c:v>
                </c:pt>
                <c:pt idx="195">
                  <c:v>45377</c:v>
                </c:pt>
                <c:pt idx="196">
                  <c:v>45376</c:v>
                </c:pt>
                <c:pt idx="197">
                  <c:v>45373</c:v>
                </c:pt>
                <c:pt idx="198">
                  <c:v>45372</c:v>
                </c:pt>
                <c:pt idx="199">
                  <c:v>45371</c:v>
                </c:pt>
                <c:pt idx="200">
                  <c:v>45370</c:v>
                </c:pt>
                <c:pt idx="201">
                  <c:v>45369</c:v>
                </c:pt>
                <c:pt idx="202">
                  <c:v>45366</c:v>
                </c:pt>
                <c:pt idx="203">
                  <c:v>45365</c:v>
                </c:pt>
                <c:pt idx="204">
                  <c:v>45364</c:v>
                </c:pt>
                <c:pt idx="205">
                  <c:v>45363</c:v>
                </c:pt>
                <c:pt idx="206">
                  <c:v>45362</c:v>
                </c:pt>
                <c:pt idx="207">
                  <c:v>45359</c:v>
                </c:pt>
                <c:pt idx="208">
                  <c:v>45358</c:v>
                </c:pt>
                <c:pt idx="209">
                  <c:v>45357</c:v>
                </c:pt>
                <c:pt idx="210">
                  <c:v>45356</c:v>
                </c:pt>
                <c:pt idx="211">
                  <c:v>45355</c:v>
                </c:pt>
                <c:pt idx="212">
                  <c:v>45352</c:v>
                </c:pt>
                <c:pt idx="213">
                  <c:v>45351</c:v>
                </c:pt>
                <c:pt idx="214">
                  <c:v>45350</c:v>
                </c:pt>
                <c:pt idx="215">
                  <c:v>45349</c:v>
                </c:pt>
                <c:pt idx="216">
                  <c:v>45348</c:v>
                </c:pt>
                <c:pt idx="217">
                  <c:v>45345</c:v>
                </c:pt>
                <c:pt idx="218">
                  <c:v>45344</c:v>
                </c:pt>
                <c:pt idx="219">
                  <c:v>45343</c:v>
                </c:pt>
                <c:pt idx="220">
                  <c:v>45342</c:v>
                </c:pt>
                <c:pt idx="221">
                  <c:v>45341</c:v>
                </c:pt>
                <c:pt idx="222">
                  <c:v>45338</c:v>
                </c:pt>
                <c:pt idx="223">
                  <c:v>45337</c:v>
                </c:pt>
                <c:pt idx="224">
                  <c:v>45336</c:v>
                </c:pt>
                <c:pt idx="225">
                  <c:v>45335</c:v>
                </c:pt>
                <c:pt idx="226">
                  <c:v>45334</c:v>
                </c:pt>
                <c:pt idx="227">
                  <c:v>45331</c:v>
                </c:pt>
                <c:pt idx="228">
                  <c:v>45330</c:v>
                </c:pt>
                <c:pt idx="229">
                  <c:v>45329</c:v>
                </c:pt>
                <c:pt idx="230">
                  <c:v>45328</c:v>
                </c:pt>
                <c:pt idx="231">
                  <c:v>45327</c:v>
                </c:pt>
                <c:pt idx="232">
                  <c:v>45324</c:v>
                </c:pt>
                <c:pt idx="233">
                  <c:v>45323</c:v>
                </c:pt>
                <c:pt idx="234">
                  <c:v>45322</c:v>
                </c:pt>
                <c:pt idx="235">
                  <c:v>45321</c:v>
                </c:pt>
                <c:pt idx="236">
                  <c:v>45320</c:v>
                </c:pt>
                <c:pt idx="237">
                  <c:v>45317</c:v>
                </c:pt>
                <c:pt idx="238">
                  <c:v>45316</c:v>
                </c:pt>
                <c:pt idx="239">
                  <c:v>45315</c:v>
                </c:pt>
                <c:pt idx="240">
                  <c:v>45314</c:v>
                </c:pt>
                <c:pt idx="241">
                  <c:v>45313</c:v>
                </c:pt>
                <c:pt idx="242">
                  <c:v>45310</c:v>
                </c:pt>
                <c:pt idx="243">
                  <c:v>45309</c:v>
                </c:pt>
                <c:pt idx="244">
                  <c:v>45308</c:v>
                </c:pt>
                <c:pt idx="245">
                  <c:v>45307</c:v>
                </c:pt>
                <c:pt idx="246">
                  <c:v>45306</c:v>
                </c:pt>
                <c:pt idx="247">
                  <c:v>45303</c:v>
                </c:pt>
              </c:numCache>
            </c:numRef>
          </c:cat>
          <c:val>
            <c:numRef>
              <c:f>Data!$B$2:$B$249</c:f>
              <c:numCache>
                <c:formatCode>General</c:formatCode>
                <c:ptCount val="248"/>
                <c:pt idx="0">
                  <c:v>2.9020000000000001</c:v>
                </c:pt>
                <c:pt idx="1">
                  <c:v>2.9020000000000001</c:v>
                </c:pt>
                <c:pt idx="2">
                  <c:v>2.9289999999999998</c:v>
                </c:pt>
                <c:pt idx="3">
                  <c:v>2.863</c:v>
                </c:pt>
                <c:pt idx="4">
                  <c:v>2.863</c:v>
                </c:pt>
                <c:pt idx="5">
                  <c:v>2.823</c:v>
                </c:pt>
                <c:pt idx="6">
                  <c:v>2.8359999999999999</c:v>
                </c:pt>
                <c:pt idx="7">
                  <c:v>2.7709999999999999</c:v>
                </c:pt>
                <c:pt idx="8">
                  <c:v>2.7440000000000002</c:v>
                </c:pt>
                <c:pt idx="9">
                  <c:v>2.76</c:v>
                </c:pt>
                <c:pt idx="10">
                  <c:v>2.77</c:v>
                </c:pt>
                <c:pt idx="11">
                  <c:v>2.718</c:v>
                </c:pt>
                <c:pt idx="12">
                  <c:v>2.641</c:v>
                </c:pt>
                <c:pt idx="13">
                  <c:v>2.6240000000000001</c:v>
                </c:pt>
                <c:pt idx="14">
                  <c:v>2.625</c:v>
                </c:pt>
                <c:pt idx="15">
                  <c:v>2.605</c:v>
                </c:pt>
                <c:pt idx="16">
                  <c:v>2.6309999999999998</c:v>
                </c:pt>
                <c:pt idx="17">
                  <c:v>2.6190000000000002</c:v>
                </c:pt>
                <c:pt idx="18">
                  <c:v>2.6139999999999999</c:v>
                </c:pt>
                <c:pt idx="19">
                  <c:v>2.609</c:v>
                </c:pt>
                <c:pt idx="20">
                  <c:v>2.6539999999999999</c:v>
                </c:pt>
                <c:pt idx="21">
                  <c:v>2.7</c:v>
                </c:pt>
                <c:pt idx="22">
                  <c:v>2.734</c:v>
                </c:pt>
                <c:pt idx="23">
                  <c:v>2.7669999999999999</c:v>
                </c:pt>
                <c:pt idx="24">
                  <c:v>2.778</c:v>
                </c:pt>
                <c:pt idx="25">
                  <c:v>2.8050000000000002</c:v>
                </c:pt>
                <c:pt idx="26">
                  <c:v>2.9009999999999998</c:v>
                </c:pt>
                <c:pt idx="27">
                  <c:v>2.9159999999999999</c:v>
                </c:pt>
                <c:pt idx="28">
                  <c:v>2.8889999999999998</c:v>
                </c:pt>
                <c:pt idx="29">
                  <c:v>2.9020000000000001</c:v>
                </c:pt>
                <c:pt idx="30">
                  <c:v>2.8730000000000002</c:v>
                </c:pt>
                <c:pt idx="31">
                  <c:v>2.8730000000000002</c:v>
                </c:pt>
                <c:pt idx="32">
                  <c:v>2.9340000000000002</c:v>
                </c:pt>
                <c:pt idx="33">
                  <c:v>2.919</c:v>
                </c:pt>
                <c:pt idx="34">
                  <c:v>2.89</c:v>
                </c:pt>
                <c:pt idx="35">
                  <c:v>2.9540000000000002</c:v>
                </c:pt>
                <c:pt idx="36">
                  <c:v>3.0430000000000001</c:v>
                </c:pt>
                <c:pt idx="37">
                  <c:v>3.008</c:v>
                </c:pt>
                <c:pt idx="38">
                  <c:v>3.024</c:v>
                </c:pt>
                <c:pt idx="39">
                  <c:v>2.9990000000000001</c:v>
                </c:pt>
                <c:pt idx="40">
                  <c:v>2.992</c:v>
                </c:pt>
                <c:pt idx="41">
                  <c:v>2.988</c:v>
                </c:pt>
                <c:pt idx="42">
                  <c:v>2.9780000000000002</c:v>
                </c:pt>
                <c:pt idx="43">
                  <c:v>2.9209999999999998</c:v>
                </c:pt>
                <c:pt idx="44">
                  <c:v>2.89</c:v>
                </c:pt>
                <c:pt idx="45">
                  <c:v>2.89</c:v>
                </c:pt>
                <c:pt idx="46">
                  <c:v>2.8570000000000002</c:v>
                </c:pt>
                <c:pt idx="47">
                  <c:v>2.9</c:v>
                </c:pt>
                <c:pt idx="48">
                  <c:v>2.9239999999999999</c:v>
                </c:pt>
                <c:pt idx="49">
                  <c:v>2.8940000000000001</c:v>
                </c:pt>
                <c:pt idx="50">
                  <c:v>2.7959999999999998</c:v>
                </c:pt>
                <c:pt idx="51">
                  <c:v>2.8250000000000002</c:v>
                </c:pt>
                <c:pt idx="52">
                  <c:v>2.8010000000000002</c:v>
                </c:pt>
                <c:pt idx="53">
                  <c:v>2.835</c:v>
                </c:pt>
                <c:pt idx="54">
                  <c:v>2.9</c:v>
                </c:pt>
                <c:pt idx="55">
                  <c:v>2.8980000000000001</c:v>
                </c:pt>
                <c:pt idx="56">
                  <c:v>2.8940000000000001</c:v>
                </c:pt>
                <c:pt idx="57">
                  <c:v>2.8969999999999998</c:v>
                </c:pt>
                <c:pt idx="58">
                  <c:v>2.87</c:v>
                </c:pt>
                <c:pt idx="59">
                  <c:v>2.8820000000000001</c:v>
                </c:pt>
                <c:pt idx="60">
                  <c:v>2.8290000000000002</c:v>
                </c:pt>
                <c:pt idx="61">
                  <c:v>2.7829999999999999</c:v>
                </c:pt>
                <c:pt idx="62">
                  <c:v>2.7269999999999999</c:v>
                </c:pt>
                <c:pt idx="63">
                  <c:v>2.665</c:v>
                </c:pt>
                <c:pt idx="64">
                  <c:v>2.7639999999999998</c:v>
                </c:pt>
                <c:pt idx="65">
                  <c:v>2.7749999999999999</c:v>
                </c:pt>
                <c:pt idx="66">
                  <c:v>2.8370000000000002</c:v>
                </c:pt>
                <c:pt idx="67">
                  <c:v>2.8210000000000002</c:v>
                </c:pt>
                <c:pt idx="68">
                  <c:v>2.7959999999999998</c:v>
                </c:pt>
                <c:pt idx="69">
                  <c:v>2.798</c:v>
                </c:pt>
                <c:pt idx="70">
                  <c:v>2.8250000000000002</c:v>
                </c:pt>
                <c:pt idx="71">
                  <c:v>2.8159999999999998</c:v>
                </c:pt>
                <c:pt idx="72">
                  <c:v>2.8</c:v>
                </c:pt>
                <c:pt idx="73">
                  <c:v>2.7519999999999998</c:v>
                </c:pt>
                <c:pt idx="74">
                  <c:v>2.7290000000000001</c:v>
                </c:pt>
                <c:pt idx="75">
                  <c:v>2.758</c:v>
                </c:pt>
                <c:pt idx="76">
                  <c:v>2.7519999999999998</c:v>
                </c:pt>
                <c:pt idx="77">
                  <c:v>2.7170000000000001</c:v>
                </c:pt>
                <c:pt idx="78">
                  <c:v>2.7290000000000001</c:v>
                </c:pt>
                <c:pt idx="79">
                  <c:v>2.7570000000000001</c:v>
                </c:pt>
                <c:pt idx="80">
                  <c:v>2.7530000000000001</c:v>
                </c:pt>
                <c:pt idx="81">
                  <c:v>2.7919999999999998</c:v>
                </c:pt>
                <c:pt idx="82">
                  <c:v>2.823</c:v>
                </c:pt>
                <c:pt idx="83">
                  <c:v>2.87</c:v>
                </c:pt>
                <c:pt idx="84">
                  <c:v>2.92</c:v>
                </c:pt>
                <c:pt idx="85">
                  <c:v>2.8839999999999999</c:v>
                </c:pt>
                <c:pt idx="86">
                  <c:v>2.8559999999999999</c:v>
                </c:pt>
                <c:pt idx="87">
                  <c:v>2.8490000000000002</c:v>
                </c:pt>
                <c:pt idx="88">
                  <c:v>2.879</c:v>
                </c:pt>
                <c:pt idx="89">
                  <c:v>2.84</c:v>
                </c:pt>
                <c:pt idx="90">
                  <c:v>2.823</c:v>
                </c:pt>
                <c:pt idx="91">
                  <c:v>2.8420000000000001</c:v>
                </c:pt>
                <c:pt idx="92">
                  <c:v>2.7930000000000001</c:v>
                </c:pt>
                <c:pt idx="93">
                  <c:v>2.806</c:v>
                </c:pt>
                <c:pt idx="94">
                  <c:v>2.8370000000000002</c:v>
                </c:pt>
                <c:pt idx="95">
                  <c:v>2.8340000000000001</c:v>
                </c:pt>
                <c:pt idx="96">
                  <c:v>2.8319999999999999</c:v>
                </c:pt>
                <c:pt idx="97">
                  <c:v>2.7610000000000001</c:v>
                </c:pt>
                <c:pt idx="98">
                  <c:v>2.778</c:v>
                </c:pt>
                <c:pt idx="99">
                  <c:v>2.8220000000000001</c:v>
                </c:pt>
                <c:pt idx="100">
                  <c:v>2.8279999999999998</c:v>
                </c:pt>
                <c:pt idx="101">
                  <c:v>2.8679999999999999</c:v>
                </c:pt>
                <c:pt idx="102">
                  <c:v>2.8660000000000001</c:v>
                </c:pt>
                <c:pt idx="103">
                  <c:v>2.8210000000000002</c:v>
                </c:pt>
                <c:pt idx="104">
                  <c:v>2.8359999999999999</c:v>
                </c:pt>
                <c:pt idx="105">
                  <c:v>2.8029999999999999</c:v>
                </c:pt>
                <c:pt idx="106">
                  <c:v>2.847</c:v>
                </c:pt>
                <c:pt idx="107">
                  <c:v>2.8820000000000001</c:v>
                </c:pt>
                <c:pt idx="108">
                  <c:v>2.9169999999999998</c:v>
                </c:pt>
                <c:pt idx="109">
                  <c:v>2.9390000000000001</c:v>
                </c:pt>
                <c:pt idx="110">
                  <c:v>2.9849999999999999</c:v>
                </c:pt>
                <c:pt idx="111">
                  <c:v>2.9969999999999999</c:v>
                </c:pt>
                <c:pt idx="112">
                  <c:v>3.0190000000000001</c:v>
                </c:pt>
                <c:pt idx="113">
                  <c:v>3.004</c:v>
                </c:pt>
                <c:pt idx="114">
                  <c:v>3.0379999999999998</c:v>
                </c:pt>
                <c:pt idx="115">
                  <c:v>3.0139999999999998</c:v>
                </c:pt>
                <c:pt idx="116">
                  <c:v>2.99</c:v>
                </c:pt>
                <c:pt idx="117">
                  <c:v>2.988</c:v>
                </c:pt>
                <c:pt idx="118">
                  <c:v>2.9950000000000001</c:v>
                </c:pt>
                <c:pt idx="119">
                  <c:v>3.0430000000000001</c:v>
                </c:pt>
                <c:pt idx="120">
                  <c:v>3.0609999999999999</c:v>
                </c:pt>
                <c:pt idx="121">
                  <c:v>3.03</c:v>
                </c:pt>
                <c:pt idx="122">
                  <c:v>3.09</c:v>
                </c:pt>
                <c:pt idx="123">
                  <c:v>3.14</c:v>
                </c:pt>
                <c:pt idx="124">
                  <c:v>3.101</c:v>
                </c:pt>
                <c:pt idx="125">
                  <c:v>3.1179999999999999</c:v>
                </c:pt>
                <c:pt idx="126">
                  <c:v>3.169</c:v>
                </c:pt>
                <c:pt idx="127">
                  <c:v>3.1539999999999999</c:v>
                </c:pt>
                <c:pt idx="128">
                  <c:v>3.1989999999999998</c:v>
                </c:pt>
                <c:pt idx="129">
                  <c:v>3.2269999999999999</c:v>
                </c:pt>
                <c:pt idx="130">
                  <c:v>3.173</c:v>
                </c:pt>
                <c:pt idx="131">
                  <c:v>3.129</c:v>
                </c:pt>
                <c:pt idx="132">
                  <c:v>3.11</c:v>
                </c:pt>
                <c:pt idx="133">
                  <c:v>3.0649999999999999</c:v>
                </c:pt>
                <c:pt idx="134">
                  <c:v>3.073</c:v>
                </c:pt>
                <c:pt idx="135">
                  <c:v>3.0659999999999998</c:v>
                </c:pt>
                <c:pt idx="136">
                  <c:v>3.0659999999999998</c:v>
                </c:pt>
                <c:pt idx="137">
                  <c:v>3.0569999999999999</c:v>
                </c:pt>
                <c:pt idx="138">
                  <c:v>3.03</c:v>
                </c:pt>
                <c:pt idx="139">
                  <c:v>3.07</c:v>
                </c:pt>
                <c:pt idx="140">
                  <c:v>3.0489999999999999</c:v>
                </c:pt>
                <c:pt idx="141">
                  <c:v>3.0859999999999999</c:v>
                </c:pt>
                <c:pt idx="142">
                  <c:v>3.085</c:v>
                </c:pt>
                <c:pt idx="143">
                  <c:v>3.1629999999999998</c:v>
                </c:pt>
                <c:pt idx="144">
                  <c:v>3.1779999999999999</c:v>
                </c:pt>
                <c:pt idx="145">
                  <c:v>3.09</c:v>
                </c:pt>
                <c:pt idx="146">
                  <c:v>3.0329999999999999</c:v>
                </c:pt>
                <c:pt idx="147">
                  <c:v>3.0169999999999999</c:v>
                </c:pt>
                <c:pt idx="148">
                  <c:v>3.0430000000000001</c:v>
                </c:pt>
                <c:pt idx="149">
                  <c:v>3.069</c:v>
                </c:pt>
                <c:pt idx="150">
                  <c:v>3.1429999999999998</c:v>
                </c:pt>
                <c:pt idx="151">
                  <c:v>3.1309999999999998</c:v>
                </c:pt>
                <c:pt idx="152">
                  <c:v>3.1709999999999998</c:v>
                </c:pt>
                <c:pt idx="153">
                  <c:v>3.0870000000000002</c:v>
                </c:pt>
                <c:pt idx="154">
                  <c:v>3.0470000000000002</c:v>
                </c:pt>
                <c:pt idx="155">
                  <c:v>3.0640000000000001</c:v>
                </c:pt>
                <c:pt idx="156">
                  <c:v>3.0590000000000002</c:v>
                </c:pt>
                <c:pt idx="157">
                  <c:v>3.012</c:v>
                </c:pt>
                <c:pt idx="158">
                  <c:v>2.984</c:v>
                </c:pt>
                <c:pt idx="159">
                  <c:v>3.0129999999999999</c:v>
                </c:pt>
                <c:pt idx="160">
                  <c:v>3.0049999999999999</c:v>
                </c:pt>
                <c:pt idx="161">
                  <c:v>2.9729999999999999</c:v>
                </c:pt>
                <c:pt idx="162">
                  <c:v>2.9430000000000001</c:v>
                </c:pt>
                <c:pt idx="163">
                  <c:v>3.052</c:v>
                </c:pt>
                <c:pt idx="164">
                  <c:v>2.9969999999999999</c:v>
                </c:pt>
                <c:pt idx="165">
                  <c:v>2.9969999999999999</c:v>
                </c:pt>
                <c:pt idx="166">
                  <c:v>2.9889999999999999</c:v>
                </c:pt>
                <c:pt idx="167">
                  <c:v>2.9550000000000001</c:v>
                </c:pt>
                <c:pt idx="168">
                  <c:v>2.9510000000000001</c:v>
                </c:pt>
                <c:pt idx="169">
                  <c:v>3.0179999999999998</c:v>
                </c:pt>
                <c:pt idx="170">
                  <c:v>3.0369999999999999</c:v>
                </c:pt>
                <c:pt idx="171">
                  <c:v>3.0760000000000001</c:v>
                </c:pt>
                <c:pt idx="172">
                  <c:v>3.1059999999999999</c:v>
                </c:pt>
                <c:pt idx="173">
                  <c:v>3.0550000000000002</c:v>
                </c:pt>
                <c:pt idx="174">
                  <c:v>3.101</c:v>
                </c:pt>
                <c:pt idx="175">
                  <c:v>3.1579999999999999</c:v>
                </c:pt>
                <c:pt idx="176">
                  <c:v>3.161</c:v>
                </c:pt>
                <c:pt idx="177">
                  <c:v>3.089</c:v>
                </c:pt>
                <c:pt idx="178">
                  <c:v>3.0760000000000001</c:v>
                </c:pt>
                <c:pt idx="179">
                  <c:v>3.0830000000000002</c:v>
                </c:pt>
                <c:pt idx="180">
                  <c:v>3.0920000000000001</c:v>
                </c:pt>
                <c:pt idx="181">
                  <c:v>3.052</c:v>
                </c:pt>
                <c:pt idx="182">
                  <c:v>3.0939999999999999</c:v>
                </c:pt>
                <c:pt idx="183">
                  <c:v>3.05</c:v>
                </c:pt>
                <c:pt idx="184">
                  <c:v>2.9790000000000001</c:v>
                </c:pt>
                <c:pt idx="185">
                  <c:v>3.0710000000000002</c:v>
                </c:pt>
                <c:pt idx="186">
                  <c:v>3.04</c:v>
                </c:pt>
                <c:pt idx="187">
                  <c:v>2.9790000000000001</c:v>
                </c:pt>
                <c:pt idx="188">
                  <c:v>3.0030000000000001</c:v>
                </c:pt>
                <c:pt idx="189">
                  <c:v>2.9790000000000001</c:v>
                </c:pt>
                <c:pt idx="190">
                  <c:v>2.9369999999999998</c:v>
                </c:pt>
                <c:pt idx="191">
                  <c:v>2.9830000000000001</c:v>
                </c:pt>
                <c:pt idx="192">
                  <c:v>2.984</c:v>
                </c:pt>
                <c:pt idx="193">
                  <c:v>2.8719999999999999</c:v>
                </c:pt>
                <c:pt idx="194">
                  <c:v>2.8660000000000001</c:v>
                </c:pt>
                <c:pt idx="195">
                  <c:v>2.9049999999999998</c:v>
                </c:pt>
                <c:pt idx="196">
                  <c:v>2.931</c:v>
                </c:pt>
                <c:pt idx="197">
                  <c:v>2.8860000000000001</c:v>
                </c:pt>
                <c:pt idx="198">
                  <c:v>2.9420000000000002</c:v>
                </c:pt>
                <c:pt idx="199">
                  <c:v>2.964</c:v>
                </c:pt>
                <c:pt idx="200">
                  <c:v>2.98</c:v>
                </c:pt>
                <c:pt idx="201">
                  <c:v>2.99</c:v>
                </c:pt>
                <c:pt idx="202">
                  <c:v>2.9809999999999999</c:v>
                </c:pt>
                <c:pt idx="203">
                  <c:v>2.9649999999999999</c:v>
                </c:pt>
                <c:pt idx="204">
                  <c:v>2.9060000000000001</c:v>
                </c:pt>
                <c:pt idx="205">
                  <c:v>2.871</c:v>
                </c:pt>
                <c:pt idx="206">
                  <c:v>2.855</c:v>
                </c:pt>
                <c:pt idx="207">
                  <c:v>2.819</c:v>
                </c:pt>
                <c:pt idx="208">
                  <c:v>2.8650000000000002</c:v>
                </c:pt>
                <c:pt idx="209">
                  <c:v>2.8940000000000001</c:v>
                </c:pt>
                <c:pt idx="210">
                  <c:v>2.9060000000000001</c:v>
                </c:pt>
                <c:pt idx="211">
                  <c:v>2.9769999999999999</c:v>
                </c:pt>
                <c:pt idx="212">
                  <c:v>3.0030000000000001</c:v>
                </c:pt>
                <c:pt idx="213">
                  <c:v>2.9830000000000001</c:v>
                </c:pt>
                <c:pt idx="214">
                  <c:v>3.0379999999999998</c:v>
                </c:pt>
                <c:pt idx="215">
                  <c:v>3.05</c:v>
                </c:pt>
                <c:pt idx="216">
                  <c:v>3.0329999999999999</c:v>
                </c:pt>
                <c:pt idx="217">
                  <c:v>2.9540000000000002</c:v>
                </c:pt>
                <c:pt idx="218">
                  <c:v>3.03</c:v>
                </c:pt>
                <c:pt idx="219">
                  <c:v>3.0379999999999998</c:v>
                </c:pt>
                <c:pt idx="220">
                  <c:v>2.976</c:v>
                </c:pt>
                <c:pt idx="221">
                  <c:v>3.016</c:v>
                </c:pt>
                <c:pt idx="222">
                  <c:v>3.0089999999999999</c:v>
                </c:pt>
                <c:pt idx="223">
                  <c:v>2.9769999999999999</c:v>
                </c:pt>
                <c:pt idx="224">
                  <c:v>2.9580000000000002</c:v>
                </c:pt>
                <c:pt idx="225">
                  <c:v>3.0259999999999998</c:v>
                </c:pt>
                <c:pt idx="226">
                  <c:v>2.9969999999999999</c:v>
                </c:pt>
                <c:pt idx="227">
                  <c:v>3.0369999999999999</c:v>
                </c:pt>
                <c:pt idx="228">
                  <c:v>3.012</c:v>
                </c:pt>
                <c:pt idx="229">
                  <c:v>2.9769999999999999</c:v>
                </c:pt>
                <c:pt idx="230">
                  <c:v>2.9510000000000001</c:v>
                </c:pt>
                <c:pt idx="231">
                  <c:v>2.9670000000000001</c:v>
                </c:pt>
                <c:pt idx="232">
                  <c:v>2.883</c:v>
                </c:pt>
                <c:pt idx="233">
                  <c:v>2.802</c:v>
                </c:pt>
                <c:pt idx="234">
                  <c:v>2.8170000000000002</c:v>
                </c:pt>
                <c:pt idx="235">
                  <c:v>2.8959999999999999</c:v>
                </c:pt>
                <c:pt idx="236">
                  <c:v>2.86</c:v>
                </c:pt>
                <c:pt idx="237">
                  <c:v>2.919</c:v>
                </c:pt>
                <c:pt idx="238">
                  <c:v>2.9129999999999998</c:v>
                </c:pt>
                <c:pt idx="239">
                  <c:v>2.9689999999999999</c:v>
                </c:pt>
                <c:pt idx="240">
                  <c:v>2.9830000000000001</c:v>
                </c:pt>
                <c:pt idx="241">
                  <c:v>2.9220000000000002</c:v>
                </c:pt>
                <c:pt idx="242">
                  <c:v>2.9740000000000002</c:v>
                </c:pt>
                <c:pt idx="243">
                  <c:v>2.9870000000000001</c:v>
                </c:pt>
                <c:pt idx="244">
                  <c:v>2.931</c:v>
                </c:pt>
                <c:pt idx="245">
                  <c:v>2.8889999999999998</c:v>
                </c:pt>
                <c:pt idx="246">
                  <c:v>2.86</c:v>
                </c:pt>
                <c:pt idx="247">
                  <c:v>2.8260000000000001</c:v>
                </c:pt>
              </c:numCache>
            </c:numRef>
          </c:val>
          <c:smooth val="0"/>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C06E-46D1-A927-45AB9DAB9828}"/>
            </c:ext>
          </c:extLst>
        </c:ser>
        <c:dLbls>
          <c:showLegendKey val="0"/>
          <c:showVal val="0"/>
          <c:showCatName val="0"/>
          <c:showSerName val="0"/>
          <c:showPercent val="0"/>
          <c:showBubbleSize val="0"/>
        </c:dLbls>
        <c:smooth val="0"/>
        <c:axId val="1189277823"/>
        <c:axId val="1189280703"/>
      </c:lineChart>
      <c:dateAx>
        <c:axId val="1189277823"/>
        <c:scaling>
          <c:orientation val="minMax"/>
          <c:max val="45658"/>
          <c:min val="45292"/>
        </c:scaling>
        <c:delete val="0"/>
        <c:axPos val="b"/>
        <c:numFmt formatCode="m/d/yyyy"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80703"/>
        <c:crosses val="autoZero"/>
        <c:auto val="1"/>
        <c:lblOffset val="100"/>
        <c:baseTimeUnit val="days"/>
      </c:dateAx>
      <c:valAx>
        <c:axId val="1189280703"/>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77823"/>
        <c:crosses val="autoZero"/>
        <c:crossBetween val="between"/>
      </c:valAx>
      <c:spPr>
        <a:noFill/>
        <a:ln>
          <a:noFill/>
        </a:ln>
        <a:effectLst/>
      </c:spPr>
    </c:plotArea>
    <c:plotVisOnly val="1"/>
    <c:dispBlanksAs val="gap"/>
    <c:showDLblsOverMax val="0"/>
    <c:extLst xmlns:c16r3="http://schemas.microsoft.com/office/drawing/2017/03/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emi Annual">
      <a:dk1>
        <a:sysClr val="windowText" lastClr="000000"/>
      </a:dk1>
      <a:lt1>
        <a:sysClr val="window" lastClr="FFFFFF"/>
      </a:lt1>
      <a:dk2>
        <a:srgbClr val="44546A"/>
      </a:dk2>
      <a:lt2>
        <a:srgbClr val="E7E6E6"/>
      </a:lt2>
      <a:accent1>
        <a:srgbClr val="034EA2"/>
      </a:accent1>
      <a:accent2>
        <a:srgbClr val="70AD47"/>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84981D676F7469FB7985B8196FE05" ma:contentTypeVersion="11" ma:contentTypeDescription="Create a new document." ma:contentTypeScope="" ma:versionID="cbdbc34adac4f579b59f992811bf0ebd">
  <xsd:schema xmlns:xsd="http://www.w3.org/2001/XMLSchema" xmlns:xs="http://www.w3.org/2001/XMLSchema" xmlns:p="http://schemas.microsoft.com/office/2006/metadata/properties" xmlns:ns2="e0fb9e4e-9a17-43c4-891a-079bfb0a02bd" xmlns:ns3="a68ce457-625d-4aa4-9b00-ade22038be21" targetNamespace="http://schemas.microsoft.com/office/2006/metadata/properties" ma:root="true" ma:fieldsID="b3d5e4c1fe961ddb3630e8deecf6f510" ns2:_="" ns3:_="">
    <xsd:import namespace="e0fb9e4e-9a17-43c4-891a-079bfb0a02bd"/>
    <xsd:import namespace="a68ce457-625d-4aa4-9b00-ade22038b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b9e4e-9a17-43c4-891a-079bfb0a0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ce457-625d-4aa4-9b00-ade22038be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b7ec0b-d50f-4274-96ed-1d4aa9483822}" ma:internalName="TaxCatchAll" ma:showField="CatchAllData" ma:web="a68ce457-625d-4aa4-9b00-ade22038b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fb9e4e-9a17-43c4-891a-079bfb0a02b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a68ce457-625d-4aa4-9b00-ade22038be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009B-79F2-40F4-9DBF-EC4DC2A6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b9e4e-9a17-43c4-891a-079bfb0a02bd"/>
    <ds:schemaRef ds:uri="a68ce457-625d-4aa4-9b00-ade22038b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D84AA-26DF-44BD-B729-4DCED448F13E}">
  <ds:schemaRefs>
    <ds:schemaRef ds:uri="http://schemas.microsoft.com/office/2006/metadata/properties"/>
    <ds:schemaRef ds:uri="http://schemas.microsoft.com/office/infopath/2007/PartnerControls"/>
    <ds:schemaRef ds:uri="e0fb9e4e-9a17-43c4-891a-079bfb0a02bd"/>
    <ds:schemaRef ds:uri="a68ce457-625d-4aa4-9b00-ade22038be21"/>
  </ds:schemaRefs>
</ds:datastoreItem>
</file>

<file path=customXml/itemProps3.xml><?xml version="1.0" encoding="utf-8"?>
<ds:datastoreItem xmlns:ds="http://schemas.openxmlformats.org/officeDocument/2006/customXml" ds:itemID="{0AFA94C4-E85F-4C7D-86AE-AE48CDBB8582}">
  <ds:schemaRefs>
    <ds:schemaRef ds:uri="http://schemas.microsoft.com/sharepoint/v3/contenttype/forms"/>
  </ds:schemaRefs>
</ds:datastoreItem>
</file>

<file path=customXml/itemProps4.xml><?xml version="1.0" encoding="utf-8"?>
<ds:datastoreItem xmlns:ds="http://schemas.openxmlformats.org/officeDocument/2006/customXml" ds:itemID="{0E573031-20EE-4640-89B7-BD450E86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4698</Words>
  <Characters>26781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31417</CharactersWithSpaces>
  <SharedDoc>false</SharedDoc>
  <HLinks>
    <vt:vector size="96" baseType="variant">
      <vt:variant>
        <vt:i4>7667806</vt:i4>
      </vt:variant>
      <vt:variant>
        <vt:i4>51</vt:i4>
      </vt:variant>
      <vt:variant>
        <vt:i4>0</vt:i4>
      </vt:variant>
      <vt:variant>
        <vt:i4>5</vt:i4>
      </vt:variant>
      <vt:variant>
        <vt:lpwstr>https://commission.europa.eu/document/download/abdee617-a078-4ee3-a3ec-20c7d32725b5_en?filename=NextGenerationEU%20Green%20Bonds%20Allocation%20and%20Impact%20Report%202024.pdf</vt:lpwstr>
      </vt:variant>
      <vt:variant>
        <vt:lpwstr/>
      </vt:variant>
      <vt:variant>
        <vt:i4>7667806</vt:i4>
      </vt:variant>
      <vt:variant>
        <vt:i4>48</vt:i4>
      </vt:variant>
      <vt:variant>
        <vt:i4>0</vt:i4>
      </vt:variant>
      <vt:variant>
        <vt:i4>5</vt:i4>
      </vt:variant>
      <vt:variant>
        <vt:lpwstr>https://commission.europa.eu/document/download/abdee617-a078-4ee3-a3ec-20c7d32725b5_en?filename=NextGenerationEU%20Green%20Bonds%20Allocation%20and%20Impact%20Report%202024.pdf</vt:lpwstr>
      </vt:variant>
      <vt:variant>
        <vt:lpwstr/>
      </vt:variant>
      <vt:variant>
        <vt:i4>1441847</vt:i4>
      </vt:variant>
      <vt:variant>
        <vt:i4>38</vt:i4>
      </vt:variant>
      <vt:variant>
        <vt:i4>0</vt:i4>
      </vt:variant>
      <vt:variant>
        <vt:i4>5</vt:i4>
      </vt:variant>
      <vt:variant>
        <vt:lpwstr/>
      </vt:variant>
      <vt:variant>
        <vt:lpwstr>_Toc190904653</vt:lpwstr>
      </vt:variant>
      <vt:variant>
        <vt:i4>1441847</vt:i4>
      </vt:variant>
      <vt:variant>
        <vt:i4>32</vt:i4>
      </vt:variant>
      <vt:variant>
        <vt:i4>0</vt:i4>
      </vt:variant>
      <vt:variant>
        <vt:i4>5</vt:i4>
      </vt:variant>
      <vt:variant>
        <vt:lpwstr/>
      </vt:variant>
      <vt:variant>
        <vt:lpwstr>_Toc190904651</vt:lpwstr>
      </vt:variant>
      <vt:variant>
        <vt:i4>1441847</vt:i4>
      </vt:variant>
      <vt:variant>
        <vt:i4>26</vt:i4>
      </vt:variant>
      <vt:variant>
        <vt:i4>0</vt:i4>
      </vt:variant>
      <vt:variant>
        <vt:i4>5</vt:i4>
      </vt:variant>
      <vt:variant>
        <vt:lpwstr/>
      </vt:variant>
      <vt:variant>
        <vt:lpwstr>_Toc190904650</vt:lpwstr>
      </vt:variant>
      <vt:variant>
        <vt:i4>1507383</vt:i4>
      </vt:variant>
      <vt:variant>
        <vt:i4>20</vt:i4>
      </vt:variant>
      <vt:variant>
        <vt:i4>0</vt:i4>
      </vt:variant>
      <vt:variant>
        <vt:i4>5</vt:i4>
      </vt:variant>
      <vt:variant>
        <vt:lpwstr/>
      </vt:variant>
      <vt:variant>
        <vt:lpwstr>_Toc190904647</vt:lpwstr>
      </vt:variant>
      <vt:variant>
        <vt:i4>1507383</vt:i4>
      </vt:variant>
      <vt:variant>
        <vt:i4>14</vt:i4>
      </vt:variant>
      <vt:variant>
        <vt:i4>0</vt:i4>
      </vt:variant>
      <vt:variant>
        <vt:i4>5</vt:i4>
      </vt:variant>
      <vt:variant>
        <vt:lpwstr/>
      </vt:variant>
      <vt:variant>
        <vt:lpwstr>_Toc190904643</vt:lpwstr>
      </vt:variant>
      <vt:variant>
        <vt:i4>1507383</vt:i4>
      </vt:variant>
      <vt:variant>
        <vt:i4>8</vt:i4>
      </vt:variant>
      <vt:variant>
        <vt:i4>0</vt:i4>
      </vt:variant>
      <vt:variant>
        <vt:i4>5</vt:i4>
      </vt:variant>
      <vt:variant>
        <vt:lpwstr/>
      </vt:variant>
      <vt:variant>
        <vt:lpwstr>_Toc190904642</vt:lpwstr>
      </vt:variant>
      <vt:variant>
        <vt:i4>1507383</vt:i4>
      </vt:variant>
      <vt:variant>
        <vt:i4>2</vt:i4>
      </vt:variant>
      <vt:variant>
        <vt:i4>0</vt:i4>
      </vt:variant>
      <vt:variant>
        <vt:i4>5</vt:i4>
      </vt:variant>
      <vt:variant>
        <vt:lpwstr/>
      </vt:variant>
      <vt:variant>
        <vt:lpwstr>_Toc190904641</vt:lpwstr>
      </vt:variant>
      <vt:variant>
        <vt:i4>2097171</vt:i4>
      </vt:variant>
      <vt:variant>
        <vt:i4>18</vt:i4>
      </vt:variant>
      <vt:variant>
        <vt:i4>0</vt:i4>
      </vt:variant>
      <vt:variant>
        <vt:i4>5</vt:i4>
      </vt:variant>
      <vt:variant>
        <vt:lpwstr>https://commission.europa.eu/strategy-and-policy/eu-budget/eu-borrower-investor-relations/nextgenerationeu-green-bonds/dashboard_en</vt:lpwstr>
      </vt:variant>
      <vt:variant>
        <vt:lpwstr/>
      </vt:variant>
      <vt:variant>
        <vt:i4>7143527</vt:i4>
      </vt:variant>
      <vt:variant>
        <vt:i4>15</vt:i4>
      </vt:variant>
      <vt:variant>
        <vt:i4>0</vt:i4>
      </vt:variant>
      <vt:variant>
        <vt:i4>5</vt:i4>
      </vt:variant>
      <vt:variant>
        <vt:lpwstr>https://commission.europa.eu/system/files/2023-07/Fourth half-yearly report on the execution of the EU borrowing and lending operations.PDF</vt:lpwstr>
      </vt:variant>
      <vt:variant>
        <vt:lpwstr/>
      </vt:variant>
      <vt:variant>
        <vt:i4>7143426</vt:i4>
      </vt:variant>
      <vt:variant>
        <vt:i4>12</vt:i4>
      </vt:variant>
      <vt:variant>
        <vt:i4>0</vt:i4>
      </vt:variant>
      <vt:variant>
        <vt:i4>5</vt:i4>
      </vt:variant>
      <vt:variant>
        <vt:lpwstr>https://www.eca.europa.eu/Lists/ECAReplies/COM-Replies-SR-2023-16/COM-Replies-SR-2023-16_EN.pdf</vt:lpwstr>
      </vt:variant>
      <vt:variant>
        <vt:lpwstr/>
      </vt:variant>
      <vt:variant>
        <vt:i4>4653163</vt:i4>
      </vt:variant>
      <vt:variant>
        <vt:i4>9</vt:i4>
      </vt:variant>
      <vt:variant>
        <vt:i4>0</vt:i4>
      </vt:variant>
      <vt:variant>
        <vt:i4>5</vt:i4>
      </vt:variant>
      <vt:variant>
        <vt:lpwstr>https://www.eca.europa.eu/ECAPublications/SR-2023-16/SR-2023-16_EN.pdf</vt:lpwstr>
      </vt:variant>
      <vt:variant>
        <vt:lpwstr/>
      </vt:variant>
      <vt:variant>
        <vt:i4>7667806</vt:i4>
      </vt:variant>
      <vt:variant>
        <vt:i4>6</vt:i4>
      </vt:variant>
      <vt:variant>
        <vt:i4>0</vt:i4>
      </vt:variant>
      <vt:variant>
        <vt:i4>5</vt:i4>
      </vt:variant>
      <vt:variant>
        <vt:lpwstr>https://commission.europa.eu/document/download/abdee617-a078-4ee3-a3ec-20c7d32725b5_en?filename=NextGenerationEU%20Green%20Bonds%20Allocation%20and%20Impact%20Report%202024.pdf</vt:lpwstr>
      </vt:variant>
      <vt:variant>
        <vt:lpwstr/>
      </vt:variant>
      <vt:variant>
        <vt:i4>1179737</vt:i4>
      </vt:variant>
      <vt:variant>
        <vt:i4>3</vt:i4>
      </vt:variant>
      <vt:variant>
        <vt:i4>0</vt:i4>
      </vt:variant>
      <vt:variant>
        <vt:i4>5</vt:i4>
      </vt:variant>
      <vt:variant>
        <vt:lpwstr>https://eur-lex.europa.eu/legal-content/EN/TXT/PDF/?uri=CELEX:52024DC0240</vt:lpwstr>
      </vt:variant>
      <vt:variant>
        <vt:lpwstr/>
      </vt:variant>
      <vt:variant>
        <vt:i4>4653150</vt:i4>
      </vt:variant>
      <vt:variant>
        <vt:i4>0</vt:i4>
      </vt:variant>
      <vt:variant>
        <vt:i4>0</vt:i4>
      </vt:variant>
      <vt:variant>
        <vt:i4>5</vt:i4>
      </vt:variant>
      <vt:variant>
        <vt:lpwstr>https://commission.europa.eu/document/download/187852c2-07e0-4bef-af3f-5719b9077f2e_en?filename=COM_2024_474_1_EN_ACT_part1_v2.pdf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11</cp:revision>
  <cp:lastPrinted>2024-01-25T06:41:00Z</cp:lastPrinted>
  <dcterms:created xsi:type="dcterms:W3CDTF">2025-03-14T15:19:00Z</dcterms:created>
  <dcterms:modified xsi:type="dcterms:W3CDTF">2025-03-19T06:58:00Z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9.1, Build 20240808</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2023-01-06T16:26:08Z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4805f13c-dee7-466f-8124-a3d55c6ed3fb</vt:lpwstr>
  </property>
  <property fmtid="{D5CDD505-2E9C-101B-9397-08002B2CF9AE}" pid="15" name="MSIP_Label_6bd9ddd1-4d20-43f6-abfa-fc3c07406f94_ContentBits">
    <vt:lpwstr>0</vt:lpwstr>
  </property>
  <property fmtid="{D5CDD505-2E9C-101B-9397-08002B2CF9AE}" pid="16" name="ContentTypeId">
    <vt:lpwstr>0x01010042F58E2EF54E454EA52B55214ED8DE92</vt:lpwstr>
  </property>
  <property fmtid="{D5CDD505-2E9C-101B-9397-08002B2CF9AE}" pid="17" name="_dlc_DocIdItemGuid">
    <vt:lpwstr>db1e2f6f-95af-4d44-836c-7358ec0b13c1</vt:lpwstr>
  </property>
  <property fmtid="{D5CDD505-2E9C-101B-9397-08002B2CF9AE}" pid="18" name="MediaServiceImageTags">
    <vt:lpwstr/>
  </property>
</Properties>
</file>