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8BE1B" w14:textId="39196B3E" w:rsidR="000A2DD6" w:rsidRDefault="00BC0722" w:rsidP="00BC0722">
      <w:pPr>
        <w:pStyle w:val="Pagedecouverture"/>
        <w:rPr>
          <w:noProof/>
        </w:rPr>
      </w:pPr>
      <w:bookmarkStart w:id="0" w:name="LW_BM_COVERPAGE"/>
      <w:r>
        <w:rPr>
          <w:noProof/>
        </w:rPr>
        <w:pict w14:anchorId="450BFF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1FED153-C530-4BB4-8994-0C601E478813" style="width:455.25pt;height:336.75pt">
            <v:imagedata r:id="rId8" o:title=""/>
          </v:shape>
        </w:pict>
      </w:r>
    </w:p>
    <w:bookmarkEnd w:id="0"/>
    <w:p w14:paraId="02ABFF45" w14:textId="77777777" w:rsidR="000A2DD6" w:rsidRDefault="000A2DD6" w:rsidP="000A2DD6">
      <w:pPr>
        <w:rPr>
          <w:noProof/>
        </w:rPr>
        <w:sectPr w:rsidR="000A2DD6" w:rsidSect="00BC0722">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59B46875" w14:textId="77777777" w:rsidR="008D40BE" w:rsidRPr="00E436EC" w:rsidRDefault="008D40BE" w:rsidP="008D40BE">
      <w:pPr>
        <w:pStyle w:val="Heading1"/>
        <w:rPr>
          <w:noProof/>
        </w:rPr>
      </w:pPr>
      <w:bookmarkStart w:id="1" w:name="_GoBack"/>
      <w:bookmarkEnd w:id="1"/>
      <w:r>
        <w:rPr>
          <w:noProof/>
        </w:rPr>
        <w:lastRenderedPageBreak/>
        <w:t xml:space="preserve">Inledning </w:t>
      </w:r>
    </w:p>
    <w:p w14:paraId="11E972E0" w14:textId="0D59C373" w:rsidR="008D40BE" w:rsidRDefault="003F0F40" w:rsidP="003F0F40">
      <w:pPr>
        <w:pStyle w:val="BodyText"/>
        <w:spacing w:after="120"/>
        <w:jc w:val="both"/>
        <w:rPr>
          <w:noProof/>
        </w:rPr>
      </w:pPr>
      <w:r>
        <w:rPr>
          <w:noProof/>
        </w:rPr>
        <w:t>Rapporten om energipriser och energikostnader för 2024 har upprättats mot bakgrund av en längre period av oroligheter som har varit kännetecknande för de globala och europeiska energimarknaderna sedan 2020. Den kraftiga nedgången i energipriserna under covid-19-pandemin följdes av en utdragen period med höga energipriser från mitten av 2021 till slutet av 2023. De exceptionellt höga priserna hade och fortsätter att ha allvarliga konsekvenser för de europeiska hushållen, industrin, ekonomin i stort och de offentliga finanserna. Syftet med denna rapport är att analysera utvecklingen av energipriserna och att ge en tydlig bild av deras inverkan på energikostnaderna för industrin och hushållen i EU samt på energiimporten och energiskatterna i EU.</w:t>
      </w:r>
    </w:p>
    <w:p w14:paraId="794733BD" w14:textId="26B01CF5" w:rsidR="003F0F40" w:rsidRPr="003F0F40" w:rsidRDefault="003F0F40" w:rsidP="003F0F40">
      <w:pPr>
        <w:pStyle w:val="BodyText"/>
        <w:spacing w:after="120"/>
        <w:jc w:val="both"/>
        <w:rPr>
          <w:noProof/>
        </w:rPr>
      </w:pPr>
      <w:r>
        <w:rPr>
          <w:noProof/>
        </w:rPr>
        <w:t>EU har inrättat en ambitiös ram för energipolitiken inom den europeiska gröna given, vilken behöver förstärkas ytterligare på grund av tidigare kriser och pågående utmaningar. På grund av det geoekonomiska landskapet krävs det dessutom konkreta åtgärder för att garantera konkurrenskraftig och överkomlig energi för både företag och medborgare, samtidigt som man säkerställer fortsatta framsteg mot en utfasning av fossila bränslen. Given för en ren industri och handlingsplanen för överkomliga energipriser syftar till att ta itu med dessa utmaningar.</w:t>
      </w:r>
    </w:p>
    <w:p w14:paraId="676A1151" w14:textId="74A43DD3" w:rsidR="00384495" w:rsidRDefault="003F0F40" w:rsidP="003F0F40">
      <w:pPr>
        <w:pStyle w:val="BodyText"/>
        <w:spacing w:after="120"/>
        <w:jc w:val="both"/>
        <w:rPr>
          <w:noProof/>
        </w:rPr>
      </w:pPr>
      <w:r>
        <w:rPr>
          <w:noProof/>
        </w:rPr>
        <w:t>Denna rapport ger en omfattande översikt över hur energipriserna och energikostnaderna i EU har utvecklats från 2010 till 2023, med ytterligare uppgifter som omfattar första halvåret 2024, där sådana finns tillgängliga</w:t>
      </w:r>
      <w:r w:rsidR="00AC4807" w:rsidRPr="1F41F7C8">
        <w:rPr>
          <w:rStyle w:val="FootnoteReference"/>
          <w:rFonts w:eastAsia="Calibri"/>
          <w:noProof/>
        </w:rPr>
        <w:footnoteReference w:id="2"/>
      </w:r>
      <w:r>
        <w:rPr>
          <w:noProof/>
        </w:rPr>
        <w:t>. Med utgångspunkt i den metod som har använts i tidigare utgåvor</w:t>
      </w:r>
      <w:r w:rsidR="00C24D5E" w:rsidRPr="003814F5">
        <w:rPr>
          <w:rStyle w:val="FootnoteReference"/>
          <w:rFonts w:eastAsia="Calibri"/>
          <w:noProof/>
        </w:rPr>
        <w:footnoteReference w:id="3"/>
      </w:r>
      <w:r>
        <w:rPr>
          <w:noProof/>
        </w:rPr>
        <w:t xml:space="preserve"> bygger rapporten på uppgifter och analyser från en djupgående studie</w:t>
      </w:r>
      <w:r w:rsidR="00C24D5E">
        <w:rPr>
          <w:rStyle w:val="FootnoteReference"/>
          <w:noProof/>
        </w:rPr>
        <w:footnoteReference w:id="4"/>
      </w:r>
      <w:r>
        <w:rPr>
          <w:noProof/>
        </w:rPr>
        <w:t xml:space="preserve"> och kommissionens eget arbete, där offentligt tillgängliga statistiska källor har prioriterats och kompletterats med riktade insamlingar av uppgifter.</w:t>
      </w:r>
    </w:p>
    <w:p w14:paraId="2975F44E" w14:textId="27790685" w:rsidR="00EA693B" w:rsidRDefault="00384495" w:rsidP="003737E9">
      <w:pPr>
        <w:pStyle w:val="BodyText"/>
        <w:spacing w:after="120"/>
        <w:jc w:val="both"/>
        <w:rPr>
          <w:noProof/>
        </w:rPr>
      </w:pPr>
      <w:r>
        <w:rPr>
          <w:b/>
          <w:bCs/>
          <w:noProof/>
        </w:rPr>
        <w:t>Grossistpriserna har stabiliserats</w:t>
      </w:r>
      <w:r>
        <w:rPr>
          <w:noProof/>
        </w:rPr>
        <w:t xml:space="preserve"> på både el- och gasmarknaden sedan energikrisen 2021–2023, men de är fortfarande på en högre nivå än det historiska genomsnittet</w:t>
      </w:r>
      <w:r w:rsidR="00A37819">
        <w:rPr>
          <w:rStyle w:val="FootnoteReference"/>
          <w:noProof/>
          <w:lang w:val="en-GB"/>
        </w:rPr>
        <w:footnoteReference w:id="5"/>
      </w:r>
      <w:r>
        <w:rPr>
          <w:noProof/>
        </w:rPr>
        <w:t xml:space="preserve">. </w:t>
      </w:r>
      <w:r>
        <w:rPr>
          <w:b/>
          <w:bCs/>
          <w:noProof/>
        </w:rPr>
        <w:t>De sjunkande grossistpriserna har emellertid ännu inte medfört att energipriserna i slutkundsledet har gått ner</w:t>
      </w:r>
      <w:r>
        <w:rPr>
          <w:noProof/>
        </w:rPr>
        <w:t>, eftersom ändringar i slutkundspriserna huvudsakligen släpar efter ändringarna i grossistpriser. Slutkundspriserna är fortfarande högre för hushåll och företag än de var före 2021. Hushållens gaspriser var nästan dubbelt så höga under 2023 som före krisen. Samtidigt som gas- och elpriserna är lägre än under krisen är de fortfarande 2–4 gånger högre än i EU:s viktigaste handelspartner, vilket hotar den europeiska industrins långsiktiga konkurrenskraft. Särskilt inom de energiintensiva sektorerna är de stigande energipriserna en nyckelfaktor som påverkar konkurrenskraften.</w:t>
      </w:r>
    </w:p>
    <w:p w14:paraId="70F7F038" w14:textId="6876DAC3" w:rsidR="00EA693B" w:rsidRDefault="003F62BF" w:rsidP="003737E9">
      <w:pPr>
        <w:pStyle w:val="BodyText"/>
        <w:spacing w:after="120"/>
        <w:jc w:val="both"/>
        <w:rPr>
          <w:noProof/>
        </w:rPr>
      </w:pPr>
      <w:r>
        <w:rPr>
          <w:noProof/>
        </w:rPr>
        <w:t xml:space="preserve">EU är beroende av import för att täcka &gt; 90 % av olje- och gasförbrukningen. Utan att beakta energitrygghetsaspekter medför </w:t>
      </w:r>
      <w:r>
        <w:rPr>
          <w:b/>
          <w:bCs/>
          <w:noProof/>
        </w:rPr>
        <w:t>kostnaderna för import av fossil energi</w:t>
      </w:r>
      <w:r>
        <w:rPr>
          <w:noProof/>
        </w:rPr>
        <w:t>, som uppgick till 427 miljarder euro 2023 (2,5 % av EU:s BNP), en betydande förlust för den europeiska ekonomin. Den största delen av importen utgörs fortfarande av råolja (med 56 % av de totala kostnaderna), följt av naturgas och kol. Trots en kraftig minskning efter att priserna på dessa råvaror har sjunkit, var kostnaderna för importen 2023 fortfarande 45 % högre än genomsnittet under 2014–2020. I planen RePowerEU från 2022 föreslogs åtgärder för att öka energiförsörjningstryggheten, påskynda utbyggnaden av förnybara energikällor, minska efterfrågan och öka energieffektiviteten för att uppnå ett mer flexibelt, kostnadseffektivt och motståndskraftigt framtida europeiskt energisystem.</w:t>
      </w:r>
    </w:p>
    <w:p w14:paraId="4378A8CE" w14:textId="0F1362CD" w:rsidR="00265D1B" w:rsidRDefault="003473E6" w:rsidP="003737E9">
      <w:pPr>
        <w:pStyle w:val="BodyText"/>
        <w:spacing w:after="120"/>
        <w:jc w:val="both"/>
        <w:rPr>
          <w:noProof/>
        </w:rPr>
      </w:pPr>
      <w:r>
        <w:rPr>
          <w:noProof/>
        </w:rPr>
        <w:t xml:space="preserve">Slutligen påverkade energikrisen också </w:t>
      </w:r>
      <w:r>
        <w:rPr>
          <w:b/>
          <w:bCs/>
          <w:noProof/>
        </w:rPr>
        <w:t>politiken för beskattning av energiprodukter</w:t>
      </w:r>
      <w:r>
        <w:rPr>
          <w:noProof/>
        </w:rPr>
        <w:t>. Tillsammans med andra åtgärder minskade energiskatteintäkterna samtidigt som många medlemsstater kompenserade hushållen och industrin för högre energikostnader.</w:t>
      </w:r>
    </w:p>
    <w:p w14:paraId="6E859C0A" w14:textId="4741ACFD" w:rsidR="008D40BE" w:rsidRDefault="00E15861" w:rsidP="003737E9">
      <w:pPr>
        <w:pStyle w:val="BodyText"/>
        <w:spacing w:after="120"/>
        <w:jc w:val="both"/>
        <w:rPr>
          <w:noProof/>
        </w:rPr>
      </w:pPr>
      <w:r>
        <w:rPr>
          <w:noProof/>
        </w:rPr>
        <w:t xml:space="preserve"> </w:t>
      </w:r>
      <w:r>
        <w:rPr>
          <w:noProof/>
        </w:rPr>
        <w:br w:type="page"/>
      </w:r>
    </w:p>
    <w:p w14:paraId="2DABCB84" w14:textId="77777777" w:rsidR="008D40BE" w:rsidRPr="003814F5" w:rsidRDefault="008D40BE" w:rsidP="008D40BE">
      <w:pPr>
        <w:pStyle w:val="Heading1"/>
        <w:rPr>
          <w:noProof/>
        </w:rPr>
      </w:pPr>
      <w:r>
        <w:rPr>
          <w:noProof/>
        </w:rPr>
        <w:t>Utvecklingen av energipriserna</w:t>
      </w:r>
    </w:p>
    <w:p w14:paraId="32AB5C73" w14:textId="77777777" w:rsidR="008D40BE" w:rsidRPr="003814F5" w:rsidRDefault="008D40BE" w:rsidP="008D40BE">
      <w:pPr>
        <w:pStyle w:val="Heading2"/>
        <w:rPr>
          <w:noProof/>
        </w:rPr>
      </w:pPr>
      <w:r>
        <w:rPr>
          <w:noProof/>
        </w:rPr>
        <w:t>Elpriser</w:t>
      </w:r>
    </w:p>
    <w:p w14:paraId="730664EB" w14:textId="77777777" w:rsidR="008D40BE" w:rsidRDefault="008D40BE" w:rsidP="003737E9">
      <w:pPr>
        <w:pStyle w:val="BodyText"/>
        <w:spacing w:after="120"/>
        <w:jc w:val="both"/>
        <w:rPr>
          <w:noProof/>
        </w:rPr>
      </w:pPr>
      <w:r>
        <w:rPr>
          <w:noProof/>
        </w:rPr>
        <w:t xml:space="preserve">Mellan 2015 och 2019 fluktuerade de europeiska </w:t>
      </w:r>
      <w:r>
        <w:rPr>
          <w:b/>
          <w:bCs/>
          <w:noProof/>
        </w:rPr>
        <w:t>grossistpriserna på el</w:t>
      </w:r>
      <w:r>
        <w:rPr>
          <w:noProof/>
        </w:rPr>
        <w:t xml:space="preserve"> mellan 40 och 60 euro/MWh. </w:t>
      </w:r>
      <w:r>
        <w:rPr>
          <w:b/>
          <w:bCs/>
          <w:noProof/>
        </w:rPr>
        <w:t>Spotpriserna</w:t>
      </w:r>
      <w:r>
        <w:rPr>
          <w:noProof/>
        </w:rPr>
        <w:t xml:space="preserve"> var relativt stabila fram till slutet av 2018, för att sedan sjunka under 2019 på grund av svag efterfrågan, lägre bränslekostnader och ökad produktion av förnybar energi. Under 2020 ledde covid-19 till en ytterligare betydande minskning av efterfrågan på el, som tillsammans med ökad produktion av förnybar energi pressade ned grossistpriserna till exceptionellt låga nivåer (17 euro/MWh i maj 2020), med allt tätare återkommande perioder av negativa priser dagtid.</w:t>
      </w:r>
    </w:p>
    <w:p w14:paraId="603EE150" w14:textId="4D324A80" w:rsidR="00073647" w:rsidRDefault="008D40BE" w:rsidP="00073647">
      <w:pPr>
        <w:pStyle w:val="BodyText"/>
        <w:spacing w:after="120"/>
        <w:jc w:val="both"/>
        <w:rPr>
          <w:noProof/>
        </w:rPr>
      </w:pPr>
      <w:r>
        <w:rPr>
          <w:noProof/>
        </w:rPr>
        <w:t>Energikrisen 2021–2022 medförde omfattande störningar på de globala och europeiska energimarknaderna. Detta påverkade även grossistpriserna på el i EU, då högre gaspriser (se kapitel 2.2 om gas) drev upp elpriserna</w:t>
      </w:r>
      <w:r w:rsidR="002A231E">
        <w:rPr>
          <w:rStyle w:val="FootnoteReference"/>
          <w:noProof/>
        </w:rPr>
        <w:footnoteReference w:id="6"/>
      </w:r>
      <w:r>
        <w:rPr>
          <w:noProof/>
        </w:rPr>
        <w:t xml:space="preserve"> till mellan 150 och 270 euro/MWh (</w:t>
      </w:r>
      <w:r w:rsidRPr="00D33659">
        <w:rPr>
          <w:noProof/>
        </w:rPr>
        <w:fldChar w:fldCharType="begin"/>
      </w:r>
      <w:r w:rsidRPr="00D33659">
        <w:rPr>
          <w:noProof/>
        </w:rPr>
        <w:instrText xml:space="preserve"> REF _Ref117526167 \h  \* MERGEFORMAT </w:instrText>
      </w:r>
      <w:r w:rsidRPr="00D33659">
        <w:rPr>
          <w:noProof/>
        </w:rPr>
      </w:r>
      <w:r w:rsidRPr="00D33659">
        <w:rPr>
          <w:noProof/>
        </w:rPr>
        <w:fldChar w:fldCharType="separate"/>
      </w:r>
      <w:r w:rsidR="00073647" w:rsidRPr="00073647">
        <w:rPr>
          <w:noProof/>
        </w:rPr>
        <w:t>Figur 1</w:t>
      </w:r>
      <w:r w:rsidRPr="00D33659">
        <w:rPr>
          <w:noProof/>
        </w:rPr>
        <w:fldChar w:fldCharType="end"/>
      </w:r>
      <w:r>
        <w:rPr>
          <w:noProof/>
        </w:rPr>
        <w:t>). Utöver stigande gaspriser bidrog även låga eller varierande nivåer av vattenkraft och förnybar produktion samt driftavbrott i kärnkraften (på grund av underhåll) till att pressa upp elpriserna till rekordhöga nivåer under 2022 (400 euro/MWh i augusti 2022).</w:t>
      </w:r>
    </w:p>
    <w:p w14:paraId="5E56912A" w14:textId="6933E502" w:rsidR="00073647" w:rsidRPr="00073647" w:rsidRDefault="00073647" w:rsidP="00073647">
      <w:pPr>
        <w:spacing w:after="0"/>
        <w:ind w:left="567"/>
        <w:jc w:val="center"/>
        <w:rPr>
          <w:rFonts w:ascii="Calibri" w:hAnsi="Calibri"/>
          <w:b/>
          <w:bCs/>
          <w:noProof/>
          <w:color w:val="005962"/>
          <w:sz w:val="16"/>
          <w:szCs w:val="16"/>
        </w:rPr>
      </w:pPr>
      <w:r>
        <w:rPr>
          <w:rFonts w:ascii="Calibri" w:hAnsi="Calibri"/>
          <w:b/>
          <w:noProof/>
          <w:color w:val="005962"/>
          <w:sz w:val="16"/>
        </w:rPr>
        <w:t xml:space="preserve">Figur </w:t>
      </w:r>
      <w:r>
        <w:rPr>
          <w:rFonts w:ascii="Calibri" w:hAnsi="Calibri"/>
          <w:b/>
          <w:noProof/>
          <w:color w:val="005962"/>
          <w:sz w:val="16"/>
        </w:rPr>
        <w:fldChar w:fldCharType="begin"/>
      </w:r>
      <w:r w:rsidRPr="003814F5">
        <w:rPr>
          <w:rFonts w:ascii="Calibri" w:hAnsi="Calibri"/>
          <w:b/>
          <w:noProof/>
          <w:color w:val="005962"/>
          <w:sz w:val="16"/>
        </w:rPr>
        <w:instrText xml:space="preserve"> SEQ Figure \* ARABIC </w:instrText>
      </w:r>
      <w:r>
        <w:rPr>
          <w:rFonts w:ascii="Calibri" w:hAnsi="Calibri"/>
          <w:b/>
          <w:noProof/>
          <w:color w:val="005962"/>
          <w:sz w:val="16"/>
        </w:rPr>
        <w:fldChar w:fldCharType="separate"/>
      </w:r>
      <w:r>
        <w:rPr>
          <w:rFonts w:ascii="Calibri" w:hAnsi="Calibri"/>
          <w:b/>
          <w:noProof/>
          <w:color w:val="005962"/>
          <w:sz w:val="16"/>
        </w:rPr>
        <w:t>1</w:t>
      </w:r>
      <w:r>
        <w:rPr>
          <w:rFonts w:ascii="Calibri" w:hAnsi="Calibri"/>
          <w:b/>
          <w:noProof/>
          <w:color w:val="005962"/>
          <w:sz w:val="16"/>
        </w:rPr>
        <w:fldChar w:fldCharType="end"/>
      </w:r>
      <w:r>
        <w:rPr>
          <w:rFonts w:ascii="Calibri" w:hAnsi="Calibri"/>
          <w:b/>
          <w:noProof/>
          <w:color w:val="005962"/>
          <w:sz w:val="16"/>
        </w:rPr>
        <w:t>: Utveckling av de genomsnittliga grossistpriserna per månad för baslaster på dagen före-marknaden i Europa i euro/MWh som visar det europeiska riktmärket för energi och intervallet mellan de lägsta och de högsta priserna på de viktigaste EU-marknaderna</w:t>
      </w:r>
    </w:p>
    <w:p w14:paraId="1C196E6D" w14:textId="77777777" w:rsidR="00073647" w:rsidRDefault="00073647" w:rsidP="003737E9">
      <w:pPr>
        <w:pStyle w:val="BodyText"/>
        <w:spacing w:after="120"/>
        <w:jc w:val="both"/>
        <w:rPr>
          <w:noProof/>
        </w:rPr>
      </w:pPr>
      <w:r w:rsidRPr="00073647">
        <w:rPr>
          <w:noProof/>
          <w:lang w:val="en-GB" w:bidi="ar-SA"/>
        </w:rPr>
        <w:drawing>
          <wp:inline distT="0" distB="0" distL="0" distR="0" wp14:anchorId="1BC3DEDA" wp14:editId="0CC0482F">
            <wp:extent cx="5698522" cy="2578443"/>
            <wp:effectExtent l="0" t="0" r="0" b="0"/>
            <wp:docPr id="17858966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3356" cy="2607779"/>
                    </a:xfrm>
                    <a:prstGeom prst="rect">
                      <a:avLst/>
                    </a:prstGeom>
                    <a:noFill/>
                    <a:ln>
                      <a:noFill/>
                    </a:ln>
                  </pic:spPr>
                </pic:pic>
              </a:graphicData>
            </a:graphic>
          </wp:inline>
        </w:drawing>
      </w:r>
      <w:r w:rsidRPr="00073647">
        <w:rPr>
          <w:noProof/>
        </w:rPr>
        <w:t xml:space="preserve"> </w:t>
      </w:r>
      <w:r w:rsidR="003E4486">
        <w:rPr>
          <w:noProof/>
        </w:rPr>
        <w:t xml:space="preserve"> </w:t>
      </w:r>
    </w:p>
    <w:p w14:paraId="16ADFDCD" w14:textId="77777777" w:rsidR="00073647" w:rsidRPr="006C06CA" w:rsidRDefault="00073647" w:rsidP="00073647">
      <w:pPr>
        <w:spacing w:after="160"/>
        <w:ind w:left="567"/>
        <w:jc w:val="center"/>
        <w:rPr>
          <w:rFonts w:ascii="Calibri" w:hAnsi="Calibri"/>
          <w:i/>
          <w:iCs/>
          <w:noProof/>
          <w:sz w:val="14"/>
          <w:szCs w:val="14"/>
        </w:rPr>
      </w:pPr>
      <w:r>
        <w:rPr>
          <w:rFonts w:ascii="Calibri" w:hAnsi="Calibri"/>
          <w:i/>
          <w:noProof/>
          <w:sz w:val="14"/>
        </w:rPr>
        <w:t>Källa: Trinomics m.fl. (2024), baserat på uppgifter från S&amp;P Platts, ENTSO-E.</w:t>
      </w:r>
    </w:p>
    <w:p w14:paraId="432B8BE1" w14:textId="2BEE6FC6" w:rsidR="008D40BE" w:rsidRPr="00D33659" w:rsidRDefault="003E4486" w:rsidP="003737E9">
      <w:pPr>
        <w:pStyle w:val="BodyText"/>
        <w:spacing w:after="120"/>
        <w:jc w:val="both"/>
        <w:rPr>
          <w:noProof/>
        </w:rPr>
      </w:pPr>
      <w:r>
        <w:rPr>
          <w:noProof/>
        </w:rPr>
        <w:t>Sedan slutet av 2022 har grossistpriserna på elmarknaden emellertid stabiliserats på lägre nivåer på dagen före-marknaderna, även om de ligger på en högre nivå än det historiska genomsnittet (i genomsnitt 85 euro</w:t>
      </w:r>
      <w:r>
        <w:rPr>
          <w:noProof/>
          <w:vertAlign w:val="subscript"/>
        </w:rPr>
        <w:t>2023</w:t>
      </w:r>
      <w:r>
        <w:rPr>
          <w:noProof/>
        </w:rPr>
        <w:t>/MWh under fjärde kvartalet 2023 jämfört med i genomsnitt 56 euro</w:t>
      </w:r>
      <w:r>
        <w:rPr>
          <w:noProof/>
          <w:vertAlign w:val="subscript"/>
        </w:rPr>
        <w:t>2023</w:t>
      </w:r>
      <w:r>
        <w:rPr>
          <w:noProof/>
        </w:rPr>
        <w:t>/MWh under perioden 2008–2020). Priserna på terminsmarknaderna stabiliserades också 2023 över det historiska genomsnittet.</w:t>
      </w:r>
    </w:p>
    <w:p w14:paraId="7D2EE640" w14:textId="1F71BB87" w:rsidR="008D40BE" w:rsidRPr="006C06CA" w:rsidRDefault="008D40BE" w:rsidP="00073647">
      <w:pPr>
        <w:spacing w:after="160"/>
        <w:ind w:left="567"/>
        <w:rPr>
          <w:rFonts w:ascii="Calibri" w:hAnsi="Calibri"/>
          <w:i/>
          <w:iCs/>
          <w:noProof/>
          <w:sz w:val="14"/>
          <w:szCs w:val="14"/>
        </w:rPr>
      </w:pPr>
      <w:r>
        <w:rPr>
          <w:rFonts w:ascii="Calibri" w:hAnsi="Calibri"/>
          <w:i/>
          <w:noProof/>
          <w:sz w:val="14"/>
        </w:rPr>
        <w:t>.</w:t>
      </w:r>
    </w:p>
    <w:p w14:paraId="0B443364" w14:textId="7B11647B" w:rsidR="008D40BE" w:rsidRDefault="6FBF9DFB" w:rsidP="003737E9">
      <w:pPr>
        <w:pStyle w:val="BodyText"/>
        <w:spacing w:after="120"/>
        <w:jc w:val="both"/>
        <w:rPr>
          <w:noProof/>
        </w:rPr>
      </w:pPr>
      <w:r>
        <w:rPr>
          <w:noProof/>
        </w:rPr>
        <w:t>Under decenniet före energikrisen var EU:s grossistpriser på el lägre än eller jämförbara med priserna i Japan och Förenade kungariket (</w:t>
      </w:r>
      <w:r w:rsidR="008D40BE">
        <w:rPr>
          <w:noProof/>
        </w:rPr>
        <w:fldChar w:fldCharType="begin"/>
      </w:r>
      <w:r w:rsidR="008D40BE">
        <w:rPr>
          <w:noProof/>
        </w:rPr>
        <w:instrText xml:space="preserve"> REF _Ref150501506 \h  \* MERGEFORMAT </w:instrText>
      </w:r>
      <w:r w:rsidR="008D40BE">
        <w:rPr>
          <w:noProof/>
        </w:rPr>
      </w:r>
      <w:r w:rsidR="008D40BE">
        <w:rPr>
          <w:noProof/>
        </w:rPr>
        <w:fldChar w:fldCharType="separate"/>
      </w:r>
      <w:r w:rsidR="00073647" w:rsidRPr="00073647">
        <w:rPr>
          <w:noProof/>
        </w:rPr>
        <w:t>Figur 2</w:t>
      </w:r>
      <w:r w:rsidR="008D40BE">
        <w:rPr>
          <w:noProof/>
        </w:rPr>
        <w:fldChar w:fldCharType="end"/>
      </w:r>
      <w:r>
        <w:rPr>
          <w:noProof/>
        </w:rPr>
        <w:t>) men något högre än priserna i Förenta Staterna. Energikrisen ledde till en priskonvergens mellan Europa och Asien. Samtidigt förblev priserna i Förenta staterna relativt låga på grund av billig inhemsk gasförsörjning, vilket ytterligare ökade klyftan mellan grossistpriserna på el i Europa och i Förenta staterna</w:t>
      </w:r>
      <w:r w:rsidR="00D33F46">
        <w:rPr>
          <w:rStyle w:val="FootnoteReference"/>
          <w:noProof/>
        </w:rPr>
        <w:footnoteReference w:id="7"/>
      </w:r>
      <w:r>
        <w:rPr>
          <w:noProof/>
        </w:rPr>
        <w:t>.</w:t>
      </w:r>
    </w:p>
    <w:p w14:paraId="0ECFA4D3" w14:textId="77777777" w:rsidR="00731B24" w:rsidRDefault="00731B24" w:rsidP="003737E9">
      <w:pPr>
        <w:pStyle w:val="BodyText"/>
        <w:spacing w:after="120"/>
        <w:jc w:val="both"/>
        <w:rPr>
          <w:noProof/>
        </w:rPr>
      </w:pPr>
    </w:p>
    <w:p w14:paraId="13A39F07" w14:textId="38DC060F" w:rsidR="00731B24" w:rsidRPr="00731B24" w:rsidRDefault="00731B24" w:rsidP="00731B24">
      <w:pPr>
        <w:keepNext/>
        <w:spacing w:after="0"/>
        <w:ind w:left="567"/>
        <w:jc w:val="center"/>
        <w:rPr>
          <w:rFonts w:ascii="Calibri" w:hAnsi="Calibri"/>
          <w:b/>
          <w:bCs/>
          <w:noProof/>
          <w:color w:val="005962"/>
          <w:sz w:val="16"/>
          <w:szCs w:val="16"/>
        </w:rPr>
      </w:pPr>
      <w:r>
        <w:rPr>
          <w:rFonts w:ascii="Calibri" w:hAnsi="Calibri"/>
          <w:b/>
          <w:noProof/>
          <w:color w:val="005962"/>
          <w:sz w:val="16"/>
        </w:rPr>
        <w:t xml:space="preserve">Figur </w:t>
      </w:r>
      <w:r>
        <w:rPr>
          <w:rFonts w:ascii="Calibri" w:hAnsi="Calibri"/>
          <w:b/>
          <w:noProof/>
          <w:color w:val="005962"/>
          <w:sz w:val="16"/>
        </w:rPr>
        <w:fldChar w:fldCharType="begin"/>
      </w:r>
      <w:r w:rsidRPr="003814F5">
        <w:rPr>
          <w:rFonts w:ascii="Calibri" w:hAnsi="Calibri"/>
          <w:b/>
          <w:noProof/>
          <w:color w:val="005962"/>
          <w:sz w:val="16"/>
        </w:rPr>
        <w:instrText xml:space="preserve"> SEQ Figure \* ARABIC </w:instrText>
      </w:r>
      <w:r>
        <w:rPr>
          <w:rFonts w:ascii="Calibri" w:hAnsi="Calibri"/>
          <w:b/>
          <w:noProof/>
          <w:color w:val="005962"/>
          <w:sz w:val="16"/>
        </w:rPr>
        <w:fldChar w:fldCharType="separate"/>
      </w:r>
      <w:r>
        <w:rPr>
          <w:rFonts w:ascii="Calibri" w:hAnsi="Calibri"/>
          <w:b/>
          <w:noProof/>
          <w:color w:val="005962"/>
          <w:sz w:val="16"/>
        </w:rPr>
        <w:t>2</w:t>
      </w:r>
      <w:r>
        <w:rPr>
          <w:rFonts w:ascii="Calibri" w:hAnsi="Calibri"/>
          <w:b/>
          <w:noProof/>
          <w:color w:val="005962"/>
          <w:sz w:val="16"/>
        </w:rPr>
        <w:fldChar w:fldCharType="end"/>
      </w:r>
      <w:r>
        <w:rPr>
          <w:rFonts w:ascii="Calibri" w:hAnsi="Calibri"/>
          <w:b/>
          <w:noProof/>
          <w:color w:val="005962"/>
          <w:sz w:val="16"/>
        </w:rPr>
        <w:t>: Jämförelse mellan de genomsnittliga grossistpriserna per månad för el på dagen före-marknaden i EU med den globala handeln (euro2023/MWh)</w:t>
      </w:r>
    </w:p>
    <w:p w14:paraId="52744CD5" w14:textId="32DBE48F" w:rsidR="008D40BE" w:rsidRPr="003814F5" w:rsidRDefault="00731B24" w:rsidP="005700F6">
      <w:pPr>
        <w:keepNext/>
        <w:spacing w:after="0"/>
        <w:ind w:left="567"/>
        <w:jc w:val="center"/>
        <w:rPr>
          <w:rFonts w:ascii="Calibri" w:hAnsi="Calibri"/>
          <w:b/>
          <w:bCs/>
          <w:noProof/>
          <w:color w:val="005962"/>
          <w:sz w:val="16"/>
          <w:szCs w:val="16"/>
        </w:rPr>
      </w:pPr>
      <w:bookmarkStart w:id="2" w:name="_Ref150354872"/>
      <w:bookmarkStart w:id="3" w:name="_Ref150501506"/>
      <w:r w:rsidRPr="00731B24">
        <w:rPr>
          <w:noProof/>
          <w:lang w:val="en-GB" w:eastAsia="en-GB"/>
        </w:rPr>
        <w:drawing>
          <wp:inline distT="0" distB="0" distL="0" distR="0" wp14:anchorId="4DA41C84" wp14:editId="51D397D7">
            <wp:extent cx="4234248" cy="2375684"/>
            <wp:effectExtent l="0" t="0" r="0" b="5715"/>
            <wp:docPr id="6978101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68367" cy="2394827"/>
                    </a:xfrm>
                    <a:prstGeom prst="rect">
                      <a:avLst/>
                    </a:prstGeom>
                    <a:noFill/>
                    <a:ln>
                      <a:noFill/>
                    </a:ln>
                  </pic:spPr>
                </pic:pic>
              </a:graphicData>
            </a:graphic>
          </wp:inline>
        </w:drawing>
      </w:r>
      <w:bookmarkEnd w:id="2"/>
      <w:bookmarkEnd w:id="3"/>
    </w:p>
    <w:p w14:paraId="52B4687C" w14:textId="04D5A9CC" w:rsidR="008D40BE" w:rsidRPr="006C06CA" w:rsidRDefault="008D40BE" w:rsidP="005700F6">
      <w:pPr>
        <w:spacing w:after="160"/>
        <w:ind w:left="567"/>
        <w:jc w:val="center"/>
        <w:rPr>
          <w:rFonts w:ascii="Calibri" w:hAnsi="Calibri"/>
          <w:i/>
          <w:iCs/>
          <w:noProof/>
          <w:sz w:val="14"/>
          <w:szCs w:val="14"/>
        </w:rPr>
      </w:pPr>
      <w:r>
        <w:rPr>
          <w:rFonts w:ascii="Calibri" w:hAnsi="Calibri"/>
          <w:i/>
          <w:noProof/>
          <w:sz w:val="14"/>
        </w:rPr>
        <w:t>Källa: Trinomics m.fl. (2024), baserat på uppgifter från S&amp;P Platts, ENTSO-E, JEPX, EIA.</w:t>
      </w:r>
    </w:p>
    <w:p w14:paraId="10F3FC2D" w14:textId="370F2847" w:rsidR="0060619D" w:rsidRDefault="00F32DB7" w:rsidP="003737E9">
      <w:pPr>
        <w:pStyle w:val="BodyText"/>
        <w:spacing w:after="120"/>
        <w:jc w:val="both"/>
        <w:rPr>
          <w:noProof/>
        </w:rPr>
      </w:pPr>
      <w:r>
        <w:rPr>
          <w:b/>
          <w:bCs/>
          <w:noProof/>
        </w:rPr>
        <w:t>Slutkundspriserna på el</w:t>
      </w:r>
      <w:r>
        <w:rPr>
          <w:noProof/>
        </w:rPr>
        <w:t xml:space="preserve"> har också stigit under 2022 och 2023 och följt grossistpriserna på el, vilka överfördes till konsumenterna med tidsfördröjning, trots den ökande användningen av avtal med dynamisk prissättning. I genomsnitt ökade </w:t>
      </w:r>
      <w:r>
        <w:rPr>
          <w:i/>
          <w:iCs/>
          <w:noProof/>
        </w:rPr>
        <w:t>energikomponenten</w:t>
      </w:r>
      <w:r>
        <w:rPr>
          <w:noProof/>
        </w:rPr>
        <w:t xml:space="preserve"> i hushållens slutkundspriser avsevärt under denna period, medan andelen </w:t>
      </w:r>
      <w:r>
        <w:rPr>
          <w:i/>
          <w:iCs/>
          <w:noProof/>
        </w:rPr>
        <w:t>skatter och avgifter</w:t>
      </w:r>
      <w:r>
        <w:rPr>
          <w:noProof/>
        </w:rPr>
        <w:t xml:space="preserve"> minskade, på grund av tillfälliga kompensationsåtgärder som vidtogs av nationella myndigheter i hela EU-27 (</w:t>
      </w:r>
      <w:r w:rsidR="008D40BE">
        <w:rPr>
          <w:noProof/>
        </w:rPr>
        <w:fldChar w:fldCharType="begin"/>
      </w:r>
      <w:r w:rsidR="008D40BE">
        <w:rPr>
          <w:noProof/>
        </w:rPr>
        <w:instrText xml:space="preserve"> REF _Ref150440474 \h  \* MERGEFORMAT </w:instrText>
      </w:r>
      <w:r w:rsidR="008D40BE">
        <w:rPr>
          <w:noProof/>
        </w:rPr>
      </w:r>
      <w:r w:rsidR="008D40BE">
        <w:rPr>
          <w:noProof/>
        </w:rPr>
        <w:fldChar w:fldCharType="separate"/>
      </w:r>
      <w:r w:rsidR="00073647" w:rsidRPr="00073647">
        <w:rPr>
          <w:noProof/>
        </w:rPr>
        <w:t>Figur 3</w:t>
      </w:r>
      <w:r w:rsidR="008D40BE">
        <w:rPr>
          <w:noProof/>
        </w:rPr>
        <w:fldChar w:fldCharType="end"/>
      </w:r>
      <w:r>
        <w:rPr>
          <w:noProof/>
        </w:rPr>
        <w:t xml:space="preserve">). </w:t>
      </w:r>
    </w:p>
    <w:p w14:paraId="038F65D1" w14:textId="1FEBE5AA" w:rsidR="0060619D" w:rsidRPr="003814F5" w:rsidRDefault="0060619D" w:rsidP="0060619D">
      <w:pPr>
        <w:pStyle w:val="BodyText"/>
        <w:spacing w:after="120"/>
        <w:jc w:val="center"/>
        <w:rPr>
          <w:noProof/>
        </w:rPr>
      </w:pPr>
      <w:r>
        <w:rPr>
          <w:rFonts w:ascii="Calibri" w:hAnsi="Calibri"/>
          <w:b/>
          <w:noProof/>
          <w:color w:val="005962"/>
          <w:sz w:val="16"/>
        </w:rPr>
        <w:t xml:space="preserve">Figur </w:t>
      </w:r>
      <w:r>
        <w:rPr>
          <w:rFonts w:ascii="Calibri" w:hAnsi="Calibri"/>
          <w:b/>
          <w:noProof/>
          <w:color w:val="005962"/>
          <w:sz w:val="16"/>
        </w:rPr>
        <w:fldChar w:fldCharType="begin"/>
      </w:r>
      <w:r>
        <w:rPr>
          <w:rFonts w:ascii="Calibri" w:hAnsi="Calibri"/>
          <w:b/>
          <w:noProof/>
          <w:color w:val="005962"/>
          <w:sz w:val="16"/>
        </w:rPr>
        <w:instrText xml:space="preserve"> SEQ Figure \* ARABIC </w:instrText>
      </w:r>
      <w:r>
        <w:rPr>
          <w:rFonts w:ascii="Calibri" w:hAnsi="Calibri"/>
          <w:b/>
          <w:noProof/>
          <w:color w:val="005962"/>
          <w:sz w:val="16"/>
        </w:rPr>
        <w:fldChar w:fldCharType="separate"/>
      </w:r>
      <w:r>
        <w:rPr>
          <w:rFonts w:ascii="Calibri" w:hAnsi="Calibri"/>
          <w:b/>
          <w:noProof/>
          <w:color w:val="005962"/>
          <w:sz w:val="16"/>
        </w:rPr>
        <w:t>3</w:t>
      </w:r>
      <w:r>
        <w:rPr>
          <w:rFonts w:ascii="Calibri" w:hAnsi="Calibri"/>
          <w:b/>
          <w:noProof/>
          <w:color w:val="005962"/>
          <w:sz w:val="16"/>
        </w:rPr>
        <w:fldChar w:fldCharType="end"/>
      </w:r>
      <w:r>
        <w:rPr>
          <w:rFonts w:ascii="Calibri" w:hAnsi="Calibri"/>
          <w:b/>
          <w:noProof/>
          <w:color w:val="005962"/>
          <w:sz w:val="16"/>
        </w:rPr>
        <w:t>: Utvecklingen av elpriset för hushållen i EU och dess sammansättning (utan moms)</w:t>
      </w:r>
    </w:p>
    <w:p w14:paraId="5AB1593C" w14:textId="37D665E1" w:rsidR="008D40BE" w:rsidRPr="003814F5" w:rsidDel="00F84DF0" w:rsidRDefault="0060619D" w:rsidP="005700F6">
      <w:pPr>
        <w:keepNext/>
        <w:spacing w:after="0"/>
        <w:ind w:left="567"/>
        <w:jc w:val="center"/>
        <w:rPr>
          <w:rFonts w:ascii="Calibri" w:hAnsi="Calibri"/>
          <w:b/>
          <w:bCs/>
          <w:noProof/>
          <w:color w:val="005962"/>
          <w:sz w:val="16"/>
          <w:szCs w:val="16"/>
        </w:rPr>
      </w:pPr>
      <w:bookmarkStart w:id="4" w:name="_Ref117533657"/>
      <w:bookmarkStart w:id="5" w:name="_Ref150440474"/>
      <w:r w:rsidRPr="0060619D">
        <w:rPr>
          <w:noProof/>
          <w:lang w:val="en-GB" w:eastAsia="en-GB"/>
        </w:rPr>
        <w:drawing>
          <wp:inline distT="0" distB="0" distL="0" distR="0" wp14:anchorId="5770D48C" wp14:editId="73359C56">
            <wp:extent cx="3804848" cy="2281555"/>
            <wp:effectExtent l="0" t="0" r="5715" b="4445"/>
            <wp:docPr id="16761692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26358" cy="2294453"/>
                    </a:xfrm>
                    <a:prstGeom prst="rect">
                      <a:avLst/>
                    </a:prstGeom>
                    <a:noFill/>
                    <a:ln>
                      <a:noFill/>
                    </a:ln>
                  </pic:spPr>
                </pic:pic>
              </a:graphicData>
            </a:graphic>
          </wp:inline>
        </w:drawing>
      </w:r>
      <w:bookmarkEnd w:id="4"/>
      <w:bookmarkEnd w:id="5"/>
    </w:p>
    <w:p w14:paraId="60B94583" w14:textId="51ABC0F9" w:rsidR="008D40BE" w:rsidRPr="003814F5" w:rsidDel="00F84DF0" w:rsidRDefault="008D40BE" w:rsidP="005700F6">
      <w:pPr>
        <w:spacing w:after="160"/>
        <w:ind w:left="567"/>
        <w:jc w:val="center"/>
        <w:rPr>
          <w:rFonts w:ascii="Calibri" w:hAnsi="Calibri"/>
          <w:i/>
          <w:iCs/>
          <w:noProof/>
          <w:sz w:val="14"/>
          <w:szCs w:val="14"/>
        </w:rPr>
      </w:pPr>
      <w:r>
        <w:rPr>
          <w:rFonts w:ascii="Calibri" w:hAnsi="Calibri"/>
          <w:i/>
          <w:noProof/>
          <w:sz w:val="14"/>
        </w:rPr>
        <w:t>Källa: Trinomics m.fl. (2024), baserat på uppgifter från Eurostat (nrg_pc_204_c), VaasaETT.</w:t>
      </w:r>
    </w:p>
    <w:p w14:paraId="19FB761B" w14:textId="608C9B49" w:rsidR="008D40BE" w:rsidRPr="003814F5" w:rsidRDefault="008D40BE" w:rsidP="003737E9">
      <w:pPr>
        <w:pStyle w:val="BodyText"/>
        <w:spacing w:after="120"/>
        <w:jc w:val="both"/>
        <w:rPr>
          <w:noProof/>
        </w:rPr>
      </w:pPr>
      <w:r>
        <w:rPr>
          <w:noProof/>
        </w:rPr>
        <w:t>I konkreta termer steg hushållens genomsnittliga slutkundspris för el i EU-27 med 12 % till 262 euro</w:t>
      </w:r>
      <w:r>
        <w:rPr>
          <w:noProof/>
          <w:vertAlign w:val="subscript"/>
        </w:rPr>
        <w:t>2023</w:t>
      </w:r>
      <w:r>
        <w:rPr>
          <w:noProof/>
        </w:rPr>
        <w:t>/MWh</w:t>
      </w:r>
      <w:r w:rsidR="00DA41FF">
        <w:rPr>
          <w:rStyle w:val="FootnoteReference"/>
          <w:noProof/>
        </w:rPr>
        <w:footnoteReference w:id="8"/>
      </w:r>
      <w:r>
        <w:rPr>
          <w:noProof/>
        </w:rPr>
        <w:t xml:space="preserve"> mellan 2020 och 2022. Under 2023 steg priserna med ytterligare 4 % till 272 euro</w:t>
      </w:r>
      <w:r>
        <w:rPr>
          <w:noProof/>
          <w:vertAlign w:val="subscript"/>
        </w:rPr>
        <w:t>2023</w:t>
      </w:r>
      <w:r>
        <w:rPr>
          <w:noProof/>
        </w:rPr>
        <w:t>/MWh. Under krisen nådde slutkundspriserna på el en topp på över 500 euro/MWh i Österrike, Belgien, Danmark, Tyskland, Italien och Nederländerna.</w:t>
      </w:r>
    </w:p>
    <w:p w14:paraId="01775C3F" w14:textId="3192819E" w:rsidR="007249B7" w:rsidRDefault="008D40BE" w:rsidP="003737E9">
      <w:pPr>
        <w:pStyle w:val="BodyText"/>
        <w:spacing w:after="120"/>
        <w:jc w:val="both"/>
        <w:rPr>
          <w:noProof/>
        </w:rPr>
      </w:pPr>
      <w:r>
        <w:rPr>
          <w:noProof/>
        </w:rPr>
        <w:t>Situationen varierar kraftigt mellan medlemsstaterna när det gäller hushållens slutkundspriser, delvis på grund av de interventioner som nyligen införts på slutkundsmarknaden</w:t>
      </w:r>
      <w:r w:rsidR="00AC4807">
        <w:rPr>
          <w:rStyle w:val="FootnoteReference"/>
          <w:noProof/>
        </w:rPr>
        <w:footnoteReference w:id="9"/>
      </w:r>
      <w:r>
        <w:rPr>
          <w:noProof/>
        </w:rPr>
        <w:t xml:space="preserve"> (</w:t>
      </w:r>
      <w:r w:rsidRPr="006361F2">
        <w:rPr>
          <w:noProof/>
        </w:rPr>
        <w:fldChar w:fldCharType="begin"/>
      </w:r>
      <w:r>
        <w:rPr>
          <w:noProof/>
        </w:rPr>
        <w:instrText xml:space="preserve"> REF _Ref150440642 \h  \* MERGEFORMAT </w:instrText>
      </w:r>
      <w:r w:rsidRPr="006361F2">
        <w:rPr>
          <w:noProof/>
        </w:rPr>
      </w:r>
      <w:r w:rsidRPr="006361F2">
        <w:rPr>
          <w:noProof/>
        </w:rPr>
        <w:fldChar w:fldCharType="separate"/>
      </w:r>
      <w:r w:rsidR="00073647" w:rsidRPr="00073647">
        <w:rPr>
          <w:noProof/>
        </w:rPr>
        <w:t>Figur 4</w:t>
      </w:r>
      <w:r w:rsidRPr="006361F2">
        <w:rPr>
          <w:noProof/>
        </w:rPr>
        <w:fldChar w:fldCharType="end"/>
      </w:r>
      <w:r>
        <w:rPr>
          <w:noProof/>
        </w:rPr>
        <w:t>). Många länder tillhandahöll tillfälligt direkta subventioner eller sänkte skatterna år 2023 för att mildra effekterna av prishöjningar, och vissa medlemsstater hade mycket låga eller till och med negativa skatter på el för hushåll, inklusive Irland (subvention på 66 euro/MWh), Portugal (subvention på 40 euro/MWh) och Grekland (subvention på 37 euro/MWh)</w:t>
      </w:r>
      <w:r w:rsidR="00263D84">
        <w:rPr>
          <w:rStyle w:val="FootnoteReference"/>
          <w:noProof/>
        </w:rPr>
        <w:footnoteReference w:id="10"/>
      </w:r>
      <w:r>
        <w:rPr>
          <w:noProof/>
        </w:rPr>
        <w:t>.</w:t>
      </w:r>
    </w:p>
    <w:p w14:paraId="63C8802B" w14:textId="21D880A2" w:rsidR="00BD30EE" w:rsidRDefault="00DA41FF" w:rsidP="003737E9">
      <w:pPr>
        <w:pStyle w:val="BodyText"/>
        <w:spacing w:after="120"/>
        <w:jc w:val="both"/>
        <w:rPr>
          <w:noProof/>
        </w:rPr>
      </w:pPr>
      <w:r>
        <w:rPr>
          <w:noProof/>
        </w:rPr>
        <w:t>I likhet med tidigare år föreligger det betydande skillnader mellan medlemsstaterna när det gäller hushållens elpriser. År 2023 registrerades det högsta genomsnittliga detaljmarknadspriset i EU i Belgien med 383 euro</w:t>
      </w:r>
      <w:r>
        <w:rPr>
          <w:noProof/>
          <w:vertAlign w:val="subscript"/>
        </w:rPr>
        <w:t>2023</w:t>
      </w:r>
      <w:r>
        <w:rPr>
          <w:noProof/>
        </w:rPr>
        <w:t>/MWh, medan Bulgarien hade det lägsta priset på 116 euro</w:t>
      </w:r>
      <w:r>
        <w:rPr>
          <w:noProof/>
          <w:vertAlign w:val="subscript"/>
        </w:rPr>
        <w:t>2023</w:t>
      </w:r>
      <w:r>
        <w:rPr>
          <w:noProof/>
        </w:rPr>
        <w:t>/MWh.</w:t>
      </w:r>
    </w:p>
    <w:p w14:paraId="67E4C45E" w14:textId="7DCA482A" w:rsidR="00BD30EE" w:rsidRPr="007249B7" w:rsidRDefault="00BD30EE" w:rsidP="00BD30EE">
      <w:pPr>
        <w:pStyle w:val="BodyText"/>
        <w:spacing w:after="120"/>
        <w:jc w:val="center"/>
        <w:rPr>
          <w:noProof/>
        </w:rPr>
      </w:pPr>
      <w:r>
        <w:rPr>
          <w:rFonts w:ascii="Calibri" w:hAnsi="Calibri"/>
          <w:b/>
          <w:noProof/>
          <w:color w:val="005962"/>
          <w:sz w:val="16"/>
        </w:rPr>
        <w:t xml:space="preserve">Figur </w:t>
      </w:r>
      <w:r>
        <w:rPr>
          <w:rFonts w:ascii="Calibri" w:hAnsi="Calibri"/>
          <w:b/>
          <w:noProof/>
          <w:color w:val="005962"/>
          <w:sz w:val="16"/>
        </w:rPr>
        <w:fldChar w:fldCharType="begin"/>
      </w:r>
      <w:r>
        <w:rPr>
          <w:rFonts w:ascii="Calibri" w:hAnsi="Calibri"/>
          <w:b/>
          <w:noProof/>
          <w:color w:val="005962"/>
          <w:sz w:val="16"/>
        </w:rPr>
        <w:instrText xml:space="preserve"> SEQ Figure \* ARABIC </w:instrText>
      </w:r>
      <w:r>
        <w:rPr>
          <w:rFonts w:ascii="Calibri" w:hAnsi="Calibri"/>
          <w:b/>
          <w:noProof/>
          <w:color w:val="005962"/>
          <w:sz w:val="16"/>
        </w:rPr>
        <w:fldChar w:fldCharType="separate"/>
      </w:r>
      <w:r>
        <w:rPr>
          <w:rFonts w:ascii="Calibri" w:hAnsi="Calibri"/>
          <w:b/>
          <w:noProof/>
          <w:color w:val="005962"/>
          <w:sz w:val="16"/>
        </w:rPr>
        <w:t>4</w:t>
      </w:r>
      <w:r>
        <w:rPr>
          <w:rFonts w:ascii="Calibri" w:hAnsi="Calibri"/>
          <w:b/>
          <w:noProof/>
          <w:color w:val="005962"/>
          <w:sz w:val="16"/>
        </w:rPr>
        <w:fldChar w:fldCharType="end"/>
      </w:r>
      <w:r>
        <w:rPr>
          <w:rFonts w:ascii="Calibri" w:hAnsi="Calibri"/>
          <w:b/>
          <w:noProof/>
          <w:color w:val="005962"/>
          <w:sz w:val="16"/>
        </w:rPr>
        <w:t>: Hushållens elpriser i EU:s medlemsstater</w:t>
      </w:r>
      <w:r>
        <w:rPr>
          <w:rStyle w:val="FootnoteReference"/>
          <w:rFonts w:ascii="Calibri" w:hAnsi="Calibri"/>
          <w:b/>
          <w:bCs/>
          <w:noProof/>
          <w:color w:val="005962"/>
          <w:sz w:val="16"/>
          <w:szCs w:val="16"/>
        </w:rPr>
        <w:footnoteReference w:id="11"/>
      </w:r>
      <w:r>
        <w:rPr>
          <w:rFonts w:ascii="Calibri" w:hAnsi="Calibri"/>
          <w:b/>
          <w:noProof/>
          <w:color w:val="005962"/>
          <w:sz w:val="16"/>
        </w:rPr>
        <w:t xml:space="preserve"> (2023, DD-förbrukningsintervallet)</w:t>
      </w:r>
    </w:p>
    <w:p w14:paraId="03FAC0D9" w14:textId="46D99F7B" w:rsidR="008D40BE" w:rsidRPr="003814F5" w:rsidRDefault="00BD30EE" w:rsidP="005700F6">
      <w:pPr>
        <w:keepNext/>
        <w:spacing w:after="0"/>
        <w:ind w:left="567"/>
        <w:jc w:val="center"/>
        <w:rPr>
          <w:rFonts w:ascii="Calibri" w:hAnsi="Calibri"/>
          <w:b/>
          <w:bCs/>
          <w:noProof/>
          <w:color w:val="005962"/>
          <w:sz w:val="16"/>
          <w:szCs w:val="16"/>
        </w:rPr>
      </w:pPr>
      <w:bookmarkStart w:id="6" w:name="_Ref117533049"/>
      <w:bookmarkStart w:id="7" w:name="_Ref150440642"/>
      <w:r w:rsidRPr="00BD30EE">
        <w:rPr>
          <w:noProof/>
          <w:lang w:val="en-GB" w:eastAsia="en-GB"/>
        </w:rPr>
        <w:drawing>
          <wp:inline distT="0" distB="0" distL="0" distR="0" wp14:anchorId="4CE9A658" wp14:editId="5DC777DF">
            <wp:extent cx="5270729" cy="2783840"/>
            <wp:effectExtent l="0" t="0" r="6350" b="0"/>
            <wp:docPr id="15227212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90038" cy="2794038"/>
                    </a:xfrm>
                    <a:prstGeom prst="rect">
                      <a:avLst/>
                    </a:prstGeom>
                    <a:noFill/>
                    <a:ln>
                      <a:noFill/>
                    </a:ln>
                  </pic:spPr>
                </pic:pic>
              </a:graphicData>
            </a:graphic>
          </wp:inline>
        </w:drawing>
      </w:r>
      <w:bookmarkEnd w:id="6"/>
      <w:bookmarkEnd w:id="7"/>
    </w:p>
    <w:p w14:paraId="45C50771" w14:textId="7D2C3771" w:rsidR="008D40BE" w:rsidRDefault="008D40BE" w:rsidP="005700F6">
      <w:pPr>
        <w:spacing w:after="160"/>
        <w:ind w:left="567"/>
        <w:jc w:val="center"/>
        <w:rPr>
          <w:rFonts w:ascii="Calibri" w:hAnsi="Calibri"/>
          <w:i/>
          <w:iCs/>
          <w:noProof/>
          <w:sz w:val="14"/>
          <w:szCs w:val="14"/>
        </w:rPr>
      </w:pPr>
      <w:r>
        <w:rPr>
          <w:rFonts w:ascii="Calibri" w:hAnsi="Calibri"/>
          <w:i/>
          <w:noProof/>
          <w:sz w:val="14"/>
        </w:rPr>
        <w:t>Källa: Trinomics m.fl. (2024), baserat på uppgifter från Eurostat (nrg_pc_204_c), VaasaETT.</w:t>
      </w:r>
    </w:p>
    <w:p w14:paraId="66CC59E5" w14:textId="31CE8440" w:rsidR="000D211B" w:rsidRDefault="000D211B" w:rsidP="003737E9">
      <w:pPr>
        <w:pStyle w:val="BodyText"/>
        <w:spacing w:after="120"/>
        <w:jc w:val="both"/>
        <w:rPr>
          <w:noProof/>
        </w:rPr>
      </w:pPr>
      <w:r>
        <w:rPr>
          <w:b/>
          <w:bCs/>
          <w:noProof/>
        </w:rPr>
        <w:t>Industrins elpriser</w:t>
      </w:r>
      <w:r>
        <w:rPr>
          <w:noProof/>
        </w:rPr>
        <w:t xml:space="preserve"> följde en liknande utveckling som hushållens priser och steg från 132 euro/MWh under 2020 till 238 euro/MWh under andra halvåret 2022 (80,3 %), nådde en topp under första halvåret 2023 på 241 euro/MWh, började sjunka under senare delen av 2023 och landade på 197 euro/MWh under första halvåret 2024. Till skillnad från priserna för hushållen drivs industrins slutkundspriser för el mer av grossistmarknaden, eftersom de är mer exponerade för energipriskomponenten. Energipriskomponentens kraftiga ökning motverkades endast delvis genom sänkta skatter och avgifter. År 2023 stod energipriskomponenten för 63 % av de totala elkostnaderna för medelstora industriella elkonsumenter (i ID-förbrukningsintervallet</w:t>
      </w:r>
      <w:r w:rsidR="00277425">
        <w:rPr>
          <w:rStyle w:val="FootnoteReference"/>
          <w:noProof/>
        </w:rPr>
        <w:footnoteReference w:id="12"/>
      </w:r>
      <w:r>
        <w:rPr>
          <w:noProof/>
        </w:rPr>
        <w:t>), medan nätavgifternas andel hade minskat till 12 % av kostnaderna (från omkring 30 % under 2018 och tidigare), och skatter och avgifter utgjorde endast 25 % av de totala kostnaderna.</w:t>
      </w:r>
    </w:p>
    <w:p w14:paraId="32BB6640" w14:textId="7F795EDD" w:rsidR="008D40BE" w:rsidRDefault="009302D7" w:rsidP="003737E9">
      <w:pPr>
        <w:pStyle w:val="BodyText"/>
        <w:spacing w:after="120"/>
        <w:jc w:val="both"/>
        <w:rPr>
          <w:noProof/>
        </w:rPr>
      </w:pPr>
      <w:r>
        <w:rPr>
          <w:noProof/>
        </w:rPr>
        <w:t xml:space="preserve">Vid en </w:t>
      </w:r>
      <w:r>
        <w:rPr>
          <w:b/>
          <w:bCs/>
          <w:noProof/>
        </w:rPr>
        <w:t>internationell jämförelse</w:t>
      </w:r>
      <w:r>
        <w:rPr>
          <w:noProof/>
        </w:rPr>
        <w:t xml:space="preserve"> steg elpriserna betydligt i alla större ekonomier under energikrisen, utom i Förenta staterna (</w:t>
      </w:r>
      <w:r w:rsidR="000474E1">
        <w:rPr>
          <w:noProof/>
        </w:rPr>
        <w:t>Figur 5</w:t>
      </w:r>
      <w:r>
        <w:rPr>
          <w:noProof/>
        </w:rPr>
        <w:t>). De elpriserna som EU:s industri fick betala liknade priserna i Japan under 2023, medan EU:s industri brukade ha en konkurrensfördel före energikrisen. Elpriserna i Förenade kungariket låg fortsatt på en mycket hög nivå under hela 2023, medan priserna i Förenta staterna var relativt stabila och fortsatte att ligga nära de historiska nivåerna.</w:t>
      </w:r>
    </w:p>
    <w:p w14:paraId="1C26598F" w14:textId="6FE5ABEE" w:rsidR="002541C3" w:rsidRDefault="002541C3" w:rsidP="003737E9">
      <w:pPr>
        <w:pStyle w:val="BodyText"/>
        <w:spacing w:after="120"/>
        <w:jc w:val="both"/>
        <w:rPr>
          <w:rFonts w:ascii="Calibri" w:hAnsi="Calibri"/>
          <w:b/>
          <w:bCs/>
          <w:noProof/>
          <w:color w:val="005962"/>
          <w:sz w:val="16"/>
          <w:szCs w:val="16"/>
        </w:rPr>
      </w:pPr>
      <w:r>
        <w:rPr>
          <w:rFonts w:ascii="Calibri" w:hAnsi="Calibri"/>
          <w:b/>
          <w:noProof/>
          <w:color w:val="005962"/>
          <w:sz w:val="16"/>
        </w:rPr>
        <w:t xml:space="preserve">Figur </w:t>
      </w:r>
      <w:r w:rsidRPr="6CAA048D">
        <w:rPr>
          <w:rFonts w:ascii="Calibri" w:hAnsi="Calibri"/>
          <w:b/>
          <w:noProof/>
          <w:color w:val="005962"/>
          <w:sz w:val="16"/>
        </w:rPr>
        <w:fldChar w:fldCharType="begin"/>
      </w:r>
      <w:r w:rsidRPr="003814F5">
        <w:rPr>
          <w:rFonts w:ascii="Calibri" w:hAnsi="Calibri"/>
          <w:b/>
          <w:noProof/>
          <w:color w:val="005962"/>
          <w:sz w:val="16"/>
        </w:rPr>
        <w:instrText xml:space="preserve"> SEQ Figure \* ARABIC </w:instrText>
      </w:r>
      <w:r w:rsidRPr="6CAA048D">
        <w:rPr>
          <w:rFonts w:ascii="Calibri" w:hAnsi="Calibri"/>
          <w:b/>
          <w:noProof/>
          <w:color w:val="005962"/>
          <w:sz w:val="16"/>
        </w:rPr>
        <w:fldChar w:fldCharType="separate"/>
      </w:r>
      <w:r w:rsidR="00073647">
        <w:rPr>
          <w:rFonts w:ascii="Calibri" w:hAnsi="Calibri"/>
          <w:b/>
          <w:noProof/>
          <w:color w:val="005962"/>
          <w:sz w:val="16"/>
        </w:rPr>
        <w:t>5</w:t>
      </w:r>
      <w:r w:rsidRPr="6CAA048D">
        <w:rPr>
          <w:rFonts w:ascii="Calibri" w:hAnsi="Calibri"/>
          <w:b/>
          <w:noProof/>
          <w:color w:val="005962"/>
          <w:sz w:val="16"/>
        </w:rPr>
        <w:fldChar w:fldCharType="end"/>
      </w:r>
      <w:r>
        <w:rPr>
          <w:rFonts w:ascii="Calibri" w:hAnsi="Calibri"/>
          <w:b/>
          <w:noProof/>
          <w:color w:val="005962"/>
          <w:sz w:val="16"/>
        </w:rPr>
        <w:t>: Industrins slutkundspriser för el i EU-27, Förenta staterna, Förenade kungariket, Japan, Kanada och Sydkorea (euro2023/MWh)</w:t>
      </w:r>
    </w:p>
    <w:p w14:paraId="4D949038" w14:textId="3F3173E2" w:rsidR="002541C3" w:rsidRDefault="00765557" w:rsidP="003737E9">
      <w:pPr>
        <w:pStyle w:val="BodyText"/>
        <w:spacing w:after="120"/>
        <w:jc w:val="both"/>
        <w:rPr>
          <w:noProof/>
        </w:rPr>
      </w:pPr>
      <w:r w:rsidRPr="00765557">
        <w:rPr>
          <w:noProof/>
          <w:lang w:val="en-GB" w:bidi="ar-SA"/>
        </w:rPr>
        <w:drawing>
          <wp:inline distT="0" distB="0" distL="0" distR="0" wp14:anchorId="074BB56D" wp14:editId="62826389">
            <wp:extent cx="5760720" cy="2516505"/>
            <wp:effectExtent l="0" t="0" r="0" b="0"/>
            <wp:docPr id="63060360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720" cy="2516505"/>
                    </a:xfrm>
                    <a:prstGeom prst="rect">
                      <a:avLst/>
                    </a:prstGeom>
                    <a:noFill/>
                    <a:ln>
                      <a:noFill/>
                    </a:ln>
                  </pic:spPr>
                </pic:pic>
              </a:graphicData>
            </a:graphic>
          </wp:inline>
        </w:drawing>
      </w:r>
    </w:p>
    <w:p w14:paraId="5A4E63D0" w14:textId="251BF7AE" w:rsidR="008D40BE" w:rsidRPr="003814F5" w:rsidRDefault="008D40BE" w:rsidP="005700F6">
      <w:pPr>
        <w:keepNext/>
        <w:spacing w:after="0"/>
        <w:ind w:left="567"/>
        <w:jc w:val="center"/>
        <w:rPr>
          <w:rFonts w:ascii="Calibri" w:hAnsi="Calibri"/>
          <w:b/>
          <w:bCs/>
          <w:noProof/>
          <w:color w:val="005962"/>
          <w:sz w:val="16"/>
          <w:szCs w:val="16"/>
        </w:rPr>
      </w:pPr>
    </w:p>
    <w:p w14:paraId="0C58161B" w14:textId="717A4405" w:rsidR="008D40BE" w:rsidRPr="006C06CA" w:rsidRDefault="008D40BE" w:rsidP="005700F6">
      <w:pPr>
        <w:spacing w:after="0"/>
        <w:ind w:left="567"/>
        <w:jc w:val="center"/>
        <w:rPr>
          <w:rFonts w:ascii="Calibri" w:hAnsi="Calibri"/>
          <w:i/>
          <w:iCs/>
          <w:noProof/>
          <w:sz w:val="14"/>
          <w:szCs w:val="14"/>
        </w:rPr>
      </w:pPr>
      <w:r>
        <w:rPr>
          <w:rFonts w:ascii="Calibri" w:hAnsi="Calibri"/>
          <w:i/>
          <w:noProof/>
          <w:sz w:val="14"/>
        </w:rPr>
        <w:t>Källa: Trinomics m.fl. (2024), S&amp;P Platts, Eurostat, Enerdata EnerMonthly.</w:t>
      </w:r>
    </w:p>
    <w:p w14:paraId="2A54C0BC" w14:textId="0B9ABA8D" w:rsidR="008D40BE" w:rsidRPr="003814F5" w:rsidRDefault="008D40BE" w:rsidP="008D40BE">
      <w:pPr>
        <w:pStyle w:val="Heading2"/>
        <w:rPr>
          <w:noProof/>
        </w:rPr>
      </w:pPr>
      <w:r>
        <w:rPr>
          <w:noProof/>
        </w:rPr>
        <w:t>Gaspriser</w:t>
      </w:r>
    </w:p>
    <w:p w14:paraId="594CDBC2" w14:textId="58F83B0D" w:rsidR="00800E8A" w:rsidRDefault="00395F67" w:rsidP="008D40BE">
      <w:pPr>
        <w:pStyle w:val="BodyText"/>
        <w:spacing w:after="160"/>
        <w:jc w:val="both"/>
        <w:rPr>
          <w:noProof/>
        </w:rPr>
      </w:pPr>
      <w:r>
        <w:rPr>
          <w:b/>
          <w:bCs/>
          <w:noProof/>
        </w:rPr>
        <w:t>Grossistpriserna på gas</w:t>
      </w:r>
      <w:r>
        <w:rPr>
          <w:noProof/>
        </w:rPr>
        <w:t xml:space="preserve"> på EU:s marknadsplatser för gas varierade mellan 5 och 30 euro/MWh under perioden 2015–2020 och sjönk sedan 2020, när en relativt mild vinter och nedstängningar på grund av covid-19 pressade ned gaspriserna till under 5 euro/MWh i maj–juli 2020. Den ökade efterfrågan under återhämtningsperioden efter pandemin gjorde att gaspriserna började stiga från mitten av 2021, och i december 2021 drevs grossistpriserna upp till 113 euro/MWh på grund av de ansträngda europeiska gasmarknaderna. Rysslands invasion av Ukraina, landets användning av gasexport som vapen och den påföljande osäkerheten kring gasförsörjningen ledde till fortsatt höga spotpriser på över 100 euro</w:t>
      </w:r>
      <w:r>
        <w:rPr>
          <w:noProof/>
          <w:vertAlign w:val="subscript"/>
        </w:rPr>
        <w:t>2023</w:t>
      </w:r>
      <w:r>
        <w:rPr>
          <w:noProof/>
        </w:rPr>
        <w:t>/MWh</w:t>
      </w:r>
      <w:r w:rsidR="00D44129">
        <w:rPr>
          <w:rStyle w:val="FootnoteReference"/>
          <w:noProof/>
        </w:rPr>
        <w:footnoteReference w:id="13"/>
      </w:r>
      <w:r>
        <w:rPr>
          <w:noProof/>
        </w:rPr>
        <w:t xml:space="preserve"> under juni–december 2022, medan andelen rörledningsgas från Ryssland i den europeiska importen minskade från 51 % år 2021 till 15 % år 2023. Den totala andelen gasimport från Ryssland minskade från 45 % till 15 % och Rysslands andel av EU:s LNG-import minskade till 15 % från 20 % under samma period 2021–2023. Trots en lägre efterfrågan steg priserna ytterligare och nådde ett rekordhögt spotpris den 26 augusti 2022 på 320 euro2023/MWh.</w:t>
      </w:r>
    </w:p>
    <w:p w14:paraId="00B3198B" w14:textId="20BA41AC" w:rsidR="00800E8A" w:rsidRPr="00800E8A" w:rsidRDefault="00800E8A" w:rsidP="00800E8A">
      <w:pPr>
        <w:pStyle w:val="BodyText"/>
        <w:spacing w:after="160"/>
        <w:jc w:val="both"/>
        <w:rPr>
          <w:noProof/>
        </w:rPr>
      </w:pPr>
      <w:r>
        <w:rPr>
          <w:noProof/>
        </w:rPr>
        <w:t>Från och med september 2022 sjönk spotpriserna på gas gradvis av flera skäl från toppen i augusti 2022 till 42 euro</w:t>
      </w:r>
      <w:r>
        <w:rPr>
          <w:noProof/>
          <w:vertAlign w:val="subscript"/>
        </w:rPr>
        <w:t>2023</w:t>
      </w:r>
      <w:r>
        <w:rPr>
          <w:noProof/>
        </w:rPr>
        <w:t>/MWh i april 2023, nämligen på grund av höga lagringsnivåer, en mild vinter och minskad osäkerhet avseende rörledningsgas från Ryssland (baserat på insatserna under RePowerEU för att begränsa gasförbrukningen i EU, men även Rysslands beslut att upphöra med leveranserna till vissa EU-medlemsstater) och en positiv utveckling av LNG-importkapaciteten. I början av 2024 hade en ny ”prisjämvikt” etablerat sig på omkring 30–40 euro</w:t>
      </w:r>
      <w:r>
        <w:rPr>
          <w:noProof/>
          <w:vertAlign w:val="subscript"/>
        </w:rPr>
        <w:t>2023</w:t>
      </w:r>
      <w:r>
        <w:rPr>
          <w:noProof/>
        </w:rPr>
        <w:t>/MWh (</w:t>
      </w:r>
      <w:r w:rsidR="00E23A97">
        <w:rPr>
          <w:noProof/>
        </w:rPr>
        <w:t>Figure 6</w:t>
      </w:r>
      <w:r>
        <w:rPr>
          <w:noProof/>
        </w:rPr>
        <w:t>) som återspeglade utfasningen av rörledningsgas från Ryssland, minskad inhemsk produktion i EU och övergången från rörledningsleveranser till LNG-import (flytande naturgas).</w:t>
      </w:r>
    </w:p>
    <w:p w14:paraId="193A172A" w14:textId="6D568254" w:rsidR="008D40BE" w:rsidRDefault="00296DCE" w:rsidP="008D40BE">
      <w:pPr>
        <w:pStyle w:val="BodyText"/>
        <w:spacing w:after="160"/>
        <w:jc w:val="both"/>
        <w:rPr>
          <w:noProof/>
        </w:rPr>
      </w:pPr>
      <w:r>
        <w:rPr>
          <w:noProof/>
        </w:rPr>
        <w:t>Regionala prisskillnader i grossistledet (t.ex. mellan marknadsplatserna TTF, NBP och THE) förklaras till stor del av skillnaderna i marknadens egenskaper när det gäller rörledningar, LNG-export och sammanlänkningskapacitet med angränsande regioner. I allmänhet är prisnivån lägre på marknader med flera importkällor (t.ex. flera gasledningar och tillgång till LNG-terminaler) än på marknader med endast en försörjningskälla.</w:t>
      </w:r>
    </w:p>
    <w:p w14:paraId="577384CB" w14:textId="405ADC6A" w:rsidR="00F5172A" w:rsidRDefault="00F5172A" w:rsidP="008D40BE">
      <w:pPr>
        <w:pStyle w:val="BodyText"/>
        <w:spacing w:after="160"/>
        <w:jc w:val="both"/>
        <w:rPr>
          <w:noProof/>
        </w:rPr>
      </w:pPr>
      <w:r>
        <w:rPr>
          <w:noProof/>
        </w:rPr>
        <w:t xml:space="preserve">Priserna på naturgas i grossistledet påverkas av ett antal faktorer såsom temperatur (genom uppvärmningsbehov), graden av industriell verksamhet, tillgången till förnybar energiproduktion (främst genom efterfrågan på gasdriven elproduktion), gaslagringsanläggningarnas fyllnadsnivåer och inlagringstakten för att fylla lagren samt import av rörledningsgas och LNG. En av de viktigaste faktorerna som varit avgörande för gaspriserna på senare tid är övergången från rörledningsgas till LNG, som ytterligare har öppnat upp de europeiska gasmarknaderna för de globala LNG-marknaderna och därmed skapat högre prisvolatilitet. </w:t>
      </w:r>
    </w:p>
    <w:p w14:paraId="23A01857" w14:textId="4FD282DE" w:rsidR="00765557" w:rsidRDefault="00765557" w:rsidP="00765557">
      <w:pPr>
        <w:pStyle w:val="BodyText"/>
        <w:spacing w:after="160"/>
        <w:jc w:val="center"/>
        <w:rPr>
          <w:noProof/>
        </w:rPr>
      </w:pPr>
      <w:r w:rsidRPr="00232955">
        <w:rPr>
          <w:rFonts w:asciiTheme="minorHAnsi" w:hAnsiTheme="minorHAnsi"/>
          <w:b/>
          <w:noProof/>
          <w:color w:val="215868" w:themeColor="accent5" w:themeShade="80"/>
          <w:sz w:val="16"/>
        </w:rPr>
        <w:t>Figur 6: Valda grossistpriser för gas på dagen före-marknaden på europeiska marknadsplatser för gas</w:t>
      </w:r>
    </w:p>
    <w:p w14:paraId="30D7D1A7" w14:textId="19960659" w:rsidR="00D44129" w:rsidRPr="00232955" w:rsidRDefault="00765557" w:rsidP="00FB3D7E">
      <w:pPr>
        <w:pStyle w:val="BodyText"/>
        <w:spacing w:after="160"/>
        <w:jc w:val="center"/>
        <w:rPr>
          <w:rFonts w:asciiTheme="minorHAnsi" w:hAnsiTheme="minorHAnsi" w:cstheme="minorHAnsi"/>
          <w:b/>
          <w:bCs/>
          <w:noProof/>
          <w:color w:val="215868" w:themeColor="accent5" w:themeShade="80"/>
          <w:sz w:val="16"/>
          <w:szCs w:val="16"/>
        </w:rPr>
      </w:pPr>
      <w:r w:rsidRPr="00765557">
        <w:rPr>
          <w:noProof/>
          <w:lang w:val="en-GB" w:bidi="ar-SA"/>
        </w:rPr>
        <w:drawing>
          <wp:inline distT="0" distB="0" distL="0" distR="0" wp14:anchorId="753B3414" wp14:editId="2CEDEDDF">
            <wp:extent cx="5520308" cy="3204519"/>
            <wp:effectExtent l="0" t="0" r="4445" b="0"/>
            <wp:docPr id="163239227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42465" cy="3217381"/>
                    </a:xfrm>
                    <a:prstGeom prst="rect">
                      <a:avLst/>
                    </a:prstGeom>
                    <a:noFill/>
                    <a:ln>
                      <a:noFill/>
                    </a:ln>
                  </pic:spPr>
                </pic:pic>
              </a:graphicData>
            </a:graphic>
          </wp:inline>
        </w:drawing>
      </w:r>
    </w:p>
    <w:p w14:paraId="552E6030" w14:textId="73F97DD0" w:rsidR="00D44129" w:rsidRPr="00951FBA" w:rsidRDefault="00D44129" w:rsidP="00D44129">
      <w:pPr>
        <w:spacing w:after="160" w:line="259" w:lineRule="auto"/>
        <w:ind w:left="567"/>
        <w:jc w:val="center"/>
        <w:rPr>
          <w:rFonts w:ascii="Calibri" w:hAnsi="Calibri"/>
          <w:i/>
          <w:iCs/>
          <w:noProof/>
          <w:sz w:val="14"/>
          <w:szCs w:val="14"/>
        </w:rPr>
      </w:pPr>
      <w:bookmarkStart w:id="8" w:name="_Int_c40fqIdY"/>
      <w:r>
        <w:rPr>
          <w:rFonts w:ascii="Calibri" w:hAnsi="Calibri"/>
          <w:i/>
          <w:noProof/>
          <w:sz w:val="14"/>
        </w:rPr>
        <w:t>Källa: Trinomics m.fl. (2024), baserat på uppgifter från P Platts, Enerdata EnerMonthly.</w:t>
      </w:r>
    </w:p>
    <w:p w14:paraId="7029B91A" w14:textId="2224EB65" w:rsidR="00D44129" w:rsidRDefault="00D44129" w:rsidP="008D40BE">
      <w:pPr>
        <w:pStyle w:val="BodyText"/>
        <w:spacing w:after="160"/>
        <w:jc w:val="both"/>
        <w:rPr>
          <w:noProof/>
        </w:rPr>
      </w:pPr>
    </w:p>
    <w:p w14:paraId="488C5B7B" w14:textId="73F4F966" w:rsidR="008D40BE" w:rsidRDefault="007A61C6" w:rsidP="008D40BE">
      <w:pPr>
        <w:pStyle w:val="BodyText"/>
        <w:spacing w:after="160"/>
        <w:jc w:val="both"/>
        <w:rPr>
          <w:noProof/>
        </w:rPr>
      </w:pPr>
      <w:r>
        <w:rPr>
          <w:noProof/>
        </w:rPr>
        <w:t>Före 2021 spelade LNG endast en balanserande roll i EU:s gasförsörjning, vilket delvis hör samman med det konkurrenskraftigare priset på rörledningsgas från Ryssland jämfört med LNG</w:t>
      </w:r>
      <w:r>
        <w:rPr>
          <w:rStyle w:val="FootnoteReference"/>
          <w:noProof/>
        </w:rPr>
        <w:footnoteReference w:id="14"/>
      </w:r>
      <w:r>
        <w:rPr>
          <w:noProof/>
        </w:rPr>
        <w:t xml:space="preserve"> och med den rikligt tillgängliga europeiska gasförsörjningen från Nederländerna (fram till 2023). Europa försökte ersätta rörledningsgas från Ryssland med ökad import av LNG, särskilt från Förenta staterna (</w:t>
      </w:r>
      <w:r w:rsidR="008D40BE">
        <w:rPr>
          <w:noProof/>
        </w:rPr>
        <w:fldChar w:fldCharType="begin"/>
      </w:r>
      <w:r w:rsidR="008D40BE">
        <w:rPr>
          <w:noProof/>
        </w:rPr>
        <w:instrText xml:space="preserve"> REF _Ref150441361 \h  \* MERGEFORMAT </w:instrText>
      </w:r>
      <w:r w:rsidR="008D40BE">
        <w:rPr>
          <w:noProof/>
        </w:rPr>
      </w:r>
      <w:r w:rsidR="008D40BE">
        <w:rPr>
          <w:noProof/>
        </w:rPr>
        <w:fldChar w:fldCharType="separate"/>
      </w:r>
      <w:r w:rsidR="00073647" w:rsidRPr="00073647">
        <w:rPr>
          <w:noProof/>
        </w:rPr>
        <w:t>Figur 6</w:t>
      </w:r>
      <w:r w:rsidR="008D40BE">
        <w:rPr>
          <w:noProof/>
        </w:rPr>
        <w:fldChar w:fldCharType="end"/>
      </w:r>
      <w:r>
        <w:rPr>
          <w:noProof/>
        </w:rPr>
        <w:t xml:space="preserve">), vars andel ökade från 27 % år 2021 till 43 % år 2023, och andra globala källor, såsom Qatar, som ökade LNG-exporten till EU med 22 % år 2022 och 12 % år 2023. Under samma period 2021–2023 minskade Rysslands andel av LNG-exporten från 20 % till 15 %, samtidigt som EU:s totala LNG-import nästan fördubblades, medan LNG-volymerna från Ryssland ökade med 32 %. Detta kompletterades med ökad rörledningsimport från Norge, Algeriet och Azerbajdzjan. Eftersom importen av rörledningsgas från Ryssland minskade kraftigt fördubblades andelen LNG av den totala importen mellan 2021 och 2023 (från 15–20 % till 35–40 %). </w:t>
      </w:r>
    </w:p>
    <w:p w14:paraId="036FCC81" w14:textId="77777777" w:rsidR="00FB3D7E" w:rsidRDefault="00FB3D7E" w:rsidP="008D40BE">
      <w:pPr>
        <w:pStyle w:val="BodyText"/>
        <w:spacing w:after="160"/>
        <w:jc w:val="both"/>
        <w:rPr>
          <w:noProof/>
        </w:rPr>
      </w:pPr>
    </w:p>
    <w:p w14:paraId="4B9E4DEE" w14:textId="5FDACEEF" w:rsidR="008D40BE" w:rsidRPr="003814F5" w:rsidRDefault="008D40BE" w:rsidP="005700F6">
      <w:pPr>
        <w:spacing w:after="0"/>
        <w:ind w:left="567"/>
        <w:jc w:val="center"/>
        <w:rPr>
          <w:rFonts w:ascii="Calibri" w:hAnsi="Calibri"/>
          <w:b/>
          <w:bCs/>
          <w:noProof/>
          <w:color w:val="005962"/>
          <w:sz w:val="16"/>
          <w:szCs w:val="16"/>
        </w:rPr>
      </w:pPr>
      <w:bookmarkStart w:id="9" w:name="_Ref117537322"/>
      <w:bookmarkStart w:id="10" w:name="_Ref150441361"/>
      <w:bookmarkStart w:id="11" w:name="_Ref150359385"/>
      <w:r>
        <w:rPr>
          <w:rFonts w:ascii="Calibri" w:hAnsi="Calibri"/>
          <w:b/>
          <w:noProof/>
          <w:color w:val="005962"/>
          <w:sz w:val="16"/>
        </w:rPr>
        <w:t xml:space="preserve">Figur </w:t>
      </w:r>
      <w:bookmarkEnd w:id="9"/>
      <w:bookmarkEnd w:id="10"/>
      <w:r w:rsidR="003126D1">
        <w:rPr>
          <w:rFonts w:ascii="Calibri" w:hAnsi="Calibri"/>
          <w:b/>
          <w:noProof/>
          <w:color w:val="005962"/>
          <w:sz w:val="16"/>
        </w:rPr>
        <w:t>7</w:t>
      </w:r>
      <w:r>
        <w:rPr>
          <w:rFonts w:ascii="Calibri" w:hAnsi="Calibri"/>
          <w:b/>
          <w:noProof/>
          <w:color w:val="005962"/>
          <w:sz w:val="16"/>
        </w:rPr>
        <w:t xml:space="preserve">: </w:t>
      </w:r>
      <w:bookmarkEnd w:id="11"/>
      <w:r>
        <w:rPr>
          <w:rFonts w:ascii="Calibri" w:hAnsi="Calibri"/>
          <w:b/>
          <w:noProof/>
          <w:color w:val="005962"/>
          <w:sz w:val="16"/>
        </w:rPr>
        <w:t>LNG-import och dess andel av den totala gasimporten och gasförbrukningen i EU-27</w:t>
      </w:r>
    </w:p>
    <w:p w14:paraId="132091E9" w14:textId="0616E5B0" w:rsidR="008D40BE" w:rsidRPr="00BE2940" w:rsidRDefault="003126D1" w:rsidP="005700F6">
      <w:pPr>
        <w:spacing w:after="160" w:line="259" w:lineRule="auto"/>
        <w:ind w:left="567"/>
        <w:jc w:val="center"/>
        <w:rPr>
          <w:rFonts w:ascii="Calibri" w:hAnsi="Calibri"/>
          <w:i/>
          <w:noProof/>
          <w:sz w:val="14"/>
          <w:szCs w:val="14"/>
        </w:rPr>
      </w:pPr>
      <w:r w:rsidRPr="003126D1">
        <w:rPr>
          <w:noProof/>
          <w:lang w:val="en-GB" w:eastAsia="en-GB"/>
        </w:rPr>
        <w:drawing>
          <wp:inline distT="0" distB="0" distL="0" distR="0" wp14:anchorId="00691966" wp14:editId="7C977FD3">
            <wp:extent cx="5760720" cy="2061845"/>
            <wp:effectExtent l="0" t="0" r="0" b="0"/>
            <wp:docPr id="194331496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720" cy="2061845"/>
                    </a:xfrm>
                    <a:prstGeom prst="rect">
                      <a:avLst/>
                    </a:prstGeom>
                    <a:noFill/>
                    <a:ln>
                      <a:noFill/>
                    </a:ln>
                  </pic:spPr>
                </pic:pic>
              </a:graphicData>
            </a:graphic>
          </wp:inline>
        </w:drawing>
      </w:r>
      <w:r w:rsidRPr="003126D1">
        <w:rPr>
          <w:noProof/>
        </w:rPr>
        <w:t xml:space="preserve"> </w:t>
      </w:r>
      <w:r w:rsidR="002541C3">
        <w:rPr>
          <w:rFonts w:ascii="Calibri" w:hAnsi="Calibri"/>
          <w:i/>
          <w:noProof/>
          <w:sz w:val="14"/>
        </w:rPr>
        <w:t>Källa: Trinomics m.fl. (2024), baserat på uppgifter från ENTSO-G, Eurostat.</w:t>
      </w:r>
    </w:p>
    <w:bookmarkEnd w:id="8"/>
    <w:p w14:paraId="7E09C2B9" w14:textId="399DED2C" w:rsidR="000047C3" w:rsidRDefault="000047C3" w:rsidP="008D40BE">
      <w:pPr>
        <w:pStyle w:val="BodyText"/>
        <w:spacing w:after="160"/>
        <w:jc w:val="both"/>
        <w:rPr>
          <w:noProof/>
        </w:rPr>
      </w:pPr>
      <w:r>
        <w:rPr>
          <w:noProof/>
        </w:rPr>
        <w:t xml:space="preserve">Denna förändring av den europeiska gasförsörjningen påverkade i sin tur även de globala LNG-marknaderna, </w:t>
      </w:r>
      <w:r>
        <w:rPr>
          <w:b/>
          <w:bCs/>
          <w:noProof/>
        </w:rPr>
        <w:t>eftersom Europa blev den största LNG-importören 2022–2023 och gick om Japan, Kina och Sydkorea.</w:t>
      </w:r>
      <w:r>
        <w:rPr>
          <w:noProof/>
        </w:rPr>
        <w:t xml:space="preserve"> Ytterligare efterfrågan från EU har drivit upp de globala LNG-priserna och omdirigerat en betydande mängd LNG-leveranser till Europa som tidigare riktade sig mot de asiatiska marknaderna. </w:t>
      </w:r>
    </w:p>
    <w:p w14:paraId="49EF8743" w14:textId="5188C931" w:rsidR="008D40BE" w:rsidRDefault="00D60ACB" w:rsidP="008D40BE">
      <w:pPr>
        <w:pStyle w:val="BodyText"/>
        <w:spacing w:after="160"/>
        <w:jc w:val="both"/>
        <w:rPr>
          <w:noProof/>
        </w:rPr>
      </w:pPr>
      <w:r>
        <w:rPr>
          <w:noProof/>
        </w:rPr>
        <w:t xml:space="preserve">En </w:t>
      </w:r>
      <w:r>
        <w:rPr>
          <w:b/>
          <w:bCs/>
          <w:noProof/>
        </w:rPr>
        <w:t>jämförelse av de internationella grossistpriserna på naturgas</w:t>
      </w:r>
      <w:r>
        <w:rPr>
          <w:noProof/>
        </w:rPr>
        <w:t xml:space="preserve"> visar tydligt denna inverkan. Med undantag för Förenta staterna upplevde både EU och de länder som importerar mest LNG (Japan, Sydkorea, Kina och Indien) prisökningar (</w:t>
      </w:r>
      <w:r w:rsidR="008D40BE" w:rsidRPr="00DF3D24">
        <w:rPr>
          <w:noProof/>
        </w:rPr>
        <w:fldChar w:fldCharType="begin"/>
      </w:r>
      <w:r w:rsidR="008D40BE">
        <w:rPr>
          <w:noProof/>
        </w:rPr>
        <w:instrText xml:space="preserve"> REF _Ref150441326 \h  \* MERGEFORMAT </w:instrText>
      </w:r>
      <w:r w:rsidR="008D40BE" w:rsidRPr="00DF3D24">
        <w:rPr>
          <w:noProof/>
        </w:rPr>
      </w:r>
      <w:r w:rsidR="008D40BE" w:rsidRPr="00DF3D24">
        <w:rPr>
          <w:noProof/>
        </w:rPr>
        <w:fldChar w:fldCharType="separate"/>
      </w:r>
      <w:r w:rsidR="00073647" w:rsidRPr="00073647">
        <w:rPr>
          <w:noProof/>
        </w:rPr>
        <w:t>Figur 7</w:t>
      </w:r>
      <w:r w:rsidR="008D40BE" w:rsidRPr="00DF3D24">
        <w:rPr>
          <w:noProof/>
        </w:rPr>
        <w:fldChar w:fldCharType="end"/>
      </w:r>
      <w:r>
        <w:rPr>
          <w:noProof/>
        </w:rPr>
        <w:t>), medan priserna i Förenta staterna inte förändrades drastiskt under samma period.</w:t>
      </w:r>
    </w:p>
    <w:p w14:paraId="159713E2" w14:textId="77777777" w:rsidR="00EC5BBE" w:rsidRDefault="00EC5BBE" w:rsidP="008D40BE">
      <w:pPr>
        <w:pStyle w:val="BodyText"/>
        <w:spacing w:after="160"/>
        <w:jc w:val="both"/>
        <w:rPr>
          <w:noProof/>
        </w:rPr>
      </w:pPr>
    </w:p>
    <w:p w14:paraId="0E1EB89B" w14:textId="77777777" w:rsidR="00EC5BBE" w:rsidRDefault="00EC5BBE" w:rsidP="008D40BE">
      <w:pPr>
        <w:pStyle w:val="BodyText"/>
        <w:spacing w:after="160"/>
        <w:jc w:val="both"/>
        <w:rPr>
          <w:noProof/>
        </w:rPr>
      </w:pPr>
    </w:p>
    <w:p w14:paraId="581A64AA" w14:textId="77777777" w:rsidR="00EC5BBE" w:rsidRDefault="00EC5BBE" w:rsidP="008D40BE">
      <w:pPr>
        <w:pStyle w:val="BodyText"/>
        <w:spacing w:after="160"/>
        <w:jc w:val="both"/>
        <w:rPr>
          <w:noProof/>
        </w:rPr>
      </w:pPr>
    </w:p>
    <w:p w14:paraId="6F91EBDC" w14:textId="77777777" w:rsidR="00EC5BBE" w:rsidRDefault="00EC5BBE" w:rsidP="008D40BE">
      <w:pPr>
        <w:pStyle w:val="BodyText"/>
        <w:spacing w:after="160"/>
        <w:jc w:val="both"/>
        <w:rPr>
          <w:noProof/>
        </w:rPr>
      </w:pPr>
    </w:p>
    <w:p w14:paraId="752CA93C" w14:textId="77777777" w:rsidR="00EC5BBE" w:rsidRDefault="00EC5BBE" w:rsidP="008D40BE">
      <w:pPr>
        <w:pStyle w:val="BodyText"/>
        <w:spacing w:after="160"/>
        <w:jc w:val="both"/>
        <w:rPr>
          <w:noProof/>
        </w:rPr>
      </w:pPr>
    </w:p>
    <w:p w14:paraId="45ECE4D0" w14:textId="77777777" w:rsidR="00EC5BBE" w:rsidRDefault="00EC5BBE" w:rsidP="008D40BE">
      <w:pPr>
        <w:pStyle w:val="BodyText"/>
        <w:spacing w:after="160"/>
        <w:jc w:val="both"/>
        <w:rPr>
          <w:noProof/>
        </w:rPr>
      </w:pPr>
    </w:p>
    <w:p w14:paraId="6A4AB4AA" w14:textId="77777777" w:rsidR="00EC5BBE" w:rsidRDefault="00EC5BBE" w:rsidP="008D40BE">
      <w:pPr>
        <w:pStyle w:val="BodyText"/>
        <w:spacing w:after="160"/>
        <w:jc w:val="both"/>
        <w:rPr>
          <w:noProof/>
        </w:rPr>
      </w:pPr>
    </w:p>
    <w:p w14:paraId="149064D8" w14:textId="77777777" w:rsidR="00EC5BBE" w:rsidRDefault="00EC5BBE" w:rsidP="008D40BE">
      <w:pPr>
        <w:pStyle w:val="BodyText"/>
        <w:spacing w:after="160"/>
        <w:jc w:val="both"/>
        <w:rPr>
          <w:noProof/>
        </w:rPr>
      </w:pPr>
    </w:p>
    <w:p w14:paraId="09DDBD56" w14:textId="77777777" w:rsidR="00EC5BBE" w:rsidRDefault="00EC5BBE" w:rsidP="008D40BE">
      <w:pPr>
        <w:pStyle w:val="BodyText"/>
        <w:spacing w:after="160"/>
        <w:jc w:val="both"/>
        <w:rPr>
          <w:noProof/>
        </w:rPr>
      </w:pPr>
    </w:p>
    <w:p w14:paraId="34BF5101" w14:textId="6BFB7F9C" w:rsidR="00EC5BBE" w:rsidRPr="00EC5BBE" w:rsidRDefault="00EC5BBE" w:rsidP="00EC5BBE">
      <w:pPr>
        <w:spacing w:after="0" w:line="259" w:lineRule="auto"/>
        <w:ind w:left="567"/>
        <w:jc w:val="center"/>
        <w:rPr>
          <w:rFonts w:ascii="Calibri" w:hAnsi="Calibri"/>
          <w:b/>
          <w:bCs/>
          <w:noProof/>
          <w:color w:val="005962"/>
          <w:sz w:val="16"/>
          <w:szCs w:val="16"/>
        </w:rPr>
      </w:pPr>
      <w:bookmarkStart w:id="12" w:name="_Ref111107287"/>
      <w:bookmarkStart w:id="13" w:name="_Ref117537477"/>
      <w:bookmarkStart w:id="14" w:name="_Ref150441326"/>
      <w:r>
        <w:rPr>
          <w:rFonts w:ascii="Calibri" w:hAnsi="Calibri"/>
          <w:b/>
          <w:noProof/>
          <w:color w:val="005962"/>
          <w:sz w:val="16"/>
        </w:rPr>
        <w:t xml:space="preserve">Figur </w:t>
      </w:r>
      <w:bookmarkEnd w:id="12"/>
      <w:bookmarkEnd w:id="13"/>
      <w:bookmarkEnd w:id="14"/>
      <w:r>
        <w:rPr>
          <w:rFonts w:ascii="Calibri" w:hAnsi="Calibri"/>
          <w:b/>
          <w:noProof/>
          <w:color w:val="005962"/>
          <w:sz w:val="16"/>
        </w:rPr>
        <w:t>8: Grossistpriserna på gas på dagen före-marknaden i EU (nederländska TTF) och dess viktigaste handelspartner</w:t>
      </w:r>
      <w:r>
        <w:rPr>
          <w:rStyle w:val="FootnoteReference"/>
          <w:rFonts w:ascii="Calibri" w:hAnsi="Calibri"/>
          <w:b/>
          <w:bCs/>
          <w:noProof/>
          <w:color w:val="005962"/>
          <w:sz w:val="16"/>
          <w:szCs w:val="16"/>
        </w:rPr>
        <w:footnoteReference w:id="15"/>
      </w:r>
    </w:p>
    <w:p w14:paraId="772BF008" w14:textId="18169BD2" w:rsidR="008D40BE" w:rsidRDefault="00EC5BBE" w:rsidP="005700F6">
      <w:pPr>
        <w:spacing w:after="160" w:line="259" w:lineRule="auto"/>
        <w:ind w:left="567"/>
        <w:jc w:val="center"/>
        <w:rPr>
          <w:rFonts w:ascii="Calibri" w:hAnsi="Calibri"/>
          <w:i/>
          <w:noProof/>
          <w:sz w:val="14"/>
        </w:rPr>
      </w:pPr>
      <w:r w:rsidRPr="00EC5BBE">
        <w:rPr>
          <w:noProof/>
          <w:lang w:val="en-GB" w:eastAsia="en-GB"/>
        </w:rPr>
        <w:drawing>
          <wp:inline distT="0" distB="0" distL="0" distR="0" wp14:anchorId="7F65C0B1" wp14:editId="71A3C0C3">
            <wp:extent cx="5760720" cy="3195955"/>
            <wp:effectExtent l="0" t="0" r="0" b="4445"/>
            <wp:docPr id="117578387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720" cy="3195955"/>
                    </a:xfrm>
                    <a:prstGeom prst="rect">
                      <a:avLst/>
                    </a:prstGeom>
                    <a:noFill/>
                    <a:ln>
                      <a:noFill/>
                    </a:ln>
                  </pic:spPr>
                </pic:pic>
              </a:graphicData>
            </a:graphic>
          </wp:inline>
        </w:drawing>
      </w:r>
      <w:r w:rsidRPr="00EC5BBE">
        <w:rPr>
          <w:noProof/>
        </w:rPr>
        <w:t xml:space="preserve"> </w:t>
      </w:r>
      <w:r w:rsidR="002541C3">
        <w:rPr>
          <w:rFonts w:ascii="Calibri" w:hAnsi="Calibri"/>
          <w:i/>
          <w:noProof/>
          <w:sz w:val="14"/>
        </w:rPr>
        <w:t>Källa: Trinomics m.fl., baserat på uppgifter från S&amp;P Platts.</w:t>
      </w:r>
    </w:p>
    <w:p w14:paraId="60DE60ED" w14:textId="77777777" w:rsidR="00EC5BBE" w:rsidRDefault="00EC5BBE" w:rsidP="005700F6">
      <w:pPr>
        <w:spacing w:after="160" w:line="259" w:lineRule="auto"/>
        <w:ind w:left="567"/>
        <w:jc w:val="center"/>
        <w:rPr>
          <w:rFonts w:ascii="Calibri" w:hAnsi="Calibri"/>
          <w:i/>
          <w:noProof/>
          <w:sz w:val="14"/>
          <w:szCs w:val="14"/>
        </w:rPr>
      </w:pPr>
    </w:p>
    <w:p w14:paraId="11BB1FDB" w14:textId="1B825415" w:rsidR="00EC5BBE" w:rsidRDefault="00EC5BBE" w:rsidP="00EC5BBE">
      <w:pPr>
        <w:spacing w:after="160" w:line="259" w:lineRule="auto"/>
        <w:ind w:left="567"/>
        <w:rPr>
          <w:noProof/>
        </w:rPr>
      </w:pPr>
      <w:r>
        <w:rPr>
          <w:b/>
          <w:noProof/>
        </w:rPr>
        <w:t xml:space="preserve">Slutkundspriserna på gas </w:t>
      </w:r>
      <w:r>
        <w:rPr>
          <w:noProof/>
        </w:rPr>
        <w:t>(</w:t>
      </w:r>
      <w:r w:rsidR="008B10A5">
        <w:rPr>
          <w:noProof/>
        </w:rPr>
        <w:t>Figur 9</w:t>
      </w:r>
      <w:r>
        <w:rPr>
          <w:noProof/>
        </w:rPr>
        <w:t>) avgörs främst av grossistpriserna, men förändringarna under 2021 och 2022 fick olika snabbt och olika stort genomslag i olika medlemsstater. Detta berodde främst på att de nationella åtgärder som vidtogs för att mildra krisen skilde sig åt både vad gäller typ och nivå, men även på att strukturen avseende avtalens löptid var olika i olika medlemsstater samt att olika återförsäljare tillämpade olika inköpsstrategier för gas (långtidskontrakt, prissäkring).</w:t>
      </w:r>
    </w:p>
    <w:p w14:paraId="6D8803BD" w14:textId="0EF9B3A9" w:rsidR="00EC5BBE" w:rsidRPr="00EC5BBE" w:rsidRDefault="00EC5BBE" w:rsidP="00EC5BBE">
      <w:pPr>
        <w:spacing w:after="0" w:line="259" w:lineRule="auto"/>
        <w:ind w:left="567"/>
        <w:jc w:val="center"/>
        <w:rPr>
          <w:rFonts w:ascii="Calibri" w:hAnsi="Calibri"/>
          <w:b/>
          <w:bCs/>
          <w:noProof/>
          <w:color w:val="005962"/>
          <w:sz w:val="16"/>
          <w:szCs w:val="16"/>
        </w:rPr>
      </w:pPr>
      <w:r>
        <w:rPr>
          <w:rFonts w:ascii="Calibri" w:hAnsi="Calibri"/>
          <w:b/>
          <w:noProof/>
          <w:color w:val="005962"/>
          <w:sz w:val="16"/>
        </w:rPr>
        <w:t xml:space="preserve">Figur </w:t>
      </w:r>
      <w:r w:rsidR="00534C3A">
        <w:rPr>
          <w:rFonts w:ascii="Calibri" w:hAnsi="Calibri"/>
          <w:b/>
          <w:noProof/>
          <w:color w:val="005962"/>
          <w:sz w:val="16"/>
        </w:rPr>
        <w:t>9</w:t>
      </w:r>
      <w:r>
        <w:rPr>
          <w:rFonts w:ascii="Calibri" w:hAnsi="Calibri"/>
          <w:b/>
          <w:noProof/>
          <w:color w:val="005962"/>
          <w:sz w:val="16"/>
        </w:rPr>
        <w:t>: Hushållens genomsnittliga gaspriser i EU:s medlemsstater</w:t>
      </w:r>
      <w:r>
        <w:rPr>
          <w:rStyle w:val="FootnoteReference"/>
          <w:rFonts w:ascii="Calibri" w:hAnsi="Calibri"/>
          <w:b/>
          <w:bCs/>
          <w:noProof/>
          <w:color w:val="005962"/>
          <w:sz w:val="16"/>
          <w:szCs w:val="16"/>
        </w:rPr>
        <w:footnoteReference w:id="16"/>
      </w:r>
      <w:r>
        <w:rPr>
          <w:rFonts w:ascii="Calibri" w:hAnsi="Calibri"/>
          <w:b/>
          <w:noProof/>
          <w:color w:val="005962"/>
          <w:sz w:val="16"/>
        </w:rPr>
        <w:t xml:space="preserve"> 2023 i förbrukningsintervallet D2</w:t>
      </w:r>
    </w:p>
    <w:p w14:paraId="670079DD" w14:textId="18501404" w:rsidR="00EC5BBE" w:rsidRPr="00EC5BBE" w:rsidRDefault="00EC5BBE" w:rsidP="00EC5BBE">
      <w:pPr>
        <w:pStyle w:val="BodyText"/>
        <w:spacing w:after="160"/>
        <w:jc w:val="center"/>
        <w:rPr>
          <w:noProof/>
        </w:rPr>
      </w:pPr>
      <w:r w:rsidRPr="00EC5BBE">
        <w:rPr>
          <w:noProof/>
          <w:lang w:val="en-GB" w:bidi="ar-SA"/>
        </w:rPr>
        <w:drawing>
          <wp:inline distT="0" distB="0" distL="0" distR="0" wp14:anchorId="6A6A16F2" wp14:editId="2B5CDF43">
            <wp:extent cx="5760720" cy="2656205"/>
            <wp:effectExtent l="0" t="0" r="0" b="0"/>
            <wp:docPr id="150793939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2656205"/>
                    </a:xfrm>
                    <a:prstGeom prst="rect">
                      <a:avLst/>
                    </a:prstGeom>
                    <a:noFill/>
                    <a:ln>
                      <a:noFill/>
                    </a:ln>
                  </pic:spPr>
                </pic:pic>
              </a:graphicData>
            </a:graphic>
          </wp:inline>
        </w:drawing>
      </w:r>
      <w:r>
        <w:rPr>
          <w:rFonts w:ascii="Calibri" w:hAnsi="Calibri"/>
          <w:i/>
          <w:noProof/>
          <w:sz w:val="14"/>
        </w:rPr>
        <w:t>Källa: Trinomics m.fl. (2024), baserat på uppgifter från VaasaETT, Eurostat.</w:t>
      </w:r>
    </w:p>
    <w:p w14:paraId="0E41DAB5" w14:textId="336F7E40" w:rsidR="00931E94" w:rsidRDefault="00931E94" w:rsidP="00931E94">
      <w:pPr>
        <w:pStyle w:val="BodyText"/>
        <w:spacing w:after="160"/>
        <w:jc w:val="both"/>
        <w:rPr>
          <w:noProof/>
        </w:rPr>
      </w:pPr>
      <w:r>
        <w:rPr>
          <w:noProof/>
        </w:rPr>
        <w:t xml:space="preserve">Parallellt med att grossistpriserna på gas steg kraftigt under 2021 och 2022 började </w:t>
      </w:r>
      <w:r>
        <w:rPr>
          <w:i/>
          <w:iCs/>
          <w:noProof/>
        </w:rPr>
        <w:t xml:space="preserve">hushållens genomsnittliga priser </w:t>
      </w:r>
      <w:r>
        <w:rPr>
          <w:noProof/>
        </w:rPr>
        <w:t>stiga från 2021 års nivå på 70–80 euro</w:t>
      </w:r>
      <w:r>
        <w:rPr>
          <w:noProof/>
          <w:vertAlign w:val="subscript"/>
        </w:rPr>
        <w:t>2023</w:t>
      </w:r>
      <w:r>
        <w:rPr>
          <w:noProof/>
        </w:rPr>
        <w:t>/MWh till 125 euro</w:t>
      </w:r>
      <w:r>
        <w:rPr>
          <w:noProof/>
          <w:vertAlign w:val="subscript"/>
        </w:rPr>
        <w:t>2023</w:t>
      </w:r>
      <w:r>
        <w:rPr>
          <w:noProof/>
        </w:rPr>
        <w:t>/MWh</w:t>
      </w:r>
      <w:r w:rsidR="00FB3D7E">
        <w:rPr>
          <w:rStyle w:val="FootnoteReference"/>
          <w:noProof/>
        </w:rPr>
        <w:footnoteReference w:id="17"/>
      </w:r>
      <w:r>
        <w:rPr>
          <w:noProof/>
        </w:rPr>
        <w:t xml:space="preserve"> i augusti 2022. Priserna för hushållen var som högst från tredje kvartalet 2022 till andra kvartalet 2023 på 112 euro</w:t>
      </w:r>
      <w:r>
        <w:rPr>
          <w:noProof/>
          <w:vertAlign w:val="subscript"/>
        </w:rPr>
        <w:t>2023</w:t>
      </w:r>
      <w:r>
        <w:rPr>
          <w:noProof/>
        </w:rPr>
        <w:t>/MWh, varefter de sjönk och stabiliserades i alla medlemsstater, på nivåer som var nästan dubbelt så höga som före krisen (100 euro</w:t>
      </w:r>
      <w:r>
        <w:rPr>
          <w:noProof/>
          <w:vertAlign w:val="subscript"/>
        </w:rPr>
        <w:t>2023</w:t>
      </w:r>
      <w:r>
        <w:rPr>
          <w:noProof/>
        </w:rPr>
        <w:t>/MWh i stället för ~ 60 euro</w:t>
      </w:r>
      <w:r>
        <w:rPr>
          <w:noProof/>
          <w:vertAlign w:val="subscript"/>
        </w:rPr>
        <w:t>2023</w:t>
      </w:r>
      <w:r>
        <w:rPr>
          <w:noProof/>
        </w:rPr>
        <w:t xml:space="preserve">/MWh). </w:t>
      </w:r>
    </w:p>
    <w:p w14:paraId="0F700156" w14:textId="713D993D" w:rsidR="00931E94" w:rsidRPr="003814F5" w:rsidRDefault="00931E94" w:rsidP="00931E94">
      <w:pPr>
        <w:pStyle w:val="BodyText"/>
        <w:spacing w:after="160"/>
        <w:jc w:val="both"/>
        <w:rPr>
          <w:noProof/>
        </w:rPr>
      </w:pPr>
      <w:r>
        <w:rPr>
          <w:noProof/>
        </w:rPr>
        <w:t>På grund av skillnader mellan detaljhandelsmarknaderna, nationella krisåtgärder och deras konsekvenser för nettopåslaget föreligger det betydande skillnader mellan medlemsstaternas gaspriser: 2023 observerades de högsta priserna i Sverige och Nederländerna (~ 210 euro</w:t>
      </w:r>
      <w:r>
        <w:rPr>
          <w:noProof/>
          <w:vertAlign w:val="subscript"/>
        </w:rPr>
        <w:t>2023</w:t>
      </w:r>
      <w:r>
        <w:rPr>
          <w:noProof/>
        </w:rPr>
        <w:t>/MWh) och de lägsta i Slovakien, Rumänien, Kroatien och Ungern (alla lägre än 60 euro</w:t>
      </w:r>
      <w:r>
        <w:rPr>
          <w:noProof/>
          <w:vertAlign w:val="subscript"/>
        </w:rPr>
        <w:t>2023</w:t>
      </w:r>
      <w:r>
        <w:rPr>
          <w:noProof/>
        </w:rPr>
        <w:t>/MWh).</w:t>
      </w:r>
    </w:p>
    <w:p w14:paraId="471F9C1B" w14:textId="005F1CC6" w:rsidR="008D40BE" w:rsidRPr="003814F5" w:rsidRDefault="00831C60" w:rsidP="00831C60">
      <w:pPr>
        <w:pStyle w:val="BodyText"/>
        <w:spacing w:after="160"/>
        <w:jc w:val="both"/>
        <w:rPr>
          <w:noProof/>
        </w:rPr>
      </w:pPr>
      <w:r>
        <w:rPr>
          <w:noProof/>
        </w:rPr>
        <w:t xml:space="preserve">Den relativa andelen av hushållens gaspriser som utgjordes av energikostnader, nätavgifter respektive skatter och avgifter förändrades också avsevärt. Energikostnadskomponenten (grossistpriset plus ett påslag) stod för 43 % av </w:t>
      </w:r>
      <w:bookmarkStart w:id="15" w:name="_Int_VQvh2JmK"/>
      <w:r>
        <w:rPr>
          <w:noProof/>
        </w:rPr>
        <w:t>slutkundspriset</w:t>
      </w:r>
      <w:bookmarkEnd w:id="15"/>
      <w:r>
        <w:rPr>
          <w:noProof/>
        </w:rPr>
        <w:t xml:space="preserve"> 2020, men nådde 64 % 2023. Under samma period minskade nätavgifternas andel från 24 % till 17 %, medan andelen skatter och avgifter minskade från 33 % till 19 %, främst till följd av statliga ingripanden (lägre skattesatser eller återbetalningar) i slutkundspriserna.</w:t>
      </w:r>
    </w:p>
    <w:p w14:paraId="22B48AAE" w14:textId="218D690D" w:rsidR="008D40BE" w:rsidRDefault="008D40BE" w:rsidP="008D40BE">
      <w:pPr>
        <w:pStyle w:val="BodyText"/>
        <w:spacing w:after="160"/>
        <w:jc w:val="both"/>
        <w:rPr>
          <w:noProof/>
        </w:rPr>
      </w:pPr>
      <w:r>
        <w:rPr>
          <w:b/>
          <w:bCs/>
          <w:noProof/>
        </w:rPr>
        <w:t>Industrins slutkundspriser på gas</w:t>
      </w:r>
      <w:r>
        <w:rPr>
          <w:noProof/>
        </w:rPr>
        <w:t xml:space="preserve"> i EU ökade betydligt under energikrisen. Priserna för medelstora industriella gaskonsumenter (I3-förbrukningsintervallet)</w:t>
      </w:r>
      <w:r w:rsidR="00FB3D7E">
        <w:rPr>
          <w:rStyle w:val="FootnoteReference"/>
          <w:noProof/>
        </w:rPr>
        <w:footnoteReference w:id="18"/>
      </w:r>
      <w:r>
        <w:rPr>
          <w:noProof/>
        </w:rPr>
        <w:t xml:space="preserve"> fördubblades nästan från 40 euro</w:t>
      </w:r>
      <w:r>
        <w:rPr>
          <w:noProof/>
          <w:vertAlign w:val="subscript"/>
        </w:rPr>
        <w:t>2023</w:t>
      </w:r>
      <w:r>
        <w:rPr>
          <w:noProof/>
        </w:rPr>
        <w:t>/MWh år 2021 till 76 euro</w:t>
      </w:r>
      <w:r>
        <w:rPr>
          <w:noProof/>
          <w:vertAlign w:val="subscript"/>
        </w:rPr>
        <w:t>2023</w:t>
      </w:r>
      <w:r>
        <w:rPr>
          <w:noProof/>
        </w:rPr>
        <w:t>/MWh år 2023. För de största industriella gaskonsumenterna (I5-bandet</w:t>
      </w:r>
      <w:r w:rsidR="00FB3D7E">
        <w:rPr>
          <w:rStyle w:val="FootnoteReference"/>
          <w:noProof/>
        </w:rPr>
        <w:footnoteReference w:id="19"/>
      </w:r>
      <w:r>
        <w:rPr>
          <w:noProof/>
        </w:rPr>
        <w:t>) steg priserna från 39 euro</w:t>
      </w:r>
      <w:r>
        <w:rPr>
          <w:noProof/>
          <w:vertAlign w:val="subscript"/>
        </w:rPr>
        <w:t>2023</w:t>
      </w:r>
      <w:r>
        <w:rPr>
          <w:noProof/>
        </w:rPr>
        <w:t>/MWh år 2021 till 87 euro</w:t>
      </w:r>
      <w:r>
        <w:rPr>
          <w:noProof/>
          <w:vertAlign w:val="subscript"/>
        </w:rPr>
        <w:t>2023</w:t>
      </w:r>
      <w:r>
        <w:rPr>
          <w:noProof/>
        </w:rPr>
        <w:t>/MWh år 2022 och sjönk sedan till 59 euro</w:t>
      </w:r>
      <w:r>
        <w:rPr>
          <w:noProof/>
          <w:vertAlign w:val="subscript"/>
        </w:rPr>
        <w:t>2023</w:t>
      </w:r>
      <w:r>
        <w:rPr>
          <w:noProof/>
        </w:rPr>
        <w:t>/MWh år 2023. Betydande prisökningar på gas medförde kraftigt ökade energikostnader, särskilt för energiintensiva företag. Genom de högre gasprisnivåerna minskade den europeiska industrins konkurrenskraft, särskilt inom energiintensiva sektorer, jämfört med konkurrenter som Förenta staterna och Kina, där priserna fortfarande är betydligt lägre (</w:t>
      </w:r>
      <w:r w:rsidR="00686F80">
        <w:rPr>
          <w:noProof/>
        </w:rPr>
        <w:t>Figur 10</w:t>
      </w:r>
      <w:r>
        <w:rPr>
          <w:noProof/>
        </w:rPr>
        <w:t>).</w:t>
      </w:r>
    </w:p>
    <w:p w14:paraId="225C9533" w14:textId="77777777" w:rsidR="005D38B2" w:rsidRDefault="005D38B2" w:rsidP="008D40BE">
      <w:pPr>
        <w:pStyle w:val="BodyText"/>
        <w:spacing w:after="160"/>
        <w:jc w:val="both"/>
        <w:rPr>
          <w:noProof/>
        </w:rPr>
      </w:pPr>
    </w:p>
    <w:p w14:paraId="782436A9" w14:textId="77777777" w:rsidR="005D38B2" w:rsidRDefault="005D38B2" w:rsidP="008D40BE">
      <w:pPr>
        <w:pStyle w:val="BodyText"/>
        <w:spacing w:after="160"/>
        <w:jc w:val="both"/>
        <w:rPr>
          <w:noProof/>
        </w:rPr>
      </w:pPr>
    </w:p>
    <w:p w14:paraId="740CE435" w14:textId="77777777" w:rsidR="005D38B2" w:rsidRDefault="005D38B2" w:rsidP="008D40BE">
      <w:pPr>
        <w:pStyle w:val="BodyText"/>
        <w:spacing w:after="160"/>
        <w:jc w:val="both"/>
        <w:rPr>
          <w:noProof/>
        </w:rPr>
      </w:pPr>
    </w:p>
    <w:p w14:paraId="3438237E" w14:textId="77777777" w:rsidR="005D38B2" w:rsidRDefault="005D38B2" w:rsidP="008D40BE">
      <w:pPr>
        <w:pStyle w:val="BodyText"/>
        <w:spacing w:after="160"/>
        <w:jc w:val="both"/>
        <w:rPr>
          <w:noProof/>
        </w:rPr>
      </w:pPr>
    </w:p>
    <w:p w14:paraId="6A92C19A" w14:textId="77777777" w:rsidR="005D38B2" w:rsidRDefault="005D38B2" w:rsidP="008D40BE">
      <w:pPr>
        <w:pStyle w:val="BodyText"/>
        <w:spacing w:after="160"/>
        <w:jc w:val="both"/>
        <w:rPr>
          <w:noProof/>
        </w:rPr>
      </w:pPr>
    </w:p>
    <w:p w14:paraId="237A7A6B" w14:textId="77777777" w:rsidR="005D38B2" w:rsidRDefault="005D38B2" w:rsidP="008D40BE">
      <w:pPr>
        <w:pStyle w:val="BodyText"/>
        <w:spacing w:after="160"/>
        <w:jc w:val="both"/>
        <w:rPr>
          <w:noProof/>
        </w:rPr>
      </w:pPr>
    </w:p>
    <w:p w14:paraId="13025438" w14:textId="77777777" w:rsidR="005D38B2" w:rsidRDefault="005D38B2" w:rsidP="008D40BE">
      <w:pPr>
        <w:pStyle w:val="BodyText"/>
        <w:spacing w:after="160"/>
        <w:jc w:val="both"/>
        <w:rPr>
          <w:noProof/>
        </w:rPr>
      </w:pPr>
    </w:p>
    <w:p w14:paraId="701002A6" w14:textId="77777777" w:rsidR="005D38B2" w:rsidRDefault="005D38B2" w:rsidP="008D40BE">
      <w:pPr>
        <w:pStyle w:val="BodyText"/>
        <w:spacing w:after="160"/>
        <w:jc w:val="both"/>
        <w:rPr>
          <w:noProof/>
        </w:rPr>
      </w:pPr>
    </w:p>
    <w:p w14:paraId="4E977650" w14:textId="77777777" w:rsidR="005D38B2" w:rsidRPr="003814F5" w:rsidRDefault="005D38B2" w:rsidP="008D40BE">
      <w:pPr>
        <w:pStyle w:val="BodyText"/>
        <w:spacing w:after="160"/>
        <w:jc w:val="both"/>
        <w:rPr>
          <w:noProof/>
        </w:rPr>
      </w:pPr>
    </w:p>
    <w:p w14:paraId="04A7837A" w14:textId="77777777" w:rsidR="005D38B2" w:rsidRDefault="005D38B2" w:rsidP="005D38B2">
      <w:pPr>
        <w:tabs>
          <w:tab w:val="left" w:pos="2368"/>
          <w:tab w:val="center" w:pos="4819"/>
        </w:tabs>
        <w:spacing w:after="0" w:line="300" w:lineRule="atLeast"/>
        <w:rPr>
          <w:rFonts w:ascii="Calibri" w:hAnsi="Calibri"/>
          <w:i/>
          <w:noProof/>
          <w:sz w:val="14"/>
        </w:rPr>
      </w:pPr>
    </w:p>
    <w:p w14:paraId="1DC63AFA" w14:textId="77777777" w:rsidR="005D38B2" w:rsidRDefault="005D38B2" w:rsidP="005D38B2">
      <w:pPr>
        <w:tabs>
          <w:tab w:val="left" w:pos="2368"/>
          <w:tab w:val="center" w:pos="4819"/>
        </w:tabs>
        <w:spacing w:after="0" w:line="300" w:lineRule="atLeast"/>
        <w:rPr>
          <w:rFonts w:ascii="Calibri" w:hAnsi="Calibri"/>
          <w:i/>
          <w:noProof/>
          <w:sz w:val="14"/>
        </w:rPr>
      </w:pPr>
    </w:p>
    <w:p w14:paraId="58D13A32" w14:textId="77777777" w:rsidR="005D38B2" w:rsidRPr="003814F5" w:rsidRDefault="005D38B2" w:rsidP="005D38B2">
      <w:pPr>
        <w:spacing w:after="0"/>
        <w:ind w:left="567"/>
        <w:jc w:val="center"/>
        <w:rPr>
          <w:rFonts w:ascii="Calibri" w:hAnsi="Calibri"/>
          <w:b/>
          <w:bCs/>
          <w:noProof/>
          <w:color w:val="005962"/>
          <w:sz w:val="16"/>
          <w:szCs w:val="16"/>
        </w:rPr>
      </w:pPr>
      <w:r>
        <w:rPr>
          <w:rFonts w:ascii="Calibri" w:hAnsi="Calibri"/>
          <w:b/>
          <w:noProof/>
          <w:color w:val="005962"/>
          <w:sz w:val="16"/>
        </w:rPr>
        <w:t>Figur 10: Naturgaspriser för industriella slutanvändare (I5-bandet) i EU och dess viktigaste handelspartner</w:t>
      </w:r>
    </w:p>
    <w:p w14:paraId="3E67FE61" w14:textId="296B8B28" w:rsidR="008D40BE" w:rsidRPr="00BE2940" w:rsidRDefault="000234AC" w:rsidP="005D38B2">
      <w:pPr>
        <w:tabs>
          <w:tab w:val="left" w:pos="2368"/>
          <w:tab w:val="center" w:pos="4819"/>
        </w:tabs>
        <w:spacing w:after="0" w:line="300" w:lineRule="atLeast"/>
        <w:rPr>
          <w:rFonts w:ascii="Calibri" w:hAnsi="Calibri"/>
          <w:i/>
          <w:noProof/>
          <w:sz w:val="14"/>
          <w:szCs w:val="14"/>
        </w:rPr>
      </w:pPr>
      <w:r>
        <w:rPr>
          <w:rFonts w:ascii="Calibri" w:hAnsi="Calibri"/>
          <w:i/>
          <w:noProof/>
          <w:sz w:val="14"/>
        </w:rPr>
        <w:tab/>
      </w:r>
      <w:r w:rsidR="005D38B2" w:rsidRPr="005D38B2">
        <w:rPr>
          <w:noProof/>
          <w:lang w:val="en-GB" w:eastAsia="en-GB"/>
        </w:rPr>
        <w:drawing>
          <wp:inline distT="0" distB="0" distL="0" distR="0" wp14:anchorId="48EBD7F8" wp14:editId="69D8C63F">
            <wp:extent cx="5511114" cy="2668270"/>
            <wp:effectExtent l="0" t="0" r="0" b="0"/>
            <wp:docPr id="129897038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1727" cy="2673408"/>
                    </a:xfrm>
                    <a:prstGeom prst="rect">
                      <a:avLst/>
                    </a:prstGeom>
                    <a:noFill/>
                    <a:ln>
                      <a:noFill/>
                    </a:ln>
                  </pic:spPr>
                </pic:pic>
              </a:graphicData>
            </a:graphic>
          </wp:inline>
        </w:drawing>
      </w:r>
      <w:r>
        <w:rPr>
          <w:rFonts w:ascii="Calibri" w:hAnsi="Calibri"/>
          <w:i/>
          <w:noProof/>
          <w:sz w:val="14"/>
        </w:rPr>
        <w:tab/>
        <w:t>Källa: Trinomics m.fl. (2024), baserat på uppgifter från Eurostat, Enerdata EnerMonthly.</w:t>
      </w:r>
    </w:p>
    <w:p w14:paraId="3696A0FD" w14:textId="77777777" w:rsidR="008D40BE" w:rsidRPr="003814F5" w:rsidRDefault="008D40BE" w:rsidP="009D07B2">
      <w:pPr>
        <w:pStyle w:val="Heading2"/>
        <w:rPr>
          <w:noProof/>
        </w:rPr>
      </w:pPr>
      <w:r>
        <w:rPr>
          <w:noProof/>
        </w:rPr>
        <w:t xml:space="preserve">Olja och </w:t>
      </w:r>
      <w:bookmarkStart w:id="16" w:name="_Int_8ZGZdIfs"/>
      <w:r>
        <w:rPr>
          <w:noProof/>
        </w:rPr>
        <w:t>kol</w:t>
      </w:r>
      <w:bookmarkEnd w:id="16"/>
    </w:p>
    <w:p w14:paraId="4BAADAE8" w14:textId="48F1571D" w:rsidR="008D40BE" w:rsidRDefault="008D40BE" w:rsidP="009D07B2">
      <w:pPr>
        <w:pStyle w:val="BodyText"/>
        <w:spacing w:after="160"/>
        <w:jc w:val="both"/>
        <w:rPr>
          <w:noProof/>
        </w:rPr>
      </w:pPr>
      <w:r>
        <w:rPr>
          <w:noProof/>
        </w:rPr>
        <w:t xml:space="preserve">Under de senaste åren har vi också sett nya perioder av volatilitet när det gäller </w:t>
      </w:r>
      <w:r>
        <w:rPr>
          <w:b/>
          <w:bCs/>
          <w:noProof/>
        </w:rPr>
        <w:t>råoljepriserna</w:t>
      </w:r>
      <w:r>
        <w:rPr>
          <w:noProof/>
        </w:rPr>
        <w:t xml:space="preserve"> som sjönk till under 20 US-dollar/</w:t>
      </w:r>
      <w:bookmarkStart w:id="17" w:name="_Int_MXCjAy8Y"/>
      <w:r>
        <w:rPr>
          <w:noProof/>
        </w:rPr>
        <w:t>fat (</w:t>
      </w:r>
      <w:bookmarkEnd w:id="17"/>
      <w:r>
        <w:rPr>
          <w:noProof/>
        </w:rPr>
        <w:t xml:space="preserve">dated Brent) i april 2020 på grund av avsevärt minskad efterfrågan och överskott på utbudssidan under de första månaderna med nedstängningar till följd covid-19. Råoljepriserna </w:t>
      </w:r>
      <w:bookmarkStart w:id="18" w:name="_Int_IleYLK9Q"/>
      <w:r>
        <w:rPr>
          <w:noProof/>
        </w:rPr>
        <w:t>började stiga parallellt med den ekonomiska återhämtningen och hävandet av de reserestriktioner som infördes med anledning av covid-19, för att nå en topp på</w:t>
      </w:r>
      <w:bookmarkEnd w:id="18"/>
      <w:r>
        <w:rPr>
          <w:noProof/>
        </w:rPr>
        <w:t xml:space="preserve"> 130 US-dollar/</w:t>
      </w:r>
      <w:bookmarkStart w:id="19" w:name="_Int_fci5cnwP"/>
      <w:r>
        <w:rPr>
          <w:noProof/>
        </w:rPr>
        <w:t>fat</w:t>
      </w:r>
      <w:bookmarkEnd w:id="19"/>
      <w:r>
        <w:rPr>
          <w:noProof/>
        </w:rPr>
        <w:t xml:space="preserve"> i mars 2022. Sedan dess har priserna sjunkit till 70–80 US-dollar/</w:t>
      </w:r>
      <w:bookmarkStart w:id="20" w:name="_Int_wUd6LhJN"/>
      <w:r>
        <w:rPr>
          <w:noProof/>
        </w:rPr>
        <w:t>fat</w:t>
      </w:r>
      <w:bookmarkEnd w:id="20"/>
      <w:r>
        <w:rPr>
          <w:noProof/>
        </w:rPr>
        <w:t xml:space="preserve"> (</w:t>
      </w:r>
      <w:r w:rsidR="005E7F09">
        <w:rPr>
          <w:noProof/>
        </w:rPr>
        <w:fldChar w:fldCharType="begin"/>
      </w:r>
      <w:r w:rsidR="005E7F09">
        <w:rPr>
          <w:noProof/>
        </w:rPr>
        <w:instrText xml:space="preserve"> REF _Ref150506038 \h  \* MERGEFORMAT </w:instrText>
      </w:r>
      <w:r w:rsidR="005E7F09">
        <w:rPr>
          <w:noProof/>
        </w:rPr>
      </w:r>
      <w:r w:rsidR="005E7F09">
        <w:rPr>
          <w:noProof/>
        </w:rPr>
        <w:fldChar w:fldCharType="separate"/>
      </w:r>
      <w:r w:rsidR="00073647" w:rsidRPr="00073647">
        <w:rPr>
          <w:noProof/>
        </w:rPr>
        <w:t>Figur 10</w:t>
      </w:r>
      <w:r w:rsidR="005E7F09">
        <w:rPr>
          <w:noProof/>
        </w:rPr>
        <w:fldChar w:fldCharType="end"/>
      </w:r>
      <w:r>
        <w:rPr>
          <w:noProof/>
        </w:rPr>
        <w:t>), trots produktionsnedskärningar från OPEC+ och fortsatta geopolitiska konflikter i Mellanöstern, mestadels till följd av ökad produktion i Förenta staterna och relativt låg förbrukning i Asien.</w:t>
      </w:r>
    </w:p>
    <w:p w14:paraId="2CB62D52" w14:textId="77777777" w:rsidR="00D0170B" w:rsidRDefault="00D0170B" w:rsidP="009D07B2">
      <w:pPr>
        <w:pStyle w:val="BodyText"/>
        <w:spacing w:after="160"/>
        <w:jc w:val="both"/>
        <w:rPr>
          <w:noProof/>
        </w:rPr>
      </w:pPr>
    </w:p>
    <w:p w14:paraId="708EFCC8" w14:textId="77777777" w:rsidR="00D0170B" w:rsidRDefault="00D0170B" w:rsidP="009D07B2">
      <w:pPr>
        <w:pStyle w:val="BodyText"/>
        <w:spacing w:after="160"/>
        <w:jc w:val="both"/>
        <w:rPr>
          <w:noProof/>
        </w:rPr>
      </w:pPr>
    </w:p>
    <w:p w14:paraId="7EBA0336" w14:textId="77777777" w:rsidR="00D0170B" w:rsidRDefault="00D0170B" w:rsidP="009D07B2">
      <w:pPr>
        <w:pStyle w:val="BodyText"/>
        <w:spacing w:after="160"/>
        <w:jc w:val="both"/>
        <w:rPr>
          <w:noProof/>
        </w:rPr>
      </w:pPr>
    </w:p>
    <w:p w14:paraId="020BBF0E" w14:textId="77777777" w:rsidR="00D0170B" w:rsidRDefault="00D0170B" w:rsidP="009D07B2">
      <w:pPr>
        <w:pStyle w:val="BodyText"/>
        <w:spacing w:after="160"/>
        <w:jc w:val="both"/>
        <w:rPr>
          <w:noProof/>
        </w:rPr>
      </w:pPr>
    </w:p>
    <w:p w14:paraId="57407865" w14:textId="77777777" w:rsidR="00D0170B" w:rsidRDefault="00D0170B" w:rsidP="009D07B2">
      <w:pPr>
        <w:pStyle w:val="BodyText"/>
        <w:spacing w:after="160"/>
        <w:jc w:val="both"/>
        <w:rPr>
          <w:noProof/>
        </w:rPr>
      </w:pPr>
    </w:p>
    <w:p w14:paraId="77212254" w14:textId="77777777" w:rsidR="00D0170B" w:rsidRDefault="00D0170B" w:rsidP="009D07B2">
      <w:pPr>
        <w:pStyle w:val="BodyText"/>
        <w:spacing w:after="160"/>
        <w:jc w:val="both"/>
        <w:rPr>
          <w:noProof/>
        </w:rPr>
      </w:pPr>
    </w:p>
    <w:p w14:paraId="192828E3" w14:textId="77777777" w:rsidR="00D0170B" w:rsidRDefault="00D0170B" w:rsidP="009D07B2">
      <w:pPr>
        <w:pStyle w:val="BodyText"/>
        <w:spacing w:after="160"/>
        <w:jc w:val="both"/>
        <w:rPr>
          <w:noProof/>
        </w:rPr>
      </w:pPr>
    </w:p>
    <w:p w14:paraId="0574DF67" w14:textId="77777777" w:rsidR="00D0170B" w:rsidRDefault="00D0170B" w:rsidP="009D07B2">
      <w:pPr>
        <w:pStyle w:val="BodyText"/>
        <w:spacing w:after="160"/>
        <w:jc w:val="both"/>
        <w:rPr>
          <w:noProof/>
        </w:rPr>
      </w:pPr>
    </w:p>
    <w:p w14:paraId="36F48AFB" w14:textId="77777777" w:rsidR="00D0170B" w:rsidRDefault="00D0170B" w:rsidP="009D07B2">
      <w:pPr>
        <w:pStyle w:val="BodyText"/>
        <w:spacing w:after="160"/>
        <w:jc w:val="both"/>
        <w:rPr>
          <w:noProof/>
        </w:rPr>
      </w:pPr>
    </w:p>
    <w:p w14:paraId="4393552A" w14:textId="77777777" w:rsidR="00D0170B" w:rsidRDefault="00D0170B" w:rsidP="009D07B2">
      <w:pPr>
        <w:pStyle w:val="BodyText"/>
        <w:spacing w:after="160"/>
        <w:jc w:val="both"/>
        <w:rPr>
          <w:noProof/>
        </w:rPr>
      </w:pPr>
    </w:p>
    <w:p w14:paraId="7A812682" w14:textId="77777777" w:rsidR="00D0170B" w:rsidRDefault="00D0170B" w:rsidP="009D07B2">
      <w:pPr>
        <w:pStyle w:val="BodyText"/>
        <w:spacing w:after="160"/>
        <w:jc w:val="both"/>
        <w:rPr>
          <w:noProof/>
        </w:rPr>
      </w:pPr>
    </w:p>
    <w:p w14:paraId="76D955E5" w14:textId="5EE036A6" w:rsidR="00D0170B" w:rsidRPr="00D0170B" w:rsidRDefault="00D0170B" w:rsidP="00D0170B">
      <w:pPr>
        <w:keepNext/>
        <w:spacing w:after="0"/>
        <w:ind w:left="567"/>
        <w:jc w:val="center"/>
        <w:rPr>
          <w:rFonts w:ascii="Calibri" w:hAnsi="Calibri"/>
          <w:b/>
          <w:bCs/>
          <w:noProof/>
          <w:color w:val="005962"/>
          <w:sz w:val="16"/>
          <w:szCs w:val="16"/>
        </w:rPr>
      </w:pPr>
      <w:r>
        <w:rPr>
          <w:rFonts w:ascii="Calibri" w:hAnsi="Calibri"/>
          <w:b/>
          <w:noProof/>
          <w:color w:val="005962"/>
          <w:sz w:val="16"/>
        </w:rPr>
        <w:t>Figur 11: Dagligt spotpris fob för Brentolja i Europa (US-dollar och euro per fat, nominella priser)</w:t>
      </w:r>
    </w:p>
    <w:p w14:paraId="749CDDAE" w14:textId="1FDF9191" w:rsidR="008D40BE" w:rsidRPr="0067225E" w:rsidRDefault="00D0170B" w:rsidP="0085614F">
      <w:pPr>
        <w:keepNext/>
        <w:spacing w:after="0"/>
        <w:ind w:left="567"/>
        <w:jc w:val="center"/>
        <w:rPr>
          <w:rFonts w:ascii="Calibri" w:hAnsi="Calibri"/>
          <w:b/>
          <w:bCs/>
          <w:noProof/>
          <w:color w:val="005962"/>
          <w:sz w:val="16"/>
          <w:szCs w:val="16"/>
        </w:rPr>
      </w:pPr>
      <w:bookmarkStart w:id="21" w:name="_Ref150506038"/>
      <w:r w:rsidRPr="00D0170B">
        <w:rPr>
          <w:noProof/>
          <w:lang w:val="en-GB" w:eastAsia="en-GB"/>
        </w:rPr>
        <w:drawing>
          <wp:inline distT="0" distB="0" distL="0" distR="0" wp14:anchorId="7E848909" wp14:editId="5CD98566">
            <wp:extent cx="5224831" cy="2972840"/>
            <wp:effectExtent l="0" t="0" r="0" b="0"/>
            <wp:docPr id="119367700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56376" cy="2990788"/>
                    </a:xfrm>
                    <a:prstGeom prst="rect">
                      <a:avLst/>
                    </a:prstGeom>
                    <a:noFill/>
                    <a:ln>
                      <a:noFill/>
                    </a:ln>
                  </pic:spPr>
                </pic:pic>
              </a:graphicData>
            </a:graphic>
          </wp:inline>
        </w:drawing>
      </w:r>
      <w:bookmarkEnd w:id="21"/>
    </w:p>
    <w:p w14:paraId="40F14F87" w14:textId="54A90257" w:rsidR="008D40BE" w:rsidRDefault="008D40BE" w:rsidP="0085614F">
      <w:pPr>
        <w:spacing w:after="160" w:line="300" w:lineRule="atLeast"/>
        <w:ind w:left="567"/>
        <w:jc w:val="center"/>
        <w:rPr>
          <w:noProof/>
        </w:rPr>
      </w:pPr>
      <w:r>
        <w:rPr>
          <w:rFonts w:ascii="Calibri" w:hAnsi="Calibri"/>
          <w:i/>
          <w:noProof/>
          <w:sz w:val="14"/>
        </w:rPr>
        <w:t>Källa: GD ENER ENERScope, baserat på observationsgruppen för energimarknadens databas.</w:t>
      </w:r>
    </w:p>
    <w:p w14:paraId="73971EB5" w14:textId="15B84900" w:rsidR="005E7F09" w:rsidRPr="005E7F09" w:rsidRDefault="005E7F09" w:rsidP="008D40BE">
      <w:pPr>
        <w:pStyle w:val="BodyText"/>
        <w:spacing w:after="160"/>
        <w:jc w:val="both"/>
        <w:rPr>
          <w:noProof/>
        </w:rPr>
      </w:pPr>
      <w:r>
        <w:rPr>
          <w:noProof/>
        </w:rPr>
        <w:t>Priserna för Brentolja 2023 uppgick i genomsnitt till 82 US-dollar/fat och året karakteriserades av IEA som ett ”stabilt år efter tre turbulenta år”. Oljeförsörjningen var fortsatt hög och förväntas förbli hög, med planerade kapacitetsökningar i länder utanför Opec. På efterfrågesidan skapade ytterligare globala utsläppsminskningar, ökat fokus på energitrygghet och dämpad industriell efterfrågan tillsammans med övergången till förnybar energi inom olika ekonomiska sektorer ett nedåtgående tryck på oljepriserna, som fortfarande var kännbart under 2024.</w:t>
      </w:r>
    </w:p>
    <w:p w14:paraId="725A18C6" w14:textId="60FA50F0" w:rsidR="008D40BE" w:rsidRDefault="005E7F09" w:rsidP="008D40BE">
      <w:pPr>
        <w:pStyle w:val="BodyText"/>
        <w:spacing w:after="160"/>
        <w:jc w:val="both"/>
        <w:rPr>
          <w:noProof/>
        </w:rPr>
      </w:pPr>
      <w:bookmarkStart w:id="22" w:name="_Ref150550345"/>
      <w:r>
        <w:rPr>
          <w:noProof/>
        </w:rPr>
        <w:t xml:space="preserve">Slutkundspriserna på </w:t>
      </w:r>
      <w:r>
        <w:rPr>
          <w:b/>
          <w:bCs/>
          <w:noProof/>
        </w:rPr>
        <w:t>oljebaserade bränsleprodukter</w:t>
      </w:r>
      <w:r>
        <w:rPr>
          <w:noProof/>
        </w:rPr>
        <w:t xml:space="preserve"> (</w:t>
      </w:r>
      <w:r w:rsidR="00D20FF1">
        <w:rPr>
          <w:noProof/>
        </w:rPr>
        <w:t>Figur 12</w:t>
      </w:r>
      <w:r>
        <w:rPr>
          <w:noProof/>
        </w:rPr>
        <w:t>) följde nära prisutvecklingen för råolja och sjönk betydligt efter hösten 2022. Diesel och eldningsolja drabbades av kraftigare prisökningar, främst på grund av begränsad raffinaderikapacitet globalt.</w:t>
      </w:r>
    </w:p>
    <w:p w14:paraId="057560B0" w14:textId="133AA133" w:rsidR="008D40BE" w:rsidRPr="0067225E" w:rsidRDefault="008D40BE" w:rsidP="005E7F09">
      <w:pPr>
        <w:spacing w:after="0"/>
        <w:ind w:left="567"/>
        <w:jc w:val="center"/>
        <w:rPr>
          <w:rFonts w:ascii="Calibri" w:hAnsi="Calibri"/>
          <w:b/>
          <w:bCs/>
          <w:noProof/>
          <w:color w:val="005962"/>
          <w:sz w:val="16"/>
          <w:szCs w:val="16"/>
        </w:rPr>
      </w:pPr>
      <w:bookmarkStart w:id="23" w:name="_Ref161319734"/>
      <w:r>
        <w:rPr>
          <w:rFonts w:ascii="Calibri" w:hAnsi="Calibri"/>
          <w:b/>
          <w:noProof/>
          <w:color w:val="005962"/>
          <w:sz w:val="16"/>
        </w:rPr>
        <w:t xml:space="preserve">Figur </w:t>
      </w:r>
      <w:bookmarkEnd w:id="22"/>
      <w:bookmarkEnd w:id="23"/>
      <w:r w:rsidR="00D0170B">
        <w:rPr>
          <w:rFonts w:ascii="Calibri" w:hAnsi="Calibri"/>
          <w:b/>
          <w:noProof/>
          <w:color w:val="005962"/>
          <w:sz w:val="16"/>
        </w:rPr>
        <w:t>12</w:t>
      </w:r>
      <w:r>
        <w:rPr>
          <w:rFonts w:ascii="Calibri" w:hAnsi="Calibri"/>
          <w:b/>
          <w:noProof/>
          <w:color w:val="005962"/>
          <w:sz w:val="16"/>
        </w:rPr>
        <w:t>: Genomsnittligt årligt slutkundspris för oljeprodukter i EU-27 i euro2023/liter, exklusive skatter och tullar</w:t>
      </w:r>
    </w:p>
    <w:p w14:paraId="030B040D" w14:textId="104F017B" w:rsidR="008D40BE" w:rsidRPr="00E0141E" w:rsidRDefault="00D0170B" w:rsidP="00554EF3">
      <w:pPr>
        <w:spacing w:after="160" w:line="360" w:lineRule="auto"/>
        <w:ind w:left="567"/>
        <w:jc w:val="center"/>
        <w:rPr>
          <w:rFonts w:ascii="Calibri" w:hAnsi="Calibri"/>
          <w:i/>
          <w:noProof/>
          <w:sz w:val="14"/>
          <w:szCs w:val="14"/>
        </w:rPr>
      </w:pPr>
      <w:r w:rsidRPr="00D0170B">
        <w:rPr>
          <w:noProof/>
          <w:lang w:val="en-GB" w:eastAsia="en-GB"/>
        </w:rPr>
        <w:drawing>
          <wp:inline distT="0" distB="0" distL="0" distR="0" wp14:anchorId="33190C16" wp14:editId="01D21D0E">
            <wp:extent cx="5247503" cy="2975610"/>
            <wp:effectExtent l="0" t="0" r="0" b="0"/>
            <wp:docPr id="167833881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52613" cy="2978508"/>
                    </a:xfrm>
                    <a:prstGeom prst="rect">
                      <a:avLst/>
                    </a:prstGeom>
                    <a:noFill/>
                    <a:ln>
                      <a:noFill/>
                    </a:ln>
                  </pic:spPr>
                </pic:pic>
              </a:graphicData>
            </a:graphic>
          </wp:inline>
        </w:drawing>
      </w:r>
      <w:r w:rsidR="000234AC">
        <w:rPr>
          <w:rFonts w:ascii="Calibri" w:hAnsi="Calibri"/>
          <w:i/>
          <w:noProof/>
          <w:sz w:val="14"/>
        </w:rPr>
        <w:t>Källa: GD ENER ENERScope, baserat på observationsgruppen för energimarknadens databas.</w:t>
      </w:r>
    </w:p>
    <w:p w14:paraId="1E48C0D5" w14:textId="77777777" w:rsidR="008D40BE" w:rsidRPr="003814F5" w:rsidRDefault="008D40BE" w:rsidP="008D40BE">
      <w:pPr>
        <w:pStyle w:val="Heading1"/>
        <w:rPr>
          <w:noProof/>
        </w:rPr>
      </w:pPr>
      <w:r>
        <w:rPr>
          <w:noProof/>
        </w:rPr>
        <w:t>Utvecklingen av energikostnaderna</w:t>
      </w:r>
    </w:p>
    <w:p w14:paraId="681A70AF" w14:textId="77777777" w:rsidR="008D40BE" w:rsidRPr="003814F5" w:rsidRDefault="008D40BE" w:rsidP="008D40BE">
      <w:pPr>
        <w:pStyle w:val="Heading2"/>
        <w:rPr>
          <w:noProof/>
        </w:rPr>
      </w:pPr>
      <w:r>
        <w:rPr>
          <w:noProof/>
        </w:rPr>
        <w:t>Kostnadsutvecklingen för EU:s energiimport</w:t>
      </w:r>
    </w:p>
    <w:p w14:paraId="5961EA73" w14:textId="788105BA" w:rsidR="008D40BE" w:rsidRPr="003814F5" w:rsidRDefault="008D40BE" w:rsidP="008D40BE">
      <w:pPr>
        <w:pStyle w:val="BodyText"/>
        <w:spacing w:after="160"/>
        <w:jc w:val="both"/>
        <w:rPr>
          <w:noProof/>
        </w:rPr>
      </w:pPr>
      <w:r>
        <w:rPr>
          <w:noProof/>
        </w:rPr>
        <w:t>EU är nettoimportör av energi och var beroende av import för att täcka 63 % av energiförbrukningen år 2022. Kostnaderna för EU:s energiimport beror på mängden olika bränslen, bränslepriserna (vilka i ökande utsträckning fastställs på de globala marknaderna) och växelkursen mellan euron och US-dollarn. År 2022 uppgick kostnaderna för energiimporten uppskattningsvis till 600 miljarder euro (3,8 % av BNP i EU-27). Både olje- och gaspriserna bidrog till ökningen (</w:t>
      </w:r>
      <w:r w:rsidR="005C3851">
        <w:rPr>
          <w:noProof/>
        </w:rPr>
        <w:t>Figur 13</w:t>
      </w:r>
      <w:r>
        <w:rPr>
          <w:noProof/>
        </w:rPr>
        <w:t>).</w:t>
      </w:r>
    </w:p>
    <w:p w14:paraId="1C6C27CE" w14:textId="39852FA9" w:rsidR="008D40BE" w:rsidRDefault="00EE08F2" w:rsidP="008D40BE">
      <w:pPr>
        <w:pStyle w:val="BodyText"/>
        <w:spacing w:after="160"/>
        <w:jc w:val="both"/>
        <w:rPr>
          <w:noProof/>
        </w:rPr>
      </w:pPr>
      <w:bookmarkStart w:id="24" w:name="_Ref117758623"/>
      <w:bookmarkStart w:id="25" w:name="_Ref127184090"/>
      <w:r>
        <w:rPr>
          <w:noProof/>
        </w:rPr>
        <w:t>Efter prisnedgången minskade kostnaderna för energiimporten 2023 till uppskattningsvis 427 miljarder euro (2,5 % av EU:s BNP), främst på grund av lägre priser på naturgas och LNG. Kostnaderna för energiimporten är emellertid fortfarande betydligt högre än tidigare, och den kraftiga ökningen under 2021–2022 visar hur mycket priserna på fossila bränslen belastar EU:s ekonomi.</w:t>
      </w:r>
    </w:p>
    <w:p w14:paraId="69821A32" w14:textId="48D5277F" w:rsidR="00D0170B" w:rsidRDefault="00D0170B" w:rsidP="00D0170B">
      <w:pPr>
        <w:pStyle w:val="BodyText"/>
        <w:spacing w:after="160"/>
        <w:jc w:val="center"/>
        <w:rPr>
          <w:noProof/>
        </w:rPr>
      </w:pPr>
      <w:r>
        <w:rPr>
          <w:rFonts w:ascii="Calibri" w:hAnsi="Calibri"/>
          <w:b/>
          <w:noProof/>
          <w:color w:val="005962"/>
          <w:sz w:val="16"/>
        </w:rPr>
        <w:t>Figur 13: Uppskattad kostnadsutveckling för EU:s energiimport 2014–2024 (miljarder euro, % av EU:s BNP).</w:t>
      </w:r>
    </w:p>
    <w:p w14:paraId="7C3FBE22" w14:textId="133A13A7" w:rsidR="008D40BE" w:rsidRPr="003814F5" w:rsidRDefault="00D0170B" w:rsidP="00EE08F2">
      <w:pPr>
        <w:spacing w:after="0"/>
        <w:ind w:left="567"/>
        <w:jc w:val="center"/>
        <w:rPr>
          <w:rFonts w:ascii="Calibri" w:hAnsi="Calibri"/>
          <w:b/>
          <w:bCs/>
          <w:noProof/>
          <w:color w:val="005962"/>
          <w:sz w:val="16"/>
          <w:szCs w:val="16"/>
        </w:rPr>
      </w:pPr>
      <w:bookmarkStart w:id="26" w:name="_Ref157183809"/>
      <w:r w:rsidRPr="00D0170B">
        <w:rPr>
          <w:noProof/>
          <w:lang w:val="en-GB" w:eastAsia="en-GB"/>
        </w:rPr>
        <w:drawing>
          <wp:inline distT="0" distB="0" distL="0" distR="0" wp14:anchorId="33CDC606" wp14:editId="03CAC0CC">
            <wp:extent cx="5760720" cy="2787015"/>
            <wp:effectExtent l="0" t="0" r="0" b="0"/>
            <wp:docPr id="35594330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2787015"/>
                    </a:xfrm>
                    <a:prstGeom prst="rect">
                      <a:avLst/>
                    </a:prstGeom>
                    <a:noFill/>
                    <a:ln>
                      <a:noFill/>
                    </a:ln>
                  </pic:spPr>
                </pic:pic>
              </a:graphicData>
            </a:graphic>
          </wp:inline>
        </w:drawing>
      </w:r>
      <w:bookmarkEnd w:id="24"/>
      <w:bookmarkEnd w:id="25"/>
      <w:bookmarkEnd w:id="26"/>
    </w:p>
    <w:p w14:paraId="346E1650" w14:textId="69EE7A6B" w:rsidR="008D40BE" w:rsidRPr="00E6775B" w:rsidRDefault="008D40BE" w:rsidP="00357983">
      <w:pPr>
        <w:spacing w:after="160" w:line="360" w:lineRule="auto"/>
        <w:ind w:left="567"/>
        <w:jc w:val="center"/>
        <w:rPr>
          <w:rFonts w:ascii="Calibri" w:hAnsi="Calibri"/>
          <w:i/>
          <w:noProof/>
          <w:sz w:val="14"/>
          <w:szCs w:val="14"/>
        </w:rPr>
      </w:pPr>
      <w:r>
        <w:rPr>
          <w:rFonts w:ascii="Calibri" w:hAnsi="Calibri"/>
          <w:i/>
          <w:noProof/>
          <w:sz w:val="14"/>
        </w:rPr>
        <w:t>Källa: Eurostat Comext.</w:t>
      </w:r>
    </w:p>
    <w:p w14:paraId="7E5ACD8E" w14:textId="1A038F0C" w:rsidR="008D40BE" w:rsidRPr="003814F5" w:rsidRDefault="008D40BE" w:rsidP="008D40BE">
      <w:pPr>
        <w:pStyle w:val="BodyText"/>
        <w:spacing w:after="160"/>
        <w:jc w:val="both"/>
        <w:rPr>
          <w:noProof/>
        </w:rPr>
      </w:pPr>
      <w:r>
        <w:rPr>
          <w:noProof/>
        </w:rPr>
        <w:t>Med andra ord: om omställningen till ren energi hade påskyndats före krisen hade EU haft en mindre andel fossila bränslen i energimixen (den andelen var fortfarande 69 % 2022), och de europeiska energipriserna hade påverkats mycket mindre av de volatila priserna på fossila bränslen.</w:t>
      </w:r>
    </w:p>
    <w:p w14:paraId="7C8CC043" w14:textId="77777777" w:rsidR="008D40BE" w:rsidRPr="003814F5" w:rsidRDefault="008D40BE" w:rsidP="008D40BE">
      <w:pPr>
        <w:pStyle w:val="Heading2"/>
        <w:rPr>
          <w:noProof/>
        </w:rPr>
      </w:pPr>
      <w:r>
        <w:rPr>
          <w:noProof/>
        </w:rPr>
        <w:t>Hushållens energiutgifter</w:t>
      </w:r>
    </w:p>
    <w:p w14:paraId="3EB8B7F6" w14:textId="76BAE037" w:rsidR="008D40BE" w:rsidRDefault="008D40BE" w:rsidP="008D40BE">
      <w:pPr>
        <w:pStyle w:val="BodyText"/>
        <w:spacing w:after="160"/>
        <w:jc w:val="both"/>
        <w:rPr>
          <w:noProof/>
        </w:rPr>
      </w:pPr>
      <w:r>
        <w:rPr>
          <w:noProof/>
        </w:rPr>
        <w:t>De europeiska hushållens energiutgifter (fastställda utifrån slutkundspriserna och hushållens förbrukning) minskade för alla inkomstnivåer mellan 2012 och mitten av 2021, då trenden vände på grund av energikrisen. År 2020 spenderade låginkomsthushåll i Europa</w:t>
      </w:r>
      <w:r>
        <w:rPr>
          <w:rStyle w:val="FootnoteReference"/>
          <w:noProof/>
        </w:rPr>
        <w:footnoteReference w:id="20"/>
      </w:r>
      <w:r>
        <w:rPr>
          <w:noProof/>
        </w:rPr>
        <w:t xml:space="preserve"> i genomsnitt 7,3 % av sin totala budget på energi, vilket ökade till 7,5 % (1 250 euro) år 2022</w:t>
      </w:r>
      <w:r w:rsidR="00036E0D" w:rsidRPr="003814F5">
        <w:rPr>
          <w:rStyle w:val="FootnoteReference"/>
          <w:rFonts w:eastAsia="Calibri"/>
          <w:noProof/>
        </w:rPr>
        <w:footnoteReference w:id="21"/>
      </w:r>
      <w:r>
        <w:rPr>
          <w:noProof/>
        </w:rPr>
        <w:t>, med betydande skillnader mellan medlemsstaterna. Lägre medelinkomstshushåll och medelinkomsthushåll tenderar att ha högre energiutgifter i absoluta tal, men de utgör en mindre andel av hushållets budget. År 2022 spenderade dessa hushåll 6,9 % respektive 6,4 % av sin totala budget på energi (en minskning från 7,6 % respektive 6,9 % 2010).</w:t>
      </w:r>
    </w:p>
    <w:p w14:paraId="4F762851" w14:textId="41A5CED4" w:rsidR="008D40BE" w:rsidRDefault="008D40BE" w:rsidP="008D40BE">
      <w:pPr>
        <w:pStyle w:val="BodyText"/>
        <w:spacing w:after="160"/>
        <w:jc w:val="both"/>
        <w:rPr>
          <w:noProof/>
        </w:rPr>
      </w:pPr>
      <w:r>
        <w:rPr>
          <w:noProof/>
        </w:rPr>
        <w:t>Stigande energipriser, särskilt under andra halvåret 2021 och 2022, ledde till högre energikostnader för europeiska hushåll och ett ökande antal hushåll som hade svårt att tillgodose sitt energibehov. Energikostnadsökningarna under 2022 drabbade de mest utsatta hushållen oproportionerligt hårt. I alla medlemsstater kunde uppskattningsvis 10 % av hushållen inte hålla sina hem tillräckligt varma och hade obetalda elräkningar</w:t>
      </w:r>
      <w:r w:rsidR="002D37DD">
        <w:rPr>
          <w:rStyle w:val="FootnoteReference"/>
          <w:noProof/>
        </w:rPr>
        <w:footnoteReference w:id="22"/>
      </w:r>
      <w:r>
        <w:rPr>
          <w:noProof/>
        </w:rPr>
        <w:t>.</w:t>
      </w:r>
    </w:p>
    <w:p w14:paraId="02F57E00" w14:textId="08288BC9" w:rsidR="008D40BE" w:rsidRDefault="008D40BE" w:rsidP="008D40BE">
      <w:pPr>
        <w:pStyle w:val="BodyText"/>
        <w:spacing w:after="160"/>
        <w:jc w:val="both"/>
        <w:rPr>
          <w:noProof/>
        </w:rPr>
      </w:pPr>
      <w:r>
        <w:rPr>
          <w:noProof/>
        </w:rPr>
        <w:t xml:space="preserve">Ökningen av energikostnaderna </w:t>
      </w:r>
      <w:bookmarkStart w:id="27" w:name="_Int_cz518Wrg"/>
      <w:r>
        <w:rPr>
          <w:noProof/>
        </w:rPr>
        <w:t>berodde främst</w:t>
      </w:r>
      <w:bookmarkEnd w:id="27"/>
      <w:r>
        <w:rPr>
          <w:noProof/>
        </w:rPr>
        <w:t xml:space="preserve"> på priserna på naturgas, flytande bränslen och el och kunde inte uppvägas helt av hushållens ansträngningar för att minska energiförbrukningen. Nationella åtgärder till stöd för hushållens energiutgifter bidrog till att mildra effekterna av energikrisen, men mycket ofta var dessa åtgärder (t.ex. sänkta momssatser) inte särskilt inriktade på de mest utsatta hushållen.</w:t>
      </w:r>
    </w:p>
    <w:p w14:paraId="5799E09A" w14:textId="4FF1B4B4" w:rsidR="00590931" w:rsidRPr="003814F5" w:rsidRDefault="00590931" w:rsidP="00590931">
      <w:pPr>
        <w:pStyle w:val="BodyText"/>
        <w:spacing w:after="160"/>
        <w:jc w:val="both"/>
        <w:rPr>
          <w:noProof/>
        </w:rPr>
      </w:pPr>
      <w:bookmarkStart w:id="28" w:name="_Ref121479480"/>
      <w:bookmarkStart w:id="29" w:name="_Ref118980778"/>
      <w:r>
        <w:rPr>
          <w:noProof/>
        </w:rPr>
        <w:t>Hushållens situation varierade avsevärt mellan medlemsstaterna, både när det gäller utgifter i absoluta tal och som andel av de totala utgifterna.</w:t>
      </w:r>
    </w:p>
    <w:p w14:paraId="454A4D8F" w14:textId="142C5975" w:rsidR="00590931" w:rsidRPr="003814F5" w:rsidRDefault="00590931" w:rsidP="00590931">
      <w:pPr>
        <w:pStyle w:val="BodyText"/>
        <w:numPr>
          <w:ilvl w:val="0"/>
          <w:numId w:val="15"/>
        </w:numPr>
        <w:spacing w:after="160"/>
        <w:ind w:right="96"/>
        <w:jc w:val="both"/>
        <w:rPr>
          <w:noProof/>
        </w:rPr>
      </w:pPr>
      <w:r>
        <w:rPr>
          <w:noProof/>
        </w:rPr>
        <w:t xml:space="preserve">I relativa termer spenderade de fattigaste hushållen över 20 % av hushållsbudgeten på energi i Slovakien och över 15 % i Rumänien, medan motsvarande siffra var 5 % i Sverige, Malta, Finland och Luxemburg. </w:t>
      </w:r>
    </w:p>
    <w:p w14:paraId="4E8E4A14" w14:textId="2338E14F" w:rsidR="00590931" w:rsidRPr="003814F5" w:rsidRDefault="00590931" w:rsidP="00590931">
      <w:pPr>
        <w:pStyle w:val="BodyText"/>
        <w:numPr>
          <w:ilvl w:val="0"/>
          <w:numId w:val="15"/>
        </w:numPr>
        <w:spacing w:after="160"/>
        <w:ind w:right="96"/>
        <w:jc w:val="both"/>
        <w:rPr>
          <w:noProof/>
        </w:rPr>
      </w:pPr>
      <w:r>
        <w:rPr>
          <w:noProof/>
        </w:rPr>
        <w:t>I absoluta tal betalade låginkomsthushåll mindre än 500 euro för energiprodukter i Lettland och Rumänien, medan de betalade över 1 500 euro i Luxemburg och över 3 000 euro i Danmark.</w:t>
      </w:r>
    </w:p>
    <w:p w14:paraId="1EEF7FEC" w14:textId="0227BCCF" w:rsidR="008D40BE" w:rsidRPr="003814F5" w:rsidRDefault="008D40BE" w:rsidP="001B7B61">
      <w:pPr>
        <w:keepNext/>
        <w:keepLines/>
        <w:spacing w:after="0"/>
        <w:ind w:left="567"/>
        <w:jc w:val="center"/>
        <w:rPr>
          <w:rFonts w:ascii="Calibri" w:hAnsi="Calibri"/>
          <w:b/>
          <w:bCs/>
          <w:noProof/>
          <w:color w:val="005962"/>
          <w:sz w:val="16"/>
          <w:szCs w:val="16"/>
        </w:rPr>
      </w:pPr>
      <w:r>
        <w:rPr>
          <w:rFonts w:ascii="Calibri" w:hAnsi="Calibri"/>
          <w:b/>
          <w:noProof/>
          <w:color w:val="005962"/>
          <w:sz w:val="16"/>
        </w:rPr>
        <w:t xml:space="preserve">Figur </w:t>
      </w:r>
      <w:bookmarkEnd w:id="28"/>
      <w:r w:rsidR="006A3E96">
        <w:rPr>
          <w:rFonts w:ascii="Calibri" w:hAnsi="Calibri"/>
          <w:b/>
          <w:noProof/>
          <w:color w:val="005962"/>
          <w:sz w:val="16"/>
        </w:rPr>
        <w:t>14</w:t>
      </w:r>
      <w:r>
        <w:rPr>
          <w:rFonts w:ascii="Calibri" w:hAnsi="Calibri"/>
          <w:b/>
          <w:noProof/>
          <w:color w:val="005962"/>
          <w:sz w:val="16"/>
        </w:rPr>
        <w:t xml:space="preserve">: </w:t>
      </w:r>
      <w:bookmarkEnd w:id="29"/>
      <w:r>
        <w:rPr>
          <w:rFonts w:ascii="Calibri" w:hAnsi="Calibri"/>
          <w:b/>
          <w:noProof/>
          <w:color w:val="005962"/>
          <w:sz w:val="16"/>
        </w:rPr>
        <w:t>Energikostnadernas andel av de totala konsumtionsutgifterna per inkomstgrupp av medlemsstaterna i EU-27</w:t>
      </w:r>
    </w:p>
    <w:p w14:paraId="650B43DF" w14:textId="29B99D85" w:rsidR="008D40BE" w:rsidRPr="0048224A" w:rsidRDefault="00146379" w:rsidP="009B1DD3">
      <w:pPr>
        <w:spacing w:after="160" w:line="360" w:lineRule="auto"/>
        <w:ind w:left="567"/>
        <w:jc w:val="center"/>
        <w:rPr>
          <w:rFonts w:ascii="Calibri" w:hAnsi="Calibri"/>
          <w:i/>
          <w:noProof/>
          <w:sz w:val="14"/>
          <w:szCs w:val="14"/>
        </w:rPr>
      </w:pPr>
      <w:r w:rsidRPr="00146379">
        <w:rPr>
          <w:noProof/>
          <w:lang w:val="en-GB" w:eastAsia="en-GB"/>
        </w:rPr>
        <w:drawing>
          <wp:inline distT="0" distB="0" distL="0" distR="0" wp14:anchorId="1D33A76A" wp14:editId="7FC7A95F">
            <wp:extent cx="5760720" cy="3759200"/>
            <wp:effectExtent l="0" t="0" r="0" b="0"/>
            <wp:docPr id="6672750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3759200"/>
                    </a:xfrm>
                    <a:prstGeom prst="rect">
                      <a:avLst/>
                    </a:prstGeom>
                    <a:noFill/>
                    <a:ln>
                      <a:noFill/>
                    </a:ln>
                  </pic:spPr>
                </pic:pic>
              </a:graphicData>
            </a:graphic>
          </wp:inline>
        </w:drawing>
      </w:r>
      <w:r w:rsidR="000234AC">
        <w:rPr>
          <w:rFonts w:ascii="Calibri" w:hAnsi="Calibri"/>
          <w:i/>
          <w:noProof/>
          <w:sz w:val="14"/>
        </w:rPr>
        <w:t>Källa: Trinomics m.fl. (2024), baserat på särskild insamling av uppgifter om hushållens konsumtionsutgifter.</w:t>
      </w:r>
    </w:p>
    <w:p w14:paraId="30128B1A" w14:textId="41D9B853" w:rsidR="008D40BE" w:rsidRDefault="008D40BE" w:rsidP="008D40BE">
      <w:pPr>
        <w:pStyle w:val="BodyText"/>
        <w:spacing w:after="160"/>
        <w:jc w:val="both"/>
        <w:rPr>
          <w:noProof/>
        </w:rPr>
      </w:pPr>
      <w:r>
        <w:rPr>
          <w:noProof/>
        </w:rPr>
        <w:t>När det gäller konsumenternas val var el fortfarande den dyraste energibäraren 2023 (289 euro/MWh) (</w:t>
      </w:r>
      <w:r>
        <w:rPr>
          <w:noProof/>
        </w:rPr>
        <w:fldChar w:fldCharType="begin"/>
      </w:r>
      <w:r>
        <w:rPr>
          <w:noProof/>
        </w:rPr>
        <w:instrText xml:space="preserve"> REF _Ref150507242 \h  \* MERGEFORMAT </w:instrText>
      </w:r>
      <w:r>
        <w:rPr>
          <w:noProof/>
        </w:rPr>
      </w:r>
      <w:r>
        <w:rPr>
          <w:noProof/>
        </w:rPr>
        <w:fldChar w:fldCharType="separate"/>
      </w:r>
      <w:r w:rsidR="00073647" w:rsidRPr="00073647">
        <w:rPr>
          <w:noProof/>
        </w:rPr>
        <w:t>Tabell 1</w:t>
      </w:r>
      <w:r>
        <w:rPr>
          <w:noProof/>
        </w:rPr>
        <w:fldChar w:fldCharType="end"/>
      </w:r>
      <w:r>
        <w:rPr>
          <w:noProof/>
        </w:rPr>
        <w:t>). I jämförelse utgjorde både naturgas (116 euro/MWh) och eldningsolja (116 euro/MWh) billigare alternativ för rumsuppvärmning. Trots kostnadsskillnaden för energitillförseln kan värmepumpar konkurrera med olje- och gaspannor när det gäller genomsnittliga driftskostnader i EU, eftersom de är mycket effektivare när det gäller att producera värme. På liknande sätt använder elfordon energitillförseln mycket effektivare och erbjuder redan mycket lägre driftskostnader, särskilt med dynamiska elpriser. De inledande investeringskostnaderna för värmepumpar och elbilar kan emellertid fortfarande hindra ett brett införande. I det reviderade energiskattedirektivet föreslås betydligt lägre minimiskattesatser för el</w:t>
      </w:r>
      <w:r w:rsidR="00BB7E38">
        <w:rPr>
          <w:rStyle w:val="FootnoteReference"/>
          <w:noProof/>
        </w:rPr>
        <w:footnoteReference w:id="23"/>
      </w:r>
      <w:r>
        <w:rPr>
          <w:noProof/>
        </w:rPr>
        <w:t>, vilket ger medlemsstaterna möjlighet att sänka elskatterna (och elpriserna) och stödja elektrifiering inom uppvärmning och transport. Medlemsstaterna kommer också att ha möjlighet att undanta hushåll från elskatt och därmed ge ytterligare stöd till elektrifiering.</w:t>
      </w:r>
    </w:p>
    <w:p w14:paraId="526F227C" w14:textId="707245F2" w:rsidR="008D40BE" w:rsidRPr="007224D2" w:rsidRDefault="008D40BE" w:rsidP="004377B5">
      <w:pPr>
        <w:keepNext/>
        <w:spacing w:after="120"/>
        <w:rPr>
          <w:rFonts w:ascii="Times New Roman" w:hAnsi="Times New Roman" w:cs="Times New Roman"/>
          <w:b/>
          <w:bCs/>
          <w:noProof/>
          <w:color w:val="005962"/>
          <w:sz w:val="20"/>
          <w:szCs w:val="18"/>
        </w:rPr>
      </w:pPr>
      <w:bookmarkStart w:id="30" w:name="_Ref127185261"/>
      <w:bookmarkStart w:id="31" w:name="_Ref150507242"/>
      <w:r>
        <w:rPr>
          <w:rFonts w:ascii="Times New Roman" w:hAnsi="Times New Roman"/>
          <w:b/>
          <w:noProof/>
          <w:color w:val="005962"/>
          <w:sz w:val="20"/>
        </w:rPr>
        <w:t xml:space="preserve">Tabell </w:t>
      </w:r>
      <w:bookmarkEnd w:id="30"/>
      <w:r w:rsidRPr="007224D2">
        <w:rPr>
          <w:rFonts w:ascii="Times New Roman" w:hAnsi="Times New Roman" w:cs="Times New Roman"/>
          <w:b/>
          <w:noProof/>
          <w:color w:val="005962"/>
          <w:sz w:val="20"/>
          <w:shd w:val="clear" w:color="auto" w:fill="E6E6E6"/>
        </w:rPr>
        <w:fldChar w:fldCharType="begin"/>
      </w:r>
      <w:r w:rsidRPr="007224D2">
        <w:rPr>
          <w:rFonts w:ascii="Times New Roman" w:hAnsi="Times New Roman" w:cs="Times New Roman"/>
          <w:b/>
          <w:noProof/>
          <w:color w:val="005962"/>
          <w:sz w:val="20"/>
        </w:rPr>
        <w:instrText xml:space="preserve"> SEQ Table \* ARABIC </w:instrText>
      </w:r>
      <w:r w:rsidRPr="007224D2">
        <w:rPr>
          <w:rFonts w:ascii="Times New Roman" w:hAnsi="Times New Roman" w:cs="Times New Roman"/>
          <w:b/>
          <w:noProof/>
          <w:color w:val="005962"/>
          <w:sz w:val="20"/>
          <w:shd w:val="clear" w:color="auto" w:fill="E6E6E6"/>
        </w:rPr>
        <w:fldChar w:fldCharType="separate"/>
      </w:r>
      <w:r w:rsidR="00073647">
        <w:rPr>
          <w:rFonts w:ascii="Times New Roman" w:hAnsi="Times New Roman" w:cs="Times New Roman"/>
          <w:b/>
          <w:noProof/>
          <w:color w:val="005962"/>
          <w:sz w:val="20"/>
        </w:rPr>
        <w:t>1</w:t>
      </w:r>
      <w:r w:rsidRPr="007224D2">
        <w:rPr>
          <w:rFonts w:ascii="Times New Roman" w:hAnsi="Times New Roman" w:cs="Times New Roman"/>
          <w:b/>
          <w:noProof/>
          <w:color w:val="005962"/>
          <w:sz w:val="20"/>
          <w:shd w:val="clear" w:color="auto" w:fill="E6E6E6"/>
        </w:rPr>
        <w:fldChar w:fldCharType="end"/>
      </w:r>
      <w:bookmarkEnd w:id="31"/>
      <w:r>
        <w:rPr>
          <w:rFonts w:ascii="Times New Roman" w:hAnsi="Times New Roman"/>
          <w:b/>
          <w:noProof/>
          <w:color w:val="005962"/>
          <w:sz w:val="20"/>
        </w:rPr>
        <w:t>: Jämförelse mellan olika energialternativ för hushåll i EU per MWh</w:t>
      </w:r>
    </w:p>
    <w:p w14:paraId="3C1ECC2D" w14:textId="34916577" w:rsidR="008D40BE" w:rsidRPr="003814F5" w:rsidRDefault="00927960" w:rsidP="008D40BE">
      <w:pPr>
        <w:pStyle w:val="BodyText2"/>
        <w:rPr>
          <w:noProof/>
        </w:rPr>
      </w:pPr>
      <w:r w:rsidRPr="00927960">
        <w:rPr>
          <w:noProof/>
          <w:lang w:val="en-GB" w:eastAsia="en-GB"/>
        </w:rPr>
        <w:drawing>
          <wp:inline distT="0" distB="0" distL="0" distR="0" wp14:anchorId="046D066D" wp14:editId="1801F023">
            <wp:extent cx="5760720" cy="1138555"/>
            <wp:effectExtent l="0" t="0" r="0" b="4445"/>
            <wp:docPr id="1728427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1138555"/>
                    </a:xfrm>
                    <a:prstGeom prst="rect">
                      <a:avLst/>
                    </a:prstGeom>
                    <a:noFill/>
                    <a:ln>
                      <a:noFill/>
                    </a:ln>
                  </pic:spPr>
                </pic:pic>
              </a:graphicData>
            </a:graphic>
          </wp:inline>
        </w:drawing>
      </w:r>
      <w:r w:rsidR="0020242D">
        <w:rPr>
          <w:noProof/>
        </w:rPr>
        <w:t>Källa: Eurostat, för el NRG_PC_204 och NRG_PC_204_C, uppgifter för första halvåret, för gas NRG_PC_202 och NRG_PC_202_C, uppgifter för första halvåret GD ENER Weekly Oil Bulletin (för oljeprodukter), uppgifter för 2023. Omräkningen av bensin till MWh gjordes med en faktor på 1 000 l = 8,9 MWh. Omräkningen av diesel och eldningsolja till MWh gjordes med en faktor på 1 000 l = 10 MWh.</w:t>
      </w:r>
    </w:p>
    <w:p w14:paraId="048BA667" w14:textId="77777777" w:rsidR="008D40BE" w:rsidRPr="003814F5" w:rsidRDefault="008D40BE" w:rsidP="008D40BE">
      <w:pPr>
        <w:pStyle w:val="Heading2"/>
        <w:rPr>
          <w:noProof/>
        </w:rPr>
      </w:pPr>
      <w:r>
        <w:rPr>
          <w:noProof/>
        </w:rPr>
        <w:t>Industrins energikostnader</w:t>
      </w:r>
    </w:p>
    <w:p w14:paraId="50BE4B8E" w14:textId="067379CB" w:rsidR="00A749D4" w:rsidRDefault="00A749D4" w:rsidP="008D40BE">
      <w:pPr>
        <w:pStyle w:val="BodyText"/>
        <w:spacing w:after="160"/>
        <w:jc w:val="both"/>
        <w:rPr>
          <w:noProof/>
        </w:rPr>
      </w:pPr>
      <w:r>
        <w:rPr>
          <w:noProof/>
        </w:rPr>
        <w:t xml:space="preserve">Energi har avgörande betydelse för den ekonomiska verksamheten och energikostnaderna spelar en viktig roll för att fastställa den europeiska industrins konkurrenskraft. Även om el- och naturgaspriserna sjönk under 2023 från 2022 års nivåer, var energikostnaderna för EU:s industrier fortfarande betydligt högre än före covid-19-pandemin och nivåerna före krisen. De högsta energikostnaderna (kombinerade el- och naturgaskostnader) registrerades i elintensiva sektorer , t.ex. för </w:t>
      </w:r>
      <w:r>
        <w:rPr>
          <w:i/>
          <w:iCs/>
          <w:noProof/>
        </w:rPr>
        <w:t xml:space="preserve">primärt aluminium </w:t>
      </w:r>
      <w:r>
        <w:rPr>
          <w:noProof/>
        </w:rPr>
        <w:t xml:space="preserve">(38 %) och </w:t>
      </w:r>
      <w:r>
        <w:rPr>
          <w:i/>
          <w:iCs/>
          <w:noProof/>
        </w:rPr>
        <w:t>ferrolegeringar och kisel</w:t>
      </w:r>
      <w:r>
        <w:rPr>
          <w:noProof/>
        </w:rPr>
        <w:t xml:space="preserve"> (29 %). Efter dessa följer sektorerna för </w:t>
      </w:r>
      <w:r>
        <w:rPr>
          <w:i/>
          <w:iCs/>
          <w:noProof/>
        </w:rPr>
        <w:t>planglas</w:t>
      </w:r>
      <w:r>
        <w:rPr>
          <w:noProof/>
        </w:rPr>
        <w:t xml:space="preserve"> (25 %) och </w:t>
      </w:r>
      <w:r>
        <w:rPr>
          <w:i/>
          <w:iCs/>
          <w:noProof/>
        </w:rPr>
        <w:t>gruvdrift</w:t>
      </w:r>
      <w:r>
        <w:rPr>
          <w:noProof/>
        </w:rPr>
        <w:t xml:space="preserve"> (20 %) som båda har en relativt hög andel gas- och elkostnader.</w:t>
      </w:r>
    </w:p>
    <w:p w14:paraId="7CA59596" w14:textId="701B0677" w:rsidR="00BB7E38" w:rsidRDefault="008D40BE" w:rsidP="008D40BE">
      <w:pPr>
        <w:pStyle w:val="BodyText"/>
        <w:spacing w:after="160"/>
        <w:jc w:val="both"/>
        <w:rPr>
          <w:noProof/>
        </w:rPr>
      </w:pPr>
      <w:r>
        <w:rPr>
          <w:noProof/>
        </w:rPr>
        <w:t xml:space="preserve">För ett genomsnittligt europeiskt företag motsvarar energikostnaderna mellan 1–3 % av de totala produktionskostnaderna. För energiintensiva sektorer (t.ex. för </w:t>
      </w:r>
      <w:r>
        <w:rPr>
          <w:i/>
          <w:iCs/>
          <w:noProof/>
        </w:rPr>
        <w:t>pappersmassa och papper</w:t>
      </w:r>
      <w:r>
        <w:rPr>
          <w:noProof/>
        </w:rPr>
        <w:t xml:space="preserve">, </w:t>
      </w:r>
      <w:r>
        <w:rPr>
          <w:i/>
          <w:iCs/>
          <w:noProof/>
        </w:rPr>
        <w:t>baskemikalier</w:t>
      </w:r>
      <w:r>
        <w:rPr>
          <w:noProof/>
        </w:rPr>
        <w:t xml:space="preserve">, </w:t>
      </w:r>
      <w:r>
        <w:rPr>
          <w:i/>
          <w:iCs/>
          <w:noProof/>
        </w:rPr>
        <w:t>konstfibrer</w:t>
      </w:r>
      <w:r>
        <w:rPr>
          <w:noProof/>
        </w:rPr>
        <w:t xml:space="preserve">, </w:t>
      </w:r>
      <w:r>
        <w:rPr>
          <w:i/>
          <w:iCs/>
          <w:noProof/>
        </w:rPr>
        <w:t>glas</w:t>
      </w:r>
      <w:r>
        <w:rPr>
          <w:noProof/>
        </w:rPr>
        <w:t xml:space="preserve">, </w:t>
      </w:r>
      <w:r>
        <w:rPr>
          <w:i/>
          <w:iCs/>
          <w:noProof/>
        </w:rPr>
        <w:t>byggmaterial av lergods</w:t>
      </w:r>
      <w:r>
        <w:rPr>
          <w:noProof/>
        </w:rPr>
        <w:t xml:space="preserve">, </w:t>
      </w:r>
      <w:r>
        <w:rPr>
          <w:i/>
          <w:iCs/>
          <w:noProof/>
        </w:rPr>
        <w:t>cement, kalk och gips</w:t>
      </w:r>
      <w:r>
        <w:rPr>
          <w:noProof/>
        </w:rPr>
        <w:t xml:space="preserve"> samt</w:t>
      </w:r>
      <w:r>
        <w:rPr>
          <w:i/>
          <w:iCs/>
          <w:noProof/>
        </w:rPr>
        <w:t xml:space="preserve"> järn och stål</w:t>
      </w:r>
      <w:r>
        <w:rPr>
          <w:noProof/>
        </w:rPr>
        <w:t>) uppgår energikostnaderna till mellan 5–10 % av de totala produktionskostnaderna, vilket gör dem särskilt sårbara för prisökningar och importkonkurrens (</w:t>
      </w:r>
      <w:r w:rsidR="000816E0">
        <w:rPr>
          <w:noProof/>
        </w:rPr>
        <w:t>Figur 15</w:t>
      </w:r>
      <w:r>
        <w:rPr>
          <w:noProof/>
        </w:rPr>
        <w:t>).</w:t>
      </w:r>
    </w:p>
    <w:p w14:paraId="4054441B" w14:textId="77777777" w:rsidR="00370174" w:rsidRDefault="00370174" w:rsidP="008D40BE">
      <w:pPr>
        <w:pStyle w:val="BodyText"/>
        <w:spacing w:after="160"/>
        <w:jc w:val="both"/>
        <w:rPr>
          <w:noProof/>
        </w:rPr>
      </w:pPr>
    </w:p>
    <w:p w14:paraId="68D1EDE3" w14:textId="77777777" w:rsidR="00370174" w:rsidRDefault="00370174" w:rsidP="008D40BE">
      <w:pPr>
        <w:pStyle w:val="BodyText"/>
        <w:spacing w:after="160"/>
        <w:jc w:val="both"/>
        <w:rPr>
          <w:noProof/>
        </w:rPr>
      </w:pPr>
    </w:p>
    <w:p w14:paraId="0CB9B32F" w14:textId="77777777" w:rsidR="00370174" w:rsidRDefault="00370174" w:rsidP="008D40BE">
      <w:pPr>
        <w:pStyle w:val="BodyText"/>
        <w:spacing w:after="160"/>
        <w:jc w:val="both"/>
        <w:rPr>
          <w:noProof/>
        </w:rPr>
      </w:pPr>
    </w:p>
    <w:p w14:paraId="0273CF8A" w14:textId="77777777" w:rsidR="00370174" w:rsidRDefault="00370174" w:rsidP="008D40BE">
      <w:pPr>
        <w:pStyle w:val="BodyText"/>
        <w:spacing w:after="160"/>
        <w:jc w:val="both"/>
        <w:rPr>
          <w:noProof/>
        </w:rPr>
      </w:pPr>
    </w:p>
    <w:p w14:paraId="46710D1B" w14:textId="77777777" w:rsidR="00370174" w:rsidRDefault="00370174" w:rsidP="008D40BE">
      <w:pPr>
        <w:pStyle w:val="BodyText"/>
        <w:spacing w:after="160"/>
        <w:jc w:val="both"/>
        <w:rPr>
          <w:noProof/>
        </w:rPr>
      </w:pPr>
    </w:p>
    <w:p w14:paraId="6D7A5741" w14:textId="77777777" w:rsidR="00370174" w:rsidRDefault="00370174" w:rsidP="008D40BE">
      <w:pPr>
        <w:pStyle w:val="BodyText"/>
        <w:spacing w:after="160"/>
        <w:jc w:val="both"/>
        <w:rPr>
          <w:noProof/>
        </w:rPr>
      </w:pPr>
    </w:p>
    <w:p w14:paraId="01B22818" w14:textId="77777777" w:rsidR="00370174" w:rsidRDefault="00370174" w:rsidP="008D40BE">
      <w:pPr>
        <w:pStyle w:val="BodyText"/>
        <w:spacing w:after="160"/>
        <w:jc w:val="both"/>
        <w:rPr>
          <w:noProof/>
        </w:rPr>
      </w:pPr>
    </w:p>
    <w:p w14:paraId="0CB7961D" w14:textId="77777777" w:rsidR="00370174" w:rsidRDefault="00370174" w:rsidP="008D40BE">
      <w:pPr>
        <w:pStyle w:val="BodyText"/>
        <w:spacing w:after="160"/>
        <w:jc w:val="both"/>
        <w:rPr>
          <w:noProof/>
        </w:rPr>
      </w:pPr>
    </w:p>
    <w:p w14:paraId="6839E323" w14:textId="77777777" w:rsidR="00370174" w:rsidRDefault="00370174" w:rsidP="008D40BE">
      <w:pPr>
        <w:pStyle w:val="BodyText"/>
        <w:spacing w:after="160"/>
        <w:jc w:val="both"/>
        <w:rPr>
          <w:noProof/>
        </w:rPr>
      </w:pPr>
    </w:p>
    <w:p w14:paraId="14F7CB15" w14:textId="77777777" w:rsidR="00370174" w:rsidRDefault="00370174" w:rsidP="008D40BE">
      <w:pPr>
        <w:pStyle w:val="BodyText"/>
        <w:spacing w:after="160"/>
        <w:jc w:val="both"/>
        <w:rPr>
          <w:noProof/>
        </w:rPr>
      </w:pPr>
    </w:p>
    <w:p w14:paraId="53B94BFF" w14:textId="06A55A92" w:rsidR="00BB7E38" w:rsidRPr="00073647" w:rsidRDefault="00BB7E38">
      <w:pPr>
        <w:rPr>
          <w:rFonts w:ascii="Times New Roman" w:eastAsia="Times New Roman" w:hAnsi="Times New Roman" w:cs="Times New Roman"/>
          <w:noProof/>
          <w:kern w:val="0"/>
          <w:sz w:val="24"/>
          <w:szCs w:val="24"/>
          <w:lang w:eastAsia="en-GB" w:bidi="en-GB"/>
          <w14:ligatures w14:val="none"/>
        </w:rPr>
      </w:pPr>
    </w:p>
    <w:p w14:paraId="08083D7C" w14:textId="77777777" w:rsidR="00BB7E38" w:rsidRPr="00073647" w:rsidRDefault="00BB7E38">
      <w:pPr>
        <w:rPr>
          <w:rFonts w:ascii="Times New Roman" w:eastAsia="Times New Roman" w:hAnsi="Times New Roman" w:cs="Times New Roman"/>
          <w:noProof/>
          <w:kern w:val="0"/>
          <w:sz w:val="24"/>
          <w:szCs w:val="24"/>
          <w:lang w:eastAsia="en-GB" w:bidi="en-GB"/>
          <w14:ligatures w14:val="none"/>
        </w:rPr>
      </w:pPr>
    </w:p>
    <w:p w14:paraId="0180C9EA" w14:textId="77777777" w:rsidR="00BB7E38" w:rsidRPr="00073647" w:rsidRDefault="00BB7E38">
      <w:pPr>
        <w:rPr>
          <w:rFonts w:ascii="Times New Roman" w:eastAsia="Times New Roman" w:hAnsi="Times New Roman" w:cs="Times New Roman"/>
          <w:noProof/>
          <w:kern w:val="0"/>
          <w:sz w:val="24"/>
          <w:szCs w:val="24"/>
          <w:lang w:eastAsia="en-GB" w:bidi="en-GB"/>
          <w14:ligatures w14:val="none"/>
        </w:rPr>
      </w:pPr>
    </w:p>
    <w:p w14:paraId="41495898" w14:textId="2595DF92" w:rsidR="000B44BE" w:rsidRPr="00370174" w:rsidRDefault="00370174" w:rsidP="00370174">
      <w:pPr>
        <w:tabs>
          <w:tab w:val="left" w:pos="1134"/>
          <w:tab w:val="left" w:pos="1276"/>
        </w:tabs>
        <w:spacing w:after="0" w:line="240" w:lineRule="auto"/>
        <w:ind w:left="567"/>
        <w:jc w:val="center"/>
        <w:rPr>
          <w:rFonts w:cstheme="minorHAnsi"/>
          <w:b/>
          <w:bCs/>
          <w:noProof/>
          <w:color w:val="005962"/>
          <w:sz w:val="16"/>
          <w:szCs w:val="16"/>
        </w:rPr>
      </w:pPr>
      <w:bookmarkStart w:id="32" w:name="_Ref182300433"/>
      <w:r>
        <w:rPr>
          <w:b/>
          <w:noProof/>
          <w:color w:val="005962"/>
          <w:sz w:val="16"/>
        </w:rPr>
        <w:t xml:space="preserve">Figur </w:t>
      </w:r>
      <w:bookmarkEnd w:id="32"/>
      <w:r>
        <w:rPr>
          <w:rFonts w:cstheme="minorHAnsi"/>
          <w:b/>
          <w:noProof/>
          <w:color w:val="005962"/>
          <w:sz w:val="16"/>
        </w:rPr>
        <w:t>15</w:t>
      </w:r>
      <w:r>
        <w:rPr>
          <w:b/>
          <w:noProof/>
          <w:color w:val="005962"/>
          <w:sz w:val="16"/>
        </w:rPr>
        <w:t>: Uppskattade energikostnader (som andel av produktionskostnaderna) för tillverkningssektorer 2021–2023, EU-genomsnitt</w:t>
      </w:r>
    </w:p>
    <w:p w14:paraId="54D50838" w14:textId="1C0E7707" w:rsidR="00EA6B68" w:rsidRPr="00990CAF" w:rsidRDefault="00370174" w:rsidP="004277CF">
      <w:pPr>
        <w:pStyle w:val="Caption"/>
        <w:keepNext/>
        <w:spacing w:after="160" w:line="240" w:lineRule="auto"/>
        <w:jc w:val="center"/>
        <w:rPr>
          <w:rFonts w:ascii="Calibri" w:hAnsi="Calibri"/>
          <w:noProof/>
          <w:sz w:val="14"/>
          <w:szCs w:val="14"/>
        </w:rPr>
      </w:pPr>
      <w:r w:rsidRPr="00370174">
        <w:rPr>
          <w:noProof/>
          <w:lang w:val="en-GB" w:eastAsia="en-GB"/>
        </w:rPr>
        <w:drawing>
          <wp:inline distT="0" distB="0" distL="0" distR="0" wp14:anchorId="39789489" wp14:editId="3597CFDF">
            <wp:extent cx="5760720" cy="2570480"/>
            <wp:effectExtent l="0" t="0" r="0" b="1270"/>
            <wp:docPr id="99291550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720" cy="2570480"/>
                    </a:xfrm>
                    <a:prstGeom prst="rect">
                      <a:avLst/>
                    </a:prstGeom>
                    <a:noFill/>
                    <a:ln>
                      <a:noFill/>
                    </a:ln>
                  </pic:spPr>
                </pic:pic>
              </a:graphicData>
            </a:graphic>
          </wp:inline>
        </w:drawing>
      </w:r>
      <w:r w:rsidR="00611DA1">
        <w:rPr>
          <w:rFonts w:ascii="Calibri" w:hAnsi="Calibri"/>
          <w:noProof/>
          <w:sz w:val="14"/>
        </w:rPr>
        <w:t>Källa: Trinomics m.fl. (2024), baserat på uppgifter från industrianläggningar.</w:t>
      </w:r>
    </w:p>
    <w:p w14:paraId="1E0733D9" w14:textId="1E21043C" w:rsidR="0063053E" w:rsidRDefault="0063053E" w:rsidP="002800CF">
      <w:pPr>
        <w:pStyle w:val="BodyText"/>
        <w:spacing w:after="160"/>
        <w:jc w:val="both"/>
        <w:rPr>
          <w:noProof/>
        </w:rPr>
      </w:pPr>
    </w:p>
    <w:p w14:paraId="177BCB39" w14:textId="2FC119CA" w:rsidR="002800CF" w:rsidRDefault="00D544D6" w:rsidP="002800CF">
      <w:pPr>
        <w:pStyle w:val="BodyText"/>
        <w:spacing w:after="160"/>
        <w:jc w:val="both"/>
        <w:rPr>
          <w:noProof/>
        </w:rPr>
      </w:pPr>
      <w:r>
        <w:rPr>
          <w:noProof/>
        </w:rPr>
        <w:t xml:space="preserve">I de flesta sektorer rapporteras energikostnaderna ha ökat under 2022 och 2023 jämfört med 2021, vilket är särskilt kännbart inom de energiintensiva sektorerna (t.ex. för </w:t>
      </w:r>
      <w:r>
        <w:rPr>
          <w:i/>
          <w:iCs/>
          <w:noProof/>
        </w:rPr>
        <w:t>pappersmassa och papper</w:t>
      </w:r>
      <w:r>
        <w:rPr>
          <w:noProof/>
        </w:rPr>
        <w:t xml:space="preserve">, </w:t>
      </w:r>
      <w:r>
        <w:rPr>
          <w:i/>
          <w:iCs/>
          <w:noProof/>
        </w:rPr>
        <w:t>konstfibrer</w:t>
      </w:r>
      <w:r>
        <w:rPr>
          <w:noProof/>
        </w:rPr>
        <w:t xml:space="preserve">, </w:t>
      </w:r>
      <w:r>
        <w:rPr>
          <w:i/>
          <w:iCs/>
          <w:noProof/>
        </w:rPr>
        <w:t>glas</w:t>
      </w:r>
      <w:r>
        <w:rPr>
          <w:noProof/>
        </w:rPr>
        <w:t xml:space="preserve">, </w:t>
      </w:r>
      <w:r>
        <w:rPr>
          <w:i/>
          <w:iCs/>
          <w:noProof/>
        </w:rPr>
        <w:t>byggmaterial av lergods</w:t>
      </w:r>
      <w:r>
        <w:rPr>
          <w:noProof/>
        </w:rPr>
        <w:t>,</w:t>
      </w:r>
      <w:r>
        <w:rPr>
          <w:i/>
          <w:iCs/>
          <w:noProof/>
        </w:rPr>
        <w:t xml:space="preserve"> cement, kalk och gips</w:t>
      </w:r>
      <w:r>
        <w:rPr>
          <w:noProof/>
        </w:rPr>
        <w:t xml:space="preserve">, </w:t>
      </w:r>
      <w:r>
        <w:rPr>
          <w:i/>
          <w:iCs/>
          <w:noProof/>
        </w:rPr>
        <w:t>järn och stål</w:t>
      </w:r>
      <w:r>
        <w:rPr>
          <w:noProof/>
        </w:rPr>
        <w:t xml:space="preserve"> samt </w:t>
      </w:r>
      <w:r>
        <w:rPr>
          <w:i/>
          <w:iCs/>
          <w:noProof/>
        </w:rPr>
        <w:t>icke-järnmetaller</w:t>
      </w:r>
      <w:r>
        <w:rPr>
          <w:noProof/>
        </w:rPr>
        <w:t>).</w:t>
      </w:r>
    </w:p>
    <w:p w14:paraId="082E7A12" w14:textId="1D3D57F3" w:rsidR="008D40BE" w:rsidRDefault="008D40BE" w:rsidP="008D40BE">
      <w:pPr>
        <w:pStyle w:val="BodyText"/>
        <w:spacing w:after="160"/>
        <w:jc w:val="both"/>
        <w:rPr>
          <w:noProof/>
        </w:rPr>
      </w:pPr>
      <w:r>
        <w:rPr>
          <w:noProof/>
        </w:rPr>
        <w:t xml:space="preserve">Ur ett internationellt perspektiv har tillverkningssektorerna i vissa G20-länder utanför EU ofta lägre energikostnader tack vare i) relativt större tillgång till inhemska energikällor med stor produktion, ii) skillnader i nationell politik, särskilt i fråga om energisubventioner och statliga stödåtgärder. Energiintensiteten inom EU:s industri är generellt jämförbar eller lägre än hos EU:s viktigaste handelspartner (med undantag för </w:t>
      </w:r>
      <w:r>
        <w:rPr>
          <w:i/>
          <w:iCs/>
          <w:noProof/>
        </w:rPr>
        <w:t>pappersmasse- och pappersindustrin</w:t>
      </w:r>
      <w:r>
        <w:rPr>
          <w:noProof/>
        </w:rPr>
        <w:t xml:space="preserve"> och </w:t>
      </w:r>
      <w:r>
        <w:rPr>
          <w:i/>
          <w:iCs/>
          <w:noProof/>
        </w:rPr>
        <w:t>raffinaderier</w:t>
      </w:r>
      <w:r>
        <w:rPr>
          <w:noProof/>
        </w:rPr>
        <w:t>), men lönsamheten inom EU:s tillverkningssektorer är generellt lägre, delvis på grund av högre energipriser.</w:t>
      </w:r>
    </w:p>
    <w:p w14:paraId="7A0DB10B" w14:textId="77777777" w:rsidR="008D40BE" w:rsidRPr="003814F5" w:rsidRDefault="008D40BE" w:rsidP="008D40BE">
      <w:pPr>
        <w:pStyle w:val="Heading2"/>
        <w:rPr>
          <w:noProof/>
        </w:rPr>
      </w:pPr>
      <w:r>
        <w:rPr>
          <w:noProof/>
        </w:rPr>
        <w:t>Energibeskattning</w:t>
      </w:r>
    </w:p>
    <w:p w14:paraId="34C2A200" w14:textId="77777777" w:rsidR="0075124C" w:rsidRDefault="008D40BE" w:rsidP="00804E8C">
      <w:pPr>
        <w:pStyle w:val="BodyText"/>
        <w:spacing w:after="160"/>
        <w:jc w:val="both"/>
        <w:rPr>
          <w:noProof/>
        </w:rPr>
      </w:pPr>
      <w:r>
        <w:rPr>
          <w:noProof/>
        </w:rPr>
        <w:t>Energiskatter, både på produktion och förbrukning av energi, ger betydande intäkter till medlemsstaternas budgetar. Energiskatteintäkterna låg stabilt på i genomsnitt 1,88 % av BNP under perioden 2010–2019 (</w:t>
      </w:r>
      <w:r w:rsidR="00AE45CD">
        <w:rPr>
          <w:noProof/>
        </w:rPr>
        <w:fldChar w:fldCharType="begin"/>
      </w:r>
      <w:r w:rsidR="00AE45CD">
        <w:rPr>
          <w:noProof/>
        </w:rPr>
        <w:instrText xml:space="preserve"> REF _Ref185327244 \h  \* MERGEFORMAT </w:instrText>
      </w:r>
      <w:r w:rsidR="00AE45CD">
        <w:rPr>
          <w:noProof/>
        </w:rPr>
      </w:r>
      <w:r w:rsidR="00AE45CD">
        <w:rPr>
          <w:noProof/>
        </w:rPr>
        <w:fldChar w:fldCharType="separate"/>
      </w:r>
      <w:r w:rsidR="00073647" w:rsidRPr="00073647">
        <w:rPr>
          <w:noProof/>
        </w:rPr>
        <w:t>Figur 15</w:t>
      </w:r>
      <w:r w:rsidR="00AE45CD">
        <w:rPr>
          <w:noProof/>
        </w:rPr>
        <w:fldChar w:fldCharType="end"/>
      </w:r>
      <w:r>
        <w:rPr>
          <w:noProof/>
        </w:rPr>
        <w:t xml:space="preserve">), medan de minskade till 1,74 % av BNP under covid-19-pandemin (2020) till följd av lägre energipriser och lägre förbrukning. Under 2021 började energiskatteintäkterna </w:t>
      </w:r>
      <w:r w:rsidR="0075124C">
        <w:rPr>
          <w:noProof/>
        </w:rPr>
        <w:t>öka, men 2022 hade upptaget av energiskatter i EU minskat till 248 miljarder euro (1,6 % av BNP), till stor del på grund av åtgärderna för att motverka energiprisökningar.</w:t>
      </w:r>
    </w:p>
    <w:p w14:paraId="52B59992" w14:textId="77777777" w:rsidR="0075124C" w:rsidRDefault="0075124C" w:rsidP="00804E8C">
      <w:pPr>
        <w:pStyle w:val="BodyText"/>
        <w:spacing w:after="160"/>
        <w:jc w:val="both"/>
        <w:rPr>
          <w:noProof/>
        </w:rPr>
      </w:pPr>
    </w:p>
    <w:p w14:paraId="49A16903" w14:textId="77777777" w:rsidR="0075124C" w:rsidRDefault="0075124C" w:rsidP="00804E8C">
      <w:pPr>
        <w:pStyle w:val="BodyText"/>
        <w:spacing w:after="160"/>
        <w:jc w:val="both"/>
        <w:rPr>
          <w:noProof/>
        </w:rPr>
      </w:pPr>
    </w:p>
    <w:p w14:paraId="2E717C54" w14:textId="77777777" w:rsidR="0075124C" w:rsidRDefault="0075124C" w:rsidP="00804E8C">
      <w:pPr>
        <w:pStyle w:val="BodyText"/>
        <w:spacing w:after="160"/>
        <w:jc w:val="both"/>
        <w:rPr>
          <w:noProof/>
        </w:rPr>
      </w:pPr>
    </w:p>
    <w:p w14:paraId="2F5D2A56" w14:textId="77777777" w:rsidR="0075124C" w:rsidRDefault="0075124C" w:rsidP="00804E8C">
      <w:pPr>
        <w:pStyle w:val="BodyText"/>
        <w:spacing w:after="160"/>
        <w:jc w:val="both"/>
        <w:rPr>
          <w:noProof/>
        </w:rPr>
      </w:pPr>
    </w:p>
    <w:p w14:paraId="7DF4BCD9" w14:textId="53BCF588" w:rsidR="0075124C" w:rsidRPr="0075124C" w:rsidRDefault="0075124C" w:rsidP="0075124C">
      <w:pPr>
        <w:tabs>
          <w:tab w:val="left" w:pos="1134"/>
          <w:tab w:val="left" w:pos="1276"/>
        </w:tabs>
        <w:spacing w:after="0" w:line="240" w:lineRule="auto"/>
        <w:ind w:left="567"/>
        <w:jc w:val="center"/>
        <w:rPr>
          <w:rFonts w:cstheme="minorHAnsi"/>
          <w:b/>
          <w:bCs/>
          <w:noProof/>
          <w:color w:val="005962"/>
          <w:sz w:val="16"/>
          <w:szCs w:val="16"/>
        </w:rPr>
      </w:pPr>
      <w:r>
        <w:rPr>
          <w:b/>
          <w:noProof/>
          <w:color w:val="005962"/>
          <w:sz w:val="16"/>
        </w:rPr>
        <w:t>Figur</w:t>
      </w:r>
      <w:r w:rsidR="0020221F">
        <w:rPr>
          <w:rFonts w:cstheme="minorHAnsi"/>
          <w:b/>
          <w:noProof/>
          <w:color w:val="005962"/>
          <w:sz w:val="16"/>
        </w:rPr>
        <w:t xml:space="preserve"> 1617</w:t>
      </w:r>
      <w:r>
        <w:rPr>
          <w:b/>
          <w:noProof/>
          <w:color w:val="005962"/>
          <w:sz w:val="16"/>
        </w:rPr>
        <w:t>: Energiskatteintäkter i EU-27 (miljarder euro; % av BNP)</w:t>
      </w:r>
    </w:p>
    <w:p w14:paraId="5D4F7770" w14:textId="1BD15B1F" w:rsidR="00026168" w:rsidRDefault="0075124C" w:rsidP="00804E8C">
      <w:pPr>
        <w:pStyle w:val="BodyText"/>
        <w:spacing w:after="160"/>
        <w:jc w:val="both"/>
        <w:rPr>
          <w:noProof/>
        </w:rPr>
      </w:pPr>
      <w:r w:rsidRPr="0075124C">
        <w:rPr>
          <w:noProof/>
          <w:lang w:val="en-GB" w:bidi="ar-SA"/>
        </w:rPr>
        <w:drawing>
          <wp:inline distT="0" distB="0" distL="0" distR="0" wp14:anchorId="0CC0124F" wp14:editId="53254734">
            <wp:extent cx="5760720" cy="3179445"/>
            <wp:effectExtent l="0" t="0" r="0" b="1905"/>
            <wp:docPr id="164814410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60720" cy="3179445"/>
                    </a:xfrm>
                    <a:prstGeom prst="rect">
                      <a:avLst/>
                    </a:prstGeom>
                    <a:noFill/>
                    <a:ln>
                      <a:noFill/>
                    </a:ln>
                  </pic:spPr>
                </pic:pic>
              </a:graphicData>
            </a:graphic>
          </wp:inline>
        </w:drawing>
      </w:r>
    </w:p>
    <w:p w14:paraId="32EC3269" w14:textId="58298A67" w:rsidR="008D40BE" w:rsidRPr="00CF6CA1" w:rsidRDefault="00611DA1" w:rsidP="000B723E">
      <w:pPr>
        <w:spacing w:after="120" w:line="240" w:lineRule="auto"/>
        <w:ind w:left="567"/>
        <w:jc w:val="center"/>
        <w:rPr>
          <w:rFonts w:ascii="Calibri" w:hAnsi="Calibri"/>
          <w:i/>
          <w:noProof/>
          <w:sz w:val="14"/>
          <w:szCs w:val="14"/>
        </w:rPr>
      </w:pPr>
      <w:r>
        <w:rPr>
          <w:rFonts w:ascii="Calibri" w:hAnsi="Calibri"/>
          <w:i/>
          <w:noProof/>
          <w:sz w:val="14"/>
        </w:rPr>
        <w:t>Källa: Trinomics m.fl. (2024), baserat på uppgifter från Eurostat (</w:t>
      </w:r>
      <w:bookmarkStart w:id="33" w:name="_Int_aCmexUZj"/>
      <w:r>
        <w:rPr>
          <w:rFonts w:ascii="Calibri" w:hAnsi="Calibri"/>
          <w:i/>
          <w:noProof/>
          <w:sz w:val="14"/>
        </w:rPr>
        <w:t>env_ac_tax</w:t>
      </w:r>
      <w:bookmarkEnd w:id="33"/>
      <w:r>
        <w:rPr>
          <w:rFonts w:ascii="Calibri" w:hAnsi="Calibri"/>
          <w:i/>
          <w:noProof/>
          <w:sz w:val="14"/>
        </w:rPr>
        <w:t>).</w:t>
      </w:r>
    </w:p>
    <w:p w14:paraId="6B82C515" w14:textId="303B89D8" w:rsidR="00026168" w:rsidRPr="003814F5" w:rsidRDefault="00026168" w:rsidP="00026168">
      <w:pPr>
        <w:pStyle w:val="BodyText"/>
        <w:spacing w:after="160"/>
        <w:jc w:val="both"/>
        <w:rPr>
          <w:noProof/>
        </w:rPr>
      </w:pPr>
      <w:bookmarkStart w:id="34" w:name="_Ref127185076"/>
      <w:r>
        <w:rPr>
          <w:noProof/>
        </w:rPr>
        <w:t>Energiskatternas roll i de offentliga intäkterna varierar avsevärt mellan medlemsstaterna. År 2022 utgjorde energiskatterna i Bulgarien över 14 % av de totala skatteintäkterna, medan denna andel endast var 2,5 % i Österrike och Irland (</w:t>
      </w:r>
      <w:r>
        <w:rPr>
          <w:noProof/>
        </w:rPr>
        <w:fldChar w:fldCharType="begin"/>
      </w:r>
      <w:r>
        <w:rPr>
          <w:noProof/>
        </w:rPr>
        <w:instrText xml:space="preserve"> REF _Ref157542467 \h  \* MERGEFORMAT </w:instrText>
      </w:r>
      <w:r>
        <w:rPr>
          <w:noProof/>
        </w:rPr>
      </w:r>
      <w:r>
        <w:rPr>
          <w:noProof/>
        </w:rPr>
        <w:fldChar w:fldCharType="separate"/>
      </w:r>
      <w:r w:rsidR="00073647" w:rsidRPr="00073647">
        <w:rPr>
          <w:noProof/>
        </w:rPr>
        <w:t>Figur 17</w:t>
      </w:r>
      <w:r>
        <w:rPr>
          <w:noProof/>
        </w:rPr>
        <w:fldChar w:fldCharType="end"/>
      </w:r>
      <w:r>
        <w:rPr>
          <w:noProof/>
        </w:rPr>
        <w:t>). I förhållande till nationell BNP var energiskatteintäkterna högst i Grekland (4,8 %) och lägst i Irland (0,5 %). Generellt sett utgör energiskatterna en högre andel både av de totala skatteintäkterna och av BNP i medlemsstater med lägre BNP per capita.</w:t>
      </w:r>
    </w:p>
    <w:p w14:paraId="492ECA29" w14:textId="08AFC846" w:rsidR="008D40BE" w:rsidRPr="004266E2" w:rsidRDefault="008D40BE" w:rsidP="00AE45CD">
      <w:pPr>
        <w:tabs>
          <w:tab w:val="left" w:pos="1134"/>
          <w:tab w:val="left" w:pos="1276"/>
        </w:tabs>
        <w:spacing w:after="0"/>
        <w:ind w:left="567"/>
        <w:jc w:val="center"/>
        <w:rPr>
          <w:rFonts w:cstheme="minorHAnsi"/>
          <w:b/>
          <w:bCs/>
          <w:noProof/>
          <w:color w:val="005962"/>
          <w:sz w:val="16"/>
          <w:szCs w:val="18"/>
        </w:rPr>
      </w:pPr>
      <w:bookmarkStart w:id="35" w:name="_Ref157542467"/>
      <w:bookmarkStart w:id="36" w:name="_Ref157542462"/>
      <w:r>
        <w:rPr>
          <w:b/>
          <w:noProof/>
          <w:color w:val="005962"/>
          <w:sz w:val="16"/>
        </w:rPr>
        <w:t xml:space="preserve">Figur </w:t>
      </w:r>
      <w:bookmarkEnd w:id="34"/>
      <w:bookmarkEnd w:id="35"/>
      <w:r w:rsidR="0075124C">
        <w:rPr>
          <w:rFonts w:cstheme="minorHAnsi"/>
          <w:b/>
          <w:noProof/>
          <w:color w:val="005962"/>
          <w:sz w:val="16"/>
        </w:rPr>
        <w:t>18</w:t>
      </w:r>
      <w:r>
        <w:rPr>
          <w:b/>
          <w:noProof/>
          <w:color w:val="005962"/>
          <w:sz w:val="16"/>
        </w:rPr>
        <w:t>: Intäkter från energibeskattning, som procentandel av skatteintäkterna och av BNP</w:t>
      </w:r>
      <w:r w:rsidRPr="004266E2">
        <w:rPr>
          <w:rStyle w:val="FootnoteReference"/>
          <w:rFonts w:cstheme="minorHAnsi"/>
          <w:b/>
          <w:bCs/>
          <w:noProof/>
          <w:color w:val="005962"/>
          <w:sz w:val="16"/>
          <w:szCs w:val="16"/>
        </w:rPr>
        <w:footnoteReference w:id="24"/>
      </w:r>
      <w:r>
        <w:rPr>
          <w:b/>
          <w:noProof/>
          <w:color w:val="005962"/>
          <w:sz w:val="16"/>
        </w:rPr>
        <w:t xml:space="preserve"> (2021)</w:t>
      </w:r>
      <w:bookmarkEnd w:id="36"/>
    </w:p>
    <w:p w14:paraId="355C6371" w14:textId="71D061E8" w:rsidR="008D40BE" w:rsidRPr="00FC024F" w:rsidRDefault="0075124C" w:rsidP="00AE45CD">
      <w:pPr>
        <w:spacing w:after="0" w:line="360" w:lineRule="auto"/>
        <w:ind w:left="567"/>
        <w:jc w:val="center"/>
        <w:rPr>
          <w:rFonts w:ascii="Calibri" w:hAnsi="Calibri"/>
          <w:i/>
          <w:noProof/>
          <w:sz w:val="14"/>
          <w:szCs w:val="14"/>
        </w:rPr>
      </w:pPr>
      <w:r w:rsidRPr="0075124C">
        <w:rPr>
          <w:noProof/>
          <w:lang w:val="en-GB" w:eastAsia="en-GB"/>
        </w:rPr>
        <w:drawing>
          <wp:inline distT="0" distB="0" distL="0" distR="0" wp14:anchorId="72F9EB92" wp14:editId="3157010F">
            <wp:extent cx="5760720" cy="2319020"/>
            <wp:effectExtent l="0" t="0" r="0" b="5080"/>
            <wp:docPr id="212821413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0720" cy="2319020"/>
                    </a:xfrm>
                    <a:prstGeom prst="rect">
                      <a:avLst/>
                    </a:prstGeom>
                    <a:noFill/>
                    <a:ln>
                      <a:noFill/>
                    </a:ln>
                  </pic:spPr>
                </pic:pic>
              </a:graphicData>
            </a:graphic>
          </wp:inline>
        </w:drawing>
      </w:r>
      <w:r w:rsidR="00611DA1">
        <w:rPr>
          <w:rFonts w:ascii="Calibri" w:hAnsi="Calibri"/>
          <w:i/>
          <w:noProof/>
          <w:sz w:val="14"/>
        </w:rPr>
        <w:t>Källa: Trinomics m.fl. (2024), baserat på uppgifter från Eurostat (env_ac_tax).</w:t>
      </w:r>
    </w:p>
    <w:p w14:paraId="7AD2270E" w14:textId="77777777" w:rsidR="0063053E" w:rsidRDefault="0063053E">
      <w:pPr>
        <w:rPr>
          <w:rFonts w:ascii="Times New Roman" w:eastAsia="Times New Roman" w:hAnsi="Times New Roman" w:cs="Times New Roman"/>
          <w:b/>
          <w:bCs/>
          <w:smallCaps/>
          <w:noProof/>
          <w:kern w:val="0"/>
          <w:sz w:val="24"/>
          <w:szCs w:val="28"/>
          <w14:ligatures w14:val="none"/>
        </w:rPr>
      </w:pPr>
      <w:r>
        <w:rPr>
          <w:noProof/>
        </w:rPr>
        <w:br w:type="page"/>
      </w:r>
    </w:p>
    <w:p w14:paraId="345FAF08" w14:textId="7C30E51B" w:rsidR="008D40BE" w:rsidRPr="00325B44" w:rsidRDefault="008D40BE" w:rsidP="00FC024F">
      <w:pPr>
        <w:pStyle w:val="Heading1"/>
        <w:ind w:left="851" w:hanging="851"/>
        <w:rPr>
          <w:noProof/>
        </w:rPr>
      </w:pPr>
      <w:r>
        <w:rPr>
          <w:noProof/>
        </w:rPr>
        <w:t>Slutsats</w:t>
      </w:r>
    </w:p>
    <w:p w14:paraId="55CA9C99" w14:textId="3B7A9F56" w:rsidR="008D40BE" w:rsidRDefault="00384495" w:rsidP="008D40BE">
      <w:pPr>
        <w:pStyle w:val="BodyText"/>
        <w:spacing w:after="160"/>
        <w:jc w:val="both"/>
        <w:rPr>
          <w:noProof/>
        </w:rPr>
      </w:pPr>
      <w:r>
        <w:rPr>
          <w:noProof/>
        </w:rPr>
        <w:t xml:space="preserve">EU reagerade med enighet, </w:t>
      </w:r>
      <w:bookmarkStart w:id="37" w:name="_Int_7UhkKo43"/>
      <w:r>
        <w:rPr>
          <w:noProof/>
        </w:rPr>
        <w:t>solidaritet</w:t>
      </w:r>
      <w:bookmarkEnd w:id="37"/>
      <w:r>
        <w:rPr>
          <w:noProof/>
        </w:rPr>
        <w:t xml:space="preserve"> och beslutsamhet för att övervinna den potentiellt förödande energikrisen 2021–2022. Medlemsstaterna enades om åtgärder för att ta itu med alltför höga gaspriser, påskynda utbyggnaden av ren energi till överkomliga priser och planera för solidaritetsåtgärder i händelse av en gaskris. Allt detta bidrog till att stabilisera EU:s marknader. Samtidigt antog medlemsstaterna flera åtgärder för att skydda hushållen och industrin från konsekvenserna av höga och volatila energipriser.</w:t>
      </w:r>
    </w:p>
    <w:p w14:paraId="011229C2" w14:textId="1ED9F18E" w:rsidR="00F9778F" w:rsidRDefault="00AC4807" w:rsidP="00F9778F">
      <w:pPr>
        <w:pStyle w:val="BodyText"/>
        <w:spacing w:after="160"/>
        <w:jc w:val="both"/>
        <w:rPr>
          <w:noProof/>
        </w:rPr>
      </w:pPr>
      <w:r>
        <w:rPr>
          <w:noProof/>
        </w:rPr>
        <w:t>Energipolitiken visade sig vara avgörande för att driva på omställningen till koldioxidfria energisystem, samtidigt som man bibehöll energitryggheten och mer överkomliga priser. Energipolitiken utgör också en hörnsten i EU:s insatser för att fasa ut fossila bränslen i ekonomin och samtidigt säkerställa EU:s industriella konkurrenskraft samt en rättvis omställning för alla. Under de senaste åren har EU levt upp till sina åtaganden samt vidtagit kraftfulla åtgärder för att garantera säkerheten och förverkligandet av omställningen till ren energi. EU har agerat i enighet för att göra framsteg med målen i REPowerEU-planen, i syfte att bygga upp ett säkrare fossilfritt energisystem för alla européer i ett snabbt föränderligt geopolitiskt sammanhang.</w:t>
      </w:r>
    </w:p>
    <w:p w14:paraId="58E6797D" w14:textId="2E498AF0" w:rsidR="008D40BE" w:rsidRDefault="008D40BE" w:rsidP="008D40BE">
      <w:pPr>
        <w:pStyle w:val="BodyText"/>
        <w:spacing w:after="160"/>
        <w:jc w:val="both"/>
        <w:rPr>
          <w:noProof/>
        </w:rPr>
      </w:pPr>
      <w:r>
        <w:rPr>
          <w:noProof/>
        </w:rPr>
        <w:t>Medan grossistpriserna på el och gas har sjunkit avsevärt sedan slutet av 2022 är de fortfarande högre än före krisen. Priseffekterna på energiräkningarna är fortfarande kännbara, särskilt för de mest utsatta hushållen</w:t>
      </w:r>
      <w:r>
        <w:rPr>
          <w:rStyle w:val="FootnoteReference"/>
          <w:noProof/>
        </w:rPr>
        <w:footnoteReference w:id="25"/>
      </w:r>
      <w:r>
        <w:rPr>
          <w:noProof/>
        </w:rPr>
        <w:t xml:space="preserve">. De ökade energikostnaderna ledde till högre energiutgifter, särskilt för låginkomsthushåll. På samma sätt upphörde den minskning av energikostnadernas andel inom energiintensiva sektorer som tidigare observerats. Denna omsvängning medförde betydande utmaningar för de flesta energiintensiva industrisektorer, men utmaningarna dämpades delvis av sektorernas insatser för att förbättra energieffektiviteten och av offentligt stöd. Inverkan på EU:s ekonomi som helhet har också varit omfattande, med en betydande ökning av EU:s kostnader för import av fossila bränslen, </w:t>
      </w:r>
      <w:bookmarkStart w:id="38" w:name="_Int_STxn3KBc"/>
      <w:r>
        <w:rPr>
          <w:noProof/>
        </w:rPr>
        <w:t xml:space="preserve">främst till följd </w:t>
      </w:r>
      <w:bookmarkEnd w:id="38"/>
      <w:r>
        <w:rPr>
          <w:noProof/>
        </w:rPr>
        <w:t>av kraftigt stigande gas- och oljepriser.</w:t>
      </w:r>
    </w:p>
    <w:p w14:paraId="750AD47A" w14:textId="37E6898E" w:rsidR="00F9778F" w:rsidRDefault="00F9778F" w:rsidP="00F9778F">
      <w:pPr>
        <w:pStyle w:val="BodyText"/>
        <w:spacing w:after="160"/>
        <w:jc w:val="both"/>
        <w:rPr>
          <w:noProof/>
        </w:rPr>
      </w:pPr>
      <w:r>
        <w:rPr>
          <w:noProof/>
        </w:rPr>
        <w:t>Krisen under 2021 och 2022 har redan lett till varaktiga förändringar av EU:s energisystem, som började med det faktum att LNG nu står för en mycket större andel (cirka 40 %) av gasimporten och ersätter rörledningsgas från Ryssland. Genom den påskyndade energiomställningen kommer ytterligare förändringar i energiförsörjningen och efterfrågan successivt att införas redan under detta årtionde och hjälpa EU att bli mer oberoende av import av fossila bränslen och i slutändan minska EU:s energikostnader.</w:t>
      </w:r>
    </w:p>
    <w:p w14:paraId="5D961BF9" w14:textId="69D4430E" w:rsidR="00EA101A" w:rsidRPr="00EA101A" w:rsidRDefault="00EA101A" w:rsidP="008D40BE">
      <w:pPr>
        <w:pStyle w:val="BodyText"/>
        <w:spacing w:after="160"/>
        <w:jc w:val="both"/>
        <w:rPr>
          <w:noProof/>
        </w:rPr>
      </w:pPr>
      <w:r>
        <w:rPr>
          <w:noProof/>
        </w:rPr>
        <w:t>Energimarknadsutsikterna för 2024–2025 har förbättrats men spänningarna kvarstår. De åtgärder som medlemsstaterna och kommissionen vidtagit för att bekämpa energikrisen</w:t>
      </w:r>
      <w:r w:rsidR="008D40BE">
        <w:rPr>
          <w:rStyle w:val="FootnoteReference"/>
          <w:noProof/>
        </w:rPr>
        <w:footnoteReference w:id="26"/>
      </w:r>
      <w:r>
        <w:rPr>
          <w:noProof/>
        </w:rPr>
        <w:t xml:space="preserve"> har avsevärt bidragit till denna förbättring. De höga energiprisernas påverkan på EU-industrins konkurrenskraft utgör emellertid fortfarande en stor utmaning. EU måste agera snabbt på Mario Draghis och Enrico Lettas förslag om att öka den industriella konkurrenskraften. Dessutom måste EU fortsätta att driva en aktiv handelspolitik som bidrar till ökad diversifiering av försörjningen och den ekonomiska motståndskraften.</w:t>
      </w:r>
    </w:p>
    <w:p w14:paraId="5A033D22" w14:textId="1EE693BB" w:rsidR="008D40BE" w:rsidRDefault="0085588B" w:rsidP="008D40BE">
      <w:pPr>
        <w:pStyle w:val="BodyText"/>
        <w:spacing w:after="160"/>
        <w:jc w:val="both"/>
        <w:rPr>
          <w:noProof/>
        </w:rPr>
      </w:pPr>
      <w:r>
        <w:rPr>
          <w:noProof/>
        </w:rPr>
        <w:t xml:space="preserve">I synnerhet måste EU påskynda ett utbrett införande av ren teknik och energieffektiviseringsåtgärder för att förhindra framtida kriser kopplade till fossila bränslen. Teknik såsom värmepumpar och elfordon, tillsammans med efterfrågeflexibilitet, energilagring samt tillräckliga sammanlänkningar av nät och effektiv användning av dem, kommer att spela en viktig roll för att skydda hushållen och industrin från ytterligare energichocker. </w:t>
      </w:r>
      <w:bookmarkStart w:id="39" w:name="_Int_2axIVzAZ"/>
      <w:r>
        <w:rPr>
          <w:noProof/>
        </w:rPr>
        <w:t>För att</w:t>
      </w:r>
      <w:bookmarkEnd w:id="39"/>
      <w:r>
        <w:rPr>
          <w:noProof/>
        </w:rPr>
        <w:t xml:space="preserve"> bevara konkurrenskraften måste europeiska företag, särskilt inom energiintensiva sektorer, fortsätta förbättra energieffektiviteten, öka efterfrågeflexibiliteten och införa koldioxidsnål energiteknik, medan EU arbetar med åtgärder för att göra det möjligt för dem att dra nytta av omställningen genom fortsatta investeringar i forskning och innovation, den nya utformningen av elmarknaderna samt säkerställandet av lika villkor på internationell nivå. EU bör också fortsätta att ta itu med energifattigdom, skydda sårbara konsumenter och ge konsumenterna möjlighet att delta aktivt i den gröna omställningen genom att genomföra en politik som främjar energieffektivitet, förnybara energikällor och alternativ för ren energi till överkomliga priser.</w:t>
      </w:r>
    </w:p>
    <w:p w14:paraId="158931EE" w14:textId="77777777" w:rsidR="008D40BE" w:rsidRPr="00073647" w:rsidRDefault="008D40BE">
      <w:pPr>
        <w:rPr>
          <w:noProof/>
        </w:rPr>
      </w:pPr>
    </w:p>
    <w:sectPr w:rsidR="008D40BE" w:rsidRPr="00073647" w:rsidSect="000A2DD6">
      <w:headerReference w:type="even" r:id="rId33"/>
      <w:headerReference w:type="default" r:id="rId34"/>
      <w:footerReference w:type="even" r:id="rId35"/>
      <w:footerReference w:type="default" r:id="rId36"/>
      <w:headerReference w:type="first" r:id="rId37"/>
      <w:footerReference w:type="first" r:id="rId3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7D9D7" w14:textId="77777777" w:rsidR="00AF6470" w:rsidRDefault="00AF6470" w:rsidP="000A2DD6">
      <w:pPr>
        <w:spacing w:after="0" w:line="240" w:lineRule="auto"/>
      </w:pPr>
      <w:r>
        <w:separator/>
      </w:r>
    </w:p>
  </w:endnote>
  <w:endnote w:type="continuationSeparator" w:id="0">
    <w:p w14:paraId="5180BEA8" w14:textId="77777777" w:rsidR="00AF6470" w:rsidRDefault="00AF6470" w:rsidP="000A2DD6">
      <w:pPr>
        <w:spacing w:after="0" w:line="240" w:lineRule="auto"/>
      </w:pPr>
      <w:r>
        <w:continuationSeparator/>
      </w:r>
    </w:p>
  </w:endnote>
  <w:endnote w:type="continuationNotice" w:id="1">
    <w:p w14:paraId="67B3CA66" w14:textId="77777777" w:rsidR="00AF6470" w:rsidRDefault="00AF64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ontserrat Light">
    <w:altName w:val="Times New Roman"/>
    <w:charset w:val="00"/>
    <w:family w:val="auto"/>
    <w:pitch w:val="variable"/>
    <w:sig w:usb0="00000001" w:usb1="00000003" w:usb2="00000000" w:usb3="00000000" w:csb0="00000197"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903F2" w14:textId="08FAD325" w:rsidR="00BC0722" w:rsidRPr="00BC0722" w:rsidRDefault="00BC0722" w:rsidP="00BC0722">
    <w:pPr>
      <w:pStyle w:val="FooterCoverPage"/>
      <w:rPr>
        <w:rFonts w:ascii="Arial" w:hAnsi="Arial" w:cs="Arial"/>
        <w:b/>
        <w:sz w:val="48"/>
      </w:rPr>
    </w:pPr>
    <w:r w:rsidRPr="00BC0722">
      <w:rPr>
        <w:rFonts w:ascii="Arial" w:hAnsi="Arial" w:cs="Arial"/>
        <w:b/>
        <w:sz w:val="48"/>
      </w:rPr>
      <w:t>SV</w:t>
    </w:r>
    <w:r w:rsidRPr="00BC0722">
      <w:rPr>
        <w:rFonts w:ascii="Arial" w:hAnsi="Arial" w:cs="Arial"/>
        <w:b/>
        <w:sz w:val="48"/>
      </w:rPr>
      <w:tab/>
    </w:r>
    <w:r w:rsidRPr="00BC0722">
      <w:rPr>
        <w:rFonts w:ascii="Arial" w:hAnsi="Arial" w:cs="Arial"/>
        <w:b/>
        <w:sz w:val="48"/>
      </w:rPr>
      <w:tab/>
    </w:r>
    <w:r w:rsidRPr="00BC0722">
      <w:tab/>
    </w:r>
    <w:r w:rsidRPr="00BC0722">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112BA" w14:textId="54975BCA" w:rsidR="00BC0722" w:rsidRPr="00BC0722" w:rsidRDefault="00BC0722" w:rsidP="00BC0722">
    <w:pPr>
      <w:pStyle w:val="FooterCoverPage"/>
      <w:rPr>
        <w:rFonts w:ascii="Arial" w:hAnsi="Arial" w:cs="Arial"/>
        <w:b/>
        <w:sz w:val="48"/>
      </w:rPr>
    </w:pPr>
    <w:r w:rsidRPr="00BC0722">
      <w:rPr>
        <w:rFonts w:ascii="Arial" w:hAnsi="Arial" w:cs="Arial"/>
        <w:b/>
        <w:sz w:val="48"/>
      </w:rPr>
      <w:t>SV</w:t>
    </w:r>
    <w:r w:rsidRPr="00BC0722">
      <w:rPr>
        <w:rFonts w:ascii="Arial" w:hAnsi="Arial" w:cs="Arial"/>
        <w:b/>
        <w:sz w:val="48"/>
      </w:rPr>
      <w:tab/>
    </w:r>
    <w:r w:rsidRPr="00BC0722">
      <w:rPr>
        <w:rFonts w:ascii="Arial" w:hAnsi="Arial" w:cs="Arial"/>
        <w:b/>
        <w:sz w:val="48"/>
      </w:rPr>
      <w:tab/>
    </w:r>
    <w:r w:rsidRPr="00BC0722">
      <w:tab/>
    </w:r>
    <w:r w:rsidRPr="00BC0722">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A475E" w14:textId="77777777" w:rsidR="00BC0722" w:rsidRPr="00BC0722" w:rsidRDefault="00BC0722" w:rsidP="00BC072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4F108" w14:textId="77777777" w:rsidR="000A2DD6" w:rsidRDefault="000A2D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47356" w14:textId="77777777" w:rsidR="000A2DD6" w:rsidRDefault="000A2D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241D0" w14:textId="77777777" w:rsidR="000A2DD6" w:rsidRDefault="000A2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35DC0" w14:textId="77777777" w:rsidR="00AF6470" w:rsidRDefault="00AF6470" w:rsidP="000A2DD6">
      <w:pPr>
        <w:spacing w:after="0" w:line="240" w:lineRule="auto"/>
      </w:pPr>
      <w:r>
        <w:separator/>
      </w:r>
    </w:p>
  </w:footnote>
  <w:footnote w:type="continuationSeparator" w:id="0">
    <w:p w14:paraId="20CBACC0" w14:textId="77777777" w:rsidR="00AF6470" w:rsidRDefault="00AF6470" w:rsidP="000A2DD6">
      <w:pPr>
        <w:spacing w:after="0" w:line="240" w:lineRule="auto"/>
      </w:pPr>
      <w:r>
        <w:continuationSeparator/>
      </w:r>
    </w:p>
  </w:footnote>
  <w:footnote w:type="continuationNotice" w:id="1">
    <w:p w14:paraId="15E54282" w14:textId="77777777" w:rsidR="00AF6470" w:rsidRDefault="00AF6470">
      <w:pPr>
        <w:spacing w:after="0" w:line="240" w:lineRule="auto"/>
      </w:pPr>
    </w:p>
  </w:footnote>
  <w:footnote w:id="2">
    <w:p w14:paraId="1E67A83D" w14:textId="77777777" w:rsidR="00AC4807" w:rsidRDefault="00AC4807" w:rsidP="00AC4807">
      <w:pPr>
        <w:pStyle w:val="FootnoteText"/>
        <w:ind w:left="142" w:hanging="153"/>
      </w:pPr>
      <w:r>
        <w:rPr>
          <w:rStyle w:val="FootnoteReference"/>
        </w:rPr>
        <w:footnoteRef/>
      </w:r>
      <w:r>
        <w:t xml:space="preserve"> </w:t>
      </w:r>
      <w:r>
        <w:rPr>
          <w:sz w:val="16"/>
        </w:rPr>
        <w:t>Beroende på tillgänglighet uppdaterades vissa riktmärken i september 2024 för att återspegla de senaste tillgängliga uppgifterna.</w:t>
      </w:r>
    </w:p>
  </w:footnote>
  <w:footnote w:id="3">
    <w:p w14:paraId="00382141" w14:textId="77777777" w:rsidR="00C24D5E" w:rsidRPr="00927960" w:rsidRDefault="00C24D5E" w:rsidP="00C24D5E">
      <w:pPr>
        <w:pStyle w:val="FootnoteText"/>
        <w:ind w:left="142" w:hanging="153"/>
        <w:rPr>
          <w:sz w:val="16"/>
          <w:szCs w:val="16"/>
          <w:lang w:val="en-IE"/>
        </w:rPr>
      </w:pPr>
      <w:r>
        <w:rPr>
          <w:rStyle w:val="FootnoteReference"/>
        </w:rPr>
        <w:footnoteRef/>
      </w:r>
      <w:r w:rsidRPr="00927960">
        <w:rPr>
          <w:lang w:val="en-IE"/>
        </w:rPr>
        <w:t xml:space="preserve"> </w:t>
      </w:r>
      <w:r w:rsidRPr="00927960">
        <w:rPr>
          <w:sz w:val="16"/>
          <w:lang w:val="en-IE"/>
        </w:rPr>
        <w:t>COM(2016) 769 final, COM(2019) 1 final, COM(2020) 951 final och COM(2024) 136 final.</w:t>
      </w:r>
    </w:p>
  </w:footnote>
  <w:footnote w:id="4">
    <w:p w14:paraId="0460609B" w14:textId="77777777" w:rsidR="00C24D5E" w:rsidRPr="00152239" w:rsidRDefault="00C24D5E" w:rsidP="00C24D5E">
      <w:pPr>
        <w:pStyle w:val="FootnoteText"/>
        <w:rPr>
          <w:sz w:val="16"/>
          <w:szCs w:val="16"/>
        </w:rPr>
      </w:pPr>
      <w:r>
        <w:rPr>
          <w:rStyle w:val="FootnoteReference"/>
        </w:rPr>
        <w:footnoteRef/>
      </w:r>
      <w:r>
        <w:t xml:space="preserve"> </w:t>
      </w:r>
      <w:r>
        <w:rPr>
          <w:sz w:val="16"/>
        </w:rPr>
        <w:t>Studien kommer att offentliggöras via Publikationsbyrån.</w:t>
      </w:r>
    </w:p>
  </w:footnote>
  <w:footnote w:id="5">
    <w:p w14:paraId="68FBDA6E" w14:textId="07A527BD" w:rsidR="00A37819" w:rsidRPr="00A37819" w:rsidRDefault="00A37819" w:rsidP="00A37819">
      <w:pPr>
        <w:pStyle w:val="FootnoteText"/>
        <w:jc w:val="left"/>
        <w:rPr>
          <w:sz w:val="16"/>
          <w:szCs w:val="16"/>
        </w:rPr>
      </w:pPr>
      <w:r>
        <w:rPr>
          <w:rStyle w:val="FootnoteReference"/>
        </w:rPr>
        <w:footnoteRef/>
      </w:r>
      <w:r>
        <w:t xml:space="preserve"> </w:t>
      </w:r>
      <w:r>
        <w:rPr>
          <w:sz w:val="16"/>
        </w:rPr>
        <w:t xml:space="preserve">I nominella termer är energipriserna högre än före krisen, men i reala termer (justerade med prisindex) rör de sig neråt mycket nära realprisnivån före krisen. </w:t>
      </w:r>
    </w:p>
  </w:footnote>
  <w:footnote w:id="6">
    <w:p w14:paraId="23B553AC" w14:textId="14CF8F6B" w:rsidR="002A231E" w:rsidRPr="00D33F46" w:rsidRDefault="002A231E">
      <w:pPr>
        <w:pStyle w:val="FootnoteText"/>
        <w:rPr>
          <w:sz w:val="16"/>
          <w:szCs w:val="16"/>
        </w:rPr>
      </w:pPr>
      <w:r>
        <w:rPr>
          <w:rStyle w:val="FootnoteReference"/>
        </w:rPr>
        <w:footnoteRef/>
      </w:r>
      <w:r>
        <w:t xml:space="preserve"> </w:t>
      </w:r>
      <w:r>
        <w:rPr>
          <w:sz w:val="16"/>
        </w:rPr>
        <w:t>I Europa är gaseldade kraftverk ofta den marginalteknik som bestämmer grossistpriserna på el.</w:t>
      </w:r>
    </w:p>
  </w:footnote>
  <w:footnote w:id="7">
    <w:p w14:paraId="2D946297" w14:textId="23FF0737" w:rsidR="00D33F46" w:rsidRPr="00D33F46" w:rsidRDefault="00D33F46">
      <w:pPr>
        <w:pStyle w:val="FootnoteText"/>
      </w:pPr>
      <w:r>
        <w:rPr>
          <w:rStyle w:val="FootnoteReference"/>
        </w:rPr>
        <w:footnoteRef/>
      </w:r>
      <w:r>
        <w:t xml:space="preserve"> </w:t>
      </w:r>
      <w:r>
        <w:rPr>
          <w:sz w:val="16"/>
        </w:rPr>
        <w:t>Inga uppgifter finns tillgängliga för Kina efter 2020.</w:t>
      </w:r>
    </w:p>
  </w:footnote>
  <w:footnote w:id="8">
    <w:p w14:paraId="0D2E29FF" w14:textId="28DA6126" w:rsidR="00DA41FF" w:rsidRPr="00DA41FF" w:rsidRDefault="00DA41FF">
      <w:pPr>
        <w:pStyle w:val="FootnoteText"/>
      </w:pPr>
      <w:r>
        <w:rPr>
          <w:rStyle w:val="FootnoteReference"/>
        </w:rPr>
        <w:footnoteRef/>
      </w:r>
      <w:r>
        <w:t xml:space="preserve"> </w:t>
      </w:r>
      <w:r>
        <w:rPr>
          <w:sz w:val="16"/>
        </w:rPr>
        <w:t>Priserna avser DD-förbrukningsintervallet, i reella europriser (euro</w:t>
      </w:r>
      <w:r>
        <w:rPr>
          <w:sz w:val="16"/>
          <w:vertAlign w:val="subscript"/>
        </w:rPr>
        <w:t>2023</w:t>
      </w:r>
      <w:r>
        <w:rPr>
          <w:sz w:val="16"/>
        </w:rPr>
        <w:t xml:space="preserve"> innebär inflationsjustering med 2023 som basår).</w:t>
      </w:r>
    </w:p>
  </w:footnote>
  <w:footnote w:id="9">
    <w:p w14:paraId="687CBCF2" w14:textId="0C81BCDC" w:rsidR="00AC4807" w:rsidRPr="00AC4807" w:rsidRDefault="00AC4807">
      <w:pPr>
        <w:pStyle w:val="FootnoteText"/>
      </w:pPr>
      <w:r>
        <w:rPr>
          <w:rStyle w:val="FootnoteReference"/>
        </w:rPr>
        <w:footnoteRef/>
      </w:r>
      <w:r>
        <w:t xml:space="preserve"> </w:t>
      </w:r>
      <w:r>
        <w:rPr>
          <w:sz w:val="16"/>
        </w:rPr>
        <w:t>Till exempel i Ungern, Malta och Bulgarien.</w:t>
      </w:r>
    </w:p>
  </w:footnote>
  <w:footnote w:id="10">
    <w:p w14:paraId="411FD88F" w14:textId="4BC9A8A1" w:rsidR="00263D84" w:rsidRPr="00263D84" w:rsidRDefault="00263D84" w:rsidP="00263D84">
      <w:pPr>
        <w:pStyle w:val="FootnoteText"/>
        <w:ind w:left="142" w:hanging="142"/>
      </w:pPr>
      <w:r>
        <w:rPr>
          <w:rStyle w:val="FootnoteReference"/>
        </w:rPr>
        <w:footnoteRef/>
      </w:r>
      <w:r>
        <w:t xml:space="preserve"> </w:t>
      </w:r>
      <w:r>
        <w:rPr>
          <w:sz w:val="16"/>
        </w:rPr>
        <w:t>Irlands åtgärd är särskilt anmärkningsvärd, där subventionen på förbrukningen mildrade slutkundsprisernas exponering (genom komponenten ”energi och leverans på 339 euro/MWh under 2023) för de höga grossistmarknadspriserna.</w:t>
      </w:r>
    </w:p>
  </w:footnote>
  <w:footnote w:id="11">
    <w:p w14:paraId="543F7781" w14:textId="77777777" w:rsidR="00BD30EE" w:rsidRPr="00365818" w:rsidRDefault="00BD30EE" w:rsidP="00BD30EE">
      <w:pPr>
        <w:pStyle w:val="FootnoteText"/>
        <w:ind w:left="142" w:hanging="142"/>
      </w:pPr>
      <w:r>
        <w:rPr>
          <w:rStyle w:val="FootnoteReference"/>
        </w:rPr>
        <w:footnoteRef/>
      </w:r>
      <w:r>
        <w:t xml:space="preserve"> </w:t>
      </w:r>
      <w:r>
        <w:rPr>
          <w:sz w:val="16"/>
        </w:rPr>
        <w:t>DD-förbrukningsintervallet (Eurostat) används som den huvudsakliga referenspunkten för denna jämförande analys, men i vissa medlemsstater kan ett annat intervall vara det mest representativa.</w:t>
      </w:r>
    </w:p>
  </w:footnote>
  <w:footnote w:id="12">
    <w:p w14:paraId="6F4C13E4" w14:textId="4BC5A872" w:rsidR="00277425" w:rsidRPr="00277425" w:rsidRDefault="00277425" w:rsidP="00277425">
      <w:pPr>
        <w:pStyle w:val="FootnoteText"/>
        <w:ind w:left="142" w:hanging="142"/>
        <w:rPr>
          <w:sz w:val="16"/>
          <w:szCs w:val="16"/>
        </w:rPr>
      </w:pPr>
      <w:r>
        <w:rPr>
          <w:rStyle w:val="FootnoteReference"/>
        </w:rPr>
        <w:footnoteRef/>
      </w:r>
      <w:r>
        <w:t xml:space="preserve"> </w:t>
      </w:r>
      <w:r>
        <w:rPr>
          <w:sz w:val="16"/>
        </w:rPr>
        <w:t>ID-förbrukningsintervallet (Eurostat) är representativt för medelstora industriella elkonsumenter, i genomsnitt omfattas 24 % av den totala elförbrukningen för icke-hushållskunder i EU:s medlemsstater av detta intervall.</w:t>
      </w:r>
    </w:p>
  </w:footnote>
  <w:footnote w:id="13">
    <w:p w14:paraId="36AEEB16" w14:textId="45FE3B90" w:rsidR="00D44129" w:rsidRPr="00D44129" w:rsidRDefault="00D44129">
      <w:pPr>
        <w:pStyle w:val="FootnoteText"/>
      </w:pPr>
      <w:r>
        <w:rPr>
          <w:rStyle w:val="FootnoteReference"/>
        </w:rPr>
        <w:footnoteRef/>
      </w:r>
      <w:r>
        <w:t xml:space="preserve"> </w:t>
      </w:r>
      <w:r>
        <w:rPr>
          <w:sz w:val="16"/>
        </w:rPr>
        <w:t>Euro</w:t>
      </w:r>
      <w:r>
        <w:rPr>
          <w:sz w:val="16"/>
          <w:vertAlign w:val="subscript"/>
        </w:rPr>
        <w:t>2023</w:t>
      </w:r>
      <w:r>
        <w:rPr>
          <w:sz w:val="16"/>
        </w:rPr>
        <w:t xml:space="preserve"> innebär i 2023 års eurovärde (reella europriser).</w:t>
      </w:r>
    </w:p>
  </w:footnote>
  <w:footnote w:id="14">
    <w:p w14:paraId="18945C7E" w14:textId="77777777" w:rsidR="007A61C6" w:rsidRPr="00927960" w:rsidRDefault="007A61C6" w:rsidP="007A61C6">
      <w:pPr>
        <w:pStyle w:val="FootnoteText"/>
        <w:rPr>
          <w:rFonts w:ascii="Montserrat Light" w:hAnsi="Montserrat Light"/>
          <w:lang w:val="en-IE"/>
        </w:rPr>
      </w:pPr>
      <w:r>
        <w:rPr>
          <w:rStyle w:val="FootnoteReference"/>
          <w:szCs w:val="14"/>
        </w:rPr>
        <w:footnoteRef/>
      </w:r>
      <w:r w:rsidRPr="00927960">
        <w:rPr>
          <w:rFonts w:ascii="Montserrat Light" w:hAnsi="Montserrat Light"/>
          <w:sz w:val="16"/>
          <w:lang w:val="en-IE"/>
        </w:rPr>
        <w:t xml:space="preserve"> </w:t>
      </w:r>
      <w:hyperlink r:id="rId1" w:history="1">
        <w:r w:rsidRPr="00927960">
          <w:rPr>
            <w:rStyle w:val="Hyperlink"/>
            <w:sz w:val="16"/>
            <w:lang w:val="en-IE"/>
          </w:rPr>
          <w:t>Baker Institute for Public Policy</w:t>
        </w:r>
      </w:hyperlink>
      <w:hyperlink r:id="rId2" w:history="1">
        <w:r w:rsidRPr="00927960">
          <w:rPr>
            <w:rStyle w:val="Hyperlink"/>
            <w:sz w:val="16"/>
            <w:lang w:val="en-IE"/>
          </w:rPr>
          <w:t xml:space="preserve"> (2023),</w:t>
        </w:r>
      </w:hyperlink>
      <w:hyperlink r:id="rId3" w:history="1">
        <w:r w:rsidRPr="00927960">
          <w:rPr>
            <w:rStyle w:val="Hyperlink"/>
            <w:sz w:val="16"/>
            <w:lang w:val="en-IE"/>
          </w:rPr>
          <w:t xml:space="preserve"> </w:t>
        </w:r>
        <w:r w:rsidRPr="00927960">
          <w:rPr>
            <w:rStyle w:val="Hyperlink"/>
            <w:i/>
            <w:iCs/>
            <w:sz w:val="16"/>
            <w:lang w:val="en-IE"/>
          </w:rPr>
          <w:t>Why is Europe not replacing Russian pipeline gas with long-term LNG contracts?</w:t>
        </w:r>
      </w:hyperlink>
    </w:p>
  </w:footnote>
  <w:footnote w:id="15">
    <w:p w14:paraId="732EF860" w14:textId="77777777" w:rsidR="00EC5BBE" w:rsidRPr="005700F6" w:rsidRDefault="00EC5BBE" w:rsidP="00EC5BBE">
      <w:pPr>
        <w:pStyle w:val="FootnoteText"/>
      </w:pPr>
      <w:r>
        <w:rPr>
          <w:rStyle w:val="FootnoteReference"/>
        </w:rPr>
        <w:footnoteRef/>
      </w:r>
      <w:r>
        <w:t xml:space="preserve"> </w:t>
      </w:r>
      <w:r>
        <w:rPr>
          <w:sz w:val="16"/>
        </w:rPr>
        <w:t>För Japan/Korea, Indien och Kina används LNG cif-priser som måttstock. Alla priser är i euro</w:t>
      </w:r>
      <w:r>
        <w:rPr>
          <w:sz w:val="16"/>
          <w:vertAlign w:val="subscript"/>
        </w:rPr>
        <w:t>2023</w:t>
      </w:r>
      <w:r>
        <w:rPr>
          <w:sz w:val="16"/>
        </w:rPr>
        <w:t>.</w:t>
      </w:r>
    </w:p>
  </w:footnote>
  <w:footnote w:id="16">
    <w:p w14:paraId="3E16E661" w14:textId="77777777" w:rsidR="00EC5BBE" w:rsidRPr="00994EEE" w:rsidRDefault="00EC5BBE" w:rsidP="00EC5BBE">
      <w:pPr>
        <w:pStyle w:val="FootnoteText"/>
        <w:rPr>
          <w:sz w:val="16"/>
          <w:szCs w:val="16"/>
        </w:rPr>
      </w:pPr>
      <w:r>
        <w:rPr>
          <w:rStyle w:val="FootnoteReference"/>
        </w:rPr>
        <w:footnoteRef/>
      </w:r>
      <w:r>
        <w:t xml:space="preserve"> </w:t>
      </w:r>
      <w:r>
        <w:rPr>
          <w:sz w:val="16"/>
        </w:rPr>
        <w:t>Eurostat rapporterar inte några slutkundspriser på gas för Cypern, Finland och Malta.</w:t>
      </w:r>
    </w:p>
  </w:footnote>
  <w:footnote w:id="17">
    <w:p w14:paraId="17E7D1FC" w14:textId="77777777" w:rsidR="00FB3D7E" w:rsidRPr="00D44129" w:rsidRDefault="00FB3D7E" w:rsidP="00FB3D7E">
      <w:pPr>
        <w:pStyle w:val="FootnoteText"/>
      </w:pPr>
      <w:r>
        <w:rPr>
          <w:rStyle w:val="FootnoteReference"/>
        </w:rPr>
        <w:footnoteRef/>
      </w:r>
      <w:r>
        <w:t xml:space="preserve"> </w:t>
      </w:r>
      <w:r>
        <w:rPr>
          <w:sz w:val="16"/>
        </w:rPr>
        <w:t>Euro</w:t>
      </w:r>
      <w:r>
        <w:rPr>
          <w:sz w:val="16"/>
          <w:vertAlign w:val="subscript"/>
        </w:rPr>
        <w:t>2023</w:t>
      </w:r>
      <w:r>
        <w:rPr>
          <w:sz w:val="16"/>
        </w:rPr>
        <w:t xml:space="preserve"> innebär i 2023 års eurovärde (reella europriser).</w:t>
      </w:r>
    </w:p>
  </w:footnote>
  <w:footnote w:id="18">
    <w:p w14:paraId="2739C001" w14:textId="41E45E0E" w:rsidR="00FB3D7E" w:rsidRPr="00FB3D7E" w:rsidRDefault="00FB3D7E">
      <w:pPr>
        <w:pStyle w:val="FootnoteText"/>
        <w:rPr>
          <w:sz w:val="16"/>
          <w:szCs w:val="16"/>
        </w:rPr>
      </w:pPr>
      <w:r>
        <w:rPr>
          <w:rStyle w:val="FootnoteReference"/>
        </w:rPr>
        <w:footnoteRef/>
      </w:r>
      <w:r>
        <w:t xml:space="preserve"> </w:t>
      </w:r>
      <w:r>
        <w:rPr>
          <w:sz w:val="16"/>
        </w:rPr>
        <w:t>I3-förbrukningsintervallet (Eurostat) är för små och medelstora företag med en förbrukning på mellan 10 000 GJ och 99 999 GJ.</w:t>
      </w:r>
    </w:p>
  </w:footnote>
  <w:footnote w:id="19">
    <w:p w14:paraId="7E423BE0" w14:textId="3EE1DDBD" w:rsidR="00FB3D7E" w:rsidRPr="00FB3D7E" w:rsidRDefault="00FB3D7E">
      <w:pPr>
        <w:pStyle w:val="FootnoteText"/>
      </w:pPr>
      <w:r>
        <w:rPr>
          <w:rStyle w:val="FootnoteReference"/>
        </w:rPr>
        <w:footnoteRef/>
      </w:r>
      <w:r>
        <w:t xml:space="preserve"> </w:t>
      </w:r>
      <w:r>
        <w:rPr>
          <w:sz w:val="16"/>
        </w:rPr>
        <w:t>I5-förbrukningsintervallet (Eurostat) är representativt för stora företag med en förbrukning på mellan 1 000 000 GJ och 3 999 999 GJ.</w:t>
      </w:r>
    </w:p>
  </w:footnote>
  <w:footnote w:id="20">
    <w:p w14:paraId="1055E316" w14:textId="1A80E379" w:rsidR="008D40BE" w:rsidRPr="009E361C" w:rsidRDefault="008D40BE" w:rsidP="008D40BE">
      <w:pPr>
        <w:pStyle w:val="FootnoteText"/>
        <w:ind w:left="142" w:hanging="142"/>
        <w:rPr>
          <w:sz w:val="16"/>
        </w:rPr>
      </w:pPr>
      <w:r>
        <w:rPr>
          <w:rStyle w:val="FootnoteReference"/>
        </w:rPr>
        <w:footnoteRef/>
      </w:r>
      <w:r>
        <w:t xml:space="preserve"> </w:t>
      </w:r>
      <w:r>
        <w:rPr>
          <w:sz w:val="16"/>
        </w:rPr>
        <w:t>I denna rapport definieras hushåll i den lägsta inkomstdecilen som låginkomsthushåll och hushåll i den tredje inkomstdecilen som lägre medelinkomstshushåll, hushåll i den femte inkomstdecilen räknas som medelinkomsthushåll. För de medlemsstater där endast kvintiluppgifter är tillgängliga används första, andra och tredje inkomstkvintilen.</w:t>
      </w:r>
    </w:p>
  </w:footnote>
  <w:footnote w:id="21">
    <w:p w14:paraId="679A4076" w14:textId="0323BD6B" w:rsidR="00036E0D" w:rsidRPr="009B50D1" w:rsidRDefault="00036E0D" w:rsidP="00036E0D">
      <w:pPr>
        <w:pStyle w:val="FootnoteText"/>
      </w:pPr>
      <w:r>
        <w:rPr>
          <w:rStyle w:val="FootnoteReference"/>
        </w:rPr>
        <w:footnoteRef/>
      </w:r>
      <w:r>
        <w:t xml:space="preserve"> Baserat på </w:t>
      </w:r>
      <w:r>
        <w:rPr>
          <w:sz w:val="16"/>
        </w:rPr>
        <w:t>de senaste uppgifterna från hushållsbudgetundersökningen.</w:t>
      </w:r>
    </w:p>
  </w:footnote>
  <w:footnote w:id="22">
    <w:p w14:paraId="5662F643" w14:textId="16B973EC" w:rsidR="002D37DD" w:rsidRPr="002D37DD" w:rsidRDefault="002D37DD">
      <w:pPr>
        <w:pStyle w:val="FootnoteText"/>
        <w:rPr>
          <w:sz w:val="16"/>
          <w:szCs w:val="16"/>
        </w:rPr>
      </w:pPr>
      <w:r>
        <w:rPr>
          <w:rStyle w:val="FootnoteReference"/>
        </w:rPr>
        <w:footnoteRef/>
      </w:r>
      <w:r>
        <w:rPr>
          <w:sz w:val="16"/>
        </w:rPr>
        <w:t xml:space="preserve"> Källa: EPAH (2024), med undantag för Rumänien och Kroatien (2022).</w:t>
      </w:r>
    </w:p>
  </w:footnote>
  <w:footnote w:id="23">
    <w:p w14:paraId="65AE28E9" w14:textId="15165C80" w:rsidR="00BB7E38" w:rsidRPr="00BB7E38" w:rsidRDefault="00BB7E38">
      <w:pPr>
        <w:pStyle w:val="FootnoteText"/>
      </w:pPr>
      <w:r>
        <w:rPr>
          <w:rStyle w:val="FootnoteReference"/>
        </w:rPr>
        <w:footnoteRef/>
      </w:r>
      <w:r>
        <w:t xml:space="preserve"> 1 euro/MWh för icke-yrkesmässig användning, vilket ersätts med en minimiskattesats på 0,15/GJ eller 0,54 euro/MWh för både yrkesmässig och icke-yrkesmässig användning inom ramen för den föreslagna översynen av direktivet.</w:t>
      </w:r>
    </w:p>
  </w:footnote>
  <w:footnote w:id="24">
    <w:p w14:paraId="71A2802A" w14:textId="77777777" w:rsidR="008D40BE" w:rsidRPr="00846204" w:rsidRDefault="008D40BE" w:rsidP="008D40BE">
      <w:pPr>
        <w:pStyle w:val="FootnoteText"/>
        <w:ind w:left="0" w:firstLine="0"/>
        <w:rPr>
          <w:sz w:val="16"/>
        </w:rPr>
      </w:pPr>
      <w:r>
        <w:rPr>
          <w:rStyle w:val="FootnoteReference"/>
        </w:rPr>
        <w:footnoteRef/>
      </w:r>
      <w:r>
        <w:t xml:space="preserve"> </w:t>
      </w:r>
      <w:r>
        <w:rPr>
          <w:sz w:val="16"/>
        </w:rPr>
        <w:t>De senaste tillgängliga siffrorna är för 2020.</w:t>
      </w:r>
    </w:p>
  </w:footnote>
  <w:footnote w:id="25">
    <w:p w14:paraId="501CBAF7" w14:textId="77777777" w:rsidR="008D40BE" w:rsidRPr="00B80C28" w:rsidRDefault="008D40BE" w:rsidP="008D40BE">
      <w:pPr>
        <w:spacing w:after="0" w:line="240" w:lineRule="auto"/>
        <w:rPr>
          <w:rStyle w:val="Hyperlink"/>
          <w:rFonts w:ascii="Times New Roman" w:hAnsi="Times New Roman" w:cs="Times New Roman"/>
          <w:color w:val="002F67"/>
          <w:sz w:val="16"/>
          <w:szCs w:val="20"/>
        </w:rPr>
      </w:pPr>
      <w:r>
        <w:rPr>
          <w:rStyle w:val="FootnoteReference"/>
        </w:rPr>
        <w:footnoteRef/>
      </w:r>
      <w:r>
        <w:rPr>
          <w:rFonts w:ascii="Times New Roman" w:hAnsi="Times New Roman"/>
          <w:sz w:val="20"/>
        </w:rPr>
        <w:t xml:space="preserve"> </w:t>
      </w:r>
      <w:r>
        <w:rPr>
          <w:rFonts w:ascii="Times New Roman" w:hAnsi="Times New Roman"/>
          <w:sz w:val="16"/>
        </w:rPr>
        <w:t>Konsekvenserna för</w:t>
      </w:r>
      <w:hyperlink r:id="rId4" w:history="1">
        <w:r>
          <w:rPr>
            <w:rStyle w:val="Hyperlink"/>
            <w:rFonts w:ascii="Times New Roman" w:hAnsi="Times New Roman"/>
            <w:color w:val="002F67"/>
            <w:sz w:val="16"/>
          </w:rPr>
          <w:t xml:space="preserve"> små och medelstora företag beskrivs närmare i rapporten från EU:s SMF-företrädare:</w:t>
        </w:r>
      </w:hyperlink>
      <w:hyperlink r:id="rId5" w:history="1">
        <w:r>
          <w:rPr>
            <w:rStyle w:val="Hyperlink"/>
            <w:rFonts w:ascii="Times New Roman" w:hAnsi="Times New Roman"/>
            <w:color w:val="002F67"/>
            <w:sz w:val="16"/>
          </w:rPr>
          <w:t xml:space="preserve"> </w:t>
        </w:r>
        <w:r>
          <w:rPr>
            <w:rStyle w:val="Hyperlink"/>
            <w:rFonts w:ascii="Times New Roman" w:hAnsi="Times New Roman"/>
            <w:i/>
            <w:iCs/>
            <w:color w:val="002F67"/>
            <w:sz w:val="16"/>
          </w:rPr>
          <w:t>SMEs and rising energy prices - First findings &amp; recommendations</w:t>
        </w:r>
      </w:hyperlink>
      <w:r>
        <w:t>.</w:t>
      </w:r>
    </w:p>
  </w:footnote>
  <w:footnote w:id="26">
    <w:p w14:paraId="793D8658" w14:textId="77777777" w:rsidR="008D40BE" w:rsidRPr="00B80C28" w:rsidRDefault="008D40BE" w:rsidP="008D40BE">
      <w:pPr>
        <w:pStyle w:val="FootnoteText"/>
        <w:ind w:left="142" w:hanging="142"/>
        <w:rPr>
          <w:sz w:val="16"/>
        </w:rPr>
      </w:pPr>
      <w:r>
        <w:rPr>
          <w:rStyle w:val="FootnoteReference"/>
        </w:rPr>
        <w:footnoteRef/>
      </w:r>
      <w:r>
        <w:t xml:space="preserve"> </w:t>
      </w:r>
      <w:r>
        <w:rPr>
          <w:sz w:val="16"/>
        </w:rPr>
        <w:t>Dessa åtgärder omfattar diversifiering av utbudet, minskning av efterfrågan, utökad kapacitet för LNG-import, skyldighet att fylla gaslager i förväg, aggregering av efterfrågan och gemensamma inköp samt åtgärder för att ta itu med höga priser och volatilitet (t.ex. marknadskorrigeringsmekanism, mekanism för hantering av intradagsprisvolatilitet).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7F99F" w14:textId="77777777" w:rsidR="00BC0722" w:rsidRPr="00BC0722" w:rsidRDefault="00BC0722" w:rsidP="00BC0722">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A2298" w14:textId="77777777" w:rsidR="00BC0722" w:rsidRPr="00BC0722" w:rsidRDefault="00BC0722" w:rsidP="00BC072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817CF" w14:textId="77777777" w:rsidR="00BC0722" w:rsidRPr="00BC0722" w:rsidRDefault="00BC0722" w:rsidP="00BC072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6D315" w14:textId="77777777" w:rsidR="000A2DD6" w:rsidRDefault="000A2D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B7A4A" w14:textId="77777777" w:rsidR="000A2DD6" w:rsidRDefault="000A2D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1D9EC" w14:textId="77777777" w:rsidR="000A2DD6" w:rsidRDefault="000A2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41AF"/>
    <w:multiLevelType w:val="hybridMultilevel"/>
    <w:tmpl w:val="48DEBB0A"/>
    <w:lvl w:ilvl="0" w:tplc="F4EC9CAC">
      <w:start w:val="1"/>
      <w:numFmt w:val="decimal"/>
      <w:lvlText w:val="%1."/>
      <w:lvlJc w:val="left"/>
      <w:pPr>
        <w:ind w:left="1020" w:hanging="360"/>
      </w:pPr>
    </w:lvl>
    <w:lvl w:ilvl="1" w:tplc="1A0242AE">
      <w:start w:val="1"/>
      <w:numFmt w:val="decimal"/>
      <w:lvlText w:val="%2."/>
      <w:lvlJc w:val="left"/>
      <w:pPr>
        <w:ind w:left="1020" w:hanging="360"/>
      </w:pPr>
    </w:lvl>
    <w:lvl w:ilvl="2" w:tplc="5F0CB13A">
      <w:start w:val="1"/>
      <w:numFmt w:val="decimal"/>
      <w:lvlText w:val="%3."/>
      <w:lvlJc w:val="left"/>
      <w:pPr>
        <w:ind w:left="1020" w:hanging="360"/>
      </w:pPr>
    </w:lvl>
    <w:lvl w:ilvl="3" w:tplc="AE86B738">
      <w:start w:val="1"/>
      <w:numFmt w:val="decimal"/>
      <w:lvlText w:val="%4."/>
      <w:lvlJc w:val="left"/>
      <w:pPr>
        <w:ind w:left="1020" w:hanging="360"/>
      </w:pPr>
    </w:lvl>
    <w:lvl w:ilvl="4" w:tplc="8E500546">
      <w:start w:val="1"/>
      <w:numFmt w:val="decimal"/>
      <w:lvlText w:val="%5."/>
      <w:lvlJc w:val="left"/>
      <w:pPr>
        <w:ind w:left="1020" w:hanging="360"/>
      </w:pPr>
    </w:lvl>
    <w:lvl w:ilvl="5" w:tplc="8F0C3DD4">
      <w:start w:val="1"/>
      <w:numFmt w:val="decimal"/>
      <w:lvlText w:val="%6."/>
      <w:lvlJc w:val="left"/>
      <w:pPr>
        <w:ind w:left="1020" w:hanging="360"/>
      </w:pPr>
    </w:lvl>
    <w:lvl w:ilvl="6" w:tplc="3AC4C7CC">
      <w:start w:val="1"/>
      <w:numFmt w:val="decimal"/>
      <w:lvlText w:val="%7."/>
      <w:lvlJc w:val="left"/>
      <w:pPr>
        <w:ind w:left="1020" w:hanging="360"/>
      </w:pPr>
    </w:lvl>
    <w:lvl w:ilvl="7" w:tplc="67524F18">
      <w:start w:val="1"/>
      <w:numFmt w:val="decimal"/>
      <w:lvlText w:val="%8."/>
      <w:lvlJc w:val="left"/>
      <w:pPr>
        <w:ind w:left="1020" w:hanging="360"/>
      </w:pPr>
    </w:lvl>
    <w:lvl w:ilvl="8" w:tplc="C840CE88">
      <w:start w:val="1"/>
      <w:numFmt w:val="decimal"/>
      <w:lvlText w:val="%9."/>
      <w:lvlJc w:val="left"/>
      <w:pPr>
        <w:ind w:left="1020" w:hanging="360"/>
      </w:pPr>
    </w:lvl>
  </w:abstractNum>
  <w:abstractNum w:abstractNumId="1" w15:restartNumberingAfterBreak="0">
    <w:nsid w:val="1B3C78B8"/>
    <w:multiLevelType w:val="multilevel"/>
    <w:tmpl w:val="2ED4F4D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B72C6E"/>
    <w:multiLevelType w:val="singleLevel"/>
    <w:tmpl w:val="10ACD464"/>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 w15:restartNumberingAfterBreak="0">
    <w:nsid w:val="2CE9221F"/>
    <w:multiLevelType w:val="singleLevel"/>
    <w:tmpl w:val="9B4AFB48"/>
    <w:lvl w:ilvl="0">
      <w:start w:val="1"/>
      <w:numFmt w:val="bullet"/>
      <w:lvlRestart w:val="0"/>
      <w:pStyle w:val="Tiret3"/>
      <w:lvlText w:val="–"/>
      <w:lvlJc w:val="left"/>
      <w:pPr>
        <w:tabs>
          <w:tab w:val="num" w:pos="2551"/>
        </w:tabs>
        <w:ind w:left="2551" w:hanging="567"/>
      </w:pPr>
    </w:lvl>
  </w:abstractNum>
  <w:abstractNum w:abstractNumId="5" w15:restartNumberingAfterBreak="0">
    <w:nsid w:val="3DBE5E96"/>
    <w:multiLevelType w:val="hybridMultilevel"/>
    <w:tmpl w:val="FA52B9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7" w15:restartNumberingAfterBreak="0">
    <w:nsid w:val="42FC0772"/>
    <w:multiLevelType w:val="singleLevel"/>
    <w:tmpl w:val="4128FCF8"/>
    <w:lvl w:ilvl="0">
      <w:start w:val="1"/>
      <w:numFmt w:val="bullet"/>
      <w:lvlRestart w:val="0"/>
      <w:pStyle w:val="Tiret4"/>
      <w:lvlText w:val="–"/>
      <w:lvlJc w:val="left"/>
      <w:pPr>
        <w:tabs>
          <w:tab w:val="num" w:pos="3118"/>
        </w:tabs>
        <w:ind w:left="3118" w:hanging="567"/>
      </w:pPr>
    </w:lvl>
  </w:abstractNum>
  <w:abstractNum w:abstractNumId="8" w15:restartNumberingAfterBreak="0">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9" w15:restartNumberingAfterBreak="0">
    <w:nsid w:val="4D2848FD"/>
    <w:multiLevelType w:val="hybridMultilevel"/>
    <w:tmpl w:val="C40C7E66"/>
    <w:lvl w:ilvl="0" w:tplc="713449FE">
      <w:start w:val="1"/>
      <w:numFmt w:val="decimal"/>
      <w:lvlText w:val="%1)"/>
      <w:lvlJc w:val="left"/>
      <w:pPr>
        <w:ind w:left="1020" w:hanging="360"/>
      </w:pPr>
    </w:lvl>
    <w:lvl w:ilvl="1" w:tplc="E6560644">
      <w:start w:val="1"/>
      <w:numFmt w:val="decimal"/>
      <w:lvlText w:val="%2)"/>
      <w:lvlJc w:val="left"/>
      <w:pPr>
        <w:ind w:left="1020" w:hanging="360"/>
      </w:pPr>
    </w:lvl>
    <w:lvl w:ilvl="2" w:tplc="99FE3D76">
      <w:start w:val="1"/>
      <w:numFmt w:val="decimal"/>
      <w:lvlText w:val="%3)"/>
      <w:lvlJc w:val="left"/>
      <w:pPr>
        <w:ind w:left="1020" w:hanging="360"/>
      </w:pPr>
    </w:lvl>
    <w:lvl w:ilvl="3" w:tplc="4ED47746">
      <w:start w:val="1"/>
      <w:numFmt w:val="decimal"/>
      <w:lvlText w:val="%4)"/>
      <w:lvlJc w:val="left"/>
      <w:pPr>
        <w:ind w:left="1020" w:hanging="360"/>
      </w:pPr>
    </w:lvl>
    <w:lvl w:ilvl="4" w:tplc="5B3095CA">
      <w:start w:val="1"/>
      <w:numFmt w:val="decimal"/>
      <w:lvlText w:val="%5)"/>
      <w:lvlJc w:val="left"/>
      <w:pPr>
        <w:ind w:left="1020" w:hanging="360"/>
      </w:pPr>
    </w:lvl>
    <w:lvl w:ilvl="5" w:tplc="07443CF2">
      <w:start w:val="1"/>
      <w:numFmt w:val="decimal"/>
      <w:lvlText w:val="%6)"/>
      <w:lvlJc w:val="left"/>
      <w:pPr>
        <w:ind w:left="1020" w:hanging="360"/>
      </w:pPr>
    </w:lvl>
    <w:lvl w:ilvl="6" w:tplc="64349330">
      <w:start w:val="1"/>
      <w:numFmt w:val="decimal"/>
      <w:lvlText w:val="%7)"/>
      <w:lvlJc w:val="left"/>
      <w:pPr>
        <w:ind w:left="1020" w:hanging="360"/>
      </w:pPr>
    </w:lvl>
    <w:lvl w:ilvl="7" w:tplc="22600C28">
      <w:start w:val="1"/>
      <w:numFmt w:val="decimal"/>
      <w:lvlText w:val="%8)"/>
      <w:lvlJc w:val="left"/>
      <w:pPr>
        <w:ind w:left="1020" w:hanging="360"/>
      </w:pPr>
    </w:lvl>
    <w:lvl w:ilvl="8" w:tplc="A502D55E">
      <w:start w:val="1"/>
      <w:numFmt w:val="decimal"/>
      <w:lvlText w:val="%9)"/>
      <w:lvlJc w:val="left"/>
      <w:pPr>
        <w:ind w:left="1020" w:hanging="360"/>
      </w:pPr>
    </w:lvl>
  </w:abstractNum>
  <w:abstractNum w:abstractNumId="10" w15:restartNumberingAfterBreak="0">
    <w:nsid w:val="556E1D63"/>
    <w:multiLevelType w:val="singleLevel"/>
    <w:tmpl w:val="493AAFF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1" w15:restartNumberingAfterBreak="0">
    <w:nsid w:val="5A2F7B26"/>
    <w:multiLevelType w:val="hybridMultilevel"/>
    <w:tmpl w:val="515482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B395AAA"/>
    <w:multiLevelType w:val="singleLevel"/>
    <w:tmpl w:val="96D02E8A"/>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15:restartNumberingAfterBreak="0">
    <w:nsid w:val="5C056EE5"/>
    <w:multiLevelType w:val="singleLevel"/>
    <w:tmpl w:val="3378D27C"/>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4"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15"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7B856F6"/>
    <w:multiLevelType w:val="singleLevel"/>
    <w:tmpl w:val="0AB28E9C"/>
    <w:lvl w:ilvl="0">
      <w:start w:val="1"/>
      <w:numFmt w:val="bullet"/>
      <w:lvlRestart w:val="0"/>
      <w:pStyle w:val="Tiret2"/>
      <w:lvlText w:val="–"/>
      <w:lvlJc w:val="left"/>
      <w:pPr>
        <w:tabs>
          <w:tab w:val="num" w:pos="1984"/>
        </w:tabs>
        <w:ind w:left="1984" w:hanging="567"/>
      </w:pPr>
    </w:lvl>
  </w:abstractNum>
  <w:abstractNum w:abstractNumId="17" w15:restartNumberingAfterBreak="0">
    <w:nsid w:val="7CBE4812"/>
    <w:multiLevelType w:val="singleLevel"/>
    <w:tmpl w:val="23C821E4"/>
    <w:lvl w:ilvl="0">
      <w:start w:val="1"/>
      <w:numFmt w:val="decimal"/>
      <w:lvlRestart w:val="0"/>
      <w:pStyle w:val="Considrant"/>
      <w:lvlText w:val="(%1)"/>
      <w:lvlJc w:val="left"/>
      <w:pPr>
        <w:tabs>
          <w:tab w:val="num" w:pos="709"/>
        </w:tabs>
        <w:ind w:left="709" w:hanging="709"/>
      </w:pPr>
    </w:lvl>
  </w:abstractNum>
  <w:num w:numId="1">
    <w:abstractNumId w:val="15"/>
  </w:num>
  <w:num w:numId="2">
    <w:abstractNumId w:val="14"/>
  </w:num>
  <w:num w:numId="3">
    <w:abstractNumId w:val="6"/>
  </w:num>
  <w:num w:numId="4">
    <w:abstractNumId w:val="16"/>
  </w:num>
  <w:num w:numId="5">
    <w:abstractNumId w:val="4"/>
  </w:num>
  <w:num w:numId="6">
    <w:abstractNumId w:val="7"/>
  </w:num>
  <w:num w:numId="7">
    <w:abstractNumId w:val="2"/>
  </w:num>
  <w:num w:numId="8">
    <w:abstractNumId w:val="1"/>
  </w:num>
  <w:num w:numId="9">
    <w:abstractNumId w:val="8"/>
  </w:num>
  <w:num w:numId="10">
    <w:abstractNumId w:val="12"/>
  </w:num>
  <w:num w:numId="11">
    <w:abstractNumId w:val="13"/>
  </w:num>
  <w:num w:numId="12">
    <w:abstractNumId w:val="3"/>
  </w:num>
  <w:num w:numId="13">
    <w:abstractNumId w:val="10"/>
  </w:num>
  <w:num w:numId="14">
    <w:abstractNumId w:val="17"/>
  </w:num>
  <w:num w:numId="15">
    <w:abstractNumId w:val="5"/>
  </w:num>
  <w:num w:numId="16">
    <w:abstractNumId w:val="11"/>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EPKit_DocumentHasBeenSaved" w:val="true"/>
    <w:docVar w:name="LW_CORRIGENDUM" w:val="&lt;UNUSED&gt;"/>
    <w:docVar w:name="LW_COVERPAGE_EXISTS" w:val="True"/>
    <w:docVar w:name="LW_COVERPAGE_GUID" w:val="A1FED153-C530-4BB4-8994-0C601E478813"/>
    <w:docVar w:name="LW_COVERPAGE_TYPE" w:val="1"/>
    <w:docVar w:name="LW_CROSSREFERENCE" w:val="&lt;UNUSED&gt;"/>
    <w:docVar w:name="LW_DocType" w:val="NORMAL"/>
    <w:docVar w:name="LW_EMISSION" w:val="26.2.2025"/>
    <w:docVar w:name="LW_EMISSION_ISODATE" w:val="2025-02-26"/>
    <w:docVar w:name="LW_EMISSION_LOCATION" w:val="BRX"/>
    <w:docVar w:name="LW_EMISSION_PREFIX" w:val="Bryssel den "/>
    <w:docVar w:name="LW_EMISSION_SUFFIX" w:val=" "/>
    <w:docVar w:name="LW_ID_DOCTYPE_NONLW" w:val="CP-008"/>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5) 7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Energipriser och energikostnader i Europa&lt;/FMT&gt;_x000b_"/>
    <w:docVar w:name="LW_TYPE.DOC.CP" w:val="RAPPORT FRÅN KOMMISSIONEN TILL EUROPAPARLAMENTET, RÅDET, EUROPEISKA EKONOMISKA OCH SOCIALA KOMMITTÉN SAMT REGIONKOMMITTÉN"/>
    <w:docVar w:name="LwApiVersions" w:val="LW4CoDe 1.24.5.0; LW 9.0, Build 20240221"/>
  </w:docVars>
  <w:rsids>
    <w:rsidRoot w:val="000A2DD6"/>
    <w:rsid w:val="00000094"/>
    <w:rsid w:val="00000B03"/>
    <w:rsid w:val="00000D7A"/>
    <w:rsid w:val="000011A2"/>
    <w:rsid w:val="0000146E"/>
    <w:rsid w:val="0000174A"/>
    <w:rsid w:val="00002480"/>
    <w:rsid w:val="000030D8"/>
    <w:rsid w:val="00003502"/>
    <w:rsid w:val="00003DAD"/>
    <w:rsid w:val="000045B5"/>
    <w:rsid w:val="000047C3"/>
    <w:rsid w:val="00004E74"/>
    <w:rsid w:val="00005AC3"/>
    <w:rsid w:val="00005E57"/>
    <w:rsid w:val="00010BE7"/>
    <w:rsid w:val="00011AB0"/>
    <w:rsid w:val="000122C1"/>
    <w:rsid w:val="00012684"/>
    <w:rsid w:val="00012C73"/>
    <w:rsid w:val="000140D5"/>
    <w:rsid w:val="00015AB6"/>
    <w:rsid w:val="00016522"/>
    <w:rsid w:val="0001751D"/>
    <w:rsid w:val="0001768F"/>
    <w:rsid w:val="00017BEB"/>
    <w:rsid w:val="00020272"/>
    <w:rsid w:val="00020AFB"/>
    <w:rsid w:val="000211DD"/>
    <w:rsid w:val="000212B7"/>
    <w:rsid w:val="0002191F"/>
    <w:rsid w:val="00021FA4"/>
    <w:rsid w:val="000229FE"/>
    <w:rsid w:val="000234AC"/>
    <w:rsid w:val="0002443B"/>
    <w:rsid w:val="00025A93"/>
    <w:rsid w:val="00026168"/>
    <w:rsid w:val="0002771E"/>
    <w:rsid w:val="0002788A"/>
    <w:rsid w:val="000303EA"/>
    <w:rsid w:val="000309E9"/>
    <w:rsid w:val="000310F0"/>
    <w:rsid w:val="00031AB3"/>
    <w:rsid w:val="000324F0"/>
    <w:rsid w:val="00032E84"/>
    <w:rsid w:val="00033049"/>
    <w:rsid w:val="00033BD9"/>
    <w:rsid w:val="000343B8"/>
    <w:rsid w:val="00034892"/>
    <w:rsid w:val="00036E0D"/>
    <w:rsid w:val="000374B2"/>
    <w:rsid w:val="000377B2"/>
    <w:rsid w:val="0003791A"/>
    <w:rsid w:val="0004084C"/>
    <w:rsid w:val="00040A81"/>
    <w:rsid w:val="00040C95"/>
    <w:rsid w:val="00041269"/>
    <w:rsid w:val="00041938"/>
    <w:rsid w:val="00041AE1"/>
    <w:rsid w:val="00041D46"/>
    <w:rsid w:val="00042825"/>
    <w:rsid w:val="000435DF"/>
    <w:rsid w:val="00043D64"/>
    <w:rsid w:val="00045B14"/>
    <w:rsid w:val="00045BFD"/>
    <w:rsid w:val="00045FA0"/>
    <w:rsid w:val="000463EF"/>
    <w:rsid w:val="00046A63"/>
    <w:rsid w:val="00046D92"/>
    <w:rsid w:val="000474E1"/>
    <w:rsid w:val="00047929"/>
    <w:rsid w:val="00050078"/>
    <w:rsid w:val="000504C8"/>
    <w:rsid w:val="000505C3"/>
    <w:rsid w:val="00051496"/>
    <w:rsid w:val="0005199E"/>
    <w:rsid w:val="00051ECE"/>
    <w:rsid w:val="00052804"/>
    <w:rsid w:val="00052EE4"/>
    <w:rsid w:val="00053B33"/>
    <w:rsid w:val="00055AC7"/>
    <w:rsid w:val="00056A74"/>
    <w:rsid w:val="00056C5A"/>
    <w:rsid w:val="00057A2E"/>
    <w:rsid w:val="00057CE6"/>
    <w:rsid w:val="00060264"/>
    <w:rsid w:val="00060852"/>
    <w:rsid w:val="000609D7"/>
    <w:rsid w:val="00060B3D"/>
    <w:rsid w:val="00060D9D"/>
    <w:rsid w:val="00061383"/>
    <w:rsid w:val="00062157"/>
    <w:rsid w:val="0006298F"/>
    <w:rsid w:val="00063290"/>
    <w:rsid w:val="00063D7F"/>
    <w:rsid w:val="00063FDC"/>
    <w:rsid w:val="00063FFB"/>
    <w:rsid w:val="0006480C"/>
    <w:rsid w:val="00064B37"/>
    <w:rsid w:val="00064BEF"/>
    <w:rsid w:val="00066C12"/>
    <w:rsid w:val="000672D6"/>
    <w:rsid w:val="00067D69"/>
    <w:rsid w:val="000702E2"/>
    <w:rsid w:val="00070A08"/>
    <w:rsid w:val="00070C69"/>
    <w:rsid w:val="0007123F"/>
    <w:rsid w:val="000715E4"/>
    <w:rsid w:val="00071A8F"/>
    <w:rsid w:val="00071E9D"/>
    <w:rsid w:val="00072B47"/>
    <w:rsid w:val="00073647"/>
    <w:rsid w:val="00073806"/>
    <w:rsid w:val="000745F6"/>
    <w:rsid w:val="000759EA"/>
    <w:rsid w:val="0007661F"/>
    <w:rsid w:val="000774CF"/>
    <w:rsid w:val="0007752D"/>
    <w:rsid w:val="0008034C"/>
    <w:rsid w:val="000803CD"/>
    <w:rsid w:val="000815AC"/>
    <w:rsid w:val="00081601"/>
    <w:rsid w:val="000816E0"/>
    <w:rsid w:val="00083CF1"/>
    <w:rsid w:val="00083E3D"/>
    <w:rsid w:val="000848F0"/>
    <w:rsid w:val="000849A0"/>
    <w:rsid w:val="0008503F"/>
    <w:rsid w:val="00085F98"/>
    <w:rsid w:val="00086248"/>
    <w:rsid w:val="000871EF"/>
    <w:rsid w:val="000874C3"/>
    <w:rsid w:val="00090855"/>
    <w:rsid w:val="00090A72"/>
    <w:rsid w:val="00091CE6"/>
    <w:rsid w:val="00091FF0"/>
    <w:rsid w:val="00092409"/>
    <w:rsid w:val="0009275F"/>
    <w:rsid w:val="00092C70"/>
    <w:rsid w:val="00093DC8"/>
    <w:rsid w:val="00094575"/>
    <w:rsid w:val="00095707"/>
    <w:rsid w:val="00095826"/>
    <w:rsid w:val="00095C1D"/>
    <w:rsid w:val="00095C80"/>
    <w:rsid w:val="00095CEC"/>
    <w:rsid w:val="00096281"/>
    <w:rsid w:val="00096575"/>
    <w:rsid w:val="000966CA"/>
    <w:rsid w:val="00097543"/>
    <w:rsid w:val="00097F72"/>
    <w:rsid w:val="00097FF0"/>
    <w:rsid w:val="000A0E72"/>
    <w:rsid w:val="000A0E7A"/>
    <w:rsid w:val="000A2DD6"/>
    <w:rsid w:val="000A33F4"/>
    <w:rsid w:val="000A3F9E"/>
    <w:rsid w:val="000A4298"/>
    <w:rsid w:val="000A7956"/>
    <w:rsid w:val="000B036A"/>
    <w:rsid w:val="000B0F3D"/>
    <w:rsid w:val="000B3452"/>
    <w:rsid w:val="000B399C"/>
    <w:rsid w:val="000B3CF9"/>
    <w:rsid w:val="000B44BE"/>
    <w:rsid w:val="000B4E77"/>
    <w:rsid w:val="000B4F24"/>
    <w:rsid w:val="000B503F"/>
    <w:rsid w:val="000B52FD"/>
    <w:rsid w:val="000B5A7B"/>
    <w:rsid w:val="000B5EB5"/>
    <w:rsid w:val="000B62FC"/>
    <w:rsid w:val="000B723E"/>
    <w:rsid w:val="000B7466"/>
    <w:rsid w:val="000C059B"/>
    <w:rsid w:val="000C0E6C"/>
    <w:rsid w:val="000C1F4A"/>
    <w:rsid w:val="000C2236"/>
    <w:rsid w:val="000C35FA"/>
    <w:rsid w:val="000C388B"/>
    <w:rsid w:val="000C399E"/>
    <w:rsid w:val="000C4C36"/>
    <w:rsid w:val="000C50F3"/>
    <w:rsid w:val="000C522E"/>
    <w:rsid w:val="000C5418"/>
    <w:rsid w:val="000D08A5"/>
    <w:rsid w:val="000D0D25"/>
    <w:rsid w:val="000D0D45"/>
    <w:rsid w:val="000D19C0"/>
    <w:rsid w:val="000D201D"/>
    <w:rsid w:val="000D211B"/>
    <w:rsid w:val="000D3139"/>
    <w:rsid w:val="000D3944"/>
    <w:rsid w:val="000D5090"/>
    <w:rsid w:val="000D52A9"/>
    <w:rsid w:val="000D54FF"/>
    <w:rsid w:val="000D571E"/>
    <w:rsid w:val="000D625D"/>
    <w:rsid w:val="000D6D99"/>
    <w:rsid w:val="000D7CF1"/>
    <w:rsid w:val="000E06E5"/>
    <w:rsid w:val="000E122F"/>
    <w:rsid w:val="000E16D7"/>
    <w:rsid w:val="000E1809"/>
    <w:rsid w:val="000E1A92"/>
    <w:rsid w:val="000E27F0"/>
    <w:rsid w:val="000E3261"/>
    <w:rsid w:val="000E4918"/>
    <w:rsid w:val="000E4DCA"/>
    <w:rsid w:val="000E5BA4"/>
    <w:rsid w:val="000E5DB3"/>
    <w:rsid w:val="000E603B"/>
    <w:rsid w:val="000E60E0"/>
    <w:rsid w:val="000E61A0"/>
    <w:rsid w:val="000E6210"/>
    <w:rsid w:val="000E71E0"/>
    <w:rsid w:val="000E779C"/>
    <w:rsid w:val="000F0304"/>
    <w:rsid w:val="000F1931"/>
    <w:rsid w:val="000F324D"/>
    <w:rsid w:val="000F3867"/>
    <w:rsid w:val="000F38B6"/>
    <w:rsid w:val="000F45EC"/>
    <w:rsid w:val="000F5139"/>
    <w:rsid w:val="000F51BD"/>
    <w:rsid w:val="000F682F"/>
    <w:rsid w:val="000F6C15"/>
    <w:rsid w:val="000F6C87"/>
    <w:rsid w:val="000F7A14"/>
    <w:rsid w:val="0010001B"/>
    <w:rsid w:val="00100C92"/>
    <w:rsid w:val="00101BE3"/>
    <w:rsid w:val="00102829"/>
    <w:rsid w:val="00102C5B"/>
    <w:rsid w:val="00102C88"/>
    <w:rsid w:val="001031B6"/>
    <w:rsid w:val="00103203"/>
    <w:rsid w:val="001045A6"/>
    <w:rsid w:val="00104C62"/>
    <w:rsid w:val="001060E0"/>
    <w:rsid w:val="00106B9C"/>
    <w:rsid w:val="001076F0"/>
    <w:rsid w:val="00107B84"/>
    <w:rsid w:val="00111E9F"/>
    <w:rsid w:val="00112184"/>
    <w:rsid w:val="00114D79"/>
    <w:rsid w:val="00115715"/>
    <w:rsid w:val="00115804"/>
    <w:rsid w:val="00115E22"/>
    <w:rsid w:val="00116B91"/>
    <w:rsid w:val="00116C42"/>
    <w:rsid w:val="001178FE"/>
    <w:rsid w:val="001200FE"/>
    <w:rsid w:val="0012027D"/>
    <w:rsid w:val="00120415"/>
    <w:rsid w:val="001214CC"/>
    <w:rsid w:val="00121EFE"/>
    <w:rsid w:val="00122341"/>
    <w:rsid w:val="00122AE7"/>
    <w:rsid w:val="00122CB9"/>
    <w:rsid w:val="0012418E"/>
    <w:rsid w:val="001248B8"/>
    <w:rsid w:val="001251F5"/>
    <w:rsid w:val="00125233"/>
    <w:rsid w:val="00125258"/>
    <w:rsid w:val="0012743D"/>
    <w:rsid w:val="0012775F"/>
    <w:rsid w:val="00127F4D"/>
    <w:rsid w:val="00130510"/>
    <w:rsid w:val="0013072E"/>
    <w:rsid w:val="00130B6B"/>
    <w:rsid w:val="00130E51"/>
    <w:rsid w:val="00131F3A"/>
    <w:rsid w:val="001325BE"/>
    <w:rsid w:val="00133C02"/>
    <w:rsid w:val="00135006"/>
    <w:rsid w:val="00135E8F"/>
    <w:rsid w:val="00136070"/>
    <w:rsid w:val="00136230"/>
    <w:rsid w:val="001373CC"/>
    <w:rsid w:val="00137577"/>
    <w:rsid w:val="00137695"/>
    <w:rsid w:val="0013781E"/>
    <w:rsid w:val="001406FF"/>
    <w:rsid w:val="00140BE6"/>
    <w:rsid w:val="00141332"/>
    <w:rsid w:val="00141C0C"/>
    <w:rsid w:val="0014215E"/>
    <w:rsid w:val="001424C7"/>
    <w:rsid w:val="00143BFA"/>
    <w:rsid w:val="00144D6D"/>
    <w:rsid w:val="00144EC3"/>
    <w:rsid w:val="00145873"/>
    <w:rsid w:val="00145A79"/>
    <w:rsid w:val="00145C2A"/>
    <w:rsid w:val="00146379"/>
    <w:rsid w:val="00146694"/>
    <w:rsid w:val="00146E10"/>
    <w:rsid w:val="001500E3"/>
    <w:rsid w:val="001503D7"/>
    <w:rsid w:val="001509A9"/>
    <w:rsid w:val="0015147B"/>
    <w:rsid w:val="00151A41"/>
    <w:rsid w:val="00152239"/>
    <w:rsid w:val="00152FF4"/>
    <w:rsid w:val="001532B1"/>
    <w:rsid w:val="00153777"/>
    <w:rsid w:val="001540A5"/>
    <w:rsid w:val="00154E16"/>
    <w:rsid w:val="00154E94"/>
    <w:rsid w:val="001554A2"/>
    <w:rsid w:val="00156D2F"/>
    <w:rsid w:val="001573BD"/>
    <w:rsid w:val="00157FDE"/>
    <w:rsid w:val="00160349"/>
    <w:rsid w:val="00160542"/>
    <w:rsid w:val="00160CDC"/>
    <w:rsid w:val="0016195D"/>
    <w:rsid w:val="00162055"/>
    <w:rsid w:val="00162463"/>
    <w:rsid w:val="0016269B"/>
    <w:rsid w:val="00163033"/>
    <w:rsid w:val="00163713"/>
    <w:rsid w:val="00164E6C"/>
    <w:rsid w:val="00165CFA"/>
    <w:rsid w:val="00166E84"/>
    <w:rsid w:val="0016707A"/>
    <w:rsid w:val="001705BD"/>
    <w:rsid w:val="00170D3E"/>
    <w:rsid w:val="001712CF"/>
    <w:rsid w:val="00171DAC"/>
    <w:rsid w:val="00171DF5"/>
    <w:rsid w:val="00172158"/>
    <w:rsid w:val="00174004"/>
    <w:rsid w:val="0017465B"/>
    <w:rsid w:val="0017527A"/>
    <w:rsid w:val="001752B4"/>
    <w:rsid w:val="00175CD5"/>
    <w:rsid w:val="00176486"/>
    <w:rsid w:val="001766F4"/>
    <w:rsid w:val="00176B89"/>
    <w:rsid w:val="00181A32"/>
    <w:rsid w:val="00182052"/>
    <w:rsid w:val="00182926"/>
    <w:rsid w:val="00182D2E"/>
    <w:rsid w:val="00182F4B"/>
    <w:rsid w:val="00182F75"/>
    <w:rsid w:val="00183373"/>
    <w:rsid w:val="00183515"/>
    <w:rsid w:val="00183D81"/>
    <w:rsid w:val="00184A19"/>
    <w:rsid w:val="00184BFE"/>
    <w:rsid w:val="00186C36"/>
    <w:rsid w:val="0018763C"/>
    <w:rsid w:val="00187A8B"/>
    <w:rsid w:val="00191305"/>
    <w:rsid w:val="0019222F"/>
    <w:rsid w:val="00192973"/>
    <w:rsid w:val="0019417D"/>
    <w:rsid w:val="00195119"/>
    <w:rsid w:val="00195E3B"/>
    <w:rsid w:val="00196959"/>
    <w:rsid w:val="00196DC9"/>
    <w:rsid w:val="00196FFF"/>
    <w:rsid w:val="001A00AB"/>
    <w:rsid w:val="001A0A74"/>
    <w:rsid w:val="001A1485"/>
    <w:rsid w:val="001A15F7"/>
    <w:rsid w:val="001A343E"/>
    <w:rsid w:val="001A3F70"/>
    <w:rsid w:val="001A4CFF"/>
    <w:rsid w:val="001A4EB9"/>
    <w:rsid w:val="001A5C2B"/>
    <w:rsid w:val="001A5F6B"/>
    <w:rsid w:val="001A6E8C"/>
    <w:rsid w:val="001A79B4"/>
    <w:rsid w:val="001B06BE"/>
    <w:rsid w:val="001B09C7"/>
    <w:rsid w:val="001B2ABF"/>
    <w:rsid w:val="001B327A"/>
    <w:rsid w:val="001B386D"/>
    <w:rsid w:val="001B4703"/>
    <w:rsid w:val="001B581B"/>
    <w:rsid w:val="001B5DF1"/>
    <w:rsid w:val="001B70C4"/>
    <w:rsid w:val="001B77A7"/>
    <w:rsid w:val="001B7A4C"/>
    <w:rsid w:val="001B7B61"/>
    <w:rsid w:val="001C02DC"/>
    <w:rsid w:val="001C0ABC"/>
    <w:rsid w:val="001C20AA"/>
    <w:rsid w:val="001C29F3"/>
    <w:rsid w:val="001C3352"/>
    <w:rsid w:val="001C3386"/>
    <w:rsid w:val="001C3577"/>
    <w:rsid w:val="001C4063"/>
    <w:rsid w:val="001C4BBF"/>
    <w:rsid w:val="001C4F82"/>
    <w:rsid w:val="001C69EA"/>
    <w:rsid w:val="001C6A28"/>
    <w:rsid w:val="001C6C19"/>
    <w:rsid w:val="001D26D2"/>
    <w:rsid w:val="001D34D2"/>
    <w:rsid w:val="001D3848"/>
    <w:rsid w:val="001D3D7D"/>
    <w:rsid w:val="001D3FAF"/>
    <w:rsid w:val="001D41E3"/>
    <w:rsid w:val="001D431D"/>
    <w:rsid w:val="001D51FC"/>
    <w:rsid w:val="001D57A1"/>
    <w:rsid w:val="001D5BA4"/>
    <w:rsid w:val="001D5C2E"/>
    <w:rsid w:val="001D5CD6"/>
    <w:rsid w:val="001D5F88"/>
    <w:rsid w:val="001D65F0"/>
    <w:rsid w:val="001D6BE5"/>
    <w:rsid w:val="001D703D"/>
    <w:rsid w:val="001D72E6"/>
    <w:rsid w:val="001E0359"/>
    <w:rsid w:val="001E17CA"/>
    <w:rsid w:val="001E1CFC"/>
    <w:rsid w:val="001E2E47"/>
    <w:rsid w:val="001E4241"/>
    <w:rsid w:val="001E44AA"/>
    <w:rsid w:val="001E481E"/>
    <w:rsid w:val="001E4969"/>
    <w:rsid w:val="001E4BC2"/>
    <w:rsid w:val="001E4FF6"/>
    <w:rsid w:val="001E58E1"/>
    <w:rsid w:val="001E5985"/>
    <w:rsid w:val="001E67AA"/>
    <w:rsid w:val="001E692B"/>
    <w:rsid w:val="001F269D"/>
    <w:rsid w:val="001F34D0"/>
    <w:rsid w:val="001F3D3E"/>
    <w:rsid w:val="001F4441"/>
    <w:rsid w:val="001F56F3"/>
    <w:rsid w:val="001F68BE"/>
    <w:rsid w:val="001F6A7D"/>
    <w:rsid w:val="001F6BB9"/>
    <w:rsid w:val="001F71B1"/>
    <w:rsid w:val="00201309"/>
    <w:rsid w:val="0020175E"/>
    <w:rsid w:val="0020221F"/>
    <w:rsid w:val="0020242D"/>
    <w:rsid w:val="0020263B"/>
    <w:rsid w:val="0020295E"/>
    <w:rsid w:val="0020464E"/>
    <w:rsid w:val="002048C2"/>
    <w:rsid w:val="00204D10"/>
    <w:rsid w:val="00206107"/>
    <w:rsid w:val="00207608"/>
    <w:rsid w:val="00211FF3"/>
    <w:rsid w:val="002134AE"/>
    <w:rsid w:val="00213C92"/>
    <w:rsid w:val="00214406"/>
    <w:rsid w:val="00214847"/>
    <w:rsid w:val="0021588F"/>
    <w:rsid w:val="00216048"/>
    <w:rsid w:val="002161FE"/>
    <w:rsid w:val="0021799F"/>
    <w:rsid w:val="00221A64"/>
    <w:rsid w:val="00221B0E"/>
    <w:rsid w:val="00222487"/>
    <w:rsid w:val="00223B30"/>
    <w:rsid w:val="00225591"/>
    <w:rsid w:val="0022799E"/>
    <w:rsid w:val="002304B4"/>
    <w:rsid w:val="00231C8B"/>
    <w:rsid w:val="00232846"/>
    <w:rsid w:val="00232955"/>
    <w:rsid w:val="00232F4B"/>
    <w:rsid w:val="00233526"/>
    <w:rsid w:val="00233F1B"/>
    <w:rsid w:val="002343F2"/>
    <w:rsid w:val="00234590"/>
    <w:rsid w:val="00235088"/>
    <w:rsid w:val="0023531A"/>
    <w:rsid w:val="00235704"/>
    <w:rsid w:val="00235F72"/>
    <w:rsid w:val="00237AD9"/>
    <w:rsid w:val="00237C43"/>
    <w:rsid w:val="0024011C"/>
    <w:rsid w:val="00240567"/>
    <w:rsid w:val="0024162C"/>
    <w:rsid w:val="0024173A"/>
    <w:rsid w:val="00242393"/>
    <w:rsid w:val="002447CB"/>
    <w:rsid w:val="00244F8B"/>
    <w:rsid w:val="00246009"/>
    <w:rsid w:val="002461DD"/>
    <w:rsid w:val="00250164"/>
    <w:rsid w:val="0025040B"/>
    <w:rsid w:val="00250D4C"/>
    <w:rsid w:val="00250F40"/>
    <w:rsid w:val="00251C96"/>
    <w:rsid w:val="00252609"/>
    <w:rsid w:val="00252A93"/>
    <w:rsid w:val="00252B06"/>
    <w:rsid w:val="00253036"/>
    <w:rsid w:val="0025389B"/>
    <w:rsid w:val="0025393C"/>
    <w:rsid w:val="00253FA9"/>
    <w:rsid w:val="0025402D"/>
    <w:rsid w:val="00254046"/>
    <w:rsid w:val="002541C3"/>
    <w:rsid w:val="00256033"/>
    <w:rsid w:val="002566E2"/>
    <w:rsid w:val="00256B7F"/>
    <w:rsid w:val="0026054E"/>
    <w:rsid w:val="002615F1"/>
    <w:rsid w:val="002618C1"/>
    <w:rsid w:val="0026220D"/>
    <w:rsid w:val="002623E8"/>
    <w:rsid w:val="0026309B"/>
    <w:rsid w:val="0026335B"/>
    <w:rsid w:val="00263D84"/>
    <w:rsid w:val="0026431F"/>
    <w:rsid w:val="0026433D"/>
    <w:rsid w:val="00265D1B"/>
    <w:rsid w:val="00265E05"/>
    <w:rsid w:val="002669CF"/>
    <w:rsid w:val="00270454"/>
    <w:rsid w:val="0027080B"/>
    <w:rsid w:val="00270D0F"/>
    <w:rsid w:val="00271E89"/>
    <w:rsid w:val="00271E8A"/>
    <w:rsid w:val="002728CF"/>
    <w:rsid w:val="00273676"/>
    <w:rsid w:val="002737C2"/>
    <w:rsid w:val="0027464D"/>
    <w:rsid w:val="00274C19"/>
    <w:rsid w:val="00275122"/>
    <w:rsid w:val="0027574A"/>
    <w:rsid w:val="00275F2B"/>
    <w:rsid w:val="00275FC5"/>
    <w:rsid w:val="002762A8"/>
    <w:rsid w:val="00276E66"/>
    <w:rsid w:val="00277425"/>
    <w:rsid w:val="00277511"/>
    <w:rsid w:val="00277BB5"/>
    <w:rsid w:val="00277E82"/>
    <w:rsid w:val="002800CF"/>
    <w:rsid w:val="002809E7"/>
    <w:rsid w:val="002818AE"/>
    <w:rsid w:val="00282587"/>
    <w:rsid w:val="002831EE"/>
    <w:rsid w:val="00284376"/>
    <w:rsid w:val="00284C65"/>
    <w:rsid w:val="00285BD4"/>
    <w:rsid w:val="00285E72"/>
    <w:rsid w:val="002865AF"/>
    <w:rsid w:val="00286F87"/>
    <w:rsid w:val="00287F93"/>
    <w:rsid w:val="002907EA"/>
    <w:rsid w:val="002909B9"/>
    <w:rsid w:val="0029284E"/>
    <w:rsid w:val="00292D70"/>
    <w:rsid w:val="00293FB7"/>
    <w:rsid w:val="00294533"/>
    <w:rsid w:val="002948F6"/>
    <w:rsid w:val="0029495A"/>
    <w:rsid w:val="00294E3F"/>
    <w:rsid w:val="00295A0A"/>
    <w:rsid w:val="0029688C"/>
    <w:rsid w:val="00296B1C"/>
    <w:rsid w:val="00296CE9"/>
    <w:rsid w:val="00296DCE"/>
    <w:rsid w:val="00297B77"/>
    <w:rsid w:val="002A0943"/>
    <w:rsid w:val="002A0AA0"/>
    <w:rsid w:val="002A17FF"/>
    <w:rsid w:val="002A1B4D"/>
    <w:rsid w:val="002A220D"/>
    <w:rsid w:val="002A231E"/>
    <w:rsid w:val="002A2660"/>
    <w:rsid w:val="002A26F2"/>
    <w:rsid w:val="002A3093"/>
    <w:rsid w:val="002A3EB7"/>
    <w:rsid w:val="002A4C27"/>
    <w:rsid w:val="002A511D"/>
    <w:rsid w:val="002A5362"/>
    <w:rsid w:val="002A539E"/>
    <w:rsid w:val="002A73FA"/>
    <w:rsid w:val="002B002F"/>
    <w:rsid w:val="002B04AA"/>
    <w:rsid w:val="002B184D"/>
    <w:rsid w:val="002B5082"/>
    <w:rsid w:val="002B50EE"/>
    <w:rsid w:val="002B796C"/>
    <w:rsid w:val="002B7D98"/>
    <w:rsid w:val="002C0C7C"/>
    <w:rsid w:val="002C0C91"/>
    <w:rsid w:val="002C0E16"/>
    <w:rsid w:val="002C18BF"/>
    <w:rsid w:val="002C2516"/>
    <w:rsid w:val="002C2A8A"/>
    <w:rsid w:val="002C2BD6"/>
    <w:rsid w:val="002C32C7"/>
    <w:rsid w:val="002C4547"/>
    <w:rsid w:val="002C518B"/>
    <w:rsid w:val="002C54E8"/>
    <w:rsid w:val="002C5736"/>
    <w:rsid w:val="002C5E9D"/>
    <w:rsid w:val="002C6D57"/>
    <w:rsid w:val="002C6E88"/>
    <w:rsid w:val="002C6EBA"/>
    <w:rsid w:val="002D00EE"/>
    <w:rsid w:val="002D0780"/>
    <w:rsid w:val="002D12F4"/>
    <w:rsid w:val="002D14D1"/>
    <w:rsid w:val="002D1D3A"/>
    <w:rsid w:val="002D2240"/>
    <w:rsid w:val="002D3546"/>
    <w:rsid w:val="002D37DD"/>
    <w:rsid w:val="002D42F0"/>
    <w:rsid w:val="002D4EC7"/>
    <w:rsid w:val="002D51E8"/>
    <w:rsid w:val="002D578C"/>
    <w:rsid w:val="002D57D6"/>
    <w:rsid w:val="002D61F3"/>
    <w:rsid w:val="002D6EB3"/>
    <w:rsid w:val="002D7324"/>
    <w:rsid w:val="002D74A7"/>
    <w:rsid w:val="002D7542"/>
    <w:rsid w:val="002D7C6E"/>
    <w:rsid w:val="002E01C7"/>
    <w:rsid w:val="002E03D0"/>
    <w:rsid w:val="002E0524"/>
    <w:rsid w:val="002E1B4E"/>
    <w:rsid w:val="002E28DC"/>
    <w:rsid w:val="002E35F7"/>
    <w:rsid w:val="002E631B"/>
    <w:rsid w:val="002E69E4"/>
    <w:rsid w:val="002E7967"/>
    <w:rsid w:val="002F02EA"/>
    <w:rsid w:val="002F035C"/>
    <w:rsid w:val="002F0DD2"/>
    <w:rsid w:val="002F18FD"/>
    <w:rsid w:val="002F1A0E"/>
    <w:rsid w:val="002F1EE1"/>
    <w:rsid w:val="002F22C6"/>
    <w:rsid w:val="002F2E21"/>
    <w:rsid w:val="002F4626"/>
    <w:rsid w:val="002F49C7"/>
    <w:rsid w:val="002F5406"/>
    <w:rsid w:val="002F592F"/>
    <w:rsid w:val="002F5DE9"/>
    <w:rsid w:val="00300577"/>
    <w:rsid w:val="00302317"/>
    <w:rsid w:val="0030370B"/>
    <w:rsid w:val="003045D1"/>
    <w:rsid w:val="0030472E"/>
    <w:rsid w:val="00304F86"/>
    <w:rsid w:val="00307174"/>
    <w:rsid w:val="003074A0"/>
    <w:rsid w:val="00307CE1"/>
    <w:rsid w:val="00311D5C"/>
    <w:rsid w:val="00312246"/>
    <w:rsid w:val="0031245A"/>
    <w:rsid w:val="003126D1"/>
    <w:rsid w:val="00312C2D"/>
    <w:rsid w:val="00312E2C"/>
    <w:rsid w:val="00312FB4"/>
    <w:rsid w:val="00313669"/>
    <w:rsid w:val="003145C4"/>
    <w:rsid w:val="00314CB8"/>
    <w:rsid w:val="0031551F"/>
    <w:rsid w:val="003155FD"/>
    <w:rsid w:val="00316570"/>
    <w:rsid w:val="00316A25"/>
    <w:rsid w:val="00316B28"/>
    <w:rsid w:val="003209B8"/>
    <w:rsid w:val="00320B13"/>
    <w:rsid w:val="00320E26"/>
    <w:rsid w:val="0032106B"/>
    <w:rsid w:val="00323CDC"/>
    <w:rsid w:val="003241FA"/>
    <w:rsid w:val="00324775"/>
    <w:rsid w:val="00324F26"/>
    <w:rsid w:val="00325534"/>
    <w:rsid w:val="003256A9"/>
    <w:rsid w:val="00325B41"/>
    <w:rsid w:val="00326A47"/>
    <w:rsid w:val="003270B6"/>
    <w:rsid w:val="003271D9"/>
    <w:rsid w:val="00327E33"/>
    <w:rsid w:val="003312F3"/>
    <w:rsid w:val="003329D4"/>
    <w:rsid w:val="00332AC2"/>
    <w:rsid w:val="003332DD"/>
    <w:rsid w:val="00334838"/>
    <w:rsid w:val="0033483B"/>
    <w:rsid w:val="00337088"/>
    <w:rsid w:val="003377C3"/>
    <w:rsid w:val="00340DA1"/>
    <w:rsid w:val="003428B6"/>
    <w:rsid w:val="00342BA7"/>
    <w:rsid w:val="003438BD"/>
    <w:rsid w:val="00345624"/>
    <w:rsid w:val="00346BB7"/>
    <w:rsid w:val="0034736D"/>
    <w:rsid w:val="003473E6"/>
    <w:rsid w:val="00350839"/>
    <w:rsid w:val="00350D3F"/>
    <w:rsid w:val="00351360"/>
    <w:rsid w:val="00351620"/>
    <w:rsid w:val="00352753"/>
    <w:rsid w:val="003543A7"/>
    <w:rsid w:val="00355995"/>
    <w:rsid w:val="00355A13"/>
    <w:rsid w:val="00355FCB"/>
    <w:rsid w:val="003570E7"/>
    <w:rsid w:val="003573A2"/>
    <w:rsid w:val="00357983"/>
    <w:rsid w:val="00357A3D"/>
    <w:rsid w:val="003601A5"/>
    <w:rsid w:val="00360621"/>
    <w:rsid w:val="00360D19"/>
    <w:rsid w:val="00362B69"/>
    <w:rsid w:val="003636FB"/>
    <w:rsid w:val="00365D40"/>
    <w:rsid w:val="00366CC5"/>
    <w:rsid w:val="003675E2"/>
    <w:rsid w:val="00370174"/>
    <w:rsid w:val="00370A9E"/>
    <w:rsid w:val="0037164C"/>
    <w:rsid w:val="00371E34"/>
    <w:rsid w:val="003729BE"/>
    <w:rsid w:val="00372F41"/>
    <w:rsid w:val="003730D3"/>
    <w:rsid w:val="003737E9"/>
    <w:rsid w:val="0037383F"/>
    <w:rsid w:val="00373951"/>
    <w:rsid w:val="00375759"/>
    <w:rsid w:val="003762D4"/>
    <w:rsid w:val="003808CD"/>
    <w:rsid w:val="00381BFA"/>
    <w:rsid w:val="003820B9"/>
    <w:rsid w:val="0038329A"/>
    <w:rsid w:val="00383FC1"/>
    <w:rsid w:val="00384495"/>
    <w:rsid w:val="00385195"/>
    <w:rsid w:val="00385964"/>
    <w:rsid w:val="003862B6"/>
    <w:rsid w:val="00386983"/>
    <w:rsid w:val="00390033"/>
    <w:rsid w:val="00390E72"/>
    <w:rsid w:val="0039111C"/>
    <w:rsid w:val="00391EC2"/>
    <w:rsid w:val="00392A76"/>
    <w:rsid w:val="00392DB5"/>
    <w:rsid w:val="00393054"/>
    <w:rsid w:val="00394363"/>
    <w:rsid w:val="00394B90"/>
    <w:rsid w:val="00394F44"/>
    <w:rsid w:val="00395F67"/>
    <w:rsid w:val="00396AC2"/>
    <w:rsid w:val="00396F35"/>
    <w:rsid w:val="0039731F"/>
    <w:rsid w:val="00397D30"/>
    <w:rsid w:val="003A02F8"/>
    <w:rsid w:val="003A03C6"/>
    <w:rsid w:val="003A09C6"/>
    <w:rsid w:val="003A0FB5"/>
    <w:rsid w:val="003A126B"/>
    <w:rsid w:val="003A1335"/>
    <w:rsid w:val="003A17EC"/>
    <w:rsid w:val="003A22E4"/>
    <w:rsid w:val="003A24C3"/>
    <w:rsid w:val="003A259A"/>
    <w:rsid w:val="003A2D9B"/>
    <w:rsid w:val="003A2E10"/>
    <w:rsid w:val="003A3976"/>
    <w:rsid w:val="003A3B7F"/>
    <w:rsid w:val="003A54B7"/>
    <w:rsid w:val="003A7BE6"/>
    <w:rsid w:val="003B093B"/>
    <w:rsid w:val="003B120A"/>
    <w:rsid w:val="003B1E85"/>
    <w:rsid w:val="003B1F5E"/>
    <w:rsid w:val="003B2264"/>
    <w:rsid w:val="003B3084"/>
    <w:rsid w:val="003B3144"/>
    <w:rsid w:val="003B3E2E"/>
    <w:rsid w:val="003B45B3"/>
    <w:rsid w:val="003B4AEE"/>
    <w:rsid w:val="003B4C16"/>
    <w:rsid w:val="003B59D5"/>
    <w:rsid w:val="003B6242"/>
    <w:rsid w:val="003B6E7C"/>
    <w:rsid w:val="003B7BFE"/>
    <w:rsid w:val="003C0AF7"/>
    <w:rsid w:val="003C0B31"/>
    <w:rsid w:val="003C260E"/>
    <w:rsid w:val="003C2901"/>
    <w:rsid w:val="003C2B50"/>
    <w:rsid w:val="003C2BC3"/>
    <w:rsid w:val="003C3C4B"/>
    <w:rsid w:val="003C4006"/>
    <w:rsid w:val="003C4D05"/>
    <w:rsid w:val="003C694E"/>
    <w:rsid w:val="003C6CEA"/>
    <w:rsid w:val="003C701C"/>
    <w:rsid w:val="003D0187"/>
    <w:rsid w:val="003D0D12"/>
    <w:rsid w:val="003D2C18"/>
    <w:rsid w:val="003D300F"/>
    <w:rsid w:val="003D4209"/>
    <w:rsid w:val="003D44F8"/>
    <w:rsid w:val="003D5AF2"/>
    <w:rsid w:val="003D6105"/>
    <w:rsid w:val="003D61B9"/>
    <w:rsid w:val="003D628F"/>
    <w:rsid w:val="003D6AAD"/>
    <w:rsid w:val="003D714C"/>
    <w:rsid w:val="003E0561"/>
    <w:rsid w:val="003E08FB"/>
    <w:rsid w:val="003E0E30"/>
    <w:rsid w:val="003E1817"/>
    <w:rsid w:val="003E2956"/>
    <w:rsid w:val="003E389E"/>
    <w:rsid w:val="003E4486"/>
    <w:rsid w:val="003E4552"/>
    <w:rsid w:val="003E4AA0"/>
    <w:rsid w:val="003E5778"/>
    <w:rsid w:val="003E6943"/>
    <w:rsid w:val="003E6B37"/>
    <w:rsid w:val="003E732C"/>
    <w:rsid w:val="003F0F40"/>
    <w:rsid w:val="003F115E"/>
    <w:rsid w:val="003F13AC"/>
    <w:rsid w:val="003F1BA0"/>
    <w:rsid w:val="003F1DBD"/>
    <w:rsid w:val="003F1F6B"/>
    <w:rsid w:val="003F2409"/>
    <w:rsid w:val="003F4119"/>
    <w:rsid w:val="003F4290"/>
    <w:rsid w:val="003F551B"/>
    <w:rsid w:val="003F62BF"/>
    <w:rsid w:val="003F671C"/>
    <w:rsid w:val="003F6C7B"/>
    <w:rsid w:val="003F7449"/>
    <w:rsid w:val="003F78DD"/>
    <w:rsid w:val="00400146"/>
    <w:rsid w:val="004001CB"/>
    <w:rsid w:val="00400C91"/>
    <w:rsid w:val="00404ED8"/>
    <w:rsid w:val="00406752"/>
    <w:rsid w:val="004073CF"/>
    <w:rsid w:val="00407FD9"/>
    <w:rsid w:val="00411D22"/>
    <w:rsid w:val="00412920"/>
    <w:rsid w:val="00413494"/>
    <w:rsid w:val="00413EE8"/>
    <w:rsid w:val="0041514D"/>
    <w:rsid w:val="004152E1"/>
    <w:rsid w:val="00415B99"/>
    <w:rsid w:val="00416335"/>
    <w:rsid w:val="0041679D"/>
    <w:rsid w:val="00417C57"/>
    <w:rsid w:val="004238AD"/>
    <w:rsid w:val="00423C92"/>
    <w:rsid w:val="00424AF5"/>
    <w:rsid w:val="00424C6B"/>
    <w:rsid w:val="00425965"/>
    <w:rsid w:val="004263D0"/>
    <w:rsid w:val="00426D99"/>
    <w:rsid w:val="004277CF"/>
    <w:rsid w:val="00427BF0"/>
    <w:rsid w:val="00427E55"/>
    <w:rsid w:val="00427E5E"/>
    <w:rsid w:val="00427EBF"/>
    <w:rsid w:val="00430AB8"/>
    <w:rsid w:val="00431F24"/>
    <w:rsid w:val="00432DAD"/>
    <w:rsid w:val="0043489E"/>
    <w:rsid w:val="004359DA"/>
    <w:rsid w:val="00435E20"/>
    <w:rsid w:val="00436F19"/>
    <w:rsid w:val="004377B5"/>
    <w:rsid w:val="00440355"/>
    <w:rsid w:val="0044049A"/>
    <w:rsid w:val="00440DBB"/>
    <w:rsid w:val="00441153"/>
    <w:rsid w:val="0044206E"/>
    <w:rsid w:val="00443215"/>
    <w:rsid w:val="00444375"/>
    <w:rsid w:val="00444DEF"/>
    <w:rsid w:val="00447963"/>
    <w:rsid w:val="004502A4"/>
    <w:rsid w:val="0045180E"/>
    <w:rsid w:val="004518C8"/>
    <w:rsid w:val="00451E3C"/>
    <w:rsid w:val="004522AE"/>
    <w:rsid w:val="004535D0"/>
    <w:rsid w:val="00453740"/>
    <w:rsid w:val="0045394C"/>
    <w:rsid w:val="00454F3F"/>
    <w:rsid w:val="00454F72"/>
    <w:rsid w:val="00455B41"/>
    <w:rsid w:val="00456616"/>
    <w:rsid w:val="004566D8"/>
    <w:rsid w:val="00456C23"/>
    <w:rsid w:val="00460005"/>
    <w:rsid w:val="004610A9"/>
    <w:rsid w:val="00461A66"/>
    <w:rsid w:val="004622A4"/>
    <w:rsid w:val="00462D07"/>
    <w:rsid w:val="004631A4"/>
    <w:rsid w:val="00464D41"/>
    <w:rsid w:val="004667D6"/>
    <w:rsid w:val="004668BD"/>
    <w:rsid w:val="00467480"/>
    <w:rsid w:val="00470882"/>
    <w:rsid w:val="004709EF"/>
    <w:rsid w:val="004737D7"/>
    <w:rsid w:val="0047398F"/>
    <w:rsid w:val="004744CF"/>
    <w:rsid w:val="0047459E"/>
    <w:rsid w:val="004752C0"/>
    <w:rsid w:val="004760AF"/>
    <w:rsid w:val="004768B2"/>
    <w:rsid w:val="00476990"/>
    <w:rsid w:val="00476B84"/>
    <w:rsid w:val="00477634"/>
    <w:rsid w:val="00481263"/>
    <w:rsid w:val="00481AB0"/>
    <w:rsid w:val="00482781"/>
    <w:rsid w:val="00482B91"/>
    <w:rsid w:val="0048320B"/>
    <w:rsid w:val="0048336B"/>
    <w:rsid w:val="00483E1A"/>
    <w:rsid w:val="00483F54"/>
    <w:rsid w:val="00484693"/>
    <w:rsid w:val="004852FF"/>
    <w:rsid w:val="00485A6E"/>
    <w:rsid w:val="00485A88"/>
    <w:rsid w:val="00485CED"/>
    <w:rsid w:val="00486099"/>
    <w:rsid w:val="0048663A"/>
    <w:rsid w:val="00486B10"/>
    <w:rsid w:val="00486BBC"/>
    <w:rsid w:val="00487DE4"/>
    <w:rsid w:val="004906AA"/>
    <w:rsid w:val="00490999"/>
    <w:rsid w:val="00492287"/>
    <w:rsid w:val="00494DDD"/>
    <w:rsid w:val="004964F5"/>
    <w:rsid w:val="00496A16"/>
    <w:rsid w:val="004976F2"/>
    <w:rsid w:val="00497B13"/>
    <w:rsid w:val="004A0F88"/>
    <w:rsid w:val="004A1A5D"/>
    <w:rsid w:val="004A1EC1"/>
    <w:rsid w:val="004A3E2B"/>
    <w:rsid w:val="004A63D9"/>
    <w:rsid w:val="004A656D"/>
    <w:rsid w:val="004B0742"/>
    <w:rsid w:val="004B0F45"/>
    <w:rsid w:val="004B145B"/>
    <w:rsid w:val="004B207B"/>
    <w:rsid w:val="004B2E8B"/>
    <w:rsid w:val="004B2F29"/>
    <w:rsid w:val="004B33C9"/>
    <w:rsid w:val="004B507C"/>
    <w:rsid w:val="004B5363"/>
    <w:rsid w:val="004B573E"/>
    <w:rsid w:val="004B5ECD"/>
    <w:rsid w:val="004B5F7F"/>
    <w:rsid w:val="004B6E1F"/>
    <w:rsid w:val="004C04FA"/>
    <w:rsid w:val="004C079A"/>
    <w:rsid w:val="004C09B6"/>
    <w:rsid w:val="004C0B68"/>
    <w:rsid w:val="004C0EF1"/>
    <w:rsid w:val="004C213D"/>
    <w:rsid w:val="004C262E"/>
    <w:rsid w:val="004C27AF"/>
    <w:rsid w:val="004C302D"/>
    <w:rsid w:val="004C36B3"/>
    <w:rsid w:val="004C45B2"/>
    <w:rsid w:val="004C49F9"/>
    <w:rsid w:val="004C5798"/>
    <w:rsid w:val="004C6A35"/>
    <w:rsid w:val="004C7116"/>
    <w:rsid w:val="004C7BC9"/>
    <w:rsid w:val="004D10EF"/>
    <w:rsid w:val="004D1ECA"/>
    <w:rsid w:val="004D2B63"/>
    <w:rsid w:val="004D3098"/>
    <w:rsid w:val="004D325F"/>
    <w:rsid w:val="004D3566"/>
    <w:rsid w:val="004D4359"/>
    <w:rsid w:val="004D5920"/>
    <w:rsid w:val="004D6F15"/>
    <w:rsid w:val="004D711A"/>
    <w:rsid w:val="004E0DCC"/>
    <w:rsid w:val="004E10D9"/>
    <w:rsid w:val="004E12E8"/>
    <w:rsid w:val="004E15B7"/>
    <w:rsid w:val="004E15CA"/>
    <w:rsid w:val="004E2174"/>
    <w:rsid w:val="004E284B"/>
    <w:rsid w:val="004E2AC3"/>
    <w:rsid w:val="004E5543"/>
    <w:rsid w:val="004E5699"/>
    <w:rsid w:val="004E577C"/>
    <w:rsid w:val="004E58CD"/>
    <w:rsid w:val="004E5A48"/>
    <w:rsid w:val="004E6031"/>
    <w:rsid w:val="004E6A5B"/>
    <w:rsid w:val="004E6E15"/>
    <w:rsid w:val="004E7D89"/>
    <w:rsid w:val="004E7E09"/>
    <w:rsid w:val="004F0107"/>
    <w:rsid w:val="004F079A"/>
    <w:rsid w:val="004F1F3F"/>
    <w:rsid w:val="004F2AA1"/>
    <w:rsid w:val="004F3C93"/>
    <w:rsid w:val="004F4201"/>
    <w:rsid w:val="004F4E19"/>
    <w:rsid w:val="004F59D6"/>
    <w:rsid w:val="004F613E"/>
    <w:rsid w:val="004F7AD8"/>
    <w:rsid w:val="00502038"/>
    <w:rsid w:val="005022A1"/>
    <w:rsid w:val="00502763"/>
    <w:rsid w:val="00502E6F"/>
    <w:rsid w:val="0050392A"/>
    <w:rsid w:val="0050395A"/>
    <w:rsid w:val="00504200"/>
    <w:rsid w:val="00504289"/>
    <w:rsid w:val="00505FE1"/>
    <w:rsid w:val="00506C9F"/>
    <w:rsid w:val="0050726A"/>
    <w:rsid w:val="00512F70"/>
    <w:rsid w:val="005132F0"/>
    <w:rsid w:val="005153D1"/>
    <w:rsid w:val="00515E56"/>
    <w:rsid w:val="005165F3"/>
    <w:rsid w:val="00516691"/>
    <w:rsid w:val="005209F7"/>
    <w:rsid w:val="005220F9"/>
    <w:rsid w:val="00522556"/>
    <w:rsid w:val="0052325E"/>
    <w:rsid w:val="00523504"/>
    <w:rsid w:val="00523F3B"/>
    <w:rsid w:val="005243D4"/>
    <w:rsid w:val="0052473F"/>
    <w:rsid w:val="00524FB5"/>
    <w:rsid w:val="00525535"/>
    <w:rsid w:val="00526013"/>
    <w:rsid w:val="005275F4"/>
    <w:rsid w:val="005300E1"/>
    <w:rsid w:val="00530B9E"/>
    <w:rsid w:val="00530D97"/>
    <w:rsid w:val="00531010"/>
    <w:rsid w:val="0053147A"/>
    <w:rsid w:val="005316CF"/>
    <w:rsid w:val="00532514"/>
    <w:rsid w:val="00532655"/>
    <w:rsid w:val="0053324E"/>
    <w:rsid w:val="00533FBD"/>
    <w:rsid w:val="005346FF"/>
    <w:rsid w:val="00534C3A"/>
    <w:rsid w:val="0053536D"/>
    <w:rsid w:val="00535805"/>
    <w:rsid w:val="00535814"/>
    <w:rsid w:val="005361EA"/>
    <w:rsid w:val="005364E6"/>
    <w:rsid w:val="005367A7"/>
    <w:rsid w:val="0053684A"/>
    <w:rsid w:val="00536D54"/>
    <w:rsid w:val="00536EBC"/>
    <w:rsid w:val="00537567"/>
    <w:rsid w:val="005376DE"/>
    <w:rsid w:val="00537D5F"/>
    <w:rsid w:val="00540509"/>
    <w:rsid w:val="005407F1"/>
    <w:rsid w:val="00541AB5"/>
    <w:rsid w:val="00541C56"/>
    <w:rsid w:val="00541E6A"/>
    <w:rsid w:val="0054211C"/>
    <w:rsid w:val="005432F2"/>
    <w:rsid w:val="0054390E"/>
    <w:rsid w:val="0054416D"/>
    <w:rsid w:val="00545C67"/>
    <w:rsid w:val="00546134"/>
    <w:rsid w:val="00547781"/>
    <w:rsid w:val="005516AA"/>
    <w:rsid w:val="005518B4"/>
    <w:rsid w:val="00552078"/>
    <w:rsid w:val="005521FD"/>
    <w:rsid w:val="00552787"/>
    <w:rsid w:val="00553933"/>
    <w:rsid w:val="005540D7"/>
    <w:rsid w:val="0055438D"/>
    <w:rsid w:val="00554820"/>
    <w:rsid w:val="0055485B"/>
    <w:rsid w:val="00554EF3"/>
    <w:rsid w:val="00555737"/>
    <w:rsid w:val="00555D33"/>
    <w:rsid w:val="00555DD8"/>
    <w:rsid w:val="005561A8"/>
    <w:rsid w:val="005567A4"/>
    <w:rsid w:val="00557196"/>
    <w:rsid w:val="0055777E"/>
    <w:rsid w:val="00563950"/>
    <w:rsid w:val="0056469B"/>
    <w:rsid w:val="00564861"/>
    <w:rsid w:val="00564C55"/>
    <w:rsid w:val="00566500"/>
    <w:rsid w:val="00566E70"/>
    <w:rsid w:val="0056767B"/>
    <w:rsid w:val="00570080"/>
    <w:rsid w:val="005700F6"/>
    <w:rsid w:val="005701C5"/>
    <w:rsid w:val="00571352"/>
    <w:rsid w:val="00571398"/>
    <w:rsid w:val="0057192E"/>
    <w:rsid w:val="00572247"/>
    <w:rsid w:val="005726BE"/>
    <w:rsid w:val="00572A00"/>
    <w:rsid w:val="00573CED"/>
    <w:rsid w:val="00573F78"/>
    <w:rsid w:val="00574886"/>
    <w:rsid w:val="0057499B"/>
    <w:rsid w:val="00575416"/>
    <w:rsid w:val="005756FC"/>
    <w:rsid w:val="005759D0"/>
    <w:rsid w:val="0057629D"/>
    <w:rsid w:val="00577690"/>
    <w:rsid w:val="00577C06"/>
    <w:rsid w:val="005800FF"/>
    <w:rsid w:val="00580910"/>
    <w:rsid w:val="00582A5C"/>
    <w:rsid w:val="00583593"/>
    <w:rsid w:val="00584115"/>
    <w:rsid w:val="00584512"/>
    <w:rsid w:val="0058452C"/>
    <w:rsid w:val="0058504D"/>
    <w:rsid w:val="00585B8D"/>
    <w:rsid w:val="00586798"/>
    <w:rsid w:val="005868F8"/>
    <w:rsid w:val="00590931"/>
    <w:rsid w:val="005909E2"/>
    <w:rsid w:val="005919A0"/>
    <w:rsid w:val="005921CF"/>
    <w:rsid w:val="005925BD"/>
    <w:rsid w:val="005952AA"/>
    <w:rsid w:val="005966FA"/>
    <w:rsid w:val="00597A4C"/>
    <w:rsid w:val="00597DF4"/>
    <w:rsid w:val="005A043F"/>
    <w:rsid w:val="005A0645"/>
    <w:rsid w:val="005A0B8A"/>
    <w:rsid w:val="005A316E"/>
    <w:rsid w:val="005A5371"/>
    <w:rsid w:val="005A5A53"/>
    <w:rsid w:val="005A7AA3"/>
    <w:rsid w:val="005B012C"/>
    <w:rsid w:val="005B1301"/>
    <w:rsid w:val="005B43E6"/>
    <w:rsid w:val="005B4CA4"/>
    <w:rsid w:val="005B6421"/>
    <w:rsid w:val="005B6632"/>
    <w:rsid w:val="005B69CA"/>
    <w:rsid w:val="005B6B83"/>
    <w:rsid w:val="005B7649"/>
    <w:rsid w:val="005B7B64"/>
    <w:rsid w:val="005C27C7"/>
    <w:rsid w:val="005C3851"/>
    <w:rsid w:val="005C3DE5"/>
    <w:rsid w:val="005C3EDB"/>
    <w:rsid w:val="005C438E"/>
    <w:rsid w:val="005C4857"/>
    <w:rsid w:val="005C4BFA"/>
    <w:rsid w:val="005C59F6"/>
    <w:rsid w:val="005C5A72"/>
    <w:rsid w:val="005C7AEA"/>
    <w:rsid w:val="005D0EF4"/>
    <w:rsid w:val="005D1819"/>
    <w:rsid w:val="005D1E3B"/>
    <w:rsid w:val="005D22DD"/>
    <w:rsid w:val="005D2D7B"/>
    <w:rsid w:val="005D37C4"/>
    <w:rsid w:val="005D38B2"/>
    <w:rsid w:val="005D3C94"/>
    <w:rsid w:val="005D4197"/>
    <w:rsid w:val="005D582F"/>
    <w:rsid w:val="005D5C07"/>
    <w:rsid w:val="005D6409"/>
    <w:rsid w:val="005D65B8"/>
    <w:rsid w:val="005D69C6"/>
    <w:rsid w:val="005D79A6"/>
    <w:rsid w:val="005D7B3B"/>
    <w:rsid w:val="005E4D44"/>
    <w:rsid w:val="005E68D4"/>
    <w:rsid w:val="005E6A4B"/>
    <w:rsid w:val="005E704F"/>
    <w:rsid w:val="005E7BF9"/>
    <w:rsid w:val="005E7D3C"/>
    <w:rsid w:val="005E7F09"/>
    <w:rsid w:val="005F0069"/>
    <w:rsid w:val="005F0B4F"/>
    <w:rsid w:val="005F171F"/>
    <w:rsid w:val="005F1F96"/>
    <w:rsid w:val="005F23B8"/>
    <w:rsid w:val="005F3211"/>
    <w:rsid w:val="005F329A"/>
    <w:rsid w:val="005F3714"/>
    <w:rsid w:val="005F4E9B"/>
    <w:rsid w:val="005F679D"/>
    <w:rsid w:val="005F716F"/>
    <w:rsid w:val="005F7FFD"/>
    <w:rsid w:val="0060068F"/>
    <w:rsid w:val="00601086"/>
    <w:rsid w:val="006015B1"/>
    <w:rsid w:val="006023E0"/>
    <w:rsid w:val="00602F39"/>
    <w:rsid w:val="00605115"/>
    <w:rsid w:val="0060543D"/>
    <w:rsid w:val="006060BB"/>
    <w:rsid w:val="0060619D"/>
    <w:rsid w:val="00607A61"/>
    <w:rsid w:val="006112AA"/>
    <w:rsid w:val="00611B51"/>
    <w:rsid w:val="00611DA1"/>
    <w:rsid w:val="00611F21"/>
    <w:rsid w:val="00612130"/>
    <w:rsid w:val="00612CA4"/>
    <w:rsid w:val="00613E62"/>
    <w:rsid w:val="00613ED7"/>
    <w:rsid w:val="00614360"/>
    <w:rsid w:val="00614AB1"/>
    <w:rsid w:val="00615606"/>
    <w:rsid w:val="006158D9"/>
    <w:rsid w:val="00616ADB"/>
    <w:rsid w:val="0062095F"/>
    <w:rsid w:val="00621173"/>
    <w:rsid w:val="006214C3"/>
    <w:rsid w:val="00621584"/>
    <w:rsid w:val="00623277"/>
    <w:rsid w:val="006239FB"/>
    <w:rsid w:val="006242C1"/>
    <w:rsid w:val="00624E24"/>
    <w:rsid w:val="00625119"/>
    <w:rsid w:val="006264FF"/>
    <w:rsid w:val="00627442"/>
    <w:rsid w:val="006274D5"/>
    <w:rsid w:val="0063053E"/>
    <w:rsid w:val="00630555"/>
    <w:rsid w:val="006316F4"/>
    <w:rsid w:val="006323D2"/>
    <w:rsid w:val="00632DB2"/>
    <w:rsid w:val="00632E18"/>
    <w:rsid w:val="00633151"/>
    <w:rsid w:val="006340BC"/>
    <w:rsid w:val="0063430A"/>
    <w:rsid w:val="006348BA"/>
    <w:rsid w:val="00636DBF"/>
    <w:rsid w:val="006373F5"/>
    <w:rsid w:val="0063762B"/>
    <w:rsid w:val="006403D9"/>
    <w:rsid w:val="00640B0C"/>
    <w:rsid w:val="00640EC3"/>
    <w:rsid w:val="006429F3"/>
    <w:rsid w:val="00642C9E"/>
    <w:rsid w:val="00643496"/>
    <w:rsid w:val="00643C2D"/>
    <w:rsid w:val="00644668"/>
    <w:rsid w:val="00645208"/>
    <w:rsid w:val="00645994"/>
    <w:rsid w:val="00645EE1"/>
    <w:rsid w:val="00646477"/>
    <w:rsid w:val="00647654"/>
    <w:rsid w:val="00647C56"/>
    <w:rsid w:val="006501C7"/>
    <w:rsid w:val="0065072B"/>
    <w:rsid w:val="006508EF"/>
    <w:rsid w:val="00650D07"/>
    <w:rsid w:val="00650DF9"/>
    <w:rsid w:val="00650F77"/>
    <w:rsid w:val="00650FF4"/>
    <w:rsid w:val="0065131F"/>
    <w:rsid w:val="00651B9F"/>
    <w:rsid w:val="006522D3"/>
    <w:rsid w:val="00653CF1"/>
    <w:rsid w:val="00653F5A"/>
    <w:rsid w:val="00654F5E"/>
    <w:rsid w:val="00657520"/>
    <w:rsid w:val="00657DDA"/>
    <w:rsid w:val="00660A19"/>
    <w:rsid w:val="00660DC4"/>
    <w:rsid w:val="00661503"/>
    <w:rsid w:val="00662C5B"/>
    <w:rsid w:val="00662F11"/>
    <w:rsid w:val="00663454"/>
    <w:rsid w:val="0066492A"/>
    <w:rsid w:val="006655E1"/>
    <w:rsid w:val="00666BA0"/>
    <w:rsid w:val="0067095C"/>
    <w:rsid w:val="00671604"/>
    <w:rsid w:val="00671C00"/>
    <w:rsid w:val="00671C67"/>
    <w:rsid w:val="00672453"/>
    <w:rsid w:val="00672799"/>
    <w:rsid w:val="0067288B"/>
    <w:rsid w:val="00672D53"/>
    <w:rsid w:val="00672EE1"/>
    <w:rsid w:val="00673281"/>
    <w:rsid w:val="006738DE"/>
    <w:rsid w:val="006751DC"/>
    <w:rsid w:val="00675B90"/>
    <w:rsid w:val="006763B9"/>
    <w:rsid w:val="0067685E"/>
    <w:rsid w:val="00676985"/>
    <w:rsid w:val="00680507"/>
    <w:rsid w:val="00680B9E"/>
    <w:rsid w:val="00682B7E"/>
    <w:rsid w:val="00683ABB"/>
    <w:rsid w:val="006846A5"/>
    <w:rsid w:val="00686B30"/>
    <w:rsid w:val="00686F80"/>
    <w:rsid w:val="00687106"/>
    <w:rsid w:val="00687736"/>
    <w:rsid w:val="00687EF7"/>
    <w:rsid w:val="0069083A"/>
    <w:rsid w:val="00691AD9"/>
    <w:rsid w:val="00692224"/>
    <w:rsid w:val="00692C12"/>
    <w:rsid w:val="006930EB"/>
    <w:rsid w:val="00695222"/>
    <w:rsid w:val="0069621D"/>
    <w:rsid w:val="006962F6"/>
    <w:rsid w:val="00696441"/>
    <w:rsid w:val="006964F4"/>
    <w:rsid w:val="006965E0"/>
    <w:rsid w:val="00697153"/>
    <w:rsid w:val="00697B2C"/>
    <w:rsid w:val="006A0825"/>
    <w:rsid w:val="006A1913"/>
    <w:rsid w:val="006A23C2"/>
    <w:rsid w:val="006A3258"/>
    <w:rsid w:val="006A3380"/>
    <w:rsid w:val="006A3E96"/>
    <w:rsid w:val="006A468F"/>
    <w:rsid w:val="006A7B7A"/>
    <w:rsid w:val="006B01EB"/>
    <w:rsid w:val="006B2D55"/>
    <w:rsid w:val="006B3BF4"/>
    <w:rsid w:val="006B4067"/>
    <w:rsid w:val="006B52D2"/>
    <w:rsid w:val="006C0373"/>
    <w:rsid w:val="006C04A1"/>
    <w:rsid w:val="006C05C6"/>
    <w:rsid w:val="006C10F6"/>
    <w:rsid w:val="006C1975"/>
    <w:rsid w:val="006C1C70"/>
    <w:rsid w:val="006C1FCF"/>
    <w:rsid w:val="006C223D"/>
    <w:rsid w:val="006C26E6"/>
    <w:rsid w:val="006C35EE"/>
    <w:rsid w:val="006C4180"/>
    <w:rsid w:val="006C42D3"/>
    <w:rsid w:val="006C47E0"/>
    <w:rsid w:val="006C59B8"/>
    <w:rsid w:val="006C5A4D"/>
    <w:rsid w:val="006C5F3A"/>
    <w:rsid w:val="006C74EC"/>
    <w:rsid w:val="006C7819"/>
    <w:rsid w:val="006D1FE3"/>
    <w:rsid w:val="006D251B"/>
    <w:rsid w:val="006D2812"/>
    <w:rsid w:val="006D3ABF"/>
    <w:rsid w:val="006D3C72"/>
    <w:rsid w:val="006D3EB8"/>
    <w:rsid w:val="006D42AC"/>
    <w:rsid w:val="006D4E37"/>
    <w:rsid w:val="006D5D88"/>
    <w:rsid w:val="006D5E76"/>
    <w:rsid w:val="006D64E0"/>
    <w:rsid w:val="006D64FE"/>
    <w:rsid w:val="006D7549"/>
    <w:rsid w:val="006E0407"/>
    <w:rsid w:val="006E0B1B"/>
    <w:rsid w:val="006E0C2B"/>
    <w:rsid w:val="006E1120"/>
    <w:rsid w:val="006E3390"/>
    <w:rsid w:val="006E4188"/>
    <w:rsid w:val="006E4554"/>
    <w:rsid w:val="006E536B"/>
    <w:rsid w:val="006E5845"/>
    <w:rsid w:val="006E6731"/>
    <w:rsid w:val="006E6D9E"/>
    <w:rsid w:val="006F096A"/>
    <w:rsid w:val="006F1109"/>
    <w:rsid w:val="006F1F9A"/>
    <w:rsid w:val="006F24DF"/>
    <w:rsid w:val="006F297A"/>
    <w:rsid w:val="006F3386"/>
    <w:rsid w:val="006F3655"/>
    <w:rsid w:val="006F3783"/>
    <w:rsid w:val="006F5B0E"/>
    <w:rsid w:val="006F5C9E"/>
    <w:rsid w:val="006F5CBD"/>
    <w:rsid w:val="006F7E1C"/>
    <w:rsid w:val="007009C1"/>
    <w:rsid w:val="00700A6B"/>
    <w:rsid w:val="007015EB"/>
    <w:rsid w:val="007019B3"/>
    <w:rsid w:val="007019E6"/>
    <w:rsid w:val="007038D4"/>
    <w:rsid w:val="007038E5"/>
    <w:rsid w:val="00703E65"/>
    <w:rsid w:val="00705A1E"/>
    <w:rsid w:val="007063DB"/>
    <w:rsid w:val="007065E1"/>
    <w:rsid w:val="007075D0"/>
    <w:rsid w:val="0070781C"/>
    <w:rsid w:val="00707955"/>
    <w:rsid w:val="00710310"/>
    <w:rsid w:val="00710B2B"/>
    <w:rsid w:val="0071350C"/>
    <w:rsid w:val="00714512"/>
    <w:rsid w:val="007149B5"/>
    <w:rsid w:val="007151F6"/>
    <w:rsid w:val="007154A9"/>
    <w:rsid w:val="007156D0"/>
    <w:rsid w:val="00715B23"/>
    <w:rsid w:val="00716007"/>
    <w:rsid w:val="007160D3"/>
    <w:rsid w:val="00717BF7"/>
    <w:rsid w:val="00720D65"/>
    <w:rsid w:val="007215F9"/>
    <w:rsid w:val="00723719"/>
    <w:rsid w:val="00723D80"/>
    <w:rsid w:val="00723DF3"/>
    <w:rsid w:val="007249B7"/>
    <w:rsid w:val="00725361"/>
    <w:rsid w:val="0072578D"/>
    <w:rsid w:val="00725F56"/>
    <w:rsid w:val="00726391"/>
    <w:rsid w:val="007263F4"/>
    <w:rsid w:val="0072674F"/>
    <w:rsid w:val="0072763D"/>
    <w:rsid w:val="007305E2"/>
    <w:rsid w:val="0073093A"/>
    <w:rsid w:val="00730A62"/>
    <w:rsid w:val="007312AF"/>
    <w:rsid w:val="00731B24"/>
    <w:rsid w:val="007354EA"/>
    <w:rsid w:val="00735A26"/>
    <w:rsid w:val="00736720"/>
    <w:rsid w:val="007372A3"/>
    <w:rsid w:val="0074013A"/>
    <w:rsid w:val="00741199"/>
    <w:rsid w:val="00742393"/>
    <w:rsid w:val="007424AA"/>
    <w:rsid w:val="0074436F"/>
    <w:rsid w:val="007445AC"/>
    <w:rsid w:val="00745D4A"/>
    <w:rsid w:val="007466A1"/>
    <w:rsid w:val="00750F04"/>
    <w:rsid w:val="0075124C"/>
    <w:rsid w:val="00752515"/>
    <w:rsid w:val="0075299E"/>
    <w:rsid w:val="00753521"/>
    <w:rsid w:val="00754119"/>
    <w:rsid w:val="00754C54"/>
    <w:rsid w:val="00754D84"/>
    <w:rsid w:val="00756BE2"/>
    <w:rsid w:val="007578C7"/>
    <w:rsid w:val="00757DC2"/>
    <w:rsid w:val="00761008"/>
    <w:rsid w:val="00761DD1"/>
    <w:rsid w:val="00762056"/>
    <w:rsid w:val="00762A15"/>
    <w:rsid w:val="0076359B"/>
    <w:rsid w:val="00763BF8"/>
    <w:rsid w:val="007644D8"/>
    <w:rsid w:val="0076531B"/>
    <w:rsid w:val="0076547F"/>
    <w:rsid w:val="00765557"/>
    <w:rsid w:val="00765C14"/>
    <w:rsid w:val="00765EAE"/>
    <w:rsid w:val="00766EF9"/>
    <w:rsid w:val="00767030"/>
    <w:rsid w:val="00767093"/>
    <w:rsid w:val="00767885"/>
    <w:rsid w:val="00767DF2"/>
    <w:rsid w:val="00771D85"/>
    <w:rsid w:val="00772B5C"/>
    <w:rsid w:val="00773060"/>
    <w:rsid w:val="007731C1"/>
    <w:rsid w:val="0077410A"/>
    <w:rsid w:val="00775B96"/>
    <w:rsid w:val="00775DE6"/>
    <w:rsid w:val="007760BC"/>
    <w:rsid w:val="007769B1"/>
    <w:rsid w:val="00776DF1"/>
    <w:rsid w:val="00780F60"/>
    <w:rsid w:val="00781272"/>
    <w:rsid w:val="00781D90"/>
    <w:rsid w:val="00782142"/>
    <w:rsid w:val="00782304"/>
    <w:rsid w:val="00783E8A"/>
    <w:rsid w:val="00784497"/>
    <w:rsid w:val="00784E9A"/>
    <w:rsid w:val="00785245"/>
    <w:rsid w:val="00785247"/>
    <w:rsid w:val="00786867"/>
    <w:rsid w:val="007872EC"/>
    <w:rsid w:val="007876F5"/>
    <w:rsid w:val="007878DC"/>
    <w:rsid w:val="007902BB"/>
    <w:rsid w:val="00790AA8"/>
    <w:rsid w:val="007920DB"/>
    <w:rsid w:val="00793F3A"/>
    <w:rsid w:val="00794971"/>
    <w:rsid w:val="00794A27"/>
    <w:rsid w:val="00794A4D"/>
    <w:rsid w:val="00795451"/>
    <w:rsid w:val="007957D5"/>
    <w:rsid w:val="0079591E"/>
    <w:rsid w:val="00795B6A"/>
    <w:rsid w:val="00795CE7"/>
    <w:rsid w:val="00795ECE"/>
    <w:rsid w:val="007969A3"/>
    <w:rsid w:val="00796EC3"/>
    <w:rsid w:val="00797D5F"/>
    <w:rsid w:val="007A0821"/>
    <w:rsid w:val="007A13AD"/>
    <w:rsid w:val="007A23B2"/>
    <w:rsid w:val="007A24BD"/>
    <w:rsid w:val="007A2EEF"/>
    <w:rsid w:val="007A3418"/>
    <w:rsid w:val="007A3F97"/>
    <w:rsid w:val="007A42E7"/>
    <w:rsid w:val="007A582F"/>
    <w:rsid w:val="007A5921"/>
    <w:rsid w:val="007A61C6"/>
    <w:rsid w:val="007A6836"/>
    <w:rsid w:val="007B0537"/>
    <w:rsid w:val="007B1065"/>
    <w:rsid w:val="007B17F5"/>
    <w:rsid w:val="007B19C1"/>
    <w:rsid w:val="007B267B"/>
    <w:rsid w:val="007B36C7"/>
    <w:rsid w:val="007B3AF1"/>
    <w:rsid w:val="007B3C4B"/>
    <w:rsid w:val="007B3E09"/>
    <w:rsid w:val="007B4280"/>
    <w:rsid w:val="007B525B"/>
    <w:rsid w:val="007B5A26"/>
    <w:rsid w:val="007B6FCF"/>
    <w:rsid w:val="007B737B"/>
    <w:rsid w:val="007B77FC"/>
    <w:rsid w:val="007B7BD1"/>
    <w:rsid w:val="007C03D9"/>
    <w:rsid w:val="007C0751"/>
    <w:rsid w:val="007C1606"/>
    <w:rsid w:val="007C43DA"/>
    <w:rsid w:val="007C45B9"/>
    <w:rsid w:val="007C4B9F"/>
    <w:rsid w:val="007C5F55"/>
    <w:rsid w:val="007C7646"/>
    <w:rsid w:val="007C7CEF"/>
    <w:rsid w:val="007D0291"/>
    <w:rsid w:val="007D2A56"/>
    <w:rsid w:val="007D38D3"/>
    <w:rsid w:val="007D3924"/>
    <w:rsid w:val="007D3A39"/>
    <w:rsid w:val="007D3A68"/>
    <w:rsid w:val="007D3B52"/>
    <w:rsid w:val="007D3DDC"/>
    <w:rsid w:val="007D4055"/>
    <w:rsid w:val="007D5CF0"/>
    <w:rsid w:val="007D6022"/>
    <w:rsid w:val="007D6390"/>
    <w:rsid w:val="007D65E7"/>
    <w:rsid w:val="007D6A23"/>
    <w:rsid w:val="007D704D"/>
    <w:rsid w:val="007D7F89"/>
    <w:rsid w:val="007E15DA"/>
    <w:rsid w:val="007E1E27"/>
    <w:rsid w:val="007E2A55"/>
    <w:rsid w:val="007E2FFC"/>
    <w:rsid w:val="007E3A40"/>
    <w:rsid w:val="007E3B0C"/>
    <w:rsid w:val="007E4262"/>
    <w:rsid w:val="007E436D"/>
    <w:rsid w:val="007E522F"/>
    <w:rsid w:val="007E5235"/>
    <w:rsid w:val="007E6A9E"/>
    <w:rsid w:val="007E74CD"/>
    <w:rsid w:val="007E7521"/>
    <w:rsid w:val="007E781B"/>
    <w:rsid w:val="007E78F1"/>
    <w:rsid w:val="007E7B91"/>
    <w:rsid w:val="007F01F3"/>
    <w:rsid w:val="007F04C5"/>
    <w:rsid w:val="007F1108"/>
    <w:rsid w:val="007F11FD"/>
    <w:rsid w:val="007F3C66"/>
    <w:rsid w:val="007F4592"/>
    <w:rsid w:val="007F4D34"/>
    <w:rsid w:val="007F4FB4"/>
    <w:rsid w:val="007F5BD8"/>
    <w:rsid w:val="007F5E5D"/>
    <w:rsid w:val="007F6E57"/>
    <w:rsid w:val="007F7663"/>
    <w:rsid w:val="007F797D"/>
    <w:rsid w:val="007F7E45"/>
    <w:rsid w:val="008001C4"/>
    <w:rsid w:val="0080049C"/>
    <w:rsid w:val="00800E8A"/>
    <w:rsid w:val="00801320"/>
    <w:rsid w:val="00801676"/>
    <w:rsid w:val="00802334"/>
    <w:rsid w:val="00802D16"/>
    <w:rsid w:val="00803502"/>
    <w:rsid w:val="00803658"/>
    <w:rsid w:val="008037CD"/>
    <w:rsid w:val="00804A12"/>
    <w:rsid w:val="00804E8C"/>
    <w:rsid w:val="00806C8C"/>
    <w:rsid w:val="00806FB5"/>
    <w:rsid w:val="008071DA"/>
    <w:rsid w:val="00807BCE"/>
    <w:rsid w:val="00810025"/>
    <w:rsid w:val="008111A8"/>
    <w:rsid w:val="00812180"/>
    <w:rsid w:val="00812799"/>
    <w:rsid w:val="00812A06"/>
    <w:rsid w:val="00812C70"/>
    <w:rsid w:val="00813065"/>
    <w:rsid w:val="00813A42"/>
    <w:rsid w:val="00813FF1"/>
    <w:rsid w:val="008143F2"/>
    <w:rsid w:val="0081466D"/>
    <w:rsid w:val="00814FDF"/>
    <w:rsid w:val="00815D5C"/>
    <w:rsid w:val="00820E08"/>
    <w:rsid w:val="0082179F"/>
    <w:rsid w:val="0082248D"/>
    <w:rsid w:val="00822993"/>
    <w:rsid w:val="0082304B"/>
    <w:rsid w:val="0082317D"/>
    <w:rsid w:val="0082532E"/>
    <w:rsid w:val="00830EB7"/>
    <w:rsid w:val="008310BD"/>
    <w:rsid w:val="00831C60"/>
    <w:rsid w:val="008322F0"/>
    <w:rsid w:val="008340BB"/>
    <w:rsid w:val="0083427C"/>
    <w:rsid w:val="008345E4"/>
    <w:rsid w:val="008346D6"/>
    <w:rsid w:val="008346EC"/>
    <w:rsid w:val="00834748"/>
    <w:rsid w:val="00834C35"/>
    <w:rsid w:val="00834E0E"/>
    <w:rsid w:val="0083533F"/>
    <w:rsid w:val="00835BCA"/>
    <w:rsid w:val="00835BE6"/>
    <w:rsid w:val="00835D5B"/>
    <w:rsid w:val="0083617A"/>
    <w:rsid w:val="0083679C"/>
    <w:rsid w:val="00836AC7"/>
    <w:rsid w:val="00836DA1"/>
    <w:rsid w:val="0083781B"/>
    <w:rsid w:val="008425A8"/>
    <w:rsid w:val="00843536"/>
    <w:rsid w:val="00844F5C"/>
    <w:rsid w:val="0084511E"/>
    <w:rsid w:val="008455EA"/>
    <w:rsid w:val="00845D86"/>
    <w:rsid w:val="00846509"/>
    <w:rsid w:val="0084747C"/>
    <w:rsid w:val="00847DB6"/>
    <w:rsid w:val="0085030F"/>
    <w:rsid w:val="00852358"/>
    <w:rsid w:val="0085265C"/>
    <w:rsid w:val="00852667"/>
    <w:rsid w:val="00852FFB"/>
    <w:rsid w:val="00853FAF"/>
    <w:rsid w:val="008548DA"/>
    <w:rsid w:val="00854BFF"/>
    <w:rsid w:val="008554AE"/>
    <w:rsid w:val="00855726"/>
    <w:rsid w:val="0085588B"/>
    <w:rsid w:val="00855A41"/>
    <w:rsid w:val="0085614F"/>
    <w:rsid w:val="00856898"/>
    <w:rsid w:val="00857608"/>
    <w:rsid w:val="0085765C"/>
    <w:rsid w:val="00857CEF"/>
    <w:rsid w:val="008615A2"/>
    <w:rsid w:val="00863251"/>
    <w:rsid w:val="00863476"/>
    <w:rsid w:val="00863540"/>
    <w:rsid w:val="008648F7"/>
    <w:rsid w:val="00865E2F"/>
    <w:rsid w:val="00866366"/>
    <w:rsid w:val="00866466"/>
    <w:rsid w:val="00866A17"/>
    <w:rsid w:val="00866B24"/>
    <w:rsid w:val="00866DB4"/>
    <w:rsid w:val="0086702C"/>
    <w:rsid w:val="008670F6"/>
    <w:rsid w:val="0087038B"/>
    <w:rsid w:val="00871039"/>
    <w:rsid w:val="008715E6"/>
    <w:rsid w:val="00871C70"/>
    <w:rsid w:val="00871D7D"/>
    <w:rsid w:val="0087300A"/>
    <w:rsid w:val="0087365E"/>
    <w:rsid w:val="00874B39"/>
    <w:rsid w:val="00874ED1"/>
    <w:rsid w:val="00874FD0"/>
    <w:rsid w:val="008761EE"/>
    <w:rsid w:val="00876304"/>
    <w:rsid w:val="00876815"/>
    <w:rsid w:val="00876D17"/>
    <w:rsid w:val="00877485"/>
    <w:rsid w:val="00877DE3"/>
    <w:rsid w:val="008804BB"/>
    <w:rsid w:val="00881CCA"/>
    <w:rsid w:val="0088266F"/>
    <w:rsid w:val="00884448"/>
    <w:rsid w:val="00885459"/>
    <w:rsid w:val="00885CC2"/>
    <w:rsid w:val="00886167"/>
    <w:rsid w:val="008864D5"/>
    <w:rsid w:val="0088746C"/>
    <w:rsid w:val="00891380"/>
    <w:rsid w:val="00892F78"/>
    <w:rsid w:val="0089319F"/>
    <w:rsid w:val="00893712"/>
    <w:rsid w:val="0089391B"/>
    <w:rsid w:val="00894BC2"/>
    <w:rsid w:val="0089618B"/>
    <w:rsid w:val="008A1FD3"/>
    <w:rsid w:val="008A236A"/>
    <w:rsid w:val="008A3439"/>
    <w:rsid w:val="008A3533"/>
    <w:rsid w:val="008A357E"/>
    <w:rsid w:val="008A3BB8"/>
    <w:rsid w:val="008A4B17"/>
    <w:rsid w:val="008A4C39"/>
    <w:rsid w:val="008A53C6"/>
    <w:rsid w:val="008A65CB"/>
    <w:rsid w:val="008A676A"/>
    <w:rsid w:val="008A6CF4"/>
    <w:rsid w:val="008A76AB"/>
    <w:rsid w:val="008A7FF7"/>
    <w:rsid w:val="008B0146"/>
    <w:rsid w:val="008B01CA"/>
    <w:rsid w:val="008B04D4"/>
    <w:rsid w:val="008B0C0F"/>
    <w:rsid w:val="008B10A5"/>
    <w:rsid w:val="008B13E6"/>
    <w:rsid w:val="008B1EC9"/>
    <w:rsid w:val="008B3A31"/>
    <w:rsid w:val="008B3D75"/>
    <w:rsid w:val="008B481A"/>
    <w:rsid w:val="008B49FB"/>
    <w:rsid w:val="008B58CE"/>
    <w:rsid w:val="008B5E03"/>
    <w:rsid w:val="008B6202"/>
    <w:rsid w:val="008C0953"/>
    <w:rsid w:val="008C17D9"/>
    <w:rsid w:val="008C2FD7"/>
    <w:rsid w:val="008C32BA"/>
    <w:rsid w:val="008C3AE2"/>
    <w:rsid w:val="008C4CDA"/>
    <w:rsid w:val="008C4FFA"/>
    <w:rsid w:val="008C68AC"/>
    <w:rsid w:val="008D1028"/>
    <w:rsid w:val="008D15B8"/>
    <w:rsid w:val="008D17D9"/>
    <w:rsid w:val="008D1CE9"/>
    <w:rsid w:val="008D1FD8"/>
    <w:rsid w:val="008D2A7A"/>
    <w:rsid w:val="008D40BE"/>
    <w:rsid w:val="008D437D"/>
    <w:rsid w:val="008D458A"/>
    <w:rsid w:val="008D45CD"/>
    <w:rsid w:val="008D4724"/>
    <w:rsid w:val="008D5D91"/>
    <w:rsid w:val="008D62FF"/>
    <w:rsid w:val="008D6EF9"/>
    <w:rsid w:val="008D714C"/>
    <w:rsid w:val="008D72CF"/>
    <w:rsid w:val="008D7864"/>
    <w:rsid w:val="008D78F8"/>
    <w:rsid w:val="008D796B"/>
    <w:rsid w:val="008D7AC9"/>
    <w:rsid w:val="008E038E"/>
    <w:rsid w:val="008E0632"/>
    <w:rsid w:val="008E09EC"/>
    <w:rsid w:val="008E12C1"/>
    <w:rsid w:val="008E1A1A"/>
    <w:rsid w:val="008E1EE4"/>
    <w:rsid w:val="008E29FE"/>
    <w:rsid w:val="008E3EF2"/>
    <w:rsid w:val="008E418E"/>
    <w:rsid w:val="008E454F"/>
    <w:rsid w:val="008E5F34"/>
    <w:rsid w:val="008E6140"/>
    <w:rsid w:val="008E62D0"/>
    <w:rsid w:val="008E639B"/>
    <w:rsid w:val="008E78F8"/>
    <w:rsid w:val="008E7D99"/>
    <w:rsid w:val="008F0119"/>
    <w:rsid w:val="008F0384"/>
    <w:rsid w:val="008F1AB7"/>
    <w:rsid w:val="008F3AE2"/>
    <w:rsid w:val="008F3BC6"/>
    <w:rsid w:val="008F430D"/>
    <w:rsid w:val="008F5958"/>
    <w:rsid w:val="008F5C86"/>
    <w:rsid w:val="008F62CD"/>
    <w:rsid w:val="008F73A3"/>
    <w:rsid w:val="008F7AB1"/>
    <w:rsid w:val="00900B4B"/>
    <w:rsid w:val="00901505"/>
    <w:rsid w:val="00901C91"/>
    <w:rsid w:val="009022CD"/>
    <w:rsid w:val="00902AD0"/>
    <w:rsid w:val="00903002"/>
    <w:rsid w:val="00903386"/>
    <w:rsid w:val="00903AEE"/>
    <w:rsid w:val="00903F95"/>
    <w:rsid w:val="0090602B"/>
    <w:rsid w:val="009070DE"/>
    <w:rsid w:val="009077F0"/>
    <w:rsid w:val="00907A2C"/>
    <w:rsid w:val="00907BE0"/>
    <w:rsid w:val="009117A4"/>
    <w:rsid w:val="00911F71"/>
    <w:rsid w:val="00912C0B"/>
    <w:rsid w:val="00913DBD"/>
    <w:rsid w:val="0091426D"/>
    <w:rsid w:val="00914CD4"/>
    <w:rsid w:val="0091548E"/>
    <w:rsid w:val="00915760"/>
    <w:rsid w:val="00915798"/>
    <w:rsid w:val="00915B50"/>
    <w:rsid w:val="00916BCD"/>
    <w:rsid w:val="00917354"/>
    <w:rsid w:val="0091793E"/>
    <w:rsid w:val="00917AE7"/>
    <w:rsid w:val="00917F78"/>
    <w:rsid w:val="009200B2"/>
    <w:rsid w:val="009205FC"/>
    <w:rsid w:val="009210F2"/>
    <w:rsid w:val="00922D3A"/>
    <w:rsid w:val="00922EFC"/>
    <w:rsid w:val="00923362"/>
    <w:rsid w:val="009235CD"/>
    <w:rsid w:val="00926312"/>
    <w:rsid w:val="00927077"/>
    <w:rsid w:val="00927960"/>
    <w:rsid w:val="00927AEA"/>
    <w:rsid w:val="009301F4"/>
    <w:rsid w:val="009302D7"/>
    <w:rsid w:val="00930352"/>
    <w:rsid w:val="0093092F"/>
    <w:rsid w:val="00930D09"/>
    <w:rsid w:val="009312D3"/>
    <w:rsid w:val="0093161C"/>
    <w:rsid w:val="00931E94"/>
    <w:rsid w:val="009324E2"/>
    <w:rsid w:val="0093282F"/>
    <w:rsid w:val="00932A78"/>
    <w:rsid w:val="00932D8E"/>
    <w:rsid w:val="00933E00"/>
    <w:rsid w:val="0093418A"/>
    <w:rsid w:val="0093470A"/>
    <w:rsid w:val="00934E83"/>
    <w:rsid w:val="00937072"/>
    <w:rsid w:val="00941082"/>
    <w:rsid w:val="00941324"/>
    <w:rsid w:val="009418A6"/>
    <w:rsid w:val="009418F7"/>
    <w:rsid w:val="00941E69"/>
    <w:rsid w:val="00942269"/>
    <w:rsid w:val="00942433"/>
    <w:rsid w:val="00942F2E"/>
    <w:rsid w:val="0094321D"/>
    <w:rsid w:val="00944922"/>
    <w:rsid w:val="00945645"/>
    <w:rsid w:val="00945EAE"/>
    <w:rsid w:val="009467EF"/>
    <w:rsid w:val="00947024"/>
    <w:rsid w:val="009470A5"/>
    <w:rsid w:val="00947345"/>
    <w:rsid w:val="0094786D"/>
    <w:rsid w:val="009479FA"/>
    <w:rsid w:val="00947B5C"/>
    <w:rsid w:val="00947E59"/>
    <w:rsid w:val="00952362"/>
    <w:rsid w:val="00953430"/>
    <w:rsid w:val="00954E4E"/>
    <w:rsid w:val="009577C4"/>
    <w:rsid w:val="00957D54"/>
    <w:rsid w:val="00960A45"/>
    <w:rsid w:val="0096165F"/>
    <w:rsid w:val="00962AFF"/>
    <w:rsid w:val="00963225"/>
    <w:rsid w:val="00964B24"/>
    <w:rsid w:val="009663C0"/>
    <w:rsid w:val="00966481"/>
    <w:rsid w:val="0096687C"/>
    <w:rsid w:val="00966B88"/>
    <w:rsid w:val="00966E24"/>
    <w:rsid w:val="009670C0"/>
    <w:rsid w:val="00970B1C"/>
    <w:rsid w:val="00970C7C"/>
    <w:rsid w:val="00970F19"/>
    <w:rsid w:val="00971B3A"/>
    <w:rsid w:val="00971F03"/>
    <w:rsid w:val="00973D74"/>
    <w:rsid w:val="00973FE9"/>
    <w:rsid w:val="00974963"/>
    <w:rsid w:val="00975367"/>
    <w:rsid w:val="0097554F"/>
    <w:rsid w:val="00975D7B"/>
    <w:rsid w:val="00976091"/>
    <w:rsid w:val="00976198"/>
    <w:rsid w:val="00976A5D"/>
    <w:rsid w:val="00976B42"/>
    <w:rsid w:val="0097738B"/>
    <w:rsid w:val="00977AC1"/>
    <w:rsid w:val="00980C7F"/>
    <w:rsid w:val="009815FC"/>
    <w:rsid w:val="0098207F"/>
    <w:rsid w:val="00983B24"/>
    <w:rsid w:val="00983F12"/>
    <w:rsid w:val="00985274"/>
    <w:rsid w:val="009854F9"/>
    <w:rsid w:val="009869B9"/>
    <w:rsid w:val="00986EE4"/>
    <w:rsid w:val="009905BE"/>
    <w:rsid w:val="009909CB"/>
    <w:rsid w:val="00990CAF"/>
    <w:rsid w:val="009920B7"/>
    <w:rsid w:val="0099261A"/>
    <w:rsid w:val="0099346B"/>
    <w:rsid w:val="00994231"/>
    <w:rsid w:val="00994EEE"/>
    <w:rsid w:val="00994F83"/>
    <w:rsid w:val="00995285"/>
    <w:rsid w:val="009956ED"/>
    <w:rsid w:val="00995865"/>
    <w:rsid w:val="0099625D"/>
    <w:rsid w:val="009964B6"/>
    <w:rsid w:val="00996A3F"/>
    <w:rsid w:val="00997159"/>
    <w:rsid w:val="009A147F"/>
    <w:rsid w:val="009A1486"/>
    <w:rsid w:val="009A1E92"/>
    <w:rsid w:val="009A3453"/>
    <w:rsid w:val="009A39CF"/>
    <w:rsid w:val="009A3EC8"/>
    <w:rsid w:val="009A46C1"/>
    <w:rsid w:val="009A54F5"/>
    <w:rsid w:val="009A581B"/>
    <w:rsid w:val="009A5E3A"/>
    <w:rsid w:val="009A7ACB"/>
    <w:rsid w:val="009B071B"/>
    <w:rsid w:val="009B15DE"/>
    <w:rsid w:val="009B1BB0"/>
    <w:rsid w:val="009B1DD3"/>
    <w:rsid w:val="009B1ED7"/>
    <w:rsid w:val="009B28AE"/>
    <w:rsid w:val="009B2C61"/>
    <w:rsid w:val="009B318E"/>
    <w:rsid w:val="009B32AC"/>
    <w:rsid w:val="009B33C2"/>
    <w:rsid w:val="009B341E"/>
    <w:rsid w:val="009B3A89"/>
    <w:rsid w:val="009B54B1"/>
    <w:rsid w:val="009B5759"/>
    <w:rsid w:val="009B68AC"/>
    <w:rsid w:val="009B6961"/>
    <w:rsid w:val="009B6E8A"/>
    <w:rsid w:val="009C0714"/>
    <w:rsid w:val="009C07CB"/>
    <w:rsid w:val="009C1262"/>
    <w:rsid w:val="009C17AD"/>
    <w:rsid w:val="009C1AD3"/>
    <w:rsid w:val="009C2535"/>
    <w:rsid w:val="009C30D2"/>
    <w:rsid w:val="009C3A59"/>
    <w:rsid w:val="009C418C"/>
    <w:rsid w:val="009C4B77"/>
    <w:rsid w:val="009C5202"/>
    <w:rsid w:val="009C7095"/>
    <w:rsid w:val="009C709A"/>
    <w:rsid w:val="009C784B"/>
    <w:rsid w:val="009C78AA"/>
    <w:rsid w:val="009D07B2"/>
    <w:rsid w:val="009D0EC9"/>
    <w:rsid w:val="009D1F18"/>
    <w:rsid w:val="009D2A7F"/>
    <w:rsid w:val="009D2BDF"/>
    <w:rsid w:val="009D2EAF"/>
    <w:rsid w:val="009D34FA"/>
    <w:rsid w:val="009D3528"/>
    <w:rsid w:val="009D46CD"/>
    <w:rsid w:val="009D536D"/>
    <w:rsid w:val="009D55B8"/>
    <w:rsid w:val="009D6C18"/>
    <w:rsid w:val="009D6CD0"/>
    <w:rsid w:val="009D70B2"/>
    <w:rsid w:val="009D7B76"/>
    <w:rsid w:val="009D7ECF"/>
    <w:rsid w:val="009E0620"/>
    <w:rsid w:val="009E1639"/>
    <w:rsid w:val="009E1BF5"/>
    <w:rsid w:val="009E2A74"/>
    <w:rsid w:val="009E64EA"/>
    <w:rsid w:val="009E6B11"/>
    <w:rsid w:val="009E777A"/>
    <w:rsid w:val="009E7B35"/>
    <w:rsid w:val="009F0400"/>
    <w:rsid w:val="009F09D8"/>
    <w:rsid w:val="009F1181"/>
    <w:rsid w:val="009F2087"/>
    <w:rsid w:val="009F2676"/>
    <w:rsid w:val="009F2CAC"/>
    <w:rsid w:val="009F2E8A"/>
    <w:rsid w:val="009F322B"/>
    <w:rsid w:val="009F389A"/>
    <w:rsid w:val="009F3CE0"/>
    <w:rsid w:val="009F4402"/>
    <w:rsid w:val="009F49E8"/>
    <w:rsid w:val="009F4BF5"/>
    <w:rsid w:val="009F741A"/>
    <w:rsid w:val="009F7761"/>
    <w:rsid w:val="00A00802"/>
    <w:rsid w:val="00A00EA5"/>
    <w:rsid w:val="00A00ED7"/>
    <w:rsid w:val="00A0241A"/>
    <w:rsid w:val="00A035FA"/>
    <w:rsid w:val="00A04276"/>
    <w:rsid w:val="00A04C00"/>
    <w:rsid w:val="00A05058"/>
    <w:rsid w:val="00A052B8"/>
    <w:rsid w:val="00A056CE"/>
    <w:rsid w:val="00A05757"/>
    <w:rsid w:val="00A06309"/>
    <w:rsid w:val="00A07592"/>
    <w:rsid w:val="00A07687"/>
    <w:rsid w:val="00A079FF"/>
    <w:rsid w:val="00A10548"/>
    <w:rsid w:val="00A11491"/>
    <w:rsid w:val="00A128F9"/>
    <w:rsid w:val="00A1410F"/>
    <w:rsid w:val="00A1415C"/>
    <w:rsid w:val="00A1421F"/>
    <w:rsid w:val="00A14AE5"/>
    <w:rsid w:val="00A14C6A"/>
    <w:rsid w:val="00A151FE"/>
    <w:rsid w:val="00A15642"/>
    <w:rsid w:val="00A1731D"/>
    <w:rsid w:val="00A174CC"/>
    <w:rsid w:val="00A20237"/>
    <w:rsid w:val="00A2054C"/>
    <w:rsid w:val="00A20816"/>
    <w:rsid w:val="00A2089F"/>
    <w:rsid w:val="00A20B5F"/>
    <w:rsid w:val="00A21954"/>
    <w:rsid w:val="00A21A99"/>
    <w:rsid w:val="00A21D96"/>
    <w:rsid w:val="00A2318C"/>
    <w:rsid w:val="00A23D59"/>
    <w:rsid w:val="00A25B20"/>
    <w:rsid w:val="00A26628"/>
    <w:rsid w:val="00A26B1D"/>
    <w:rsid w:val="00A274F4"/>
    <w:rsid w:val="00A27E20"/>
    <w:rsid w:val="00A30E3B"/>
    <w:rsid w:val="00A31037"/>
    <w:rsid w:val="00A312E3"/>
    <w:rsid w:val="00A31486"/>
    <w:rsid w:val="00A3309D"/>
    <w:rsid w:val="00A3437E"/>
    <w:rsid w:val="00A34550"/>
    <w:rsid w:val="00A34C81"/>
    <w:rsid w:val="00A34EC9"/>
    <w:rsid w:val="00A36122"/>
    <w:rsid w:val="00A363DC"/>
    <w:rsid w:val="00A36FB3"/>
    <w:rsid w:val="00A37819"/>
    <w:rsid w:val="00A3787F"/>
    <w:rsid w:val="00A4092D"/>
    <w:rsid w:val="00A4222E"/>
    <w:rsid w:val="00A43101"/>
    <w:rsid w:val="00A43A87"/>
    <w:rsid w:val="00A44C34"/>
    <w:rsid w:val="00A47C93"/>
    <w:rsid w:val="00A50398"/>
    <w:rsid w:val="00A51030"/>
    <w:rsid w:val="00A52F3E"/>
    <w:rsid w:val="00A55D63"/>
    <w:rsid w:val="00A5604B"/>
    <w:rsid w:val="00A567A7"/>
    <w:rsid w:val="00A56D94"/>
    <w:rsid w:val="00A56E28"/>
    <w:rsid w:val="00A57278"/>
    <w:rsid w:val="00A605F3"/>
    <w:rsid w:val="00A609B0"/>
    <w:rsid w:val="00A610FD"/>
    <w:rsid w:val="00A6209B"/>
    <w:rsid w:val="00A6335A"/>
    <w:rsid w:val="00A638FF"/>
    <w:rsid w:val="00A63913"/>
    <w:rsid w:val="00A63A40"/>
    <w:rsid w:val="00A6434B"/>
    <w:rsid w:val="00A647CA"/>
    <w:rsid w:val="00A66090"/>
    <w:rsid w:val="00A6623E"/>
    <w:rsid w:val="00A67BB6"/>
    <w:rsid w:val="00A7058D"/>
    <w:rsid w:val="00A709FD"/>
    <w:rsid w:val="00A70D1F"/>
    <w:rsid w:val="00A7120E"/>
    <w:rsid w:val="00A7235B"/>
    <w:rsid w:val="00A72FBE"/>
    <w:rsid w:val="00A73EEA"/>
    <w:rsid w:val="00A749D4"/>
    <w:rsid w:val="00A755B9"/>
    <w:rsid w:val="00A76B10"/>
    <w:rsid w:val="00A76F43"/>
    <w:rsid w:val="00A8012A"/>
    <w:rsid w:val="00A80D1D"/>
    <w:rsid w:val="00A810D6"/>
    <w:rsid w:val="00A81A10"/>
    <w:rsid w:val="00A82634"/>
    <w:rsid w:val="00A83A12"/>
    <w:rsid w:val="00A83F5E"/>
    <w:rsid w:val="00A84224"/>
    <w:rsid w:val="00A84725"/>
    <w:rsid w:val="00A84BB8"/>
    <w:rsid w:val="00A84BB9"/>
    <w:rsid w:val="00A8524C"/>
    <w:rsid w:val="00A85C7E"/>
    <w:rsid w:val="00A86DC4"/>
    <w:rsid w:val="00A86F45"/>
    <w:rsid w:val="00A902E0"/>
    <w:rsid w:val="00A91108"/>
    <w:rsid w:val="00A91C24"/>
    <w:rsid w:val="00A938A5"/>
    <w:rsid w:val="00A942B5"/>
    <w:rsid w:val="00A94A09"/>
    <w:rsid w:val="00A94C21"/>
    <w:rsid w:val="00A95043"/>
    <w:rsid w:val="00A9626D"/>
    <w:rsid w:val="00A97B22"/>
    <w:rsid w:val="00AA03BF"/>
    <w:rsid w:val="00AA395F"/>
    <w:rsid w:val="00AA4C4D"/>
    <w:rsid w:val="00AA63C6"/>
    <w:rsid w:val="00AA67E4"/>
    <w:rsid w:val="00AA6881"/>
    <w:rsid w:val="00AA758F"/>
    <w:rsid w:val="00AB16F3"/>
    <w:rsid w:val="00AB20CD"/>
    <w:rsid w:val="00AB3257"/>
    <w:rsid w:val="00AB3309"/>
    <w:rsid w:val="00AB4366"/>
    <w:rsid w:val="00AB4556"/>
    <w:rsid w:val="00AB456D"/>
    <w:rsid w:val="00AB4707"/>
    <w:rsid w:val="00AB535A"/>
    <w:rsid w:val="00AB5543"/>
    <w:rsid w:val="00AB6BB6"/>
    <w:rsid w:val="00AB73E8"/>
    <w:rsid w:val="00AB746D"/>
    <w:rsid w:val="00AB788B"/>
    <w:rsid w:val="00AC0AFB"/>
    <w:rsid w:val="00AC18E9"/>
    <w:rsid w:val="00AC29C2"/>
    <w:rsid w:val="00AC30B1"/>
    <w:rsid w:val="00AC4807"/>
    <w:rsid w:val="00AC5976"/>
    <w:rsid w:val="00AC69CE"/>
    <w:rsid w:val="00AC6AFB"/>
    <w:rsid w:val="00AD0501"/>
    <w:rsid w:val="00AD1B7E"/>
    <w:rsid w:val="00AD2042"/>
    <w:rsid w:val="00AD21D0"/>
    <w:rsid w:val="00AD3349"/>
    <w:rsid w:val="00AD361D"/>
    <w:rsid w:val="00AD491B"/>
    <w:rsid w:val="00AD4AB5"/>
    <w:rsid w:val="00AD60E4"/>
    <w:rsid w:val="00AD7014"/>
    <w:rsid w:val="00AD72C3"/>
    <w:rsid w:val="00AD7485"/>
    <w:rsid w:val="00AE0E95"/>
    <w:rsid w:val="00AE15A6"/>
    <w:rsid w:val="00AE1E89"/>
    <w:rsid w:val="00AE45CD"/>
    <w:rsid w:val="00AE4CB0"/>
    <w:rsid w:val="00AE60EB"/>
    <w:rsid w:val="00AE70AA"/>
    <w:rsid w:val="00AF001B"/>
    <w:rsid w:val="00AF02C3"/>
    <w:rsid w:val="00AF296E"/>
    <w:rsid w:val="00AF29C8"/>
    <w:rsid w:val="00AF2B6B"/>
    <w:rsid w:val="00AF2CAE"/>
    <w:rsid w:val="00AF347A"/>
    <w:rsid w:val="00AF34EA"/>
    <w:rsid w:val="00AF45EA"/>
    <w:rsid w:val="00AF497A"/>
    <w:rsid w:val="00AF5A8A"/>
    <w:rsid w:val="00AF6470"/>
    <w:rsid w:val="00AF65AC"/>
    <w:rsid w:val="00AF66D2"/>
    <w:rsid w:val="00AF747A"/>
    <w:rsid w:val="00AF79E7"/>
    <w:rsid w:val="00B008E2"/>
    <w:rsid w:val="00B01F9E"/>
    <w:rsid w:val="00B03B85"/>
    <w:rsid w:val="00B03C9A"/>
    <w:rsid w:val="00B04F2D"/>
    <w:rsid w:val="00B05057"/>
    <w:rsid w:val="00B050C2"/>
    <w:rsid w:val="00B06CB4"/>
    <w:rsid w:val="00B06F52"/>
    <w:rsid w:val="00B06F9A"/>
    <w:rsid w:val="00B07375"/>
    <w:rsid w:val="00B07581"/>
    <w:rsid w:val="00B0766C"/>
    <w:rsid w:val="00B112C1"/>
    <w:rsid w:val="00B11D1C"/>
    <w:rsid w:val="00B126D2"/>
    <w:rsid w:val="00B1285A"/>
    <w:rsid w:val="00B12F3E"/>
    <w:rsid w:val="00B133EB"/>
    <w:rsid w:val="00B13E6C"/>
    <w:rsid w:val="00B14940"/>
    <w:rsid w:val="00B15906"/>
    <w:rsid w:val="00B159F0"/>
    <w:rsid w:val="00B16538"/>
    <w:rsid w:val="00B1740B"/>
    <w:rsid w:val="00B179E9"/>
    <w:rsid w:val="00B2005C"/>
    <w:rsid w:val="00B21C50"/>
    <w:rsid w:val="00B21C8C"/>
    <w:rsid w:val="00B22318"/>
    <w:rsid w:val="00B22AF4"/>
    <w:rsid w:val="00B24F41"/>
    <w:rsid w:val="00B26377"/>
    <w:rsid w:val="00B265B1"/>
    <w:rsid w:val="00B30DF5"/>
    <w:rsid w:val="00B30F91"/>
    <w:rsid w:val="00B31492"/>
    <w:rsid w:val="00B3286A"/>
    <w:rsid w:val="00B34231"/>
    <w:rsid w:val="00B34772"/>
    <w:rsid w:val="00B347E2"/>
    <w:rsid w:val="00B35220"/>
    <w:rsid w:val="00B403CE"/>
    <w:rsid w:val="00B41700"/>
    <w:rsid w:val="00B41890"/>
    <w:rsid w:val="00B421B8"/>
    <w:rsid w:val="00B4252B"/>
    <w:rsid w:val="00B42FAF"/>
    <w:rsid w:val="00B441C5"/>
    <w:rsid w:val="00B44C46"/>
    <w:rsid w:val="00B4509B"/>
    <w:rsid w:val="00B46BE4"/>
    <w:rsid w:val="00B503ED"/>
    <w:rsid w:val="00B50BE4"/>
    <w:rsid w:val="00B5209D"/>
    <w:rsid w:val="00B5358F"/>
    <w:rsid w:val="00B54F4D"/>
    <w:rsid w:val="00B56331"/>
    <w:rsid w:val="00B5659B"/>
    <w:rsid w:val="00B60013"/>
    <w:rsid w:val="00B60BE7"/>
    <w:rsid w:val="00B61196"/>
    <w:rsid w:val="00B61383"/>
    <w:rsid w:val="00B613F6"/>
    <w:rsid w:val="00B62389"/>
    <w:rsid w:val="00B62BA5"/>
    <w:rsid w:val="00B631C4"/>
    <w:rsid w:val="00B64660"/>
    <w:rsid w:val="00B650EE"/>
    <w:rsid w:val="00B654BD"/>
    <w:rsid w:val="00B6554B"/>
    <w:rsid w:val="00B65A2E"/>
    <w:rsid w:val="00B6685C"/>
    <w:rsid w:val="00B66FA7"/>
    <w:rsid w:val="00B67A04"/>
    <w:rsid w:val="00B70188"/>
    <w:rsid w:val="00B7029B"/>
    <w:rsid w:val="00B70609"/>
    <w:rsid w:val="00B7140F"/>
    <w:rsid w:val="00B71B6B"/>
    <w:rsid w:val="00B721AB"/>
    <w:rsid w:val="00B73E3F"/>
    <w:rsid w:val="00B74DAB"/>
    <w:rsid w:val="00B74E0C"/>
    <w:rsid w:val="00B752C1"/>
    <w:rsid w:val="00B75779"/>
    <w:rsid w:val="00B75DFE"/>
    <w:rsid w:val="00B76504"/>
    <w:rsid w:val="00B77593"/>
    <w:rsid w:val="00B80A14"/>
    <w:rsid w:val="00B821D5"/>
    <w:rsid w:val="00B82D28"/>
    <w:rsid w:val="00B832EB"/>
    <w:rsid w:val="00B85610"/>
    <w:rsid w:val="00B85B85"/>
    <w:rsid w:val="00B869EA"/>
    <w:rsid w:val="00B869F8"/>
    <w:rsid w:val="00B86CA9"/>
    <w:rsid w:val="00B8749E"/>
    <w:rsid w:val="00B87991"/>
    <w:rsid w:val="00B91290"/>
    <w:rsid w:val="00B920F0"/>
    <w:rsid w:val="00B923E9"/>
    <w:rsid w:val="00B9314D"/>
    <w:rsid w:val="00B9317C"/>
    <w:rsid w:val="00B93738"/>
    <w:rsid w:val="00B9463D"/>
    <w:rsid w:val="00B96085"/>
    <w:rsid w:val="00B96A7F"/>
    <w:rsid w:val="00B97CED"/>
    <w:rsid w:val="00BA009D"/>
    <w:rsid w:val="00BA0BD4"/>
    <w:rsid w:val="00BA12B6"/>
    <w:rsid w:val="00BA17D1"/>
    <w:rsid w:val="00BA1D93"/>
    <w:rsid w:val="00BA281C"/>
    <w:rsid w:val="00BA38CF"/>
    <w:rsid w:val="00BA3DF4"/>
    <w:rsid w:val="00BA4240"/>
    <w:rsid w:val="00BA5BF5"/>
    <w:rsid w:val="00BA5D21"/>
    <w:rsid w:val="00BA6562"/>
    <w:rsid w:val="00BA72E4"/>
    <w:rsid w:val="00BA7360"/>
    <w:rsid w:val="00BB2932"/>
    <w:rsid w:val="00BB2BAF"/>
    <w:rsid w:val="00BB2EDC"/>
    <w:rsid w:val="00BB569E"/>
    <w:rsid w:val="00BB5898"/>
    <w:rsid w:val="00BB5AEA"/>
    <w:rsid w:val="00BB5F0B"/>
    <w:rsid w:val="00BB5F83"/>
    <w:rsid w:val="00BB6A2E"/>
    <w:rsid w:val="00BB74E6"/>
    <w:rsid w:val="00BB7A14"/>
    <w:rsid w:val="00BB7E38"/>
    <w:rsid w:val="00BC052A"/>
    <w:rsid w:val="00BC0722"/>
    <w:rsid w:val="00BC20DC"/>
    <w:rsid w:val="00BC2118"/>
    <w:rsid w:val="00BC2C2A"/>
    <w:rsid w:val="00BC310E"/>
    <w:rsid w:val="00BC3637"/>
    <w:rsid w:val="00BC474F"/>
    <w:rsid w:val="00BC4A57"/>
    <w:rsid w:val="00BC5624"/>
    <w:rsid w:val="00BC56C7"/>
    <w:rsid w:val="00BC57E3"/>
    <w:rsid w:val="00BC5DF7"/>
    <w:rsid w:val="00BC6952"/>
    <w:rsid w:val="00BC6C38"/>
    <w:rsid w:val="00BD0B67"/>
    <w:rsid w:val="00BD1A81"/>
    <w:rsid w:val="00BD30EE"/>
    <w:rsid w:val="00BD34F0"/>
    <w:rsid w:val="00BD3681"/>
    <w:rsid w:val="00BD38B0"/>
    <w:rsid w:val="00BD3BAD"/>
    <w:rsid w:val="00BD479F"/>
    <w:rsid w:val="00BD4949"/>
    <w:rsid w:val="00BD53F8"/>
    <w:rsid w:val="00BD5ABB"/>
    <w:rsid w:val="00BD6134"/>
    <w:rsid w:val="00BD656D"/>
    <w:rsid w:val="00BD669A"/>
    <w:rsid w:val="00BE0362"/>
    <w:rsid w:val="00BE0D8D"/>
    <w:rsid w:val="00BE123B"/>
    <w:rsid w:val="00BE1435"/>
    <w:rsid w:val="00BE1A1F"/>
    <w:rsid w:val="00BE511C"/>
    <w:rsid w:val="00BE5A14"/>
    <w:rsid w:val="00BF1899"/>
    <w:rsid w:val="00BF2483"/>
    <w:rsid w:val="00BF32AA"/>
    <w:rsid w:val="00BF38BB"/>
    <w:rsid w:val="00BF5EDA"/>
    <w:rsid w:val="00BF69E7"/>
    <w:rsid w:val="00C00089"/>
    <w:rsid w:val="00C0046C"/>
    <w:rsid w:val="00C01A39"/>
    <w:rsid w:val="00C027A1"/>
    <w:rsid w:val="00C03A00"/>
    <w:rsid w:val="00C03F9D"/>
    <w:rsid w:val="00C04086"/>
    <w:rsid w:val="00C040B6"/>
    <w:rsid w:val="00C0568C"/>
    <w:rsid w:val="00C06230"/>
    <w:rsid w:val="00C074C0"/>
    <w:rsid w:val="00C07AF3"/>
    <w:rsid w:val="00C07BF7"/>
    <w:rsid w:val="00C1086B"/>
    <w:rsid w:val="00C10BC3"/>
    <w:rsid w:val="00C1189A"/>
    <w:rsid w:val="00C12297"/>
    <w:rsid w:val="00C13E81"/>
    <w:rsid w:val="00C1407A"/>
    <w:rsid w:val="00C14C35"/>
    <w:rsid w:val="00C15986"/>
    <w:rsid w:val="00C15AA0"/>
    <w:rsid w:val="00C15F2C"/>
    <w:rsid w:val="00C16065"/>
    <w:rsid w:val="00C173EA"/>
    <w:rsid w:val="00C17A33"/>
    <w:rsid w:val="00C20E4F"/>
    <w:rsid w:val="00C21865"/>
    <w:rsid w:val="00C21B10"/>
    <w:rsid w:val="00C22485"/>
    <w:rsid w:val="00C24D5E"/>
    <w:rsid w:val="00C25FBA"/>
    <w:rsid w:val="00C26CB3"/>
    <w:rsid w:val="00C30229"/>
    <w:rsid w:val="00C30E2D"/>
    <w:rsid w:val="00C31A7C"/>
    <w:rsid w:val="00C31DA0"/>
    <w:rsid w:val="00C33A05"/>
    <w:rsid w:val="00C33A40"/>
    <w:rsid w:val="00C34041"/>
    <w:rsid w:val="00C34834"/>
    <w:rsid w:val="00C34FAA"/>
    <w:rsid w:val="00C37986"/>
    <w:rsid w:val="00C37AA6"/>
    <w:rsid w:val="00C40B73"/>
    <w:rsid w:val="00C413B0"/>
    <w:rsid w:val="00C43926"/>
    <w:rsid w:val="00C43E12"/>
    <w:rsid w:val="00C449CD"/>
    <w:rsid w:val="00C44CFD"/>
    <w:rsid w:val="00C47DB8"/>
    <w:rsid w:val="00C50986"/>
    <w:rsid w:val="00C515BD"/>
    <w:rsid w:val="00C51F30"/>
    <w:rsid w:val="00C529DB"/>
    <w:rsid w:val="00C52B3E"/>
    <w:rsid w:val="00C52BA6"/>
    <w:rsid w:val="00C54122"/>
    <w:rsid w:val="00C542EE"/>
    <w:rsid w:val="00C54B0F"/>
    <w:rsid w:val="00C54D98"/>
    <w:rsid w:val="00C553F7"/>
    <w:rsid w:val="00C55440"/>
    <w:rsid w:val="00C5572A"/>
    <w:rsid w:val="00C55C3D"/>
    <w:rsid w:val="00C56179"/>
    <w:rsid w:val="00C57486"/>
    <w:rsid w:val="00C60DAD"/>
    <w:rsid w:val="00C62012"/>
    <w:rsid w:val="00C63E7A"/>
    <w:rsid w:val="00C64593"/>
    <w:rsid w:val="00C648FD"/>
    <w:rsid w:val="00C64B12"/>
    <w:rsid w:val="00C65325"/>
    <w:rsid w:val="00C65407"/>
    <w:rsid w:val="00C66557"/>
    <w:rsid w:val="00C70617"/>
    <w:rsid w:val="00C71E33"/>
    <w:rsid w:val="00C73225"/>
    <w:rsid w:val="00C736F8"/>
    <w:rsid w:val="00C737A4"/>
    <w:rsid w:val="00C752AE"/>
    <w:rsid w:val="00C7621C"/>
    <w:rsid w:val="00C8089D"/>
    <w:rsid w:val="00C80B69"/>
    <w:rsid w:val="00C81064"/>
    <w:rsid w:val="00C8199F"/>
    <w:rsid w:val="00C81E8D"/>
    <w:rsid w:val="00C82579"/>
    <w:rsid w:val="00C83307"/>
    <w:rsid w:val="00C856C4"/>
    <w:rsid w:val="00C85E15"/>
    <w:rsid w:val="00C865BA"/>
    <w:rsid w:val="00C86C8C"/>
    <w:rsid w:val="00C86E69"/>
    <w:rsid w:val="00C9098B"/>
    <w:rsid w:val="00C90D5E"/>
    <w:rsid w:val="00C90DC2"/>
    <w:rsid w:val="00C91061"/>
    <w:rsid w:val="00C920DE"/>
    <w:rsid w:val="00C9215B"/>
    <w:rsid w:val="00C92F4D"/>
    <w:rsid w:val="00C93CBE"/>
    <w:rsid w:val="00C9538E"/>
    <w:rsid w:val="00C95504"/>
    <w:rsid w:val="00C96D14"/>
    <w:rsid w:val="00CA09A1"/>
    <w:rsid w:val="00CA4471"/>
    <w:rsid w:val="00CA4F74"/>
    <w:rsid w:val="00CA578B"/>
    <w:rsid w:val="00CA6562"/>
    <w:rsid w:val="00CA6563"/>
    <w:rsid w:val="00CA7A56"/>
    <w:rsid w:val="00CB16AB"/>
    <w:rsid w:val="00CB2648"/>
    <w:rsid w:val="00CB300E"/>
    <w:rsid w:val="00CB3D87"/>
    <w:rsid w:val="00CB416C"/>
    <w:rsid w:val="00CB440F"/>
    <w:rsid w:val="00CB52FC"/>
    <w:rsid w:val="00CB5762"/>
    <w:rsid w:val="00CB5A9B"/>
    <w:rsid w:val="00CB7398"/>
    <w:rsid w:val="00CB77A2"/>
    <w:rsid w:val="00CB7920"/>
    <w:rsid w:val="00CB7929"/>
    <w:rsid w:val="00CB7B40"/>
    <w:rsid w:val="00CB7BD3"/>
    <w:rsid w:val="00CC0903"/>
    <w:rsid w:val="00CC1CF2"/>
    <w:rsid w:val="00CC244C"/>
    <w:rsid w:val="00CC2498"/>
    <w:rsid w:val="00CC367E"/>
    <w:rsid w:val="00CC456D"/>
    <w:rsid w:val="00CC47B5"/>
    <w:rsid w:val="00CC505F"/>
    <w:rsid w:val="00CC52B9"/>
    <w:rsid w:val="00CC5333"/>
    <w:rsid w:val="00CC58A6"/>
    <w:rsid w:val="00CC5CB5"/>
    <w:rsid w:val="00CC606C"/>
    <w:rsid w:val="00CC66D9"/>
    <w:rsid w:val="00CC67D4"/>
    <w:rsid w:val="00CC6B5A"/>
    <w:rsid w:val="00CC771C"/>
    <w:rsid w:val="00CC7FA0"/>
    <w:rsid w:val="00CD0483"/>
    <w:rsid w:val="00CD0896"/>
    <w:rsid w:val="00CD0D8D"/>
    <w:rsid w:val="00CD2045"/>
    <w:rsid w:val="00CD247E"/>
    <w:rsid w:val="00CD2514"/>
    <w:rsid w:val="00CD34D4"/>
    <w:rsid w:val="00CD3E56"/>
    <w:rsid w:val="00CD4843"/>
    <w:rsid w:val="00CD5470"/>
    <w:rsid w:val="00CD6639"/>
    <w:rsid w:val="00CD6745"/>
    <w:rsid w:val="00CD7ADC"/>
    <w:rsid w:val="00CD7C25"/>
    <w:rsid w:val="00CE00A9"/>
    <w:rsid w:val="00CE09A2"/>
    <w:rsid w:val="00CE2B73"/>
    <w:rsid w:val="00CE3111"/>
    <w:rsid w:val="00CE3CE9"/>
    <w:rsid w:val="00CE57A2"/>
    <w:rsid w:val="00CE5897"/>
    <w:rsid w:val="00CE5C14"/>
    <w:rsid w:val="00CE688F"/>
    <w:rsid w:val="00CE68B3"/>
    <w:rsid w:val="00CE6C0D"/>
    <w:rsid w:val="00CE6D24"/>
    <w:rsid w:val="00CE7704"/>
    <w:rsid w:val="00CE7D8D"/>
    <w:rsid w:val="00CF00B0"/>
    <w:rsid w:val="00CF0D7C"/>
    <w:rsid w:val="00CF16D1"/>
    <w:rsid w:val="00CF1B86"/>
    <w:rsid w:val="00CF204D"/>
    <w:rsid w:val="00CF2902"/>
    <w:rsid w:val="00CF2C44"/>
    <w:rsid w:val="00CF2E70"/>
    <w:rsid w:val="00CF3B15"/>
    <w:rsid w:val="00CF442C"/>
    <w:rsid w:val="00CF4AFC"/>
    <w:rsid w:val="00CF6F94"/>
    <w:rsid w:val="00CF7636"/>
    <w:rsid w:val="00D00355"/>
    <w:rsid w:val="00D0170B"/>
    <w:rsid w:val="00D02B07"/>
    <w:rsid w:val="00D02DF3"/>
    <w:rsid w:val="00D033F5"/>
    <w:rsid w:val="00D04091"/>
    <w:rsid w:val="00D05F3B"/>
    <w:rsid w:val="00D0777E"/>
    <w:rsid w:val="00D07FCE"/>
    <w:rsid w:val="00D11840"/>
    <w:rsid w:val="00D120A6"/>
    <w:rsid w:val="00D122DB"/>
    <w:rsid w:val="00D1273F"/>
    <w:rsid w:val="00D12D20"/>
    <w:rsid w:val="00D13108"/>
    <w:rsid w:val="00D132CC"/>
    <w:rsid w:val="00D13D85"/>
    <w:rsid w:val="00D14C51"/>
    <w:rsid w:val="00D16703"/>
    <w:rsid w:val="00D174D5"/>
    <w:rsid w:val="00D20EAE"/>
    <w:rsid w:val="00D20FF1"/>
    <w:rsid w:val="00D2155E"/>
    <w:rsid w:val="00D22AF7"/>
    <w:rsid w:val="00D22F68"/>
    <w:rsid w:val="00D24592"/>
    <w:rsid w:val="00D24E76"/>
    <w:rsid w:val="00D26552"/>
    <w:rsid w:val="00D26B45"/>
    <w:rsid w:val="00D26C3C"/>
    <w:rsid w:val="00D27A23"/>
    <w:rsid w:val="00D30D1E"/>
    <w:rsid w:val="00D30E43"/>
    <w:rsid w:val="00D31051"/>
    <w:rsid w:val="00D33B86"/>
    <w:rsid w:val="00D33F46"/>
    <w:rsid w:val="00D343D1"/>
    <w:rsid w:val="00D3457E"/>
    <w:rsid w:val="00D34A1A"/>
    <w:rsid w:val="00D34EA0"/>
    <w:rsid w:val="00D35A3F"/>
    <w:rsid w:val="00D35E47"/>
    <w:rsid w:val="00D35EA4"/>
    <w:rsid w:val="00D36866"/>
    <w:rsid w:val="00D37B01"/>
    <w:rsid w:val="00D40624"/>
    <w:rsid w:val="00D40CBA"/>
    <w:rsid w:val="00D42056"/>
    <w:rsid w:val="00D4207F"/>
    <w:rsid w:val="00D44129"/>
    <w:rsid w:val="00D44763"/>
    <w:rsid w:val="00D4598C"/>
    <w:rsid w:val="00D46FBD"/>
    <w:rsid w:val="00D47315"/>
    <w:rsid w:val="00D47B12"/>
    <w:rsid w:val="00D47C9D"/>
    <w:rsid w:val="00D505E2"/>
    <w:rsid w:val="00D50831"/>
    <w:rsid w:val="00D50DB7"/>
    <w:rsid w:val="00D5101C"/>
    <w:rsid w:val="00D5184A"/>
    <w:rsid w:val="00D5252A"/>
    <w:rsid w:val="00D52724"/>
    <w:rsid w:val="00D544D6"/>
    <w:rsid w:val="00D54CA4"/>
    <w:rsid w:val="00D55355"/>
    <w:rsid w:val="00D5665A"/>
    <w:rsid w:val="00D56A83"/>
    <w:rsid w:val="00D56CDC"/>
    <w:rsid w:val="00D60ACB"/>
    <w:rsid w:val="00D615DA"/>
    <w:rsid w:val="00D62343"/>
    <w:rsid w:val="00D62628"/>
    <w:rsid w:val="00D63004"/>
    <w:rsid w:val="00D63B25"/>
    <w:rsid w:val="00D65B03"/>
    <w:rsid w:val="00D66E50"/>
    <w:rsid w:val="00D678D0"/>
    <w:rsid w:val="00D67D4C"/>
    <w:rsid w:val="00D708F5"/>
    <w:rsid w:val="00D709BB"/>
    <w:rsid w:val="00D7154C"/>
    <w:rsid w:val="00D71554"/>
    <w:rsid w:val="00D71584"/>
    <w:rsid w:val="00D71BA9"/>
    <w:rsid w:val="00D721E5"/>
    <w:rsid w:val="00D73487"/>
    <w:rsid w:val="00D73CF1"/>
    <w:rsid w:val="00D74FC3"/>
    <w:rsid w:val="00D7519F"/>
    <w:rsid w:val="00D7557F"/>
    <w:rsid w:val="00D758AC"/>
    <w:rsid w:val="00D75A34"/>
    <w:rsid w:val="00D75CDC"/>
    <w:rsid w:val="00D7650F"/>
    <w:rsid w:val="00D76B30"/>
    <w:rsid w:val="00D76BC4"/>
    <w:rsid w:val="00D76FA1"/>
    <w:rsid w:val="00D77497"/>
    <w:rsid w:val="00D7750F"/>
    <w:rsid w:val="00D8032D"/>
    <w:rsid w:val="00D8092F"/>
    <w:rsid w:val="00D80EC1"/>
    <w:rsid w:val="00D81604"/>
    <w:rsid w:val="00D8169C"/>
    <w:rsid w:val="00D8186A"/>
    <w:rsid w:val="00D81B24"/>
    <w:rsid w:val="00D82195"/>
    <w:rsid w:val="00D833F9"/>
    <w:rsid w:val="00D8345A"/>
    <w:rsid w:val="00D85122"/>
    <w:rsid w:val="00D85451"/>
    <w:rsid w:val="00D85791"/>
    <w:rsid w:val="00D85EF2"/>
    <w:rsid w:val="00D863D8"/>
    <w:rsid w:val="00D87636"/>
    <w:rsid w:val="00D916A4"/>
    <w:rsid w:val="00D932B6"/>
    <w:rsid w:val="00D93FB5"/>
    <w:rsid w:val="00D94326"/>
    <w:rsid w:val="00D9608C"/>
    <w:rsid w:val="00D97EAC"/>
    <w:rsid w:val="00DA162A"/>
    <w:rsid w:val="00DA16FC"/>
    <w:rsid w:val="00DA1D3B"/>
    <w:rsid w:val="00DA2EFD"/>
    <w:rsid w:val="00DA3DD0"/>
    <w:rsid w:val="00DA3E99"/>
    <w:rsid w:val="00DA4152"/>
    <w:rsid w:val="00DA41FF"/>
    <w:rsid w:val="00DA4290"/>
    <w:rsid w:val="00DA5CCC"/>
    <w:rsid w:val="00DA65AC"/>
    <w:rsid w:val="00DA71A4"/>
    <w:rsid w:val="00DA720A"/>
    <w:rsid w:val="00DB0912"/>
    <w:rsid w:val="00DB16F6"/>
    <w:rsid w:val="00DB1FEC"/>
    <w:rsid w:val="00DB2128"/>
    <w:rsid w:val="00DB2F11"/>
    <w:rsid w:val="00DB3721"/>
    <w:rsid w:val="00DB4112"/>
    <w:rsid w:val="00DB43A2"/>
    <w:rsid w:val="00DB4AC2"/>
    <w:rsid w:val="00DB6881"/>
    <w:rsid w:val="00DB6BA8"/>
    <w:rsid w:val="00DB6DD9"/>
    <w:rsid w:val="00DB6E5F"/>
    <w:rsid w:val="00DC0564"/>
    <w:rsid w:val="00DC0ABF"/>
    <w:rsid w:val="00DC168D"/>
    <w:rsid w:val="00DC21CC"/>
    <w:rsid w:val="00DC2685"/>
    <w:rsid w:val="00DC331C"/>
    <w:rsid w:val="00DC336E"/>
    <w:rsid w:val="00DC401A"/>
    <w:rsid w:val="00DC504F"/>
    <w:rsid w:val="00DC5403"/>
    <w:rsid w:val="00DC5581"/>
    <w:rsid w:val="00DC61D5"/>
    <w:rsid w:val="00DC646E"/>
    <w:rsid w:val="00DC6EDC"/>
    <w:rsid w:val="00DC7E99"/>
    <w:rsid w:val="00DD0963"/>
    <w:rsid w:val="00DD21DA"/>
    <w:rsid w:val="00DD3B73"/>
    <w:rsid w:val="00DD4041"/>
    <w:rsid w:val="00DD4057"/>
    <w:rsid w:val="00DD465F"/>
    <w:rsid w:val="00DD4D3F"/>
    <w:rsid w:val="00DD5119"/>
    <w:rsid w:val="00DD7EB4"/>
    <w:rsid w:val="00DE019E"/>
    <w:rsid w:val="00DE030D"/>
    <w:rsid w:val="00DE121F"/>
    <w:rsid w:val="00DE290B"/>
    <w:rsid w:val="00DE2B50"/>
    <w:rsid w:val="00DE2E5B"/>
    <w:rsid w:val="00DE526A"/>
    <w:rsid w:val="00DE53FE"/>
    <w:rsid w:val="00DE66D5"/>
    <w:rsid w:val="00DE6C2C"/>
    <w:rsid w:val="00DE71EB"/>
    <w:rsid w:val="00DE7925"/>
    <w:rsid w:val="00DF0B96"/>
    <w:rsid w:val="00DF1C47"/>
    <w:rsid w:val="00DF1E2B"/>
    <w:rsid w:val="00DF238E"/>
    <w:rsid w:val="00DF258E"/>
    <w:rsid w:val="00DF2E0A"/>
    <w:rsid w:val="00DF2F8D"/>
    <w:rsid w:val="00DF3AD9"/>
    <w:rsid w:val="00DF48A8"/>
    <w:rsid w:val="00DF658B"/>
    <w:rsid w:val="00DF6C90"/>
    <w:rsid w:val="00DF6CEC"/>
    <w:rsid w:val="00DF7380"/>
    <w:rsid w:val="00DF74E4"/>
    <w:rsid w:val="00E00113"/>
    <w:rsid w:val="00E0017F"/>
    <w:rsid w:val="00E001DC"/>
    <w:rsid w:val="00E00821"/>
    <w:rsid w:val="00E01AE6"/>
    <w:rsid w:val="00E01B17"/>
    <w:rsid w:val="00E029D3"/>
    <w:rsid w:val="00E03029"/>
    <w:rsid w:val="00E046D7"/>
    <w:rsid w:val="00E0523C"/>
    <w:rsid w:val="00E054D6"/>
    <w:rsid w:val="00E067F8"/>
    <w:rsid w:val="00E06DE2"/>
    <w:rsid w:val="00E06E7A"/>
    <w:rsid w:val="00E06FBB"/>
    <w:rsid w:val="00E072E5"/>
    <w:rsid w:val="00E1046E"/>
    <w:rsid w:val="00E11F74"/>
    <w:rsid w:val="00E12664"/>
    <w:rsid w:val="00E12B7F"/>
    <w:rsid w:val="00E13618"/>
    <w:rsid w:val="00E13935"/>
    <w:rsid w:val="00E1438D"/>
    <w:rsid w:val="00E1539F"/>
    <w:rsid w:val="00E15688"/>
    <w:rsid w:val="00E15861"/>
    <w:rsid w:val="00E16A40"/>
    <w:rsid w:val="00E21504"/>
    <w:rsid w:val="00E2209C"/>
    <w:rsid w:val="00E224A5"/>
    <w:rsid w:val="00E23A97"/>
    <w:rsid w:val="00E23B8D"/>
    <w:rsid w:val="00E24B97"/>
    <w:rsid w:val="00E27335"/>
    <w:rsid w:val="00E317A8"/>
    <w:rsid w:val="00E3361A"/>
    <w:rsid w:val="00E33AC1"/>
    <w:rsid w:val="00E40639"/>
    <w:rsid w:val="00E40C55"/>
    <w:rsid w:val="00E40DA4"/>
    <w:rsid w:val="00E41156"/>
    <w:rsid w:val="00E41220"/>
    <w:rsid w:val="00E422BA"/>
    <w:rsid w:val="00E43686"/>
    <w:rsid w:val="00E44BAB"/>
    <w:rsid w:val="00E44C0F"/>
    <w:rsid w:val="00E456D2"/>
    <w:rsid w:val="00E45932"/>
    <w:rsid w:val="00E45FCC"/>
    <w:rsid w:val="00E4683D"/>
    <w:rsid w:val="00E51AA3"/>
    <w:rsid w:val="00E52167"/>
    <w:rsid w:val="00E53815"/>
    <w:rsid w:val="00E53DE2"/>
    <w:rsid w:val="00E53FA6"/>
    <w:rsid w:val="00E550DB"/>
    <w:rsid w:val="00E5565B"/>
    <w:rsid w:val="00E62B49"/>
    <w:rsid w:val="00E646A1"/>
    <w:rsid w:val="00E64B0E"/>
    <w:rsid w:val="00E660EF"/>
    <w:rsid w:val="00E66358"/>
    <w:rsid w:val="00E66415"/>
    <w:rsid w:val="00E671C3"/>
    <w:rsid w:val="00E67689"/>
    <w:rsid w:val="00E67DBA"/>
    <w:rsid w:val="00E712B4"/>
    <w:rsid w:val="00E713A1"/>
    <w:rsid w:val="00E715D8"/>
    <w:rsid w:val="00E723F5"/>
    <w:rsid w:val="00E726D9"/>
    <w:rsid w:val="00E736E2"/>
    <w:rsid w:val="00E74403"/>
    <w:rsid w:val="00E74A91"/>
    <w:rsid w:val="00E74AF2"/>
    <w:rsid w:val="00E74C3C"/>
    <w:rsid w:val="00E75935"/>
    <w:rsid w:val="00E761B3"/>
    <w:rsid w:val="00E77ACE"/>
    <w:rsid w:val="00E80E81"/>
    <w:rsid w:val="00E810FB"/>
    <w:rsid w:val="00E82E4D"/>
    <w:rsid w:val="00E836E5"/>
    <w:rsid w:val="00E8393D"/>
    <w:rsid w:val="00E83A99"/>
    <w:rsid w:val="00E8509A"/>
    <w:rsid w:val="00E850CC"/>
    <w:rsid w:val="00E853A1"/>
    <w:rsid w:val="00E85A6F"/>
    <w:rsid w:val="00E85DD4"/>
    <w:rsid w:val="00E905A1"/>
    <w:rsid w:val="00E90D80"/>
    <w:rsid w:val="00E90E72"/>
    <w:rsid w:val="00E91C92"/>
    <w:rsid w:val="00E935D6"/>
    <w:rsid w:val="00E94813"/>
    <w:rsid w:val="00E95C70"/>
    <w:rsid w:val="00E9633F"/>
    <w:rsid w:val="00E97D12"/>
    <w:rsid w:val="00EA09C8"/>
    <w:rsid w:val="00EA101A"/>
    <w:rsid w:val="00EA305E"/>
    <w:rsid w:val="00EA31B8"/>
    <w:rsid w:val="00EA363A"/>
    <w:rsid w:val="00EA3954"/>
    <w:rsid w:val="00EA48E3"/>
    <w:rsid w:val="00EA4FA3"/>
    <w:rsid w:val="00EA53F0"/>
    <w:rsid w:val="00EA5722"/>
    <w:rsid w:val="00EA693B"/>
    <w:rsid w:val="00EA6B68"/>
    <w:rsid w:val="00EA7BE9"/>
    <w:rsid w:val="00EB09CA"/>
    <w:rsid w:val="00EB0EF7"/>
    <w:rsid w:val="00EB1393"/>
    <w:rsid w:val="00EB1CA1"/>
    <w:rsid w:val="00EB2227"/>
    <w:rsid w:val="00EB41F2"/>
    <w:rsid w:val="00EB4E32"/>
    <w:rsid w:val="00EB51A2"/>
    <w:rsid w:val="00EB543B"/>
    <w:rsid w:val="00EB5797"/>
    <w:rsid w:val="00EB680C"/>
    <w:rsid w:val="00EB6BE8"/>
    <w:rsid w:val="00EB6E46"/>
    <w:rsid w:val="00EC022F"/>
    <w:rsid w:val="00EC0FAC"/>
    <w:rsid w:val="00EC10FE"/>
    <w:rsid w:val="00EC1324"/>
    <w:rsid w:val="00EC1515"/>
    <w:rsid w:val="00EC2BAA"/>
    <w:rsid w:val="00EC3285"/>
    <w:rsid w:val="00EC330F"/>
    <w:rsid w:val="00EC3F50"/>
    <w:rsid w:val="00EC3FB6"/>
    <w:rsid w:val="00EC5BBE"/>
    <w:rsid w:val="00EC5CB6"/>
    <w:rsid w:val="00EC6425"/>
    <w:rsid w:val="00EC64BF"/>
    <w:rsid w:val="00EC69AB"/>
    <w:rsid w:val="00EC6F55"/>
    <w:rsid w:val="00EC7499"/>
    <w:rsid w:val="00ED1F85"/>
    <w:rsid w:val="00ED22FE"/>
    <w:rsid w:val="00ED23E0"/>
    <w:rsid w:val="00ED464D"/>
    <w:rsid w:val="00ED4D32"/>
    <w:rsid w:val="00ED53C2"/>
    <w:rsid w:val="00ED570D"/>
    <w:rsid w:val="00ED6634"/>
    <w:rsid w:val="00ED7662"/>
    <w:rsid w:val="00ED7DB6"/>
    <w:rsid w:val="00EE087F"/>
    <w:rsid w:val="00EE08F2"/>
    <w:rsid w:val="00EE2887"/>
    <w:rsid w:val="00EE3D01"/>
    <w:rsid w:val="00EE3E4B"/>
    <w:rsid w:val="00EE41A9"/>
    <w:rsid w:val="00EE5EA9"/>
    <w:rsid w:val="00EE65D2"/>
    <w:rsid w:val="00EE67C7"/>
    <w:rsid w:val="00EE68CA"/>
    <w:rsid w:val="00EE6B69"/>
    <w:rsid w:val="00EE781F"/>
    <w:rsid w:val="00EE7D9B"/>
    <w:rsid w:val="00EF0176"/>
    <w:rsid w:val="00EF153A"/>
    <w:rsid w:val="00EF19D0"/>
    <w:rsid w:val="00EF207C"/>
    <w:rsid w:val="00EF4EAF"/>
    <w:rsid w:val="00EF5D14"/>
    <w:rsid w:val="00EF61E0"/>
    <w:rsid w:val="00EF67F8"/>
    <w:rsid w:val="00EF7D98"/>
    <w:rsid w:val="00F00221"/>
    <w:rsid w:val="00F002DA"/>
    <w:rsid w:val="00F00713"/>
    <w:rsid w:val="00F049FB"/>
    <w:rsid w:val="00F0567F"/>
    <w:rsid w:val="00F06324"/>
    <w:rsid w:val="00F0663E"/>
    <w:rsid w:val="00F10CAA"/>
    <w:rsid w:val="00F11BBA"/>
    <w:rsid w:val="00F12C79"/>
    <w:rsid w:val="00F14154"/>
    <w:rsid w:val="00F1467D"/>
    <w:rsid w:val="00F15C5F"/>
    <w:rsid w:val="00F1606B"/>
    <w:rsid w:val="00F163E6"/>
    <w:rsid w:val="00F17B68"/>
    <w:rsid w:val="00F2077E"/>
    <w:rsid w:val="00F21019"/>
    <w:rsid w:val="00F2170C"/>
    <w:rsid w:val="00F21B38"/>
    <w:rsid w:val="00F22FBD"/>
    <w:rsid w:val="00F231C7"/>
    <w:rsid w:val="00F23250"/>
    <w:rsid w:val="00F239FF"/>
    <w:rsid w:val="00F23E01"/>
    <w:rsid w:val="00F244C1"/>
    <w:rsid w:val="00F244F1"/>
    <w:rsid w:val="00F2481A"/>
    <w:rsid w:val="00F24A48"/>
    <w:rsid w:val="00F24FF5"/>
    <w:rsid w:val="00F2560F"/>
    <w:rsid w:val="00F256D2"/>
    <w:rsid w:val="00F2598A"/>
    <w:rsid w:val="00F25A66"/>
    <w:rsid w:val="00F2626B"/>
    <w:rsid w:val="00F26783"/>
    <w:rsid w:val="00F275DE"/>
    <w:rsid w:val="00F277D1"/>
    <w:rsid w:val="00F27E93"/>
    <w:rsid w:val="00F31CF7"/>
    <w:rsid w:val="00F3235D"/>
    <w:rsid w:val="00F32714"/>
    <w:rsid w:val="00F32DA2"/>
    <w:rsid w:val="00F32DB7"/>
    <w:rsid w:val="00F33F4F"/>
    <w:rsid w:val="00F340BF"/>
    <w:rsid w:val="00F3414D"/>
    <w:rsid w:val="00F348B0"/>
    <w:rsid w:val="00F36168"/>
    <w:rsid w:val="00F36DA8"/>
    <w:rsid w:val="00F371DF"/>
    <w:rsid w:val="00F37515"/>
    <w:rsid w:val="00F375DC"/>
    <w:rsid w:val="00F3793B"/>
    <w:rsid w:val="00F41725"/>
    <w:rsid w:val="00F41C9F"/>
    <w:rsid w:val="00F4313A"/>
    <w:rsid w:val="00F43387"/>
    <w:rsid w:val="00F43675"/>
    <w:rsid w:val="00F43E94"/>
    <w:rsid w:val="00F454D5"/>
    <w:rsid w:val="00F4748A"/>
    <w:rsid w:val="00F4774C"/>
    <w:rsid w:val="00F47A35"/>
    <w:rsid w:val="00F511BA"/>
    <w:rsid w:val="00F5172A"/>
    <w:rsid w:val="00F51C69"/>
    <w:rsid w:val="00F51CD9"/>
    <w:rsid w:val="00F528F6"/>
    <w:rsid w:val="00F52F1B"/>
    <w:rsid w:val="00F531EB"/>
    <w:rsid w:val="00F546DF"/>
    <w:rsid w:val="00F54AB7"/>
    <w:rsid w:val="00F54C54"/>
    <w:rsid w:val="00F55591"/>
    <w:rsid w:val="00F56692"/>
    <w:rsid w:val="00F5730B"/>
    <w:rsid w:val="00F609DD"/>
    <w:rsid w:val="00F60B03"/>
    <w:rsid w:val="00F60E3F"/>
    <w:rsid w:val="00F6162C"/>
    <w:rsid w:val="00F61825"/>
    <w:rsid w:val="00F626AF"/>
    <w:rsid w:val="00F629D8"/>
    <w:rsid w:val="00F63427"/>
    <w:rsid w:val="00F63E45"/>
    <w:rsid w:val="00F640AB"/>
    <w:rsid w:val="00F654BD"/>
    <w:rsid w:val="00F67953"/>
    <w:rsid w:val="00F7011E"/>
    <w:rsid w:val="00F70917"/>
    <w:rsid w:val="00F71E84"/>
    <w:rsid w:val="00F73A0F"/>
    <w:rsid w:val="00F74BFA"/>
    <w:rsid w:val="00F75B67"/>
    <w:rsid w:val="00F7764A"/>
    <w:rsid w:val="00F7779B"/>
    <w:rsid w:val="00F77972"/>
    <w:rsid w:val="00F80552"/>
    <w:rsid w:val="00F8079E"/>
    <w:rsid w:val="00F8083C"/>
    <w:rsid w:val="00F80EBE"/>
    <w:rsid w:val="00F81220"/>
    <w:rsid w:val="00F81D01"/>
    <w:rsid w:val="00F821A3"/>
    <w:rsid w:val="00F82BD8"/>
    <w:rsid w:val="00F82C5C"/>
    <w:rsid w:val="00F835E1"/>
    <w:rsid w:val="00F83863"/>
    <w:rsid w:val="00F84C1A"/>
    <w:rsid w:val="00F8549A"/>
    <w:rsid w:val="00F85641"/>
    <w:rsid w:val="00F861A0"/>
    <w:rsid w:val="00F87023"/>
    <w:rsid w:val="00F902C8"/>
    <w:rsid w:val="00F9060D"/>
    <w:rsid w:val="00F90D37"/>
    <w:rsid w:val="00F91489"/>
    <w:rsid w:val="00F93863"/>
    <w:rsid w:val="00F93DA6"/>
    <w:rsid w:val="00F9407D"/>
    <w:rsid w:val="00F95524"/>
    <w:rsid w:val="00F968DE"/>
    <w:rsid w:val="00F969E2"/>
    <w:rsid w:val="00F96CAF"/>
    <w:rsid w:val="00F96E65"/>
    <w:rsid w:val="00F9778F"/>
    <w:rsid w:val="00FA0A2C"/>
    <w:rsid w:val="00FA0B6F"/>
    <w:rsid w:val="00FA0F02"/>
    <w:rsid w:val="00FA1970"/>
    <w:rsid w:val="00FA258C"/>
    <w:rsid w:val="00FA3B72"/>
    <w:rsid w:val="00FA3F6A"/>
    <w:rsid w:val="00FA438C"/>
    <w:rsid w:val="00FA4449"/>
    <w:rsid w:val="00FA493E"/>
    <w:rsid w:val="00FA4F1C"/>
    <w:rsid w:val="00FA59A1"/>
    <w:rsid w:val="00FA59F3"/>
    <w:rsid w:val="00FA5A6B"/>
    <w:rsid w:val="00FA6039"/>
    <w:rsid w:val="00FA7395"/>
    <w:rsid w:val="00FA756C"/>
    <w:rsid w:val="00FA76B6"/>
    <w:rsid w:val="00FB07E8"/>
    <w:rsid w:val="00FB1B88"/>
    <w:rsid w:val="00FB1E6C"/>
    <w:rsid w:val="00FB276C"/>
    <w:rsid w:val="00FB3534"/>
    <w:rsid w:val="00FB3759"/>
    <w:rsid w:val="00FB3D7E"/>
    <w:rsid w:val="00FB43C5"/>
    <w:rsid w:val="00FB4795"/>
    <w:rsid w:val="00FB5675"/>
    <w:rsid w:val="00FB5F05"/>
    <w:rsid w:val="00FB637B"/>
    <w:rsid w:val="00FB678A"/>
    <w:rsid w:val="00FB6F7B"/>
    <w:rsid w:val="00FB757E"/>
    <w:rsid w:val="00FC024F"/>
    <w:rsid w:val="00FC0609"/>
    <w:rsid w:val="00FC2207"/>
    <w:rsid w:val="00FC23D6"/>
    <w:rsid w:val="00FC24BA"/>
    <w:rsid w:val="00FC528D"/>
    <w:rsid w:val="00FC557F"/>
    <w:rsid w:val="00FC6703"/>
    <w:rsid w:val="00FC6D55"/>
    <w:rsid w:val="00FC7540"/>
    <w:rsid w:val="00FC7ECC"/>
    <w:rsid w:val="00FD03AF"/>
    <w:rsid w:val="00FD0C1A"/>
    <w:rsid w:val="00FD1B14"/>
    <w:rsid w:val="00FD1F45"/>
    <w:rsid w:val="00FD25E1"/>
    <w:rsid w:val="00FD3026"/>
    <w:rsid w:val="00FD3910"/>
    <w:rsid w:val="00FD3A5E"/>
    <w:rsid w:val="00FD3B2D"/>
    <w:rsid w:val="00FD4207"/>
    <w:rsid w:val="00FD4A4E"/>
    <w:rsid w:val="00FD4C03"/>
    <w:rsid w:val="00FD5E13"/>
    <w:rsid w:val="00FD62C6"/>
    <w:rsid w:val="00FD668F"/>
    <w:rsid w:val="00FD7005"/>
    <w:rsid w:val="00FE3A22"/>
    <w:rsid w:val="00FE3C97"/>
    <w:rsid w:val="00FE5A51"/>
    <w:rsid w:val="00FE64D3"/>
    <w:rsid w:val="00FE7061"/>
    <w:rsid w:val="00FF13FD"/>
    <w:rsid w:val="00FF181D"/>
    <w:rsid w:val="00FF1991"/>
    <w:rsid w:val="00FF2979"/>
    <w:rsid w:val="00FF42EF"/>
    <w:rsid w:val="00FF535B"/>
    <w:rsid w:val="00FF5372"/>
    <w:rsid w:val="00FF55CC"/>
    <w:rsid w:val="00FF63F3"/>
    <w:rsid w:val="016B5E87"/>
    <w:rsid w:val="02D0A01E"/>
    <w:rsid w:val="0543242D"/>
    <w:rsid w:val="0728A70F"/>
    <w:rsid w:val="07B0619A"/>
    <w:rsid w:val="07F08EE9"/>
    <w:rsid w:val="0846BDF1"/>
    <w:rsid w:val="0873B24D"/>
    <w:rsid w:val="095CB856"/>
    <w:rsid w:val="0B0C72DB"/>
    <w:rsid w:val="0BCEFE6D"/>
    <w:rsid w:val="0BFF3B66"/>
    <w:rsid w:val="0CE5D00E"/>
    <w:rsid w:val="0DCF8B20"/>
    <w:rsid w:val="0E4FDC54"/>
    <w:rsid w:val="11E58750"/>
    <w:rsid w:val="124EDBAF"/>
    <w:rsid w:val="12E4956C"/>
    <w:rsid w:val="1306D065"/>
    <w:rsid w:val="14D298A0"/>
    <w:rsid w:val="158AE26E"/>
    <w:rsid w:val="15A893EE"/>
    <w:rsid w:val="16F34266"/>
    <w:rsid w:val="17992285"/>
    <w:rsid w:val="19372ECB"/>
    <w:rsid w:val="1A538361"/>
    <w:rsid w:val="1B250A35"/>
    <w:rsid w:val="1BD3EB4D"/>
    <w:rsid w:val="1C263109"/>
    <w:rsid w:val="1D03F3FC"/>
    <w:rsid w:val="1D867307"/>
    <w:rsid w:val="1F9DFC6F"/>
    <w:rsid w:val="1FA770D4"/>
    <w:rsid w:val="2031DE12"/>
    <w:rsid w:val="203F7157"/>
    <w:rsid w:val="20F5C543"/>
    <w:rsid w:val="21F43E65"/>
    <w:rsid w:val="21FA75CD"/>
    <w:rsid w:val="22DDD790"/>
    <w:rsid w:val="2478BED0"/>
    <w:rsid w:val="249AD7E1"/>
    <w:rsid w:val="26D5B742"/>
    <w:rsid w:val="2AC301B3"/>
    <w:rsid w:val="2B9BF292"/>
    <w:rsid w:val="2BBC3955"/>
    <w:rsid w:val="2C897F1C"/>
    <w:rsid w:val="2E52587D"/>
    <w:rsid w:val="2EBDDA9E"/>
    <w:rsid w:val="2F077715"/>
    <w:rsid w:val="2F52971E"/>
    <w:rsid w:val="31271783"/>
    <w:rsid w:val="312A051C"/>
    <w:rsid w:val="3176AAFE"/>
    <w:rsid w:val="31F53C5D"/>
    <w:rsid w:val="35EA86FF"/>
    <w:rsid w:val="379366DF"/>
    <w:rsid w:val="37D4FEDD"/>
    <w:rsid w:val="38BA4ECA"/>
    <w:rsid w:val="395ABCAC"/>
    <w:rsid w:val="3B4BD8D4"/>
    <w:rsid w:val="3FE311B7"/>
    <w:rsid w:val="3FE8E451"/>
    <w:rsid w:val="426E7DCB"/>
    <w:rsid w:val="42710CCD"/>
    <w:rsid w:val="4521BB8C"/>
    <w:rsid w:val="46977C4F"/>
    <w:rsid w:val="47824A30"/>
    <w:rsid w:val="4C2AD8DC"/>
    <w:rsid w:val="4C7A82B6"/>
    <w:rsid w:val="4C7E145C"/>
    <w:rsid w:val="4EBD712C"/>
    <w:rsid w:val="4F37650D"/>
    <w:rsid w:val="51450A2F"/>
    <w:rsid w:val="5248B047"/>
    <w:rsid w:val="52BDA876"/>
    <w:rsid w:val="532BAF3F"/>
    <w:rsid w:val="5A819B22"/>
    <w:rsid w:val="5B046205"/>
    <w:rsid w:val="5C770444"/>
    <w:rsid w:val="5E7173D5"/>
    <w:rsid w:val="5FDCE28D"/>
    <w:rsid w:val="5FE11F5F"/>
    <w:rsid w:val="60195359"/>
    <w:rsid w:val="602CEDFC"/>
    <w:rsid w:val="621884E7"/>
    <w:rsid w:val="621A5C77"/>
    <w:rsid w:val="62392582"/>
    <w:rsid w:val="6499CDF1"/>
    <w:rsid w:val="64F5A8B6"/>
    <w:rsid w:val="6541B412"/>
    <w:rsid w:val="6684E795"/>
    <w:rsid w:val="673E8E16"/>
    <w:rsid w:val="6745C956"/>
    <w:rsid w:val="68847F31"/>
    <w:rsid w:val="69371B5B"/>
    <w:rsid w:val="698B8B23"/>
    <w:rsid w:val="6B21B841"/>
    <w:rsid w:val="6CAA048D"/>
    <w:rsid w:val="6F006458"/>
    <w:rsid w:val="6F90939F"/>
    <w:rsid w:val="6FBF9DFB"/>
    <w:rsid w:val="6FE58F9D"/>
    <w:rsid w:val="713D848B"/>
    <w:rsid w:val="72170F79"/>
    <w:rsid w:val="72618141"/>
    <w:rsid w:val="77B956C4"/>
    <w:rsid w:val="791602B5"/>
    <w:rsid w:val="79FC4668"/>
    <w:rsid w:val="7A047653"/>
    <w:rsid w:val="7CCA5472"/>
    <w:rsid w:val="7D73DAB5"/>
    <w:rsid w:val="7E8DC4F4"/>
    <w:rsid w:val="7EDC0A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8F4A2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0CF"/>
  </w:style>
  <w:style w:type="paragraph" w:styleId="Heading1">
    <w:name w:val="heading 1"/>
    <w:basedOn w:val="Normal"/>
    <w:next w:val="Normal"/>
    <w:link w:val="Heading1Char"/>
    <w:uiPriority w:val="9"/>
    <w:qFormat/>
    <w:rsid w:val="008D40BE"/>
    <w:pPr>
      <w:keepNext/>
      <w:numPr>
        <w:numId w:val="1"/>
      </w:numPr>
      <w:spacing w:before="360" w:after="120" w:line="240" w:lineRule="auto"/>
      <w:jc w:val="both"/>
      <w:outlineLvl w:val="0"/>
    </w:pPr>
    <w:rPr>
      <w:rFonts w:ascii="Times New Roman" w:eastAsia="Times New Roman" w:hAnsi="Times New Roman" w:cs="Times New Roman"/>
      <w:b/>
      <w:bCs/>
      <w:smallCaps/>
      <w:kern w:val="0"/>
      <w:sz w:val="24"/>
      <w:szCs w:val="28"/>
      <w14:ligatures w14:val="none"/>
    </w:rPr>
  </w:style>
  <w:style w:type="paragraph" w:styleId="Heading2">
    <w:name w:val="heading 2"/>
    <w:basedOn w:val="Normal"/>
    <w:next w:val="Normal"/>
    <w:link w:val="Heading2Char"/>
    <w:uiPriority w:val="9"/>
    <w:unhideWhenUsed/>
    <w:qFormat/>
    <w:rsid w:val="008D40BE"/>
    <w:pPr>
      <w:keepNext/>
      <w:numPr>
        <w:ilvl w:val="1"/>
        <w:numId w:val="1"/>
      </w:numPr>
      <w:spacing w:before="240" w:after="120" w:line="240" w:lineRule="auto"/>
      <w:ind w:left="851" w:hanging="851"/>
      <w:jc w:val="both"/>
      <w:outlineLvl w:val="1"/>
    </w:pPr>
    <w:rPr>
      <w:rFonts w:ascii="Times New Roman" w:eastAsia="Times New Roman" w:hAnsi="Times New Roman" w:cs="Times New Roman"/>
      <w:b/>
      <w:bCs/>
      <w:kern w:val="0"/>
      <w:sz w:val="24"/>
      <w:szCs w:val="26"/>
      <w14:ligatures w14:val="none"/>
    </w:rPr>
  </w:style>
  <w:style w:type="paragraph" w:styleId="Heading3">
    <w:name w:val="heading 3"/>
    <w:basedOn w:val="Normal"/>
    <w:next w:val="Normal"/>
    <w:link w:val="Heading3Char"/>
    <w:uiPriority w:val="9"/>
    <w:unhideWhenUsed/>
    <w:qFormat/>
    <w:rsid w:val="008D40BE"/>
    <w:pPr>
      <w:keepNext/>
      <w:numPr>
        <w:ilvl w:val="2"/>
        <w:numId w:val="1"/>
      </w:numPr>
      <w:spacing w:before="120" w:after="120" w:line="240" w:lineRule="auto"/>
      <w:jc w:val="both"/>
      <w:outlineLvl w:val="2"/>
    </w:pPr>
    <w:rPr>
      <w:rFonts w:ascii="Times New Roman" w:eastAsia="Times New Roman" w:hAnsi="Times New Roman" w:cs="Times New Roman"/>
      <w:bCs/>
      <w:i/>
      <w:kern w:val="0"/>
      <w:sz w:val="24"/>
      <w14:ligatures w14:val="none"/>
    </w:rPr>
  </w:style>
  <w:style w:type="paragraph" w:styleId="Heading4">
    <w:name w:val="heading 4"/>
    <w:basedOn w:val="Normal"/>
    <w:next w:val="Normal"/>
    <w:link w:val="Heading4Char"/>
    <w:uiPriority w:val="9"/>
    <w:unhideWhenUsed/>
    <w:qFormat/>
    <w:rsid w:val="008D40BE"/>
    <w:pPr>
      <w:keepNext/>
      <w:numPr>
        <w:ilvl w:val="3"/>
        <w:numId w:val="1"/>
      </w:numPr>
      <w:spacing w:before="120" w:after="120" w:line="240" w:lineRule="auto"/>
      <w:jc w:val="both"/>
      <w:outlineLvl w:val="3"/>
    </w:pPr>
    <w:rPr>
      <w:rFonts w:ascii="Times New Roman" w:eastAsia="Times New Roman" w:hAnsi="Times New Roman" w:cs="Times New Roman"/>
      <w:bCs/>
      <w:iCs/>
      <w:kern w:val="0"/>
      <w:sz w:val="24"/>
      <w14:ligatures w14:val="none"/>
    </w:rPr>
  </w:style>
  <w:style w:type="paragraph" w:styleId="Heading5">
    <w:name w:val="heading 5"/>
    <w:basedOn w:val="Normal"/>
    <w:next w:val="Normal"/>
    <w:link w:val="Heading5Char"/>
    <w:uiPriority w:val="9"/>
    <w:unhideWhenUsed/>
    <w:qFormat/>
    <w:rsid w:val="008D40B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0A2DD6"/>
    <w:rPr>
      <w:color w:val="0000FF"/>
      <w:shd w:val="clear" w:color="auto" w:fill="auto"/>
    </w:rPr>
  </w:style>
  <w:style w:type="paragraph" w:styleId="Header">
    <w:name w:val="header"/>
    <w:basedOn w:val="Normal"/>
    <w:link w:val="HeaderChar"/>
    <w:uiPriority w:val="99"/>
    <w:unhideWhenUsed/>
    <w:rsid w:val="000A2D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DD6"/>
  </w:style>
  <w:style w:type="paragraph" w:styleId="Footer">
    <w:name w:val="footer"/>
    <w:basedOn w:val="Normal"/>
    <w:link w:val="FooterChar"/>
    <w:uiPriority w:val="99"/>
    <w:unhideWhenUsed/>
    <w:rsid w:val="000A2D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DD6"/>
  </w:style>
  <w:style w:type="paragraph" w:customStyle="1" w:styleId="Pagedecouverture">
    <w:name w:val="Page de couverture"/>
    <w:basedOn w:val="Normal"/>
    <w:next w:val="Normal"/>
    <w:uiPriority w:val="1"/>
    <w:rsid w:val="000A2DD6"/>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0A2DD6"/>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0A2DD6"/>
    <w:rPr>
      <w:rFonts w:ascii="Times New Roman" w:hAnsi="Times New Roman" w:cs="Times New Roman"/>
      <w:sz w:val="24"/>
    </w:rPr>
  </w:style>
  <w:style w:type="paragraph" w:customStyle="1" w:styleId="FooterSensitivity">
    <w:name w:val="Footer Sensitivity"/>
    <w:basedOn w:val="Normal"/>
    <w:link w:val="FooterSensitivityChar"/>
    <w:rsid w:val="000A2DD6"/>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0A2DD6"/>
    <w:rPr>
      <w:rFonts w:ascii="Times New Roman" w:hAnsi="Times New Roman" w:cs="Times New Roman"/>
      <w:b/>
      <w:sz w:val="32"/>
    </w:rPr>
  </w:style>
  <w:style w:type="paragraph" w:customStyle="1" w:styleId="HeaderCoverPage">
    <w:name w:val="Header Cover Page"/>
    <w:basedOn w:val="Normal"/>
    <w:link w:val="HeaderCoverPageChar"/>
    <w:rsid w:val="000A2DD6"/>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0A2DD6"/>
    <w:rPr>
      <w:rFonts w:ascii="Times New Roman" w:hAnsi="Times New Roman" w:cs="Times New Roman"/>
      <w:sz w:val="24"/>
    </w:rPr>
  </w:style>
  <w:style w:type="paragraph" w:customStyle="1" w:styleId="HeaderSensitivity">
    <w:name w:val="Header Sensitivity"/>
    <w:basedOn w:val="Normal"/>
    <w:link w:val="HeaderSensitivityChar"/>
    <w:rsid w:val="000A2DD6"/>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0A2DD6"/>
    <w:rPr>
      <w:rFonts w:ascii="Times New Roman" w:hAnsi="Times New Roman" w:cs="Times New Roman"/>
      <w:b/>
      <w:sz w:val="32"/>
    </w:rPr>
  </w:style>
  <w:style w:type="paragraph" w:customStyle="1" w:styleId="HeaderSensitivityRight">
    <w:name w:val="Header Sensitivity Right"/>
    <w:basedOn w:val="Normal"/>
    <w:link w:val="HeaderSensitivityRightChar"/>
    <w:rsid w:val="00927960"/>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0A2DD6"/>
    <w:rPr>
      <w:rFonts w:ascii="Times New Roman" w:hAnsi="Times New Roman" w:cs="Times New Roman"/>
      <w:sz w:val="28"/>
    </w:rPr>
  </w:style>
  <w:style w:type="character" w:customStyle="1" w:styleId="Heading1Char">
    <w:name w:val="Heading 1 Char"/>
    <w:basedOn w:val="DefaultParagraphFont"/>
    <w:link w:val="Heading1"/>
    <w:uiPriority w:val="9"/>
    <w:rsid w:val="008D40BE"/>
    <w:rPr>
      <w:rFonts w:ascii="Times New Roman" w:eastAsia="Times New Roman" w:hAnsi="Times New Roman" w:cs="Times New Roman"/>
      <w:b/>
      <w:bCs/>
      <w:smallCaps/>
      <w:kern w:val="0"/>
      <w:sz w:val="24"/>
      <w:szCs w:val="28"/>
      <w14:ligatures w14:val="none"/>
    </w:rPr>
  </w:style>
  <w:style w:type="character" w:customStyle="1" w:styleId="Heading2Char">
    <w:name w:val="Heading 2 Char"/>
    <w:basedOn w:val="DefaultParagraphFont"/>
    <w:link w:val="Heading2"/>
    <w:uiPriority w:val="9"/>
    <w:rsid w:val="008D40BE"/>
    <w:rPr>
      <w:rFonts w:ascii="Times New Roman" w:eastAsia="Times New Roman" w:hAnsi="Times New Roman" w:cs="Times New Roman"/>
      <w:b/>
      <w:bCs/>
      <w:kern w:val="0"/>
      <w:sz w:val="24"/>
      <w:szCs w:val="26"/>
      <w14:ligatures w14:val="none"/>
    </w:rPr>
  </w:style>
  <w:style w:type="character" w:customStyle="1" w:styleId="Heading3Char">
    <w:name w:val="Heading 3 Char"/>
    <w:basedOn w:val="DefaultParagraphFont"/>
    <w:link w:val="Heading3"/>
    <w:uiPriority w:val="9"/>
    <w:rsid w:val="008D40BE"/>
    <w:rPr>
      <w:rFonts w:ascii="Times New Roman" w:eastAsia="Times New Roman" w:hAnsi="Times New Roman" w:cs="Times New Roman"/>
      <w:bCs/>
      <w:i/>
      <w:kern w:val="0"/>
      <w:sz w:val="24"/>
      <w14:ligatures w14:val="none"/>
    </w:rPr>
  </w:style>
  <w:style w:type="character" w:customStyle="1" w:styleId="Heading4Char">
    <w:name w:val="Heading 4 Char"/>
    <w:basedOn w:val="DefaultParagraphFont"/>
    <w:link w:val="Heading4"/>
    <w:uiPriority w:val="9"/>
    <w:rsid w:val="008D40BE"/>
    <w:rPr>
      <w:rFonts w:ascii="Times New Roman" w:eastAsia="Times New Roman" w:hAnsi="Times New Roman" w:cs="Times New Roman"/>
      <w:bCs/>
      <w:iCs/>
      <w:kern w:val="0"/>
      <w:sz w:val="24"/>
      <w14:ligatures w14:val="none"/>
    </w:rPr>
  </w:style>
  <w:style w:type="character" w:customStyle="1" w:styleId="Heading5Char">
    <w:name w:val="Heading 5 Char"/>
    <w:basedOn w:val="DefaultParagraphFont"/>
    <w:link w:val="Heading5"/>
    <w:uiPriority w:val="9"/>
    <w:rsid w:val="008D40BE"/>
    <w:rPr>
      <w:rFonts w:asciiTheme="majorHAnsi" w:eastAsiaTheme="majorEastAsia" w:hAnsiTheme="majorHAnsi" w:cstheme="majorBidi"/>
      <w:color w:val="365F91" w:themeColor="accent1" w:themeShade="BF"/>
    </w:rPr>
  </w:style>
  <w:style w:type="paragraph" w:styleId="FootnoteText">
    <w:name w:val="footnote text"/>
    <w:aliases w:val="Fußnotentextf,Fußnotentextr,stile 1,Footnote,Footnote1,Footnote2,Footnote3,Footnote4,Footnote5,Footnote6,Footnote7,Footnote8,Footnote9,Footnote10,Footnote11,Footnote21,Footnote31,Footnote41,Footnote51,Footnote61,Footnote71,RSK-FT,ft"/>
    <w:basedOn w:val="Normal"/>
    <w:link w:val="FootnoteTextChar"/>
    <w:uiPriority w:val="99"/>
    <w:unhideWhenUsed/>
    <w:qFormat/>
    <w:rsid w:val="008D40BE"/>
    <w:pPr>
      <w:spacing w:after="0" w:line="240" w:lineRule="auto"/>
      <w:ind w:left="720" w:hanging="720"/>
      <w:jc w:val="both"/>
    </w:pPr>
    <w:rPr>
      <w:rFonts w:ascii="Times New Roman" w:eastAsia="Calibri" w:hAnsi="Times New Roman" w:cs="Times New Roman"/>
      <w:kern w:val="0"/>
      <w:sz w:val="20"/>
      <w:szCs w:val="20"/>
      <w14:ligatures w14:val="none"/>
    </w:rPr>
  </w:style>
  <w:style w:type="character" w:customStyle="1" w:styleId="FootnoteTextChar">
    <w:name w:val="Footnote Text Char"/>
    <w:aliases w:val="Fußnotentextf Char,Fußnotentextr Char,stile 1 Char,Footnote Char,Footnote1 Char,Footnote2 Char,Footnote3 Char,Footnote4 Char,Footnote5 Char,Footnote6 Char,Footnote7 Char,Footnote8 Char,Footnote9 Char,Footnote10 Char,Footnote11 Char"/>
    <w:basedOn w:val="DefaultParagraphFont"/>
    <w:link w:val="FootnoteText"/>
    <w:uiPriority w:val="99"/>
    <w:qFormat/>
    <w:rsid w:val="008D40BE"/>
    <w:rPr>
      <w:rFonts w:ascii="Times New Roman" w:eastAsia="Calibri" w:hAnsi="Times New Roman" w:cs="Times New Roman"/>
      <w:kern w:val="0"/>
      <w:sz w:val="20"/>
      <w:szCs w:val="20"/>
      <w14:ligatures w14:val="none"/>
    </w:rPr>
  </w:style>
  <w:style w:type="paragraph" w:styleId="TOC1">
    <w:name w:val="toc 1"/>
    <w:basedOn w:val="Normal"/>
    <w:next w:val="Normal"/>
    <w:uiPriority w:val="39"/>
    <w:semiHidden/>
    <w:unhideWhenUsed/>
    <w:rsid w:val="008D40BE"/>
    <w:pPr>
      <w:tabs>
        <w:tab w:val="right" w:leader="dot" w:pos="9071"/>
      </w:tabs>
      <w:spacing w:before="60" w:after="120" w:line="240" w:lineRule="auto"/>
      <w:ind w:left="850" w:hanging="850"/>
    </w:pPr>
    <w:rPr>
      <w:rFonts w:ascii="Times New Roman" w:eastAsia="Calibri" w:hAnsi="Times New Roman" w:cs="Times New Roman"/>
      <w:kern w:val="0"/>
      <w:sz w:val="24"/>
      <w14:ligatures w14:val="none"/>
    </w:rPr>
  </w:style>
  <w:style w:type="paragraph" w:styleId="TOC2">
    <w:name w:val="toc 2"/>
    <w:basedOn w:val="Normal"/>
    <w:next w:val="Normal"/>
    <w:uiPriority w:val="39"/>
    <w:semiHidden/>
    <w:unhideWhenUsed/>
    <w:rsid w:val="008D40BE"/>
    <w:pPr>
      <w:tabs>
        <w:tab w:val="right" w:leader="dot" w:pos="9071"/>
      </w:tabs>
      <w:spacing w:before="60" w:after="120" w:line="240" w:lineRule="auto"/>
      <w:ind w:left="850" w:hanging="850"/>
    </w:pPr>
    <w:rPr>
      <w:rFonts w:ascii="Times New Roman" w:eastAsia="Calibri" w:hAnsi="Times New Roman" w:cs="Times New Roman"/>
      <w:kern w:val="0"/>
      <w:sz w:val="24"/>
      <w14:ligatures w14:val="none"/>
    </w:rPr>
  </w:style>
  <w:style w:type="paragraph" w:styleId="TOC3">
    <w:name w:val="toc 3"/>
    <w:basedOn w:val="Normal"/>
    <w:next w:val="Normal"/>
    <w:uiPriority w:val="39"/>
    <w:semiHidden/>
    <w:unhideWhenUsed/>
    <w:rsid w:val="008D40BE"/>
    <w:pPr>
      <w:tabs>
        <w:tab w:val="right" w:leader="dot" w:pos="9071"/>
      </w:tabs>
      <w:spacing w:before="60" w:after="120" w:line="240" w:lineRule="auto"/>
      <w:ind w:left="850" w:hanging="850"/>
    </w:pPr>
    <w:rPr>
      <w:rFonts w:ascii="Times New Roman" w:eastAsia="Calibri" w:hAnsi="Times New Roman" w:cs="Times New Roman"/>
      <w:kern w:val="0"/>
      <w:sz w:val="24"/>
      <w14:ligatures w14:val="none"/>
    </w:rPr>
  </w:style>
  <w:style w:type="paragraph" w:styleId="TOC4">
    <w:name w:val="toc 4"/>
    <w:basedOn w:val="Normal"/>
    <w:next w:val="Normal"/>
    <w:uiPriority w:val="39"/>
    <w:semiHidden/>
    <w:unhideWhenUsed/>
    <w:rsid w:val="008D40BE"/>
    <w:pPr>
      <w:tabs>
        <w:tab w:val="right" w:leader="dot" w:pos="9071"/>
      </w:tabs>
      <w:spacing w:before="60" w:after="120" w:line="240" w:lineRule="auto"/>
      <w:ind w:left="850" w:hanging="850"/>
    </w:pPr>
    <w:rPr>
      <w:rFonts w:ascii="Times New Roman" w:eastAsia="Calibri" w:hAnsi="Times New Roman" w:cs="Times New Roman"/>
      <w:kern w:val="0"/>
      <w:sz w:val="24"/>
      <w14:ligatures w14:val="none"/>
    </w:rPr>
  </w:style>
  <w:style w:type="paragraph" w:styleId="TOC5">
    <w:name w:val="toc 5"/>
    <w:basedOn w:val="Normal"/>
    <w:next w:val="Normal"/>
    <w:uiPriority w:val="39"/>
    <w:semiHidden/>
    <w:unhideWhenUsed/>
    <w:rsid w:val="008D40BE"/>
    <w:pPr>
      <w:tabs>
        <w:tab w:val="right" w:leader="dot" w:pos="9071"/>
      </w:tabs>
      <w:spacing w:before="300" w:after="120" w:line="240" w:lineRule="auto"/>
    </w:pPr>
    <w:rPr>
      <w:rFonts w:ascii="Times New Roman" w:eastAsia="Calibri" w:hAnsi="Times New Roman" w:cs="Times New Roman"/>
      <w:kern w:val="0"/>
      <w:sz w:val="24"/>
      <w14:ligatures w14:val="none"/>
    </w:rPr>
  </w:style>
  <w:style w:type="paragraph" w:styleId="TOC6">
    <w:name w:val="toc 6"/>
    <w:basedOn w:val="Normal"/>
    <w:next w:val="Normal"/>
    <w:uiPriority w:val="39"/>
    <w:semiHidden/>
    <w:unhideWhenUsed/>
    <w:rsid w:val="008D40BE"/>
    <w:pPr>
      <w:tabs>
        <w:tab w:val="right" w:leader="dot" w:pos="9071"/>
      </w:tabs>
      <w:spacing w:before="240" w:after="120" w:line="240" w:lineRule="auto"/>
    </w:pPr>
    <w:rPr>
      <w:rFonts w:ascii="Times New Roman" w:eastAsia="Calibri" w:hAnsi="Times New Roman" w:cs="Times New Roman"/>
      <w:kern w:val="0"/>
      <w:sz w:val="24"/>
      <w14:ligatures w14:val="none"/>
    </w:rPr>
  </w:style>
  <w:style w:type="paragraph" w:styleId="TOC7">
    <w:name w:val="toc 7"/>
    <w:basedOn w:val="Normal"/>
    <w:next w:val="Normal"/>
    <w:uiPriority w:val="39"/>
    <w:semiHidden/>
    <w:unhideWhenUsed/>
    <w:rsid w:val="008D40BE"/>
    <w:pPr>
      <w:tabs>
        <w:tab w:val="right" w:leader="dot" w:pos="9071"/>
      </w:tabs>
      <w:spacing w:before="180" w:after="120" w:line="240" w:lineRule="auto"/>
    </w:pPr>
    <w:rPr>
      <w:rFonts w:ascii="Times New Roman" w:eastAsia="Calibri" w:hAnsi="Times New Roman" w:cs="Times New Roman"/>
      <w:kern w:val="0"/>
      <w:sz w:val="24"/>
      <w14:ligatures w14:val="none"/>
    </w:rPr>
  </w:style>
  <w:style w:type="paragraph" w:styleId="TOC8">
    <w:name w:val="toc 8"/>
    <w:basedOn w:val="Normal"/>
    <w:next w:val="Normal"/>
    <w:uiPriority w:val="39"/>
    <w:semiHidden/>
    <w:unhideWhenUsed/>
    <w:rsid w:val="008D40BE"/>
    <w:pPr>
      <w:tabs>
        <w:tab w:val="right" w:leader="dot" w:pos="9071"/>
      </w:tabs>
      <w:spacing w:before="120" w:after="120" w:line="240" w:lineRule="auto"/>
    </w:pPr>
    <w:rPr>
      <w:rFonts w:ascii="Times New Roman" w:eastAsia="Calibri" w:hAnsi="Times New Roman" w:cs="Times New Roman"/>
      <w:kern w:val="0"/>
      <w:sz w:val="24"/>
      <w14:ligatures w14:val="none"/>
    </w:rPr>
  </w:style>
  <w:style w:type="paragraph" w:styleId="TOC9">
    <w:name w:val="toc 9"/>
    <w:basedOn w:val="Normal"/>
    <w:next w:val="Normal"/>
    <w:uiPriority w:val="39"/>
    <w:semiHidden/>
    <w:unhideWhenUsed/>
    <w:rsid w:val="008D40BE"/>
    <w:pPr>
      <w:tabs>
        <w:tab w:val="right" w:leader="dot" w:pos="9071"/>
      </w:tabs>
      <w:spacing w:before="120" w:after="120" w:line="240" w:lineRule="auto"/>
      <w:jc w:val="both"/>
    </w:pPr>
    <w:rPr>
      <w:rFonts w:ascii="Times New Roman" w:eastAsia="Calibri" w:hAnsi="Times New Roman" w:cs="Times New Roman"/>
      <w:kern w:val="0"/>
      <w:sz w:val="24"/>
      <w14:ligatures w14:val="none"/>
    </w:rPr>
  </w:style>
  <w:style w:type="paragraph" w:customStyle="1" w:styleId="HeaderLandscape">
    <w:name w:val="HeaderLandscape"/>
    <w:basedOn w:val="Normal"/>
    <w:rsid w:val="008D40BE"/>
    <w:pPr>
      <w:tabs>
        <w:tab w:val="center" w:pos="7285"/>
        <w:tab w:val="right" w:pos="14003"/>
      </w:tabs>
      <w:spacing w:after="120" w:line="240" w:lineRule="auto"/>
      <w:jc w:val="both"/>
    </w:pPr>
    <w:rPr>
      <w:rFonts w:ascii="Times New Roman" w:eastAsia="Calibri" w:hAnsi="Times New Roman" w:cs="Times New Roman"/>
      <w:kern w:val="0"/>
      <w:sz w:val="24"/>
      <w14:ligatures w14:val="none"/>
    </w:rPr>
  </w:style>
  <w:style w:type="paragraph" w:customStyle="1" w:styleId="FooterLandscape">
    <w:name w:val="FooterLandscape"/>
    <w:basedOn w:val="Normal"/>
    <w:rsid w:val="008D40BE"/>
    <w:pPr>
      <w:tabs>
        <w:tab w:val="center" w:pos="7285"/>
        <w:tab w:val="center" w:pos="10913"/>
        <w:tab w:val="right" w:pos="15137"/>
      </w:tabs>
      <w:spacing w:before="360" w:after="0" w:line="240" w:lineRule="auto"/>
      <w:ind w:left="-567" w:right="-567"/>
    </w:pPr>
    <w:rPr>
      <w:rFonts w:ascii="Times New Roman" w:eastAsia="Calibri" w:hAnsi="Times New Roman" w:cs="Times New Roman"/>
      <w:kern w:val="0"/>
      <w:sz w:val="24"/>
      <w14:ligatures w14:val="none"/>
    </w:rPr>
  </w:style>
  <w:style w:type="character" w:styleId="FootnoteReference">
    <w:name w:val="footnote reference"/>
    <w:aliases w:val="SUPERS,Odwołanie przypisu,Times 10 Point,Exposant 3 Point,Footnote symbol,Footnote reference number,number,Footnote Reference Superscript,stylish,Знак сноски-FN,Ciae niinee-FN,Знак сноски 1,(Footnote Reference), Exposant 3 Point,Ref,F"/>
    <w:link w:val="SUPERSCharCharCharCharCharCharCharChar"/>
    <w:uiPriority w:val="1"/>
    <w:unhideWhenUsed/>
    <w:qFormat/>
    <w:rsid w:val="008D40BE"/>
    <w:rPr>
      <w:vertAlign w:val="superscript"/>
    </w:rPr>
  </w:style>
  <w:style w:type="paragraph" w:customStyle="1" w:styleId="Text1">
    <w:name w:val="Text 1"/>
    <w:basedOn w:val="Normal"/>
    <w:rsid w:val="008D40BE"/>
    <w:pPr>
      <w:spacing w:before="120" w:after="120" w:line="240" w:lineRule="auto"/>
      <w:ind w:left="850"/>
      <w:jc w:val="both"/>
    </w:pPr>
    <w:rPr>
      <w:rFonts w:ascii="Times New Roman" w:eastAsia="Calibri" w:hAnsi="Times New Roman" w:cs="Times New Roman"/>
      <w:kern w:val="0"/>
      <w:sz w:val="24"/>
      <w14:ligatures w14:val="none"/>
    </w:rPr>
  </w:style>
  <w:style w:type="paragraph" w:customStyle="1" w:styleId="Text2">
    <w:name w:val="Text 2"/>
    <w:basedOn w:val="Normal"/>
    <w:rsid w:val="008D40BE"/>
    <w:pPr>
      <w:spacing w:before="120" w:after="120" w:line="240" w:lineRule="auto"/>
      <w:ind w:left="1417"/>
      <w:jc w:val="both"/>
    </w:pPr>
    <w:rPr>
      <w:rFonts w:ascii="Times New Roman" w:eastAsia="Calibri" w:hAnsi="Times New Roman" w:cs="Times New Roman"/>
      <w:kern w:val="0"/>
      <w:sz w:val="24"/>
      <w14:ligatures w14:val="none"/>
    </w:rPr>
  </w:style>
  <w:style w:type="paragraph" w:customStyle="1" w:styleId="Text3">
    <w:name w:val="Text 3"/>
    <w:basedOn w:val="Normal"/>
    <w:rsid w:val="008D40BE"/>
    <w:pPr>
      <w:spacing w:before="120" w:after="120" w:line="240" w:lineRule="auto"/>
      <w:ind w:left="1984"/>
      <w:jc w:val="both"/>
    </w:pPr>
    <w:rPr>
      <w:rFonts w:ascii="Times New Roman" w:eastAsia="Calibri" w:hAnsi="Times New Roman" w:cs="Times New Roman"/>
      <w:kern w:val="0"/>
      <w:sz w:val="24"/>
      <w14:ligatures w14:val="none"/>
    </w:rPr>
  </w:style>
  <w:style w:type="paragraph" w:customStyle="1" w:styleId="Text4">
    <w:name w:val="Text 4"/>
    <w:basedOn w:val="Normal"/>
    <w:rsid w:val="008D40BE"/>
    <w:pPr>
      <w:spacing w:before="120" w:after="120" w:line="240" w:lineRule="auto"/>
      <w:ind w:left="2551"/>
      <w:jc w:val="both"/>
    </w:pPr>
    <w:rPr>
      <w:rFonts w:ascii="Times New Roman" w:eastAsia="Calibri" w:hAnsi="Times New Roman" w:cs="Times New Roman"/>
      <w:kern w:val="0"/>
      <w:sz w:val="24"/>
      <w14:ligatures w14:val="none"/>
    </w:rPr>
  </w:style>
  <w:style w:type="paragraph" w:customStyle="1" w:styleId="NormalCentered">
    <w:name w:val="Normal Centered"/>
    <w:basedOn w:val="Normal"/>
    <w:rsid w:val="008D40BE"/>
    <w:pPr>
      <w:spacing w:before="120" w:after="120" w:line="240" w:lineRule="auto"/>
      <w:jc w:val="center"/>
    </w:pPr>
    <w:rPr>
      <w:rFonts w:ascii="Times New Roman" w:eastAsia="Calibri" w:hAnsi="Times New Roman" w:cs="Times New Roman"/>
      <w:kern w:val="0"/>
      <w:sz w:val="24"/>
      <w14:ligatures w14:val="none"/>
    </w:rPr>
  </w:style>
  <w:style w:type="paragraph" w:customStyle="1" w:styleId="NormalLeft">
    <w:name w:val="Normal Left"/>
    <w:basedOn w:val="Normal"/>
    <w:rsid w:val="008D40BE"/>
    <w:pPr>
      <w:spacing w:before="120" w:after="120" w:line="240" w:lineRule="auto"/>
    </w:pPr>
    <w:rPr>
      <w:rFonts w:ascii="Times New Roman" w:eastAsia="Calibri" w:hAnsi="Times New Roman" w:cs="Times New Roman"/>
      <w:kern w:val="0"/>
      <w:sz w:val="24"/>
      <w14:ligatures w14:val="none"/>
    </w:rPr>
  </w:style>
  <w:style w:type="paragraph" w:customStyle="1" w:styleId="NormalRight">
    <w:name w:val="Normal Right"/>
    <w:basedOn w:val="Normal"/>
    <w:rsid w:val="008D40BE"/>
    <w:pPr>
      <w:spacing w:before="120" w:after="120" w:line="240" w:lineRule="auto"/>
      <w:jc w:val="right"/>
    </w:pPr>
    <w:rPr>
      <w:rFonts w:ascii="Times New Roman" w:eastAsia="Calibri" w:hAnsi="Times New Roman" w:cs="Times New Roman"/>
      <w:kern w:val="0"/>
      <w:sz w:val="24"/>
      <w14:ligatures w14:val="none"/>
    </w:rPr>
  </w:style>
  <w:style w:type="paragraph" w:customStyle="1" w:styleId="QuotedText">
    <w:name w:val="Quoted Text"/>
    <w:basedOn w:val="Normal"/>
    <w:rsid w:val="008D40BE"/>
    <w:pPr>
      <w:spacing w:before="120" w:after="120" w:line="240" w:lineRule="auto"/>
      <w:ind w:left="1417"/>
      <w:jc w:val="both"/>
    </w:pPr>
    <w:rPr>
      <w:rFonts w:ascii="Times New Roman" w:eastAsia="Calibri" w:hAnsi="Times New Roman" w:cs="Times New Roman"/>
      <w:kern w:val="0"/>
      <w:sz w:val="24"/>
      <w14:ligatures w14:val="none"/>
    </w:rPr>
  </w:style>
  <w:style w:type="paragraph" w:customStyle="1" w:styleId="Point0">
    <w:name w:val="Point 0"/>
    <w:basedOn w:val="Normal"/>
    <w:rsid w:val="008D40BE"/>
    <w:pPr>
      <w:spacing w:before="120" w:after="120" w:line="240" w:lineRule="auto"/>
      <w:ind w:left="850" w:hanging="850"/>
      <w:jc w:val="both"/>
    </w:pPr>
    <w:rPr>
      <w:rFonts w:ascii="Times New Roman" w:eastAsia="Calibri" w:hAnsi="Times New Roman" w:cs="Times New Roman"/>
      <w:kern w:val="0"/>
      <w:sz w:val="24"/>
      <w14:ligatures w14:val="none"/>
    </w:rPr>
  </w:style>
  <w:style w:type="paragraph" w:customStyle="1" w:styleId="Point1">
    <w:name w:val="Point 1"/>
    <w:basedOn w:val="Normal"/>
    <w:rsid w:val="008D40BE"/>
    <w:pPr>
      <w:spacing w:before="120" w:after="120" w:line="240" w:lineRule="auto"/>
      <w:ind w:left="1417" w:hanging="567"/>
      <w:jc w:val="both"/>
    </w:pPr>
    <w:rPr>
      <w:rFonts w:ascii="Times New Roman" w:eastAsia="Calibri" w:hAnsi="Times New Roman" w:cs="Times New Roman"/>
      <w:kern w:val="0"/>
      <w:sz w:val="24"/>
      <w14:ligatures w14:val="none"/>
    </w:rPr>
  </w:style>
  <w:style w:type="paragraph" w:customStyle="1" w:styleId="Point2">
    <w:name w:val="Point 2"/>
    <w:basedOn w:val="Normal"/>
    <w:rsid w:val="008D40BE"/>
    <w:pPr>
      <w:spacing w:before="120" w:after="120" w:line="240" w:lineRule="auto"/>
      <w:ind w:left="1984" w:hanging="567"/>
      <w:jc w:val="both"/>
    </w:pPr>
    <w:rPr>
      <w:rFonts w:ascii="Times New Roman" w:eastAsia="Calibri" w:hAnsi="Times New Roman" w:cs="Times New Roman"/>
      <w:kern w:val="0"/>
      <w:sz w:val="24"/>
      <w14:ligatures w14:val="none"/>
    </w:rPr>
  </w:style>
  <w:style w:type="paragraph" w:customStyle="1" w:styleId="Point3">
    <w:name w:val="Point 3"/>
    <w:basedOn w:val="Normal"/>
    <w:rsid w:val="008D40BE"/>
    <w:pPr>
      <w:spacing w:before="120" w:after="120" w:line="240" w:lineRule="auto"/>
      <w:ind w:left="2551" w:hanging="567"/>
      <w:jc w:val="both"/>
    </w:pPr>
    <w:rPr>
      <w:rFonts w:ascii="Times New Roman" w:eastAsia="Calibri" w:hAnsi="Times New Roman" w:cs="Times New Roman"/>
      <w:kern w:val="0"/>
      <w:sz w:val="24"/>
      <w14:ligatures w14:val="none"/>
    </w:rPr>
  </w:style>
  <w:style w:type="paragraph" w:customStyle="1" w:styleId="Point4">
    <w:name w:val="Point 4"/>
    <w:basedOn w:val="Normal"/>
    <w:rsid w:val="008D40BE"/>
    <w:pPr>
      <w:spacing w:before="120" w:after="120" w:line="240" w:lineRule="auto"/>
      <w:ind w:left="3118" w:hanging="567"/>
      <w:jc w:val="both"/>
    </w:pPr>
    <w:rPr>
      <w:rFonts w:ascii="Times New Roman" w:eastAsia="Calibri" w:hAnsi="Times New Roman" w:cs="Times New Roman"/>
      <w:kern w:val="0"/>
      <w:sz w:val="24"/>
      <w14:ligatures w14:val="none"/>
    </w:rPr>
  </w:style>
  <w:style w:type="paragraph" w:customStyle="1" w:styleId="Tiret0">
    <w:name w:val="Tiret 0"/>
    <w:basedOn w:val="Point0"/>
    <w:rsid w:val="008D40BE"/>
    <w:pPr>
      <w:numPr>
        <w:numId w:val="2"/>
      </w:numPr>
    </w:pPr>
  </w:style>
  <w:style w:type="paragraph" w:customStyle="1" w:styleId="Tiret1">
    <w:name w:val="Tiret 1"/>
    <w:basedOn w:val="Point1"/>
    <w:rsid w:val="008D40BE"/>
    <w:pPr>
      <w:numPr>
        <w:numId w:val="3"/>
      </w:numPr>
    </w:pPr>
  </w:style>
  <w:style w:type="paragraph" w:customStyle="1" w:styleId="Tiret2">
    <w:name w:val="Tiret 2"/>
    <w:basedOn w:val="Point2"/>
    <w:rsid w:val="008D40BE"/>
    <w:pPr>
      <w:numPr>
        <w:numId w:val="4"/>
      </w:numPr>
    </w:pPr>
  </w:style>
  <w:style w:type="paragraph" w:customStyle="1" w:styleId="Tiret3">
    <w:name w:val="Tiret 3"/>
    <w:basedOn w:val="Point3"/>
    <w:rsid w:val="008D40BE"/>
    <w:pPr>
      <w:numPr>
        <w:numId w:val="5"/>
      </w:numPr>
    </w:pPr>
  </w:style>
  <w:style w:type="paragraph" w:customStyle="1" w:styleId="Tiret4">
    <w:name w:val="Tiret 4"/>
    <w:basedOn w:val="Point4"/>
    <w:rsid w:val="008D40BE"/>
    <w:pPr>
      <w:numPr>
        <w:numId w:val="6"/>
      </w:numPr>
    </w:pPr>
  </w:style>
  <w:style w:type="paragraph" w:customStyle="1" w:styleId="PointDouble0">
    <w:name w:val="PointDouble 0"/>
    <w:basedOn w:val="Normal"/>
    <w:rsid w:val="008D40BE"/>
    <w:pPr>
      <w:tabs>
        <w:tab w:val="left" w:pos="850"/>
      </w:tabs>
      <w:spacing w:before="120" w:after="120" w:line="240" w:lineRule="auto"/>
      <w:ind w:left="1417" w:hanging="1417"/>
      <w:jc w:val="both"/>
    </w:pPr>
    <w:rPr>
      <w:rFonts w:ascii="Times New Roman" w:eastAsia="Calibri" w:hAnsi="Times New Roman" w:cs="Times New Roman"/>
      <w:kern w:val="0"/>
      <w:sz w:val="24"/>
      <w14:ligatures w14:val="none"/>
    </w:rPr>
  </w:style>
  <w:style w:type="paragraph" w:customStyle="1" w:styleId="PointDouble1">
    <w:name w:val="PointDouble 1"/>
    <w:basedOn w:val="Normal"/>
    <w:rsid w:val="008D40BE"/>
    <w:pPr>
      <w:tabs>
        <w:tab w:val="left" w:pos="1417"/>
      </w:tabs>
      <w:spacing w:before="120" w:after="120" w:line="240" w:lineRule="auto"/>
      <w:ind w:left="1984" w:hanging="1134"/>
      <w:jc w:val="both"/>
    </w:pPr>
    <w:rPr>
      <w:rFonts w:ascii="Times New Roman" w:eastAsia="Calibri" w:hAnsi="Times New Roman" w:cs="Times New Roman"/>
      <w:kern w:val="0"/>
      <w:sz w:val="24"/>
      <w14:ligatures w14:val="none"/>
    </w:rPr>
  </w:style>
  <w:style w:type="paragraph" w:customStyle="1" w:styleId="PointDouble2">
    <w:name w:val="PointDouble 2"/>
    <w:basedOn w:val="Normal"/>
    <w:rsid w:val="008D40BE"/>
    <w:pPr>
      <w:tabs>
        <w:tab w:val="left" w:pos="1984"/>
      </w:tabs>
      <w:spacing w:before="120" w:after="120" w:line="240" w:lineRule="auto"/>
      <w:ind w:left="2551" w:hanging="1134"/>
      <w:jc w:val="both"/>
    </w:pPr>
    <w:rPr>
      <w:rFonts w:ascii="Times New Roman" w:eastAsia="Calibri" w:hAnsi="Times New Roman" w:cs="Times New Roman"/>
      <w:kern w:val="0"/>
      <w:sz w:val="24"/>
      <w14:ligatures w14:val="none"/>
    </w:rPr>
  </w:style>
  <w:style w:type="paragraph" w:customStyle="1" w:styleId="PointDouble3">
    <w:name w:val="PointDouble 3"/>
    <w:basedOn w:val="Normal"/>
    <w:rsid w:val="008D40BE"/>
    <w:pPr>
      <w:tabs>
        <w:tab w:val="left" w:pos="2551"/>
      </w:tabs>
      <w:spacing w:before="120" w:after="120" w:line="240" w:lineRule="auto"/>
      <w:ind w:left="3118" w:hanging="1134"/>
      <w:jc w:val="both"/>
    </w:pPr>
    <w:rPr>
      <w:rFonts w:ascii="Times New Roman" w:eastAsia="Calibri" w:hAnsi="Times New Roman" w:cs="Times New Roman"/>
      <w:kern w:val="0"/>
      <w:sz w:val="24"/>
      <w14:ligatures w14:val="none"/>
    </w:rPr>
  </w:style>
  <w:style w:type="paragraph" w:customStyle="1" w:styleId="PointDouble4">
    <w:name w:val="PointDouble 4"/>
    <w:basedOn w:val="Normal"/>
    <w:rsid w:val="008D40BE"/>
    <w:pPr>
      <w:tabs>
        <w:tab w:val="left" w:pos="3118"/>
      </w:tabs>
      <w:spacing w:before="120" w:after="120" w:line="240" w:lineRule="auto"/>
      <w:ind w:left="3685" w:hanging="1134"/>
      <w:jc w:val="both"/>
    </w:pPr>
    <w:rPr>
      <w:rFonts w:ascii="Times New Roman" w:eastAsia="Calibri" w:hAnsi="Times New Roman" w:cs="Times New Roman"/>
      <w:kern w:val="0"/>
      <w:sz w:val="24"/>
      <w14:ligatures w14:val="none"/>
    </w:rPr>
  </w:style>
  <w:style w:type="paragraph" w:customStyle="1" w:styleId="PointTriple0">
    <w:name w:val="PointTriple 0"/>
    <w:basedOn w:val="Normal"/>
    <w:rsid w:val="008D40BE"/>
    <w:pPr>
      <w:tabs>
        <w:tab w:val="left" w:pos="850"/>
        <w:tab w:val="left" w:pos="1417"/>
      </w:tabs>
      <w:spacing w:before="120" w:after="120" w:line="240" w:lineRule="auto"/>
      <w:ind w:left="1984" w:hanging="1984"/>
      <w:jc w:val="both"/>
    </w:pPr>
    <w:rPr>
      <w:rFonts w:ascii="Times New Roman" w:eastAsia="Calibri" w:hAnsi="Times New Roman" w:cs="Times New Roman"/>
      <w:kern w:val="0"/>
      <w:sz w:val="24"/>
      <w14:ligatures w14:val="none"/>
    </w:rPr>
  </w:style>
  <w:style w:type="paragraph" w:customStyle="1" w:styleId="PointTriple1">
    <w:name w:val="PointTriple 1"/>
    <w:basedOn w:val="Normal"/>
    <w:rsid w:val="008D40BE"/>
    <w:pPr>
      <w:tabs>
        <w:tab w:val="left" w:pos="1417"/>
        <w:tab w:val="left" w:pos="1984"/>
      </w:tabs>
      <w:spacing w:before="120" w:after="120" w:line="240" w:lineRule="auto"/>
      <w:ind w:left="2551" w:hanging="1701"/>
      <w:jc w:val="both"/>
    </w:pPr>
    <w:rPr>
      <w:rFonts w:ascii="Times New Roman" w:eastAsia="Calibri" w:hAnsi="Times New Roman" w:cs="Times New Roman"/>
      <w:kern w:val="0"/>
      <w:sz w:val="24"/>
      <w14:ligatures w14:val="none"/>
    </w:rPr>
  </w:style>
  <w:style w:type="paragraph" w:customStyle="1" w:styleId="PointTriple2">
    <w:name w:val="PointTriple 2"/>
    <w:basedOn w:val="Normal"/>
    <w:rsid w:val="008D40BE"/>
    <w:pPr>
      <w:tabs>
        <w:tab w:val="left" w:pos="1984"/>
        <w:tab w:val="left" w:pos="2551"/>
      </w:tabs>
      <w:spacing w:before="120" w:after="120" w:line="240" w:lineRule="auto"/>
      <w:ind w:left="3118" w:hanging="1701"/>
      <w:jc w:val="both"/>
    </w:pPr>
    <w:rPr>
      <w:rFonts w:ascii="Times New Roman" w:eastAsia="Calibri" w:hAnsi="Times New Roman" w:cs="Times New Roman"/>
      <w:kern w:val="0"/>
      <w:sz w:val="24"/>
      <w14:ligatures w14:val="none"/>
    </w:rPr>
  </w:style>
  <w:style w:type="paragraph" w:customStyle="1" w:styleId="PointTriple3">
    <w:name w:val="PointTriple 3"/>
    <w:basedOn w:val="Normal"/>
    <w:rsid w:val="008D40BE"/>
    <w:pPr>
      <w:tabs>
        <w:tab w:val="left" w:pos="2551"/>
        <w:tab w:val="left" w:pos="3118"/>
      </w:tabs>
      <w:spacing w:before="120" w:after="120" w:line="240" w:lineRule="auto"/>
      <w:ind w:left="3685" w:hanging="1701"/>
      <w:jc w:val="both"/>
    </w:pPr>
    <w:rPr>
      <w:rFonts w:ascii="Times New Roman" w:eastAsia="Calibri" w:hAnsi="Times New Roman" w:cs="Times New Roman"/>
      <w:kern w:val="0"/>
      <w:sz w:val="24"/>
      <w14:ligatures w14:val="none"/>
    </w:rPr>
  </w:style>
  <w:style w:type="paragraph" w:customStyle="1" w:styleId="PointTriple4">
    <w:name w:val="PointTriple 4"/>
    <w:basedOn w:val="Normal"/>
    <w:rsid w:val="008D40BE"/>
    <w:pPr>
      <w:tabs>
        <w:tab w:val="left" w:pos="3118"/>
        <w:tab w:val="left" w:pos="3685"/>
      </w:tabs>
      <w:spacing w:before="120" w:after="120" w:line="240" w:lineRule="auto"/>
      <w:ind w:left="4252" w:hanging="1701"/>
      <w:jc w:val="both"/>
    </w:pPr>
    <w:rPr>
      <w:rFonts w:ascii="Times New Roman" w:eastAsia="Calibri" w:hAnsi="Times New Roman" w:cs="Times New Roman"/>
      <w:kern w:val="0"/>
      <w:sz w:val="24"/>
      <w14:ligatures w14:val="none"/>
    </w:rPr>
  </w:style>
  <w:style w:type="paragraph" w:customStyle="1" w:styleId="NumPar1">
    <w:name w:val="NumPar 1"/>
    <w:basedOn w:val="Normal"/>
    <w:next w:val="Text1"/>
    <w:rsid w:val="008D40BE"/>
    <w:pPr>
      <w:numPr>
        <w:numId w:val="7"/>
      </w:numPr>
      <w:spacing w:before="120" w:after="120" w:line="240" w:lineRule="auto"/>
      <w:jc w:val="both"/>
    </w:pPr>
    <w:rPr>
      <w:rFonts w:ascii="Times New Roman" w:eastAsia="Calibri" w:hAnsi="Times New Roman" w:cs="Times New Roman"/>
      <w:kern w:val="0"/>
      <w:sz w:val="24"/>
      <w14:ligatures w14:val="none"/>
    </w:rPr>
  </w:style>
  <w:style w:type="paragraph" w:customStyle="1" w:styleId="NumPar2">
    <w:name w:val="NumPar 2"/>
    <w:basedOn w:val="Normal"/>
    <w:next w:val="Text1"/>
    <w:rsid w:val="008D40BE"/>
    <w:pPr>
      <w:numPr>
        <w:ilvl w:val="1"/>
        <w:numId w:val="7"/>
      </w:numPr>
      <w:spacing w:before="120" w:after="120" w:line="240" w:lineRule="auto"/>
      <w:jc w:val="both"/>
    </w:pPr>
    <w:rPr>
      <w:rFonts w:ascii="Times New Roman" w:eastAsia="Calibri" w:hAnsi="Times New Roman" w:cs="Times New Roman"/>
      <w:kern w:val="0"/>
      <w:sz w:val="24"/>
      <w14:ligatures w14:val="none"/>
    </w:rPr>
  </w:style>
  <w:style w:type="paragraph" w:customStyle="1" w:styleId="NumPar3">
    <w:name w:val="NumPar 3"/>
    <w:basedOn w:val="Normal"/>
    <w:next w:val="Text1"/>
    <w:rsid w:val="008D40BE"/>
    <w:pPr>
      <w:numPr>
        <w:ilvl w:val="2"/>
        <w:numId w:val="7"/>
      </w:numPr>
      <w:spacing w:before="120" w:after="120" w:line="240" w:lineRule="auto"/>
      <w:jc w:val="both"/>
    </w:pPr>
    <w:rPr>
      <w:rFonts w:ascii="Times New Roman" w:eastAsia="Calibri" w:hAnsi="Times New Roman" w:cs="Times New Roman"/>
      <w:kern w:val="0"/>
      <w:sz w:val="24"/>
      <w14:ligatures w14:val="none"/>
    </w:rPr>
  </w:style>
  <w:style w:type="paragraph" w:customStyle="1" w:styleId="NumPar4">
    <w:name w:val="NumPar 4"/>
    <w:basedOn w:val="Normal"/>
    <w:next w:val="Text1"/>
    <w:rsid w:val="008D40BE"/>
    <w:pPr>
      <w:numPr>
        <w:ilvl w:val="3"/>
        <w:numId w:val="7"/>
      </w:numPr>
      <w:spacing w:before="120" w:after="120" w:line="240" w:lineRule="auto"/>
      <w:jc w:val="both"/>
    </w:pPr>
    <w:rPr>
      <w:rFonts w:ascii="Times New Roman" w:eastAsia="Calibri" w:hAnsi="Times New Roman" w:cs="Times New Roman"/>
      <w:kern w:val="0"/>
      <w:sz w:val="24"/>
      <w14:ligatures w14:val="none"/>
    </w:rPr>
  </w:style>
  <w:style w:type="paragraph" w:customStyle="1" w:styleId="ManualNumPar1">
    <w:name w:val="Manual NumPar 1"/>
    <w:basedOn w:val="Normal"/>
    <w:next w:val="Text1"/>
    <w:rsid w:val="008D40BE"/>
    <w:pPr>
      <w:spacing w:before="120" w:after="120" w:line="240" w:lineRule="auto"/>
      <w:ind w:left="850" w:hanging="850"/>
      <w:jc w:val="both"/>
    </w:pPr>
    <w:rPr>
      <w:rFonts w:ascii="Times New Roman" w:eastAsia="Calibri" w:hAnsi="Times New Roman" w:cs="Times New Roman"/>
      <w:kern w:val="0"/>
      <w:sz w:val="24"/>
      <w14:ligatures w14:val="none"/>
    </w:rPr>
  </w:style>
  <w:style w:type="paragraph" w:customStyle="1" w:styleId="ManualNumPar2">
    <w:name w:val="Manual NumPar 2"/>
    <w:basedOn w:val="Normal"/>
    <w:next w:val="Text1"/>
    <w:rsid w:val="008D40BE"/>
    <w:pPr>
      <w:spacing w:before="120" w:after="120" w:line="240" w:lineRule="auto"/>
      <w:ind w:left="850" w:hanging="850"/>
      <w:jc w:val="both"/>
    </w:pPr>
    <w:rPr>
      <w:rFonts w:ascii="Times New Roman" w:eastAsia="Calibri" w:hAnsi="Times New Roman" w:cs="Times New Roman"/>
      <w:kern w:val="0"/>
      <w:sz w:val="24"/>
      <w14:ligatures w14:val="none"/>
    </w:rPr>
  </w:style>
  <w:style w:type="paragraph" w:customStyle="1" w:styleId="ManualNumPar3">
    <w:name w:val="Manual NumPar 3"/>
    <w:basedOn w:val="Normal"/>
    <w:next w:val="Text1"/>
    <w:rsid w:val="008D40BE"/>
    <w:pPr>
      <w:spacing w:before="120" w:after="120" w:line="240" w:lineRule="auto"/>
      <w:ind w:left="850" w:hanging="850"/>
      <w:jc w:val="both"/>
    </w:pPr>
    <w:rPr>
      <w:rFonts w:ascii="Times New Roman" w:eastAsia="Calibri" w:hAnsi="Times New Roman" w:cs="Times New Roman"/>
      <w:kern w:val="0"/>
      <w:sz w:val="24"/>
      <w14:ligatures w14:val="none"/>
    </w:rPr>
  </w:style>
  <w:style w:type="paragraph" w:customStyle="1" w:styleId="ManualNumPar4">
    <w:name w:val="Manual NumPar 4"/>
    <w:basedOn w:val="Normal"/>
    <w:next w:val="Text1"/>
    <w:rsid w:val="008D40BE"/>
    <w:pPr>
      <w:spacing w:before="120" w:after="120" w:line="240" w:lineRule="auto"/>
      <w:ind w:left="850" w:hanging="850"/>
      <w:jc w:val="both"/>
    </w:pPr>
    <w:rPr>
      <w:rFonts w:ascii="Times New Roman" w:eastAsia="Calibri" w:hAnsi="Times New Roman" w:cs="Times New Roman"/>
      <w:kern w:val="0"/>
      <w:sz w:val="24"/>
      <w14:ligatures w14:val="none"/>
    </w:rPr>
  </w:style>
  <w:style w:type="paragraph" w:customStyle="1" w:styleId="QuotedNumPar">
    <w:name w:val="Quoted NumPar"/>
    <w:basedOn w:val="Normal"/>
    <w:rsid w:val="008D40BE"/>
    <w:pPr>
      <w:spacing w:before="120" w:after="120" w:line="240" w:lineRule="auto"/>
      <w:ind w:left="1417" w:hanging="567"/>
      <w:jc w:val="both"/>
    </w:pPr>
    <w:rPr>
      <w:rFonts w:ascii="Times New Roman" w:eastAsia="Calibri" w:hAnsi="Times New Roman" w:cs="Times New Roman"/>
      <w:kern w:val="0"/>
      <w:sz w:val="24"/>
      <w14:ligatures w14:val="none"/>
    </w:rPr>
  </w:style>
  <w:style w:type="paragraph" w:customStyle="1" w:styleId="ManualHeading1">
    <w:name w:val="Manual Heading 1"/>
    <w:basedOn w:val="Normal"/>
    <w:next w:val="Text1"/>
    <w:rsid w:val="008D40BE"/>
    <w:pPr>
      <w:keepNext/>
      <w:tabs>
        <w:tab w:val="left" w:pos="850"/>
      </w:tabs>
      <w:spacing w:before="360" w:after="120" w:line="240" w:lineRule="auto"/>
      <w:ind w:left="850" w:hanging="850"/>
      <w:jc w:val="both"/>
      <w:outlineLvl w:val="0"/>
    </w:pPr>
    <w:rPr>
      <w:rFonts w:ascii="Times New Roman" w:eastAsia="Calibri" w:hAnsi="Times New Roman" w:cs="Times New Roman"/>
      <w:b/>
      <w:smallCaps/>
      <w:kern w:val="0"/>
      <w:sz w:val="24"/>
      <w14:ligatures w14:val="none"/>
    </w:rPr>
  </w:style>
  <w:style w:type="paragraph" w:customStyle="1" w:styleId="ManualHeading2">
    <w:name w:val="Manual Heading 2"/>
    <w:basedOn w:val="Normal"/>
    <w:next w:val="Text1"/>
    <w:rsid w:val="008D40BE"/>
    <w:pPr>
      <w:keepNext/>
      <w:tabs>
        <w:tab w:val="left" w:pos="850"/>
      </w:tabs>
      <w:spacing w:before="120" w:after="120" w:line="240" w:lineRule="auto"/>
      <w:ind w:left="850" w:hanging="850"/>
      <w:jc w:val="both"/>
      <w:outlineLvl w:val="1"/>
    </w:pPr>
    <w:rPr>
      <w:rFonts w:ascii="Times New Roman" w:eastAsia="Calibri" w:hAnsi="Times New Roman" w:cs="Times New Roman"/>
      <w:b/>
      <w:kern w:val="0"/>
      <w:sz w:val="24"/>
      <w14:ligatures w14:val="none"/>
    </w:rPr>
  </w:style>
  <w:style w:type="paragraph" w:customStyle="1" w:styleId="ManualHeading3">
    <w:name w:val="Manual Heading 3"/>
    <w:basedOn w:val="Normal"/>
    <w:next w:val="Text1"/>
    <w:rsid w:val="008D40BE"/>
    <w:pPr>
      <w:keepNext/>
      <w:tabs>
        <w:tab w:val="left" w:pos="850"/>
      </w:tabs>
      <w:spacing w:before="120" w:after="120" w:line="240" w:lineRule="auto"/>
      <w:ind w:left="850" w:hanging="850"/>
      <w:jc w:val="both"/>
      <w:outlineLvl w:val="2"/>
    </w:pPr>
    <w:rPr>
      <w:rFonts w:ascii="Times New Roman" w:eastAsia="Calibri" w:hAnsi="Times New Roman" w:cs="Times New Roman"/>
      <w:i/>
      <w:kern w:val="0"/>
      <w:sz w:val="24"/>
      <w14:ligatures w14:val="none"/>
    </w:rPr>
  </w:style>
  <w:style w:type="paragraph" w:customStyle="1" w:styleId="ManualHeading4">
    <w:name w:val="Manual Heading 4"/>
    <w:basedOn w:val="Normal"/>
    <w:next w:val="Text1"/>
    <w:rsid w:val="008D40BE"/>
    <w:pPr>
      <w:keepNext/>
      <w:tabs>
        <w:tab w:val="left" w:pos="850"/>
      </w:tabs>
      <w:spacing w:before="120" w:after="120" w:line="240" w:lineRule="auto"/>
      <w:ind w:left="850" w:hanging="850"/>
      <w:jc w:val="both"/>
      <w:outlineLvl w:val="3"/>
    </w:pPr>
    <w:rPr>
      <w:rFonts w:ascii="Times New Roman" w:eastAsia="Calibri" w:hAnsi="Times New Roman" w:cs="Times New Roman"/>
      <w:kern w:val="0"/>
      <w:sz w:val="24"/>
      <w14:ligatures w14:val="none"/>
    </w:rPr>
  </w:style>
  <w:style w:type="paragraph" w:customStyle="1" w:styleId="ChapterTitle">
    <w:name w:val="ChapterTitle"/>
    <w:basedOn w:val="Normal"/>
    <w:next w:val="Normal"/>
    <w:rsid w:val="008D40BE"/>
    <w:pPr>
      <w:keepNext/>
      <w:spacing w:before="120" w:after="360" w:line="240" w:lineRule="auto"/>
      <w:jc w:val="center"/>
    </w:pPr>
    <w:rPr>
      <w:rFonts w:ascii="Times New Roman" w:eastAsia="Calibri" w:hAnsi="Times New Roman" w:cs="Times New Roman"/>
      <w:b/>
      <w:kern w:val="0"/>
      <w:sz w:val="32"/>
      <w14:ligatures w14:val="none"/>
    </w:rPr>
  </w:style>
  <w:style w:type="paragraph" w:customStyle="1" w:styleId="PartTitle">
    <w:name w:val="PartTitle"/>
    <w:basedOn w:val="Normal"/>
    <w:next w:val="ChapterTitle"/>
    <w:rsid w:val="008D40BE"/>
    <w:pPr>
      <w:keepNext/>
      <w:pageBreakBefore/>
      <w:spacing w:before="120" w:after="360" w:line="240" w:lineRule="auto"/>
      <w:jc w:val="center"/>
    </w:pPr>
    <w:rPr>
      <w:rFonts w:ascii="Times New Roman" w:eastAsia="Calibri" w:hAnsi="Times New Roman" w:cs="Times New Roman"/>
      <w:b/>
      <w:kern w:val="0"/>
      <w:sz w:val="36"/>
      <w14:ligatures w14:val="none"/>
    </w:rPr>
  </w:style>
  <w:style w:type="paragraph" w:customStyle="1" w:styleId="SectionTitle">
    <w:name w:val="SectionTitle"/>
    <w:basedOn w:val="Normal"/>
    <w:next w:val="Heading1"/>
    <w:rsid w:val="008D40BE"/>
    <w:pPr>
      <w:keepNext/>
      <w:spacing w:before="120" w:after="360" w:line="240" w:lineRule="auto"/>
      <w:jc w:val="center"/>
    </w:pPr>
    <w:rPr>
      <w:rFonts w:ascii="Times New Roman" w:eastAsia="Calibri" w:hAnsi="Times New Roman" w:cs="Times New Roman"/>
      <w:b/>
      <w:smallCaps/>
      <w:kern w:val="0"/>
      <w:sz w:val="28"/>
      <w14:ligatures w14:val="none"/>
    </w:rPr>
  </w:style>
  <w:style w:type="paragraph" w:customStyle="1" w:styleId="TableTitle">
    <w:name w:val="Table Title"/>
    <w:basedOn w:val="Normal"/>
    <w:next w:val="Normal"/>
    <w:rsid w:val="008D40BE"/>
    <w:pPr>
      <w:spacing w:before="120" w:after="120" w:line="240" w:lineRule="auto"/>
      <w:jc w:val="center"/>
    </w:pPr>
    <w:rPr>
      <w:rFonts w:ascii="Times New Roman" w:eastAsia="Calibri" w:hAnsi="Times New Roman" w:cs="Times New Roman"/>
      <w:b/>
      <w:kern w:val="0"/>
      <w:sz w:val="24"/>
      <w14:ligatures w14:val="none"/>
    </w:rPr>
  </w:style>
  <w:style w:type="character" w:customStyle="1" w:styleId="Marker1">
    <w:name w:val="Marker1"/>
    <w:rsid w:val="008D40BE"/>
    <w:rPr>
      <w:color w:val="008000"/>
      <w:shd w:val="clear" w:color="auto" w:fill="auto"/>
    </w:rPr>
  </w:style>
  <w:style w:type="character" w:customStyle="1" w:styleId="Marker2">
    <w:name w:val="Marker2"/>
    <w:rsid w:val="008D40BE"/>
    <w:rPr>
      <w:color w:val="FF0000"/>
      <w:shd w:val="clear" w:color="auto" w:fill="auto"/>
    </w:rPr>
  </w:style>
  <w:style w:type="paragraph" w:styleId="TOCHeading">
    <w:name w:val="TOC Heading"/>
    <w:basedOn w:val="Normal"/>
    <w:next w:val="Normal"/>
    <w:uiPriority w:val="39"/>
    <w:unhideWhenUsed/>
    <w:qFormat/>
    <w:rsid w:val="008D40BE"/>
    <w:pPr>
      <w:spacing w:before="120" w:after="240" w:line="240" w:lineRule="auto"/>
      <w:jc w:val="center"/>
    </w:pPr>
    <w:rPr>
      <w:rFonts w:ascii="Times New Roman" w:eastAsia="Calibri" w:hAnsi="Times New Roman" w:cs="Times New Roman"/>
      <w:b/>
      <w:kern w:val="0"/>
      <w:sz w:val="28"/>
      <w14:ligatures w14:val="none"/>
    </w:rPr>
  </w:style>
  <w:style w:type="paragraph" w:customStyle="1" w:styleId="Point0number">
    <w:name w:val="Point 0 (number)"/>
    <w:basedOn w:val="Normal"/>
    <w:rsid w:val="008D40BE"/>
    <w:pPr>
      <w:numPr>
        <w:numId w:val="8"/>
      </w:numPr>
      <w:spacing w:before="120" w:after="120" w:line="240" w:lineRule="auto"/>
      <w:jc w:val="both"/>
    </w:pPr>
    <w:rPr>
      <w:rFonts w:ascii="Times New Roman" w:eastAsia="Calibri" w:hAnsi="Times New Roman" w:cs="Times New Roman"/>
      <w:kern w:val="0"/>
      <w:sz w:val="24"/>
      <w14:ligatures w14:val="none"/>
    </w:rPr>
  </w:style>
  <w:style w:type="paragraph" w:customStyle="1" w:styleId="Point1number">
    <w:name w:val="Point 1 (number)"/>
    <w:basedOn w:val="Normal"/>
    <w:rsid w:val="008D40BE"/>
    <w:pPr>
      <w:numPr>
        <w:ilvl w:val="2"/>
        <w:numId w:val="8"/>
      </w:numPr>
      <w:spacing w:before="120" w:after="120" w:line="240" w:lineRule="auto"/>
      <w:jc w:val="both"/>
    </w:pPr>
    <w:rPr>
      <w:rFonts w:ascii="Times New Roman" w:eastAsia="Calibri" w:hAnsi="Times New Roman" w:cs="Times New Roman"/>
      <w:kern w:val="0"/>
      <w:sz w:val="24"/>
      <w14:ligatures w14:val="none"/>
    </w:rPr>
  </w:style>
  <w:style w:type="paragraph" w:customStyle="1" w:styleId="Point2number">
    <w:name w:val="Point 2 (number)"/>
    <w:basedOn w:val="Normal"/>
    <w:rsid w:val="008D40BE"/>
    <w:pPr>
      <w:numPr>
        <w:ilvl w:val="4"/>
        <w:numId w:val="8"/>
      </w:numPr>
      <w:spacing w:before="120" w:after="120" w:line="240" w:lineRule="auto"/>
      <w:jc w:val="both"/>
    </w:pPr>
    <w:rPr>
      <w:rFonts w:ascii="Times New Roman" w:eastAsia="Calibri" w:hAnsi="Times New Roman" w:cs="Times New Roman"/>
      <w:kern w:val="0"/>
      <w:sz w:val="24"/>
      <w14:ligatures w14:val="none"/>
    </w:rPr>
  </w:style>
  <w:style w:type="paragraph" w:customStyle="1" w:styleId="Point3number">
    <w:name w:val="Point 3 (number)"/>
    <w:basedOn w:val="Normal"/>
    <w:rsid w:val="008D40BE"/>
    <w:pPr>
      <w:numPr>
        <w:ilvl w:val="6"/>
        <w:numId w:val="8"/>
      </w:numPr>
      <w:spacing w:before="120" w:after="120" w:line="240" w:lineRule="auto"/>
      <w:jc w:val="both"/>
    </w:pPr>
    <w:rPr>
      <w:rFonts w:ascii="Times New Roman" w:eastAsia="Calibri" w:hAnsi="Times New Roman" w:cs="Times New Roman"/>
      <w:kern w:val="0"/>
      <w:sz w:val="24"/>
      <w14:ligatures w14:val="none"/>
    </w:rPr>
  </w:style>
  <w:style w:type="paragraph" w:customStyle="1" w:styleId="Point0letter">
    <w:name w:val="Point 0 (letter)"/>
    <w:basedOn w:val="Normal"/>
    <w:rsid w:val="008D40BE"/>
    <w:pPr>
      <w:numPr>
        <w:ilvl w:val="1"/>
        <w:numId w:val="8"/>
      </w:numPr>
      <w:spacing w:before="120" w:after="120" w:line="240" w:lineRule="auto"/>
      <w:jc w:val="both"/>
    </w:pPr>
    <w:rPr>
      <w:rFonts w:ascii="Times New Roman" w:eastAsia="Calibri" w:hAnsi="Times New Roman" w:cs="Times New Roman"/>
      <w:kern w:val="0"/>
      <w:sz w:val="24"/>
      <w14:ligatures w14:val="none"/>
    </w:rPr>
  </w:style>
  <w:style w:type="paragraph" w:customStyle="1" w:styleId="Point1letter">
    <w:name w:val="Point 1 (letter)"/>
    <w:basedOn w:val="Normal"/>
    <w:rsid w:val="008D40BE"/>
    <w:pPr>
      <w:numPr>
        <w:ilvl w:val="3"/>
        <w:numId w:val="8"/>
      </w:numPr>
      <w:spacing w:before="120" w:after="120" w:line="240" w:lineRule="auto"/>
      <w:jc w:val="both"/>
    </w:pPr>
    <w:rPr>
      <w:rFonts w:ascii="Times New Roman" w:eastAsia="Calibri" w:hAnsi="Times New Roman" w:cs="Times New Roman"/>
      <w:kern w:val="0"/>
      <w:sz w:val="24"/>
      <w14:ligatures w14:val="none"/>
    </w:rPr>
  </w:style>
  <w:style w:type="paragraph" w:customStyle="1" w:styleId="Point2letter">
    <w:name w:val="Point 2 (letter)"/>
    <w:basedOn w:val="Normal"/>
    <w:rsid w:val="008D40BE"/>
    <w:pPr>
      <w:numPr>
        <w:ilvl w:val="5"/>
        <w:numId w:val="8"/>
      </w:numPr>
      <w:spacing w:before="120" w:after="120" w:line="240" w:lineRule="auto"/>
      <w:jc w:val="both"/>
    </w:pPr>
    <w:rPr>
      <w:rFonts w:ascii="Times New Roman" w:eastAsia="Calibri" w:hAnsi="Times New Roman" w:cs="Times New Roman"/>
      <w:kern w:val="0"/>
      <w:sz w:val="24"/>
      <w14:ligatures w14:val="none"/>
    </w:rPr>
  </w:style>
  <w:style w:type="paragraph" w:customStyle="1" w:styleId="Point3letter">
    <w:name w:val="Point 3 (letter)"/>
    <w:basedOn w:val="Normal"/>
    <w:rsid w:val="008D40BE"/>
    <w:pPr>
      <w:numPr>
        <w:ilvl w:val="7"/>
        <w:numId w:val="8"/>
      </w:numPr>
      <w:spacing w:before="120" w:after="120" w:line="240" w:lineRule="auto"/>
      <w:jc w:val="both"/>
    </w:pPr>
    <w:rPr>
      <w:rFonts w:ascii="Times New Roman" w:eastAsia="Calibri" w:hAnsi="Times New Roman" w:cs="Times New Roman"/>
      <w:kern w:val="0"/>
      <w:sz w:val="24"/>
      <w14:ligatures w14:val="none"/>
    </w:rPr>
  </w:style>
  <w:style w:type="paragraph" w:customStyle="1" w:styleId="Point4letter">
    <w:name w:val="Point 4 (letter)"/>
    <w:basedOn w:val="Normal"/>
    <w:rsid w:val="008D40BE"/>
    <w:pPr>
      <w:numPr>
        <w:ilvl w:val="8"/>
        <w:numId w:val="8"/>
      </w:numPr>
      <w:spacing w:before="120" w:after="120" w:line="240" w:lineRule="auto"/>
      <w:jc w:val="both"/>
    </w:pPr>
    <w:rPr>
      <w:rFonts w:ascii="Times New Roman" w:eastAsia="Calibri" w:hAnsi="Times New Roman" w:cs="Times New Roman"/>
      <w:kern w:val="0"/>
      <w:sz w:val="24"/>
      <w14:ligatures w14:val="none"/>
    </w:rPr>
  </w:style>
  <w:style w:type="paragraph" w:customStyle="1" w:styleId="Bullet0">
    <w:name w:val="Bullet 0"/>
    <w:basedOn w:val="Normal"/>
    <w:rsid w:val="008D40BE"/>
    <w:pPr>
      <w:numPr>
        <w:numId w:val="9"/>
      </w:numPr>
      <w:spacing w:before="120" w:after="120" w:line="240" w:lineRule="auto"/>
      <w:jc w:val="both"/>
    </w:pPr>
    <w:rPr>
      <w:rFonts w:ascii="Times New Roman" w:eastAsia="Calibri" w:hAnsi="Times New Roman" w:cs="Times New Roman"/>
      <w:kern w:val="0"/>
      <w:sz w:val="24"/>
      <w14:ligatures w14:val="none"/>
    </w:rPr>
  </w:style>
  <w:style w:type="paragraph" w:customStyle="1" w:styleId="Bullet1">
    <w:name w:val="Bullet 1"/>
    <w:basedOn w:val="Normal"/>
    <w:rsid w:val="008D40BE"/>
    <w:pPr>
      <w:numPr>
        <w:numId w:val="10"/>
      </w:numPr>
      <w:spacing w:before="120" w:after="120" w:line="240" w:lineRule="auto"/>
      <w:jc w:val="both"/>
    </w:pPr>
    <w:rPr>
      <w:rFonts w:ascii="Times New Roman" w:eastAsia="Calibri" w:hAnsi="Times New Roman" w:cs="Times New Roman"/>
      <w:kern w:val="0"/>
      <w:sz w:val="24"/>
      <w14:ligatures w14:val="none"/>
    </w:rPr>
  </w:style>
  <w:style w:type="paragraph" w:customStyle="1" w:styleId="Bullet2">
    <w:name w:val="Bullet 2"/>
    <w:basedOn w:val="Normal"/>
    <w:rsid w:val="008D40BE"/>
    <w:pPr>
      <w:numPr>
        <w:numId w:val="11"/>
      </w:numPr>
      <w:spacing w:before="120" w:after="120" w:line="240" w:lineRule="auto"/>
      <w:jc w:val="both"/>
    </w:pPr>
    <w:rPr>
      <w:rFonts w:ascii="Times New Roman" w:eastAsia="Calibri" w:hAnsi="Times New Roman" w:cs="Times New Roman"/>
      <w:kern w:val="0"/>
      <w:sz w:val="24"/>
      <w14:ligatures w14:val="none"/>
    </w:rPr>
  </w:style>
  <w:style w:type="paragraph" w:customStyle="1" w:styleId="Bullet3">
    <w:name w:val="Bullet 3"/>
    <w:basedOn w:val="Normal"/>
    <w:rsid w:val="008D40BE"/>
    <w:pPr>
      <w:numPr>
        <w:numId w:val="12"/>
      </w:numPr>
      <w:spacing w:before="120" w:after="120" w:line="240" w:lineRule="auto"/>
      <w:jc w:val="both"/>
    </w:pPr>
    <w:rPr>
      <w:rFonts w:ascii="Times New Roman" w:eastAsia="Calibri" w:hAnsi="Times New Roman" w:cs="Times New Roman"/>
      <w:kern w:val="0"/>
      <w:sz w:val="24"/>
      <w14:ligatures w14:val="none"/>
    </w:rPr>
  </w:style>
  <w:style w:type="paragraph" w:customStyle="1" w:styleId="Bullet4">
    <w:name w:val="Bullet 4"/>
    <w:basedOn w:val="Normal"/>
    <w:rsid w:val="008D40BE"/>
    <w:pPr>
      <w:numPr>
        <w:numId w:val="13"/>
      </w:numPr>
      <w:spacing w:before="120" w:after="120" w:line="240" w:lineRule="auto"/>
      <w:jc w:val="both"/>
    </w:pPr>
    <w:rPr>
      <w:rFonts w:ascii="Times New Roman" w:eastAsia="Calibri" w:hAnsi="Times New Roman" w:cs="Times New Roman"/>
      <w:kern w:val="0"/>
      <w:sz w:val="24"/>
      <w14:ligatures w14:val="none"/>
    </w:rPr>
  </w:style>
  <w:style w:type="paragraph" w:customStyle="1" w:styleId="Annexetitreexpos">
    <w:name w:val="Annexe titre (exposé)"/>
    <w:basedOn w:val="Normal"/>
    <w:next w:val="Normal"/>
    <w:rsid w:val="008D40BE"/>
    <w:pPr>
      <w:spacing w:before="120" w:after="120" w:line="240" w:lineRule="auto"/>
      <w:jc w:val="center"/>
    </w:pPr>
    <w:rPr>
      <w:rFonts w:ascii="Times New Roman" w:eastAsia="Calibri" w:hAnsi="Times New Roman" w:cs="Times New Roman"/>
      <w:b/>
      <w:kern w:val="0"/>
      <w:sz w:val="24"/>
      <w:u w:val="single"/>
      <w14:ligatures w14:val="none"/>
    </w:rPr>
  </w:style>
  <w:style w:type="paragraph" w:customStyle="1" w:styleId="Annexetitre">
    <w:name w:val="Annexe titre"/>
    <w:basedOn w:val="Normal"/>
    <w:next w:val="Normal"/>
    <w:rsid w:val="008D40BE"/>
    <w:pPr>
      <w:spacing w:before="120" w:after="120" w:line="240" w:lineRule="auto"/>
      <w:jc w:val="center"/>
    </w:pPr>
    <w:rPr>
      <w:rFonts w:ascii="Times New Roman" w:eastAsia="Calibri" w:hAnsi="Times New Roman" w:cs="Times New Roman"/>
      <w:b/>
      <w:kern w:val="0"/>
      <w:sz w:val="24"/>
      <w:u w:val="single"/>
      <w14:ligatures w14:val="none"/>
    </w:rPr>
  </w:style>
  <w:style w:type="paragraph" w:customStyle="1" w:styleId="Annexetitrefichefinancire">
    <w:name w:val="Annexe titre (fiche financière)"/>
    <w:basedOn w:val="Normal"/>
    <w:next w:val="Normal"/>
    <w:rsid w:val="008D40BE"/>
    <w:pPr>
      <w:spacing w:before="120" w:after="120" w:line="240" w:lineRule="auto"/>
      <w:jc w:val="center"/>
    </w:pPr>
    <w:rPr>
      <w:rFonts w:ascii="Times New Roman" w:eastAsia="Calibri" w:hAnsi="Times New Roman" w:cs="Times New Roman"/>
      <w:b/>
      <w:kern w:val="0"/>
      <w:sz w:val="24"/>
      <w:u w:val="single"/>
      <w14:ligatures w14:val="none"/>
    </w:rPr>
  </w:style>
  <w:style w:type="paragraph" w:customStyle="1" w:styleId="Applicationdirecte">
    <w:name w:val="Application directe"/>
    <w:basedOn w:val="Normal"/>
    <w:next w:val="Fait"/>
    <w:rsid w:val="008D40BE"/>
    <w:pPr>
      <w:spacing w:before="480" w:after="120" w:line="240" w:lineRule="auto"/>
      <w:jc w:val="both"/>
    </w:pPr>
    <w:rPr>
      <w:rFonts w:ascii="Times New Roman" w:eastAsia="Calibri" w:hAnsi="Times New Roman" w:cs="Times New Roman"/>
      <w:kern w:val="0"/>
      <w:sz w:val="24"/>
      <w14:ligatures w14:val="none"/>
    </w:rPr>
  </w:style>
  <w:style w:type="paragraph" w:customStyle="1" w:styleId="Avertissementtitre">
    <w:name w:val="Avertissement titre"/>
    <w:basedOn w:val="Normal"/>
    <w:next w:val="Normal"/>
    <w:rsid w:val="008D40BE"/>
    <w:pPr>
      <w:keepNext/>
      <w:spacing w:before="480" w:after="120" w:line="240" w:lineRule="auto"/>
      <w:jc w:val="both"/>
    </w:pPr>
    <w:rPr>
      <w:rFonts w:ascii="Times New Roman" w:eastAsia="Calibri" w:hAnsi="Times New Roman" w:cs="Times New Roman"/>
      <w:kern w:val="0"/>
      <w:sz w:val="24"/>
      <w:u w:val="single"/>
      <w14:ligatures w14:val="none"/>
    </w:rPr>
  </w:style>
  <w:style w:type="paragraph" w:customStyle="1" w:styleId="Confidence">
    <w:name w:val="Confidence"/>
    <w:basedOn w:val="Normal"/>
    <w:next w:val="Normal"/>
    <w:rsid w:val="008D40BE"/>
    <w:pPr>
      <w:spacing w:before="360" w:after="120" w:line="240" w:lineRule="auto"/>
      <w:jc w:val="center"/>
    </w:pPr>
    <w:rPr>
      <w:rFonts w:ascii="Times New Roman" w:eastAsia="Calibri" w:hAnsi="Times New Roman" w:cs="Times New Roman"/>
      <w:kern w:val="0"/>
      <w:sz w:val="24"/>
      <w14:ligatures w14:val="none"/>
    </w:rPr>
  </w:style>
  <w:style w:type="paragraph" w:customStyle="1" w:styleId="Confidentialit">
    <w:name w:val="Confidentialité"/>
    <w:basedOn w:val="Normal"/>
    <w:next w:val="TypedudocumentPagedecouverture"/>
    <w:rsid w:val="008D40BE"/>
    <w:pPr>
      <w:spacing w:before="240" w:after="240" w:line="240" w:lineRule="auto"/>
      <w:ind w:left="5103"/>
    </w:pPr>
    <w:rPr>
      <w:rFonts w:ascii="Times New Roman" w:eastAsia="Calibri" w:hAnsi="Times New Roman" w:cs="Times New Roman"/>
      <w:i/>
      <w:kern w:val="0"/>
      <w:sz w:val="32"/>
      <w14:ligatures w14:val="none"/>
    </w:rPr>
  </w:style>
  <w:style w:type="paragraph" w:customStyle="1" w:styleId="Considrant">
    <w:name w:val="Considérant"/>
    <w:basedOn w:val="Normal"/>
    <w:rsid w:val="008D40BE"/>
    <w:pPr>
      <w:numPr>
        <w:numId w:val="14"/>
      </w:numPr>
      <w:spacing w:before="120" w:after="120" w:line="240" w:lineRule="auto"/>
      <w:jc w:val="both"/>
    </w:pPr>
    <w:rPr>
      <w:rFonts w:ascii="Times New Roman" w:eastAsia="Calibri" w:hAnsi="Times New Roman" w:cs="Times New Roman"/>
      <w:kern w:val="0"/>
      <w:sz w:val="24"/>
      <w14:ligatures w14:val="none"/>
    </w:rPr>
  </w:style>
  <w:style w:type="paragraph" w:customStyle="1" w:styleId="Corrigendum">
    <w:name w:val="Corrigendum"/>
    <w:basedOn w:val="Normal"/>
    <w:next w:val="Normal"/>
    <w:rsid w:val="008D40BE"/>
    <w:pPr>
      <w:spacing w:after="240" w:line="240" w:lineRule="auto"/>
    </w:pPr>
    <w:rPr>
      <w:rFonts w:ascii="Times New Roman" w:eastAsia="Calibri" w:hAnsi="Times New Roman" w:cs="Times New Roman"/>
      <w:kern w:val="0"/>
      <w:sz w:val="24"/>
      <w14:ligatures w14:val="none"/>
    </w:rPr>
  </w:style>
  <w:style w:type="paragraph" w:customStyle="1" w:styleId="Datedadoption">
    <w:name w:val="Date d'adoption"/>
    <w:basedOn w:val="Normal"/>
    <w:next w:val="Titreobjet"/>
    <w:rsid w:val="008D40BE"/>
    <w:pPr>
      <w:spacing w:before="360" w:after="0" w:line="240" w:lineRule="auto"/>
      <w:jc w:val="center"/>
    </w:pPr>
    <w:rPr>
      <w:rFonts w:ascii="Times New Roman" w:eastAsia="Calibri" w:hAnsi="Times New Roman" w:cs="Times New Roman"/>
      <w:b/>
      <w:kern w:val="0"/>
      <w:sz w:val="24"/>
      <w14:ligatures w14:val="none"/>
    </w:rPr>
  </w:style>
  <w:style w:type="paragraph" w:customStyle="1" w:styleId="Emission">
    <w:name w:val="Emission"/>
    <w:basedOn w:val="Normal"/>
    <w:next w:val="Rfrenceinstitutionnelle"/>
    <w:rsid w:val="008D40BE"/>
    <w:pPr>
      <w:spacing w:after="0" w:line="240" w:lineRule="auto"/>
      <w:ind w:left="5103"/>
    </w:pPr>
    <w:rPr>
      <w:rFonts w:ascii="Times New Roman" w:eastAsia="Calibri" w:hAnsi="Times New Roman" w:cs="Times New Roman"/>
      <w:kern w:val="0"/>
      <w:sz w:val="24"/>
      <w14:ligatures w14:val="none"/>
    </w:rPr>
  </w:style>
  <w:style w:type="paragraph" w:customStyle="1" w:styleId="Exposdesmotifstitre">
    <w:name w:val="Exposé des motifs titre"/>
    <w:basedOn w:val="Normal"/>
    <w:next w:val="Normal"/>
    <w:rsid w:val="008D40BE"/>
    <w:pPr>
      <w:spacing w:before="120" w:after="120" w:line="240" w:lineRule="auto"/>
      <w:jc w:val="center"/>
    </w:pPr>
    <w:rPr>
      <w:rFonts w:ascii="Times New Roman" w:eastAsia="Calibri" w:hAnsi="Times New Roman" w:cs="Times New Roman"/>
      <w:b/>
      <w:kern w:val="0"/>
      <w:sz w:val="24"/>
      <w:u w:val="single"/>
      <w14:ligatures w14:val="none"/>
    </w:rPr>
  </w:style>
  <w:style w:type="paragraph" w:customStyle="1" w:styleId="Fait">
    <w:name w:val="Fait à"/>
    <w:basedOn w:val="Normal"/>
    <w:next w:val="Institutionquisigne"/>
    <w:rsid w:val="008D40BE"/>
    <w:pPr>
      <w:keepNext/>
      <w:spacing w:before="120" w:after="0" w:line="240" w:lineRule="auto"/>
      <w:jc w:val="both"/>
    </w:pPr>
    <w:rPr>
      <w:rFonts w:ascii="Times New Roman" w:eastAsia="Calibri" w:hAnsi="Times New Roman" w:cs="Times New Roman"/>
      <w:kern w:val="0"/>
      <w:sz w:val="24"/>
      <w14:ligatures w14:val="none"/>
    </w:rPr>
  </w:style>
  <w:style w:type="paragraph" w:customStyle="1" w:styleId="Formuledadoption">
    <w:name w:val="Formule d'adoption"/>
    <w:basedOn w:val="Normal"/>
    <w:next w:val="Titrearticle"/>
    <w:rsid w:val="008D40BE"/>
    <w:pPr>
      <w:keepNext/>
      <w:spacing w:before="120" w:after="120" w:line="240" w:lineRule="auto"/>
      <w:jc w:val="both"/>
    </w:pPr>
    <w:rPr>
      <w:rFonts w:ascii="Times New Roman" w:eastAsia="Calibri" w:hAnsi="Times New Roman" w:cs="Times New Roman"/>
      <w:kern w:val="0"/>
      <w:sz w:val="24"/>
      <w14:ligatures w14:val="none"/>
    </w:rPr>
  </w:style>
  <w:style w:type="paragraph" w:customStyle="1" w:styleId="Institutionquiagit">
    <w:name w:val="Institution qui agit"/>
    <w:basedOn w:val="Normal"/>
    <w:next w:val="Normal"/>
    <w:rsid w:val="008D40BE"/>
    <w:pPr>
      <w:keepNext/>
      <w:spacing w:before="600" w:after="120" w:line="240" w:lineRule="auto"/>
      <w:jc w:val="both"/>
    </w:pPr>
    <w:rPr>
      <w:rFonts w:ascii="Times New Roman" w:eastAsia="Calibri" w:hAnsi="Times New Roman" w:cs="Times New Roman"/>
      <w:kern w:val="0"/>
      <w:sz w:val="24"/>
      <w14:ligatures w14:val="none"/>
    </w:rPr>
  </w:style>
  <w:style w:type="paragraph" w:customStyle="1" w:styleId="Institutionquisigne">
    <w:name w:val="Institution qui signe"/>
    <w:basedOn w:val="Normal"/>
    <w:next w:val="Personnequisigne"/>
    <w:rsid w:val="008D40BE"/>
    <w:pPr>
      <w:keepNext/>
      <w:tabs>
        <w:tab w:val="left" w:pos="4252"/>
      </w:tabs>
      <w:spacing w:before="720" w:after="0" w:line="240" w:lineRule="auto"/>
      <w:jc w:val="both"/>
    </w:pPr>
    <w:rPr>
      <w:rFonts w:ascii="Times New Roman" w:eastAsia="Calibri" w:hAnsi="Times New Roman" w:cs="Times New Roman"/>
      <w:i/>
      <w:kern w:val="0"/>
      <w:sz w:val="24"/>
      <w14:ligatures w14:val="none"/>
    </w:rPr>
  </w:style>
  <w:style w:type="paragraph" w:customStyle="1" w:styleId="Langue">
    <w:name w:val="Langue"/>
    <w:basedOn w:val="Normal"/>
    <w:next w:val="Rfrenceinterne"/>
    <w:rsid w:val="008D40BE"/>
    <w:pPr>
      <w:framePr w:wrap="around" w:vAnchor="page" w:hAnchor="text" w:xAlign="center" w:y="14741"/>
      <w:spacing w:after="600" w:line="240" w:lineRule="auto"/>
      <w:jc w:val="center"/>
    </w:pPr>
    <w:rPr>
      <w:rFonts w:ascii="Times New Roman" w:eastAsia="Calibri" w:hAnsi="Times New Roman" w:cs="Times New Roman"/>
      <w:b/>
      <w:caps/>
      <w:kern w:val="0"/>
      <w:sz w:val="24"/>
      <w14:ligatures w14:val="none"/>
    </w:rPr>
  </w:style>
  <w:style w:type="paragraph" w:customStyle="1" w:styleId="ManualConsidrant">
    <w:name w:val="Manual Considérant"/>
    <w:basedOn w:val="Normal"/>
    <w:rsid w:val="008D40BE"/>
    <w:pPr>
      <w:spacing w:before="120" w:after="120" w:line="240" w:lineRule="auto"/>
      <w:ind w:left="709" w:hanging="709"/>
      <w:jc w:val="both"/>
    </w:pPr>
    <w:rPr>
      <w:rFonts w:ascii="Times New Roman" w:eastAsia="Calibri" w:hAnsi="Times New Roman" w:cs="Times New Roman"/>
      <w:kern w:val="0"/>
      <w:sz w:val="24"/>
      <w14:ligatures w14:val="none"/>
    </w:rPr>
  </w:style>
  <w:style w:type="paragraph" w:customStyle="1" w:styleId="Nomdelinstitution">
    <w:name w:val="Nom de l'institution"/>
    <w:basedOn w:val="Normal"/>
    <w:next w:val="Emission"/>
    <w:rsid w:val="008D40BE"/>
    <w:pPr>
      <w:spacing w:after="0" w:line="240" w:lineRule="auto"/>
    </w:pPr>
    <w:rPr>
      <w:rFonts w:ascii="Arial" w:eastAsia="Calibri" w:hAnsi="Arial" w:cs="Arial"/>
      <w:kern w:val="0"/>
      <w:sz w:val="24"/>
      <w14:ligatures w14:val="none"/>
    </w:rPr>
  </w:style>
  <w:style w:type="paragraph" w:customStyle="1" w:styleId="Personnequisigne">
    <w:name w:val="Personne qui signe"/>
    <w:basedOn w:val="Normal"/>
    <w:next w:val="Institutionquisigne"/>
    <w:rsid w:val="008D40BE"/>
    <w:pPr>
      <w:tabs>
        <w:tab w:val="left" w:pos="4252"/>
      </w:tabs>
      <w:spacing w:after="0" w:line="240" w:lineRule="auto"/>
    </w:pPr>
    <w:rPr>
      <w:rFonts w:ascii="Times New Roman" w:eastAsia="Calibri" w:hAnsi="Times New Roman" w:cs="Times New Roman"/>
      <w:i/>
      <w:kern w:val="0"/>
      <w:sz w:val="24"/>
      <w14:ligatures w14:val="none"/>
    </w:rPr>
  </w:style>
  <w:style w:type="paragraph" w:customStyle="1" w:styleId="Rfrenceinstitutionnelle">
    <w:name w:val="Référence institutionnelle"/>
    <w:basedOn w:val="Normal"/>
    <w:next w:val="Confidentialit"/>
    <w:rsid w:val="008D40BE"/>
    <w:pPr>
      <w:spacing w:after="240" w:line="240" w:lineRule="auto"/>
      <w:ind w:left="5103"/>
    </w:pPr>
    <w:rPr>
      <w:rFonts w:ascii="Times New Roman" w:eastAsia="Calibri" w:hAnsi="Times New Roman" w:cs="Times New Roman"/>
      <w:kern w:val="0"/>
      <w:sz w:val="24"/>
      <w14:ligatures w14:val="none"/>
    </w:rPr>
  </w:style>
  <w:style w:type="paragraph" w:customStyle="1" w:styleId="Rfrenceinterinstitutionnelle">
    <w:name w:val="Référence interinstitutionnelle"/>
    <w:basedOn w:val="Normal"/>
    <w:next w:val="Statut"/>
    <w:rsid w:val="008D40BE"/>
    <w:pPr>
      <w:spacing w:after="0" w:line="240" w:lineRule="auto"/>
      <w:ind w:left="5103"/>
    </w:pPr>
    <w:rPr>
      <w:rFonts w:ascii="Times New Roman" w:eastAsia="Calibri" w:hAnsi="Times New Roman" w:cs="Times New Roman"/>
      <w:kern w:val="0"/>
      <w:sz w:val="24"/>
      <w14:ligatures w14:val="none"/>
    </w:rPr>
  </w:style>
  <w:style w:type="paragraph" w:customStyle="1" w:styleId="Rfrenceinterne">
    <w:name w:val="Référence interne"/>
    <w:basedOn w:val="Normal"/>
    <w:next w:val="Rfrenceinterinstitutionnelle"/>
    <w:rsid w:val="008D40BE"/>
    <w:pPr>
      <w:spacing w:after="0" w:line="240" w:lineRule="auto"/>
      <w:ind w:left="5103"/>
    </w:pPr>
    <w:rPr>
      <w:rFonts w:ascii="Times New Roman" w:eastAsia="Calibri" w:hAnsi="Times New Roman" w:cs="Times New Roman"/>
      <w:kern w:val="0"/>
      <w:sz w:val="24"/>
      <w14:ligatures w14:val="none"/>
    </w:rPr>
  </w:style>
  <w:style w:type="paragraph" w:customStyle="1" w:styleId="Statut">
    <w:name w:val="Statut"/>
    <w:basedOn w:val="Normal"/>
    <w:next w:val="Typedudocument"/>
    <w:rsid w:val="008D40BE"/>
    <w:pPr>
      <w:spacing w:before="360" w:after="0" w:line="240" w:lineRule="auto"/>
      <w:jc w:val="center"/>
    </w:pPr>
    <w:rPr>
      <w:rFonts w:ascii="Times New Roman" w:eastAsia="Calibri" w:hAnsi="Times New Roman" w:cs="Times New Roman"/>
      <w:kern w:val="0"/>
      <w:sz w:val="24"/>
      <w14:ligatures w14:val="none"/>
    </w:rPr>
  </w:style>
  <w:style w:type="paragraph" w:customStyle="1" w:styleId="Titrearticle">
    <w:name w:val="Titre article"/>
    <w:basedOn w:val="Normal"/>
    <w:next w:val="Normal"/>
    <w:rsid w:val="008D40BE"/>
    <w:pPr>
      <w:keepNext/>
      <w:spacing w:before="360" w:after="120" w:line="240" w:lineRule="auto"/>
      <w:jc w:val="center"/>
    </w:pPr>
    <w:rPr>
      <w:rFonts w:ascii="Times New Roman" w:eastAsia="Calibri" w:hAnsi="Times New Roman" w:cs="Times New Roman"/>
      <w:i/>
      <w:kern w:val="0"/>
      <w:sz w:val="24"/>
      <w14:ligatures w14:val="none"/>
    </w:rPr>
  </w:style>
  <w:style w:type="paragraph" w:customStyle="1" w:styleId="Titreobjet">
    <w:name w:val="Titre objet"/>
    <w:basedOn w:val="Normal"/>
    <w:next w:val="IntrtEEE"/>
    <w:rsid w:val="008D40BE"/>
    <w:pPr>
      <w:spacing w:before="360" w:after="360" w:line="240" w:lineRule="auto"/>
      <w:jc w:val="center"/>
    </w:pPr>
    <w:rPr>
      <w:rFonts w:ascii="Times New Roman" w:eastAsia="Calibri" w:hAnsi="Times New Roman" w:cs="Times New Roman"/>
      <w:b/>
      <w:kern w:val="0"/>
      <w:sz w:val="24"/>
      <w14:ligatures w14:val="none"/>
    </w:rPr>
  </w:style>
  <w:style w:type="paragraph" w:customStyle="1" w:styleId="Typedudocument">
    <w:name w:val="Type du document"/>
    <w:basedOn w:val="Normal"/>
    <w:next w:val="Titreobjet"/>
    <w:rsid w:val="008D40BE"/>
    <w:pPr>
      <w:spacing w:before="360" w:after="0" w:line="240" w:lineRule="auto"/>
      <w:jc w:val="center"/>
    </w:pPr>
    <w:rPr>
      <w:rFonts w:ascii="Times New Roman" w:eastAsia="Calibri" w:hAnsi="Times New Roman" w:cs="Times New Roman"/>
      <w:b/>
      <w:kern w:val="0"/>
      <w:sz w:val="24"/>
      <w14:ligatures w14:val="none"/>
    </w:rPr>
  </w:style>
  <w:style w:type="character" w:customStyle="1" w:styleId="Added">
    <w:name w:val="Added"/>
    <w:rsid w:val="008D40BE"/>
    <w:rPr>
      <w:b/>
      <w:u w:val="single"/>
      <w:shd w:val="clear" w:color="auto" w:fill="auto"/>
    </w:rPr>
  </w:style>
  <w:style w:type="character" w:customStyle="1" w:styleId="Deleted">
    <w:name w:val="Deleted"/>
    <w:rsid w:val="008D40BE"/>
    <w:rPr>
      <w:strike/>
      <w:dstrike w:val="0"/>
      <w:shd w:val="clear" w:color="auto" w:fill="auto"/>
    </w:rPr>
  </w:style>
  <w:style w:type="paragraph" w:customStyle="1" w:styleId="Address">
    <w:name w:val="Address"/>
    <w:basedOn w:val="Normal"/>
    <w:next w:val="Normal"/>
    <w:rsid w:val="008D40BE"/>
    <w:pPr>
      <w:keepLines/>
      <w:spacing w:before="120" w:after="120" w:line="360" w:lineRule="auto"/>
      <w:ind w:left="3402"/>
    </w:pPr>
    <w:rPr>
      <w:rFonts w:ascii="Times New Roman" w:eastAsia="Calibri" w:hAnsi="Times New Roman" w:cs="Times New Roman"/>
      <w:kern w:val="0"/>
      <w:sz w:val="24"/>
      <w14:ligatures w14:val="none"/>
    </w:rPr>
  </w:style>
  <w:style w:type="paragraph" w:customStyle="1" w:styleId="Objetexterne">
    <w:name w:val="Objet externe"/>
    <w:basedOn w:val="Normal"/>
    <w:next w:val="Normal"/>
    <w:rsid w:val="008D40BE"/>
    <w:pPr>
      <w:spacing w:before="120" w:after="120" w:line="240" w:lineRule="auto"/>
      <w:jc w:val="both"/>
    </w:pPr>
    <w:rPr>
      <w:rFonts w:ascii="Times New Roman" w:eastAsia="Calibri" w:hAnsi="Times New Roman" w:cs="Times New Roman"/>
      <w:i/>
      <w:caps/>
      <w:kern w:val="0"/>
      <w:sz w:val="24"/>
      <w14:ligatures w14:val="none"/>
    </w:rPr>
  </w:style>
  <w:style w:type="paragraph" w:customStyle="1" w:styleId="Supertitre">
    <w:name w:val="Supertitre"/>
    <w:basedOn w:val="Normal"/>
    <w:next w:val="Normal"/>
    <w:rsid w:val="008D40BE"/>
    <w:pPr>
      <w:spacing w:after="600" w:line="240" w:lineRule="auto"/>
      <w:jc w:val="center"/>
    </w:pPr>
    <w:rPr>
      <w:rFonts w:ascii="Times New Roman" w:eastAsia="Calibri" w:hAnsi="Times New Roman" w:cs="Times New Roman"/>
      <w:b/>
      <w:kern w:val="0"/>
      <w:sz w:val="24"/>
      <w14:ligatures w14:val="none"/>
    </w:rPr>
  </w:style>
  <w:style w:type="paragraph" w:customStyle="1" w:styleId="Languesfaisantfoi">
    <w:name w:val="Langues faisant foi"/>
    <w:basedOn w:val="Normal"/>
    <w:next w:val="Normal"/>
    <w:rsid w:val="008D40BE"/>
    <w:pPr>
      <w:spacing w:before="360" w:after="0" w:line="240" w:lineRule="auto"/>
      <w:jc w:val="center"/>
    </w:pPr>
    <w:rPr>
      <w:rFonts w:ascii="Times New Roman" w:eastAsia="Calibri" w:hAnsi="Times New Roman" w:cs="Times New Roman"/>
      <w:kern w:val="0"/>
      <w:sz w:val="24"/>
      <w14:ligatures w14:val="none"/>
    </w:rPr>
  </w:style>
  <w:style w:type="paragraph" w:customStyle="1" w:styleId="Rfrencecroise">
    <w:name w:val="Référence croisée"/>
    <w:basedOn w:val="Normal"/>
    <w:rsid w:val="008D40BE"/>
    <w:pPr>
      <w:spacing w:after="0" w:line="240" w:lineRule="auto"/>
      <w:jc w:val="center"/>
    </w:pPr>
    <w:rPr>
      <w:rFonts w:ascii="Times New Roman" w:eastAsia="Calibri" w:hAnsi="Times New Roman" w:cs="Times New Roman"/>
      <w:kern w:val="0"/>
      <w:sz w:val="24"/>
      <w14:ligatures w14:val="none"/>
    </w:rPr>
  </w:style>
  <w:style w:type="paragraph" w:customStyle="1" w:styleId="Fichefinanciretitre">
    <w:name w:val="Fiche financière titre"/>
    <w:basedOn w:val="Normal"/>
    <w:next w:val="Normal"/>
    <w:rsid w:val="008D40BE"/>
    <w:pPr>
      <w:spacing w:before="120" w:after="120" w:line="240" w:lineRule="auto"/>
      <w:jc w:val="center"/>
    </w:pPr>
    <w:rPr>
      <w:rFonts w:ascii="Times New Roman" w:eastAsia="Calibri" w:hAnsi="Times New Roman" w:cs="Times New Roman"/>
      <w:b/>
      <w:kern w:val="0"/>
      <w:sz w:val="24"/>
      <w:u w:val="single"/>
      <w14:ligatures w14:val="none"/>
    </w:rPr>
  </w:style>
  <w:style w:type="paragraph" w:customStyle="1" w:styleId="DatedadoptionPagedecouverture">
    <w:name w:val="Date d'adoption (Page de couverture)"/>
    <w:basedOn w:val="Datedadoption"/>
    <w:next w:val="TitreobjetPagedecouverture"/>
    <w:rsid w:val="008D40BE"/>
  </w:style>
  <w:style w:type="paragraph" w:customStyle="1" w:styleId="RfrenceinterinstitutionnellePagedecouverture">
    <w:name w:val="Référence interinstitutionnelle (Page de couverture)"/>
    <w:basedOn w:val="Rfrenceinterinstitutionnelle"/>
    <w:next w:val="Confidentialit"/>
    <w:rsid w:val="008D40BE"/>
  </w:style>
  <w:style w:type="paragraph" w:customStyle="1" w:styleId="StatutPagedecouverture">
    <w:name w:val="Statut (Page de couverture)"/>
    <w:basedOn w:val="Statut"/>
    <w:next w:val="TypedudocumentPagedecouverture"/>
    <w:rsid w:val="008D40BE"/>
  </w:style>
  <w:style w:type="paragraph" w:customStyle="1" w:styleId="TitreobjetPagedecouverture">
    <w:name w:val="Titre objet (Page de couverture)"/>
    <w:basedOn w:val="Titreobjet"/>
    <w:next w:val="IntrtEEEPagedecouverture"/>
    <w:rsid w:val="008D40BE"/>
  </w:style>
  <w:style w:type="paragraph" w:customStyle="1" w:styleId="TypedudocumentPagedecouverture">
    <w:name w:val="Type du document (Page de couverture)"/>
    <w:basedOn w:val="Typedudocument"/>
    <w:next w:val="TitreobjetPagedecouverture"/>
    <w:rsid w:val="008D40BE"/>
  </w:style>
  <w:style w:type="paragraph" w:customStyle="1" w:styleId="Volume">
    <w:name w:val="Volume"/>
    <w:basedOn w:val="Normal"/>
    <w:next w:val="Confidentialit"/>
    <w:rsid w:val="008D40BE"/>
    <w:pPr>
      <w:spacing w:after="240" w:line="240" w:lineRule="auto"/>
      <w:ind w:left="5103"/>
    </w:pPr>
    <w:rPr>
      <w:rFonts w:ascii="Times New Roman" w:eastAsia="Calibri" w:hAnsi="Times New Roman" w:cs="Times New Roman"/>
      <w:kern w:val="0"/>
      <w:sz w:val="24"/>
      <w14:ligatures w14:val="none"/>
    </w:rPr>
  </w:style>
  <w:style w:type="paragraph" w:customStyle="1" w:styleId="IntrtEEE">
    <w:name w:val="Intérêt EEE"/>
    <w:basedOn w:val="Languesfaisantfoi"/>
    <w:next w:val="Normal"/>
    <w:rsid w:val="008D40BE"/>
    <w:pPr>
      <w:spacing w:after="240"/>
    </w:pPr>
  </w:style>
  <w:style w:type="paragraph" w:customStyle="1" w:styleId="Accompagnant">
    <w:name w:val="Accompagnant"/>
    <w:basedOn w:val="Normal"/>
    <w:next w:val="Typeacteprincipal"/>
    <w:rsid w:val="008D40BE"/>
    <w:pPr>
      <w:spacing w:after="240" w:line="240" w:lineRule="auto"/>
      <w:jc w:val="center"/>
    </w:pPr>
    <w:rPr>
      <w:rFonts w:ascii="Times New Roman" w:eastAsia="Calibri" w:hAnsi="Times New Roman" w:cs="Times New Roman"/>
      <w:b/>
      <w:i/>
      <w:kern w:val="0"/>
      <w:sz w:val="24"/>
      <w14:ligatures w14:val="none"/>
    </w:rPr>
  </w:style>
  <w:style w:type="paragraph" w:customStyle="1" w:styleId="Typeacteprincipal">
    <w:name w:val="Type acte principal"/>
    <w:basedOn w:val="Normal"/>
    <w:next w:val="Objetacteprincipal"/>
    <w:rsid w:val="008D40BE"/>
    <w:pPr>
      <w:spacing w:after="240" w:line="240" w:lineRule="auto"/>
      <w:jc w:val="center"/>
    </w:pPr>
    <w:rPr>
      <w:rFonts w:ascii="Times New Roman" w:eastAsia="Calibri" w:hAnsi="Times New Roman" w:cs="Times New Roman"/>
      <w:b/>
      <w:kern w:val="0"/>
      <w:sz w:val="24"/>
      <w14:ligatures w14:val="none"/>
    </w:rPr>
  </w:style>
  <w:style w:type="paragraph" w:customStyle="1" w:styleId="Objetacteprincipal">
    <w:name w:val="Objet acte principal"/>
    <w:basedOn w:val="Normal"/>
    <w:next w:val="Titrearticle"/>
    <w:rsid w:val="008D40BE"/>
    <w:pPr>
      <w:spacing w:after="360" w:line="240" w:lineRule="auto"/>
      <w:jc w:val="center"/>
    </w:pPr>
    <w:rPr>
      <w:rFonts w:ascii="Times New Roman" w:eastAsia="Calibri" w:hAnsi="Times New Roman" w:cs="Times New Roman"/>
      <w:b/>
      <w:kern w:val="0"/>
      <w:sz w:val="24"/>
      <w14:ligatures w14:val="none"/>
    </w:rPr>
  </w:style>
  <w:style w:type="paragraph" w:customStyle="1" w:styleId="IntrtEEEPagedecouverture">
    <w:name w:val="Intérêt EEE (Page de couverture)"/>
    <w:basedOn w:val="IntrtEEE"/>
    <w:next w:val="Rfrencecroise"/>
    <w:rsid w:val="008D40BE"/>
  </w:style>
  <w:style w:type="paragraph" w:customStyle="1" w:styleId="AccompagnantPagedecouverture">
    <w:name w:val="Accompagnant (Page de couverture)"/>
    <w:basedOn w:val="Accompagnant"/>
    <w:next w:val="TypeacteprincipalPagedecouverture"/>
    <w:rsid w:val="008D40BE"/>
  </w:style>
  <w:style w:type="paragraph" w:customStyle="1" w:styleId="TypeacteprincipalPagedecouverture">
    <w:name w:val="Type acte principal (Page de couverture)"/>
    <w:basedOn w:val="Typeacteprincipal"/>
    <w:next w:val="ObjetacteprincipalPagedecouverture"/>
    <w:rsid w:val="008D40BE"/>
  </w:style>
  <w:style w:type="paragraph" w:customStyle="1" w:styleId="ObjetacteprincipalPagedecouverture">
    <w:name w:val="Objet acte principal (Page de couverture)"/>
    <w:basedOn w:val="Objetacteprincipal"/>
    <w:next w:val="Rfrencecroise"/>
    <w:rsid w:val="008D40BE"/>
  </w:style>
  <w:style w:type="paragraph" w:customStyle="1" w:styleId="LanguesfaisantfoiPagedecouverture">
    <w:name w:val="Langues faisant foi (Page de couverture)"/>
    <w:basedOn w:val="Normal"/>
    <w:next w:val="Normal"/>
    <w:rsid w:val="008D40BE"/>
    <w:pPr>
      <w:spacing w:before="360" w:after="0" w:line="240" w:lineRule="auto"/>
      <w:jc w:val="center"/>
    </w:pPr>
    <w:rPr>
      <w:rFonts w:ascii="Times New Roman" w:eastAsia="Calibri" w:hAnsi="Times New Roman" w:cs="Times New Roman"/>
      <w:kern w:val="0"/>
      <w:sz w:val="24"/>
      <w14:ligatures w14:val="none"/>
    </w:rPr>
  </w:style>
  <w:style w:type="paragraph" w:customStyle="1" w:styleId="Declassification">
    <w:name w:val="Declassification"/>
    <w:basedOn w:val="Normal"/>
    <w:next w:val="Normal"/>
    <w:rsid w:val="008D40BE"/>
    <w:pPr>
      <w:spacing w:after="0" w:line="240" w:lineRule="auto"/>
      <w:jc w:val="both"/>
    </w:pPr>
    <w:rPr>
      <w:rFonts w:ascii="Times New Roman" w:eastAsia="Calibri" w:hAnsi="Times New Roman" w:cs="Times New Roman"/>
      <w:kern w:val="0"/>
      <w:sz w:val="24"/>
      <w14:ligatures w14:val="none"/>
    </w:rPr>
  </w:style>
  <w:style w:type="table" w:styleId="TableGrid">
    <w:name w:val="Table Grid"/>
    <w:basedOn w:val="TableNormal"/>
    <w:uiPriority w:val="59"/>
    <w:rsid w:val="008D40B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Normal"/>
    <w:rsid w:val="008D40BE"/>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eastAsia="Calibri" w:hAnsi="Times New Roman" w:cs="Times New Roman"/>
      <w:kern w:val="0"/>
      <w:sz w:val="24"/>
      <w14:ligatures w14:val="none"/>
    </w:rPr>
  </w:style>
  <w:style w:type="paragraph" w:customStyle="1" w:styleId="MainMarking">
    <w:name w:val="MainMarking"/>
    <w:basedOn w:val="Normal"/>
    <w:rsid w:val="008D40BE"/>
    <w:pPr>
      <w:spacing w:after="0" w:line="240" w:lineRule="auto"/>
      <w:ind w:left="5103"/>
    </w:pPr>
    <w:rPr>
      <w:rFonts w:ascii="Times New Roman" w:eastAsia="Calibri" w:hAnsi="Times New Roman" w:cs="Times New Roman"/>
      <w:kern w:val="0"/>
      <w:sz w:val="28"/>
      <w14:ligatures w14:val="none"/>
    </w:rPr>
  </w:style>
  <w:style w:type="paragraph" w:customStyle="1" w:styleId="DateMarking">
    <w:name w:val="DateMarking"/>
    <w:basedOn w:val="Normal"/>
    <w:rsid w:val="00927960"/>
    <w:pPr>
      <w:spacing w:after="0"/>
      <w:ind w:left="5103"/>
    </w:pPr>
    <w:rPr>
      <w:rFonts w:ascii="Times New Roman" w:hAnsi="Times New Roman" w:cs="Times New Roman"/>
      <w:i/>
      <w:kern w:val="0"/>
      <w:sz w:val="28"/>
      <w14:ligatures w14:val="none"/>
    </w:rPr>
  </w:style>
  <w:style w:type="paragraph" w:customStyle="1" w:styleId="ReleasableTo">
    <w:name w:val="ReleasableTo"/>
    <w:basedOn w:val="Normal"/>
    <w:rsid w:val="00927960"/>
    <w:pPr>
      <w:spacing w:after="0"/>
      <w:ind w:left="5103"/>
    </w:pPr>
    <w:rPr>
      <w:rFonts w:ascii="Times New Roman" w:hAnsi="Times New Roman" w:cs="Times New Roman"/>
      <w:i/>
      <w:kern w:val="0"/>
      <w:sz w:val="28"/>
      <w14:ligatures w14:val="none"/>
    </w:rPr>
  </w:style>
  <w:style w:type="paragraph" w:customStyle="1" w:styleId="SecurityMarking">
    <w:name w:val="SecurityMarking"/>
    <w:basedOn w:val="Normal"/>
    <w:rsid w:val="00927960"/>
    <w:pPr>
      <w:spacing w:after="0"/>
      <w:ind w:left="5103"/>
    </w:pPr>
    <w:rPr>
      <w:rFonts w:ascii="Times New Roman" w:hAnsi="Times New Roman" w:cs="Times New Roman"/>
      <w:kern w:val="0"/>
      <w:sz w:val="28"/>
      <w14:ligatures w14:val="none"/>
    </w:rPr>
  </w:style>
  <w:style w:type="paragraph" w:styleId="ListParagraph">
    <w:name w:val="List Paragraph"/>
    <w:basedOn w:val="Normal"/>
    <w:link w:val="ListParagraphChar"/>
    <w:uiPriority w:val="34"/>
    <w:qFormat/>
    <w:rsid w:val="008D40BE"/>
    <w:pPr>
      <w:spacing w:after="160" w:line="259" w:lineRule="auto"/>
      <w:ind w:left="720"/>
      <w:contextualSpacing/>
    </w:pPr>
    <w:rPr>
      <w:rFonts w:ascii="Calibri" w:eastAsia="Calibri" w:hAnsi="Calibri" w:cs="Arial"/>
      <w:kern w:val="0"/>
      <w14:ligatures w14:val="none"/>
    </w:rPr>
  </w:style>
  <w:style w:type="character" w:styleId="CommentReference">
    <w:name w:val="annotation reference"/>
    <w:uiPriority w:val="99"/>
    <w:semiHidden/>
    <w:unhideWhenUsed/>
    <w:rsid w:val="008D40BE"/>
    <w:rPr>
      <w:sz w:val="16"/>
      <w:szCs w:val="16"/>
    </w:rPr>
  </w:style>
  <w:style w:type="paragraph" w:styleId="CommentText">
    <w:name w:val="annotation text"/>
    <w:basedOn w:val="Normal"/>
    <w:link w:val="CommentTextChar"/>
    <w:uiPriority w:val="99"/>
    <w:unhideWhenUsed/>
    <w:rsid w:val="008D40BE"/>
    <w:pPr>
      <w:spacing w:after="160" w:line="259" w:lineRule="auto"/>
    </w:pPr>
    <w:rPr>
      <w:rFonts w:ascii="Calibri" w:eastAsia="Calibri" w:hAnsi="Calibri" w:cs="Arial"/>
      <w:kern w:val="0"/>
      <w:sz w:val="20"/>
      <w:szCs w:val="20"/>
      <w14:ligatures w14:val="none"/>
    </w:rPr>
  </w:style>
  <w:style w:type="character" w:customStyle="1" w:styleId="CommentTextChar">
    <w:name w:val="Comment Text Char"/>
    <w:basedOn w:val="DefaultParagraphFont"/>
    <w:link w:val="CommentText"/>
    <w:uiPriority w:val="99"/>
    <w:rsid w:val="008D40BE"/>
    <w:rPr>
      <w:rFonts w:ascii="Calibri" w:eastAsia="Calibri" w:hAnsi="Calibri" w:cs="Arial"/>
      <w:kern w:val="0"/>
      <w:sz w:val="20"/>
      <w:szCs w:val="20"/>
      <w:lang w:val="sv-SE"/>
      <w14:ligatures w14:val="none"/>
    </w:rPr>
  </w:style>
  <w:style w:type="character" w:customStyle="1" w:styleId="ListParagraphChar">
    <w:name w:val="List Paragraph Char"/>
    <w:link w:val="ListParagraph"/>
    <w:uiPriority w:val="34"/>
    <w:rsid w:val="008D40BE"/>
    <w:rPr>
      <w:rFonts w:ascii="Calibri" w:eastAsia="Calibri" w:hAnsi="Calibri" w:cs="Arial"/>
      <w:kern w:val="0"/>
      <w:lang w:val="sv-SE"/>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1"/>
    <w:rsid w:val="008D40BE"/>
    <w:pPr>
      <w:spacing w:after="160" w:line="240" w:lineRule="exact"/>
    </w:pPr>
    <w:rPr>
      <w:vertAlign w:val="superscript"/>
    </w:rPr>
  </w:style>
  <w:style w:type="paragraph" w:styleId="BalloonText">
    <w:name w:val="Balloon Text"/>
    <w:basedOn w:val="Normal"/>
    <w:link w:val="BalloonTextChar"/>
    <w:uiPriority w:val="99"/>
    <w:semiHidden/>
    <w:unhideWhenUsed/>
    <w:rsid w:val="008D40BE"/>
    <w:pPr>
      <w:spacing w:after="0" w:line="240" w:lineRule="auto"/>
      <w:jc w:val="both"/>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8D40BE"/>
    <w:rPr>
      <w:rFonts w:ascii="Segoe UI" w:eastAsia="Calibri" w:hAnsi="Segoe UI" w:cs="Segoe UI"/>
      <w:kern w:val="0"/>
      <w:sz w:val="18"/>
      <w:szCs w:val="18"/>
      <w14:ligatures w14:val="none"/>
    </w:rPr>
  </w:style>
  <w:style w:type="character" w:customStyle="1" w:styleId="foonoteChar">
    <w:name w:val="foonote Char"/>
    <w:link w:val="foonote"/>
    <w:uiPriority w:val="1"/>
    <w:rsid w:val="008D40BE"/>
    <w:rPr>
      <w:sz w:val="14"/>
      <w:szCs w:val="14"/>
      <w:lang w:val="sv-SE"/>
    </w:rPr>
  </w:style>
  <w:style w:type="paragraph" w:customStyle="1" w:styleId="foonote">
    <w:name w:val="foonote"/>
    <w:basedOn w:val="FootnoteText"/>
    <w:link w:val="foonoteChar"/>
    <w:uiPriority w:val="1"/>
    <w:qFormat/>
    <w:rsid w:val="008D40BE"/>
    <w:pPr>
      <w:spacing w:line="259" w:lineRule="auto"/>
      <w:ind w:left="567" w:firstLine="0"/>
      <w:jc w:val="left"/>
    </w:pPr>
    <w:rPr>
      <w:rFonts w:asciiTheme="minorHAnsi" w:eastAsiaTheme="minorHAnsi" w:hAnsiTheme="minorHAnsi" w:cstheme="minorBidi"/>
      <w:kern w:val="2"/>
      <w:sz w:val="14"/>
      <w:szCs w:val="14"/>
      <w14:ligatures w14:val="standardContextual"/>
    </w:rPr>
  </w:style>
  <w:style w:type="paragraph" w:styleId="Caption">
    <w:name w:val="caption"/>
    <w:basedOn w:val="Normal"/>
    <w:next w:val="Normal"/>
    <w:link w:val="CaptionChar"/>
    <w:uiPriority w:val="35"/>
    <w:unhideWhenUsed/>
    <w:qFormat/>
    <w:rsid w:val="008D40BE"/>
    <w:pPr>
      <w:spacing w:line="259" w:lineRule="auto"/>
    </w:pPr>
    <w:rPr>
      <w:rFonts w:ascii="Times New Roman" w:eastAsia="Arial Unicode MS" w:hAnsi="Times New Roman" w:cs="Times New Roman"/>
      <w:i/>
      <w:iCs/>
      <w:color w:val="44546A"/>
      <w:kern w:val="0"/>
      <w:sz w:val="18"/>
      <w:szCs w:val="18"/>
      <w14:ligatures w14:val="none"/>
    </w:rPr>
  </w:style>
  <w:style w:type="character" w:customStyle="1" w:styleId="CaptionChar">
    <w:name w:val="Caption Char"/>
    <w:link w:val="Caption"/>
    <w:uiPriority w:val="35"/>
    <w:rsid w:val="008D40BE"/>
    <w:rPr>
      <w:rFonts w:ascii="Times New Roman" w:eastAsia="Arial Unicode MS" w:hAnsi="Times New Roman" w:cs="Times New Roman"/>
      <w:i/>
      <w:iCs/>
      <w:color w:val="44546A"/>
      <w:kern w:val="0"/>
      <w:sz w:val="18"/>
      <w:szCs w:val="18"/>
      <w:lang w:val="sv-SE"/>
      <w14:ligatures w14:val="none"/>
    </w:rPr>
  </w:style>
  <w:style w:type="paragraph" w:styleId="BodyText">
    <w:name w:val="Body Text"/>
    <w:basedOn w:val="Normal"/>
    <w:link w:val="BodyTextChar"/>
    <w:uiPriority w:val="1"/>
    <w:qFormat/>
    <w:rsid w:val="008D40BE"/>
    <w:pPr>
      <w:widowControl w:val="0"/>
      <w:spacing w:after="0" w:line="259" w:lineRule="auto"/>
    </w:pPr>
    <w:rPr>
      <w:rFonts w:ascii="Times New Roman" w:eastAsia="Times New Roman" w:hAnsi="Times New Roman" w:cs="Times New Roman"/>
      <w:kern w:val="0"/>
      <w:sz w:val="24"/>
      <w:szCs w:val="24"/>
      <w:lang w:eastAsia="en-GB" w:bidi="en-GB"/>
      <w14:ligatures w14:val="none"/>
    </w:rPr>
  </w:style>
  <w:style w:type="character" w:customStyle="1" w:styleId="BodyTextChar">
    <w:name w:val="Body Text Char"/>
    <w:basedOn w:val="DefaultParagraphFont"/>
    <w:link w:val="BodyText"/>
    <w:uiPriority w:val="1"/>
    <w:rsid w:val="008D40BE"/>
    <w:rPr>
      <w:rFonts w:ascii="Times New Roman" w:eastAsia="Times New Roman" w:hAnsi="Times New Roman" w:cs="Times New Roman"/>
      <w:kern w:val="0"/>
      <w:sz w:val="24"/>
      <w:szCs w:val="24"/>
      <w:lang w:val="sv-SE" w:eastAsia="en-GB" w:bidi="en-GB"/>
      <w14:ligatures w14:val="none"/>
    </w:rPr>
  </w:style>
  <w:style w:type="paragraph" w:customStyle="1" w:styleId="Source-notes">
    <w:name w:val="Source-notes"/>
    <w:basedOn w:val="Normal"/>
    <w:link w:val="Source-notesChar"/>
    <w:uiPriority w:val="1"/>
    <w:qFormat/>
    <w:rsid w:val="008D40BE"/>
    <w:pPr>
      <w:spacing w:after="0" w:line="259" w:lineRule="auto"/>
      <w:ind w:left="567"/>
    </w:pPr>
    <w:rPr>
      <w:rFonts w:ascii="Trebuchet MS" w:eastAsia="Yu Mincho" w:hAnsi="Trebuchet MS" w:cs="Arial"/>
      <w:i/>
      <w:iCs/>
      <w:noProof/>
      <w:kern w:val="0"/>
      <w:sz w:val="16"/>
      <w:szCs w:val="16"/>
      <w14:ligatures w14:val="none"/>
    </w:rPr>
  </w:style>
  <w:style w:type="character" w:customStyle="1" w:styleId="Source-notesChar">
    <w:name w:val="Source-notes Char"/>
    <w:link w:val="Source-notes"/>
    <w:uiPriority w:val="1"/>
    <w:rsid w:val="008D40BE"/>
    <w:rPr>
      <w:rFonts w:ascii="Trebuchet MS" w:eastAsia="Yu Mincho" w:hAnsi="Trebuchet MS" w:cs="Arial"/>
      <w:i/>
      <w:iCs/>
      <w:noProof/>
      <w:kern w:val="0"/>
      <w:sz w:val="16"/>
      <w:szCs w:val="16"/>
      <w:lang w:val="sv-SE"/>
      <w14:ligatures w14:val="none"/>
    </w:rPr>
  </w:style>
  <w:style w:type="character" w:customStyle="1" w:styleId="AAAAAtextChar">
    <w:name w:val="AAAAAtext Char"/>
    <w:link w:val="AAAAAtext"/>
    <w:uiPriority w:val="1"/>
    <w:rsid w:val="008D40BE"/>
    <w:rPr>
      <w:lang w:val="sv-SE"/>
    </w:rPr>
  </w:style>
  <w:style w:type="paragraph" w:customStyle="1" w:styleId="AAAAAtext">
    <w:name w:val="AAAAAtext"/>
    <w:basedOn w:val="Normal"/>
    <w:link w:val="AAAAAtextChar"/>
    <w:uiPriority w:val="1"/>
    <w:qFormat/>
    <w:rsid w:val="008D40BE"/>
    <w:pPr>
      <w:spacing w:before="60" w:after="60" w:line="320" w:lineRule="atLeast"/>
      <w:jc w:val="both"/>
    </w:pPr>
  </w:style>
  <w:style w:type="character" w:styleId="Hyperlink">
    <w:name w:val="Hyperlink"/>
    <w:uiPriority w:val="99"/>
    <w:unhideWhenUsed/>
    <w:rsid w:val="008D40BE"/>
    <w:rPr>
      <w:color w:val="0563C1"/>
      <w:u w:val="single"/>
    </w:rPr>
  </w:style>
  <w:style w:type="paragraph" w:styleId="CommentSubject">
    <w:name w:val="annotation subject"/>
    <w:basedOn w:val="CommentText"/>
    <w:next w:val="CommentText"/>
    <w:link w:val="CommentSubjectChar"/>
    <w:uiPriority w:val="99"/>
    <w:semiHidden/>
    <w:unhideWhenUsed/>
    <w:rsid w:val="008D40BE"/>
    <w:pPr>
      <w:spacing w:before="120" w:after="120" w:line="240" w:lineRule="auto"/>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8D40BE"/>
    <w:rPr>
      <w:rFonts w:ascii="Times New Roman" w:eastAsia="Calibri" w:hAnsi="Times New Roman" w:cs="Times New Roman"/>
      <w:b/>
      <w:bCs/>
      <w:kern w:val="0"/>
      <w:sz w:val="20"/>
      <w:szCs w:val="20"/>
      <w:lang w:val="sv-SE"/>
      <w14:ligatures w14:val="none"/>
    </w:rPr>
  </w:style>
  <w:style w:type="paragraph" w:styleId="Revision">
    <w:name w:val="Revision"/>
    <w:hidden/>
    <w:uiPriority w:val="99"/>
    <w:semiHidden/>
    <w:rsid w:val="008D40BE"/>
    <w:pPr>
      <w:spacing w:after="0" w:line="240" w:lineRule="auto"/>
    </w:pPr>
    <w:rPr>
      <w:rFonts w:ascii="Times New Roman" w:eastAsia="Calibri" w:hAnsi="Times New Roman" w:cs="Times New Roman"/>
      <w:kern w:val="0"/>
      <w:sz w:val="24"/>
      <w14:ligatures w14:val="none"/>
    </w:rPr>
  </w:style>
  <w:style w:type="character" w:styleId="FollowedHyperlink">
    <w:name w:val="FollowedHyperlink"/>
    <w:basedOn w:val="DefaultParagraphFont"/>
    <w:uiPriority w:val="99"/>
    <w:semiHidden/>
    <w:unhideWhenUsed/>
    <w:rsid w:val="008D40BE"/>
    <w:rPr>
      <w:color w:val="800080" w:themeColor="followedHyperlink"/>
      <w:u w:val="single"/>
    </w:rPr>
  </w:style>
  <w:style w:type="paragraph" w:styleId="BodyText2">
    <w:name w:val="Body Text 2"/>
    <w:basedOn w:val="Normal"/>
    <w:link w:val="BodyText2Char"/>
    <w:uiPriority w:val="99"/>
    <w:unhideWhenUsed/>
    <w:rsid w:val="008D40BE"/>
    <w:pPr>
      <w:keepNext/>
      <w:tabs>
        <w:tab w:val="left" w:pos="1134"/>
        <w:tab w:val="left" w:pos="1276"/>
      </w:tabs>
      <w:spacing w:before="120" w:after="160"/>
    </w:pPr>
    <w:rPr>
      <w:rFonts w:ascii="Calibri" w:hAnsi="Calibri"/>
      <w:kern w:val="0"/>
      <w:sz w:val="14"/>
      <w:szCs w:val="14"/>
      <w14:ligatures w14:val="none"/>
    </w:rPr>
  </w:style>
  <w:style w:type="character" w:customStyle="1" w:styleId="BodyText2Char">
    <w:name w:val="Body Text 2 Char"/>
    <w:basedOn w:val="DefaultParagraphFont"/>
    <w:link w:val="BodyText2"/>
    <w:uiPriority w:val="99"/>
    <w:rsid w:val="008D40BE"/>
    <w:rPr>
      <w:rFonts w:ascii="Calibri" w:hAnsi="Calibri"/>
      <w:kern w:val="0"/>
      <w:sz w:val="14"/>
      <w:szCs w:val="14"/>
      <w14:ligatures w14:val="none"/>
    </w:rPr>
  </w:style>
  <w:style w:type="character" w:customStyle="1" w:styleId="UnresolvedMention">
    <w:name w:val="Unresolved Mention"/>
    <w:basedOn w:val="DefaultParagraphFont"/>
    <w:uiPriority w:val="99"/>
    <w:semiHidden/>
    <w:unhideWhenUsed/>
    <w:rsid w:val="005E7F09"/>
    <w:rPr>
      <w:color w:val="605E5C"/>
      <w:shd w:val="clear" w:color="auto" w:fill="E1DFDD"/>
    </w:rPr>
  </w:style>
  <w:style w:type="character" w:customStyle="1" w:styleId="Mention">
    <w:name w:val="Mention"/>
    <w:basedOn w:val="DefaultParagraphFont"/>
    <w:uiPriority w:val="99"/>
    <w:unhideWhenUsed/>
    <w:rsid w:val="00650D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77766">
      <w:bodyDiv w:val="1"/>
      <w:marLeft w:val="0"/>
      <w:marRight w:val="0"/>
      <w:marTop w:val="0"/>
      <w:marBottom w:val="0"/>
      <w:divBdr>
        <w:top w:val="none" w:sz="0" w:space="0" w:color="auto"/>
        <w:left w:val="none" w:sz="0" w:space="0" w:color="auto"/>
        <w:bottom w:val="none" w:sz="0" w:space="0" w:color="auto"/>
        <w:right w:val="none" w:sz="0" w:space="0" w:color="auto"/>
      </w:divBdr>
    </w:div>
    <w:div w:id="764495085">
      <w:bodyDiv w:val="1"/>
      <w:marLeft w:val="0"/>
      <w:marRight w:val="0"/>
      <w:marTop w:val="0"/>
      <w:marBottom w:val="0"/>
      <w:divBdr>
        <w:top w:val="none" w:sz="0" w:space="0" w:color="auto"/>
        <w:left w:val="none" w:sz="0" w:space="0" w:color="auto"/>
        <w:bottom w:val="none" w:sz="0" w:space="0" w:color="auto"/>
        <w:right w:val="none" w:sz="0" w:space="0" w:color="auto"/>
      </w:divBdr>
    </w:div>
    <w:div w:id="1528568271">
      <w:bodyDiv w:val="1"/>
      <w:marLeft w:val="0"/>
      <w:marRight w:val="0"/>
      <w:marTop w:val="0"/>
      <w:marBottom w:val="0"/>
      <w:divBdr>
        <w:top w:val="none" w:sz="0" w:space="0" w:color="auto"/>
        <w:left w:val="none" w:sz="0" w:space="0" w:color="auto"/>
        <w:bottom w:val="none" w:sz="0" w:space="0" w:color="auto"/>
        <w:right w:val="none" w:sz="0" w:space="0" w:color="auto"/>
      </w:divBdr>
    </w:div>
    <w:div w:id="1615552158">
      <w:bodyDiv w:val="1"/>
      <w:marLeft w:val="0"/>
      <w:marRight w:val="0"/>
      <w:marTop w:val="0"/>
      <w:marBottom w:val="0"/>
      <w:divBdr>
        <w:top w:val="none" w:sz="0" w:space="0" w:color="auto"/>
        <w:left w:val="none" w:sz="0" w:space="0" w:color="auto"/>
        <w:bottom w:val="none" w:sz="0" w:space="0" w:color="auto"/>
        <w:right w:val="none" w:sz="0" w:space="0" w:color="auto"/>
      </w:divBdr>
    </w:div>
    <w:div w:id="1772698381">
      <w:bodyDiv w:val="1"/>
      <w:marLeft w:val="0"/>
      <w:marRight w:val="0"/>
      <w:marTop w:val="0"/>
      <w:marBottom w:val="0"/>
      <w:divBdr>
        <w:top w:val="none" w:sz="0" w:space="0" w:color="auto"/>
        <w:left w:val="none" w:sz="0" w:space="0" w:color="auto"/>
        <w:bottom w:val="none" w:sz="0" w:space="0" w:color="auto"/>
        <w:right w:val="none" w:sz="0" w:space="0" w:color="auto"/>
      </w:divBdr>
    </w:div>
    <w:div w:id="1788546628">
      <w:bodyDiv w:val="1"/>
      <w:marLeft w:val="0"/>
      <w:marRight w:val="0"/>
      <w:marTop w:val="0"/>
      <w:marBottom w:val="0"/>
      <w:divBdr>
        <w:top w:val="none" w:sz="0" w:space="0" w:color="auto"/>
        <w:left w:val="none" w:sz="0" w:space="0" w:color="auto"/>
        <w:bottom w:val="none" w:sz="0" w:space="0" w:color="auto"/>
        <w:right w:val="none" w:sz="0" w:space="0" w:color="auto"/>
      </w:divBdr>
    </w:div>
    <w:div w:id="191484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image" Target="media/image13.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footer" Target="footer5.xml"/><Relationship Id="rId10" Type="http://schemas.openxmlformats.org/officeDocument/2006/relationships/header" Target="header2.xml"/><Relationship Id="rId19" Type="http://schemas.openxmlformats.org/officeDocument/2006/relationships/image" Target="media/image6.emf"/><Relationship Id="rId31" Type="http://schemas.openxmlformats.org/officeDocument/2006/relationships/image" Target="media/image18.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bakerinstitute.org/research/why-europe-not-replacing-russian-pipeline-gas-long-term-lng-contracts" TargetMode="External"/><Relationship Id="rId2" Type="http://schemas.openxmlformats.org/officeDocument/2006/relationships/hyperlink" Target="https://www.bakerinstitute.org/research/why-europe-not-replacing-russian-pipeline-gas-long-term-lng-contracts" TargetMode="External"/><Relationship Id="rId1" Type="http://schemas.openxmlformats.org/officeDocument/2006/relationships/hyperlink" Target="https://www.bakerinstitute.org/research/why-europe-not-replacing-russian-pipeline-gas-long-term-lng-contracts" TargetMode="External"/><Relationship Id="rId5" Type="http://schemas.openxmlformats.org/officeDocument/2006/relationships/hyperlink" Target="https://ec.europa.eu/transparency/expert-groups-register/core/api/front/expertGroupAddtitionalInfo/46083/download" TargetMode="External"/><Relationship Id="rId4" Type="http://schemas.openxmlformats.org/officeDocument/2006/relationships/hyperlink" Target="https://ec.europa.eu/transparency/expert-groups-register/core/api/front/expertGroupAddtitionalInfo/46083/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BC1F9-7E43-4A10-A13D-C878E1996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5090</Words>
  <Characters>29014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2025-03-07T16:01:00Z</dcterms:created>
  <dcterms:modified xsi:type="dcterms:W3CDTF">2025-03-21T15:42:00Z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9.1, Build 20240808</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CP-008</vt:lpwstr>
  </property>
  <property fmtid="{D5CDD505-2E9C-101B-9397-08002B2CF9AE}" pid="8" name="MSIP_Label_6bd9ddd1-4d20-43f6-abfa-fc3c07406f94_Enabled">
    <vt:lpwstr>true</vt:lpwstr>
  </property>
  <property fmtid="{D5CDD505-2E9C-101B-9397-08002B2CF9AE}" pid="9" name="MSIP_Label_6bd9ddd1-4d20-43f6-abfa-fc3c07406f94_SetDate">
    <vt:lpwstr>2025-03-19T16:28:04Z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dbedf928-fe9c-4681-9091-217190bb142f</vt:lpwstr>
  </property>
  <property fmtid="{D5CDD505-2E9C-101B-9397-08002B2CF9AE}" pid="14" name="MSIP_Label_6bd9ddd1-4d20-43f6-abfa-fc3c07406f94_ContentBits">
    <vt:lpwstr>0</vt:lpwstr>
  </property>
</Properties>
</file>