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C23C" w14:textId="24F3D00A" w:rsidR="00331903" w:rsidRPr="00274D96" w:rsidRDefault="00C72892" w:rsidP="00C72892">
      <w:pPr>
        <w:pStyle w:val="Pagedecouverture"/>
        <w:rPr>
          <w:noProof/>
        </w:rPr>
      </w:pPr>
      <w:r>
        <w:rPr>
          <w:noProof/>
        </w:rPr>
        <w:pict w14:anchorId="1D3B5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5C24D94-5D40-42AB-9C8F-FD9B97A0C803" style="width:455.25pt;height:387.75pt">
            <v:imagedata r:id="rId11" o:title=""/>
          </v:shape>
        </w:pict>
      </w:r>
    </w:p>
    <w:p w14:paraId="149669FE" w14:textId="77777777" w:rsidR="00331903" w:rsidRPr="00274D96" w:rsidRDefault="00331903" w:rsidP="00331903">
      <w:pPr>
        <w:rPr>
          <w:noProof/>
        </w:rPr>
        <w:sectPr w:rsidR="00331903" w:rsidRPr="00274D96" w:rsidSect="00C72892">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696CE1DB" w14:textId="77777777" w:rsidR="00331903" w:rsidRPr="00274D96" w:rsidRDefault="00331903" w:rsidP="00331903">
      <w:pPr>
        <w:pStyle w:val="Annexetitre"/>
        <w:rPr>
          <w:noProof/>
        </w:rPr>
      </w:pPr>
      <w:bookmarkStart w:id="0" w:name="_GoBack"/>
      <w:bookmarkEnd w:id="0"/>
      <w:r w:rsidRPr="00274D96">
        <w:rPr>
          <w:noProof/>
        </w:rPr>
        <w:lastRenderedPageBreak/>
        <w:t>I. lisa. Liidu tegevuskava küberturvalisuse kriisidele reageerimiseks</w:t>
      </w:r>
    </w:p>
    <w:p w14:paraId="11216B53" w14:textId="2A343EB9" w:rsidR="008F6857" w:rsidRPr="00274D96" w:rsidRDefault="00023AF8" w:rsidP="001D0DB0">
      <w:pPr>
        <w:rPr>
          <w:noProof/>
        </w:rPr>
      </w:pPr>
      <w:r w:rsidRPr="00274D96">
        <w:rPr>
          <w:noProof/>
        </w:rPr>
        <w:t>Allpool esitatud joonisel on esitatud liidu kübervaldkonna tegevuskava kokkuvõtlik ülevaade, kust on näha, kes liidu küberkriisi korral kellega suhtleb (vastavalt II lisas loetletud ELi sellealastele kriisimehhanismidele). Paratamatult mõjutab iga selline kriis reaalselt ka üht või mitut elutähtsat sektorit ning seega tuleb kübervaldkonna tegevus hoolikalt kooskõlastada eri sektorites ja elanikkonnakaitses kasutatavate reageerimismehhanismidega. Küberturvalisuse intsident võib olla ulatuslikuma hübriidohukampaania osa ja seega peaks sellisele intsidendile reageerimine olema kooskõlas muude meetmetega, mis võetakse kooskõlas liidu kriisivalmiduse strateegiaga.</w:t>
      </w:r>
      <w:r w:rsidR="00293093" w:rsidRPr="00293093">
        <w:rPr>
          <w:noProof/>
        </w:rPr>
        <w:t xml:space="preserve"> </w:t>
      </w:r>
      <w:r w:rsidR="00293093" w:rsidRPr="00274D96">
        <w:rPr>
          <w:noProof/>
          <w:lang w:val="en-GB" w:eastAsia="en-GB"/>
        </w:rPr>
        <w:drawing>
          <wp:inline distT="0" distB="0" distL="0" distR="0" wp14:anchorId="619035EC" wp14:editId="1E1726F1">
            <wp:extent cx="5999546" cy="4076700"/>
            <wp:effectExtent l="0" t="0" r="0" b="0"/>
            <wp:docPr id="2011278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24831" cy="4093881"/>
                    </a:xfrm>
                    <a:prstGeom prst="rect">
                      <a:avLst/>
                    </a:prstGeom>
                    <a:noFill/>
                    <a:ln>
                      <a:noFill/>
                    </a:ln>
                  </pic:spPr>
                </pic:pic>
              </a:graphicData>
            </a:graphic>
          </wp:inline>
        </w:drawing>
      </w:r>
      <w:r w:rsidR="00405F0F">
        <w:rPr>
          <w:noProof/>
          <w:lang w:val="en-GB" w:eastAsia="en-GB"/>
        </w:rPr>
        <mc:AlternateContent>
          <mc:Choice Requires="wps">
            <w:drawing>
              <wp:inline distT="0" distB="0" distL="0" distR="0" wp14:anchorId="315718BF" wp14:editId="5A84893F">
                <wp:extent cx="2886075" cy="4286250"/>
                <wp:effectExtent l="0" t="0" r="9525"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286250"/>
                        </a:xfrm>
                        <a:prstGeom prst="rect">
                          <a:avLst/>
                        </a:prstGeom>
                        <a:solidFill>
                          <a:srgbClr val="FFFFFF"/>
                        </a:solidFill>
                        <a:ln w="9525">
                          <a:noFill/>
                          <a:miter lim="800000"/>
                          <a:headEnd/>
                          <a:tailEnd/>
                        </a:ln>
                      </wps:spPr>
                      <wps:txbx>
                        <w:txbxContent>
                          <w:p w14:paraId="5DF0A4B6" w14:textId="77777777" w:rsidR="00405F0F" w:rsidRPr="0048756A" w:rsidRDefault="00405F0F" w:rsidP="00405F0F">
                            <w:pPr>
                              <w:rPr>
                                <w:sz w:val="20"/>
                                <w:szCs w:val="20"/>
                              </w:rPr>
                            </w:pPr>
                            <w:r>
                              <w:rPr>
                                <w:sz w:val="20"/>
                              </w:rPr>
                              <w:t>1) CSIRTid ja/või piiriülesed küberkeskused avastavad ulatusliku küberturvalisuse intsidendi.</w:t>
                            </w:r>
                          </w:p>
                          <w:p w14:paraId="73EBB65A" w14:textId="77777777" w:rsidR="00405F0F" w:rsidRPr="0048756A" w:rsidRDefault="00405F0F" w:rsidP="00405F0F">
                            <w:pPr>
                              <w:rPr>
                                <w:sz w:val="20"/>
                                <w:szCs w:val="20"/>
                              </w:rPr>
                            </w:pPr>
                            <w:r>
                              <w:rPr>
                                <w:sz w:val="20"/>
                              </w:rPr>
                              <w:t>2) CSIRTide võrgustik eskaleerib selle oma sisekorra kohaselt.</w:t>
                            </w:r>
                          </w:p>
                          <w:p w14:paraId="34BF8B8A" w14:textId="77777777" w:rsidR="00405F0F" w:rsidRPr="0048756A" w:rsidRDefault="00405F0F" w:rsidP="00405F0F">
                            <w:pPr>
                              <w:rPr>
                                <w:sz w:val="20"/>
                                <w:szCs w:val="20"/>
                              </w:rPr>
                            </w:pPr>
                            <w:r>
                              <w:rPr>
                                <w:sz w:val="20"/>
                              </w:rPr>
                              <w:t>3) Ulatusliku intsidendi korral koordineerib EU-CyCLONe reageerimist operatiivsel tasandil.</w:t>
                            </w:r>
                          </w:p>
                          <w:p w14:paraId="3358F5E4" w14:textId="77777777" w:rsidR="00405F0F" w:rsidRPr="0048756A" w:rsidRDefault="00405F0F" w:rsidP="00405F0F">
                            <w:pPr>
                              <w:rPr>
                                <w:sz w:val="20"/>
                                <w:szCs w:val="20"/>
                              </w:rPr>
                            </w:pPr>
                            <w:r>
                              <w:rPr>
                                <w:sz w:val="20"/>
                              </w:rPr>
                              <w:t>4) Nõukogu eesistujariik, kes konsulteerib liikmesriikide, komisjoni ja kõrge esindajaga, määrab kindlaks, kas aktiveerida või desaktiveerida ELi kriisidele reageerimise kord (IPCR).</w:t>
                            </w:r>
                          </w:p>
                          <w:p w14:paraId="76DDED9D" w14:textId="7A0CD9E5" w:rsidR="00405F0F" w:rsidRPr="0048756A" w:rsidRDefault="00405F0F" w:rsidP="00405F0F">
                            <w:pPr>
                              <w:rPr>
                                <w:sz w:val="20"/>
                                <w:szCs w:val="20"/>
                              </w:rPr>
                            </w:pPr>
                            <w:r>
                              <w:rPr>
                                <w:sz w:val="20"/>
                              </w:rPr>
                              <w:t>5) IPCRi aktiveerimise korral tuginevad arutelud komisjoni talituste ja Euroopa välisteenistuse välja töötatud ISAA aruannetele. ISAA andmed peaksid pärinema EU-CyCLONe-lt ja kübervaldkonna hindamise ühisaruandest. Nõukogu tugineb lisaks sellele SIACi analüüsidele.</w:t>
                            </w:r>
                          </w:p>
                          <w:p w14:paraId="3AF18C4F" w14:textId="77777777" w:rsidR="00405F0F" w:rsidRPr="0048756A" w:rsidRDefault="00405F0F" w:rsidP="00405F0F">
                            <w:pPr>
                              <w:rPr>
                                <w:sz w:val="20"/>
                                <w:szCs w:val="20"/>
                              </w:rPr>
                            </w:pPr>
                            <w:r>
                              <w:rPr>
                                <w:sz w:val="20"/>
                              </w:rPr>
                              <w:t xml:space="preserve">6) CERT-EU vastutab operatiivtasandi reageerimise eest kriisidele, mis mõjutavad liidu üksusi; sellekohast teavet võib EU-CyCLONe-le esitada IICB komisjoni kui kontaktpunkti kaudu. </w:t>
                            </w:r>
                          </w:p>
                          <w:p w14:paraId="5FA0784E" w14:textId="77777777" w:rsidR="00405F0F" w:rsidRDefault="00405F0F" w:rsidP="00405F0F">
                            <w:r>
                              <w:rPr>
                                <w:sz w:val="20"/>
                              </w:rPr>
                              <w:t>7) Nõukogul, EU-CyCLONe-l ja CSIRTide võrgustikul on ülevaade vastavalt poliitilise, operatiivse ja tehnilise tasandi reageerimisest.</w:t>
                            </w:r>
                          </w:p>
                        </w:txbxContent>
                      </wps:txbx>
                      <wps:bodyPr rot="0" vert="horz" wrap="square" lIns="91440" tIns="45720" rIns="91440" bIns="45720" anchor="t" anchorCtr="0">
                        <a:noAutofit/>
                      </wps:bodyPr>
                    </wps:wsp>
                  </a:graphicData>
                </a:graphic>
              </wp:inline>
            </w:drawing>
          </mc:Choice>
          <mc:Fallback>
            <w:pict>
              <v:shapetype w14:anchorId="315718BF" id="_x0000_t202" coordsize="21600,21600" o:spt="202" path="m,l,21600r21600,l21600,xe">
                <v:stroke joinstyle="miter"/>
                <v:path gradientshapeok="t" o:connecttype="rect"/>
              </v:shapetype>
              <v:shape id="Text Box 2" o:spid="_x0000_s1026" type="#_x0000_t202" style="width:227.2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" stroked="f">
                <v:textbox>
                  <w:txbxContent>
                    <w:p w14:paraId="5DF0A4B6" w14:textId="77777777" w:rsidR="00405F0F" w:rsidRPr="0048756A" w:rsidRDefault="00405F0F" w:rsidP="00405F0F">
                      <w:pPr>
                        <w:rPr>
                          <w:sz w:val="20"/>
                          <w:szCs w:val="20"/>
                        </w:rPr>
                      </w:pPr>
                      <w:r>
                        <w:rPr>
                          <w:sz w:val="20"/>
                        </w:rPr>
                        <w:t>1) CSIRTid ja/või piiriülesed küberkeskused avastavad ulatusliku küberturvalisuse intsidendi.</w:t>
                      </w:r>
                    </w:p>
                    <w:p w14:paraId="73EBB65A" w14:textId="77777777" w:rsidR="00405F0F" w:rsidRPr="0048756A" w:rsidRDefault="00405F0F" w:rsidP="00405F0F">
                      <w:pPr>
                        <w:rPr>
                          <w:sz w:val="20"/>
                          <w:szCs w:val="20"/>
                        </w:rPr>
                      </w:pPr>
                      <w:r>
                        <w:rPr>
                          <w:sz w:val="20"/>
                        </w:rPr>
                        <w:t>2) CSIRTide võrgustik eskaleerib selle oma sisekorra kohaselt.</w:t>
                      </w:r>
                    </w:p>
                    <w:p w14:paraId="34BF8B8A" w14:textId="77777777" w:rsidR="00405F0F" w:rsidRPr="0048756A" w:rsidRDefault="00405F0F" w:rsidP="00405F0F">
                      <w:pPr>
                        <w:rPr>
                          <w:sz w:val="20"/>
                          <w:szCs w:val="20"/>
                        </w:rPr>
                      </w:pPr>
                      <w:r>
                        <w:rPr>
                          <w:sz w:val="20"/>
                        </w:rPr>
                        <w:t>3) Ulatusliku intsidendi korral koordineerib EU-CyCLONe reageerimist operatiivsel tasandil.</w:t>
                      </w:r>
                    </w:p>
                    <w:p w14:paraId="3358F5E4" w14:textId="77777777" w:rsidR="00405F0F" w:rsidRPr="0048756A" w:rsidRDefault="00405F0F" w:rsidP="00405F0F">
                      <w:pPr>
                        <w:rPr>
                          <w:sz w:val="20"/>
                          <w:szCs w:val="20"/>
                        </w:rPr>
                      </w:pPr>
                      <w:r>
                        <w:rPr>
                          <w:sz w:val="20"/>
                        </w:rPr>
                        <w:t>4) Nõukogu eesistujariik, kes konsulteerib liikmesriikide, komisjoni ja kõrge esindajaga, määrab kindlaks, kas aktiveerida või desaktiveerida ELi kriisidele reageerimise kord (IPCR).</w:t>
                      </w:r>
                    </w:p>
                    <w:p w14:paraId="76DDED9D" w14:textId="7A0CD9E5" w:rsidR="00405F0F" w:rsidRPr="0048756A" w:rsidRDefault="00405F0F" w:rsidP="00405F0F">
                      <w:pPr>
                        <w:rPr>
                          <w:sz w:val="20"/>
                          <w:szCs w:val="20"/>
                        </w:rPr>
                      </w:pPr>
                      <w:r>
                        <w:rPr>
                          <w:sz w:val="20"/>
                        </w:rPr>
                        <w:t>5) IPCRi aktiveerimise korral tuginevad arutelud komisjoni talituste ja Euroopa välisteenistuse välja töötatud ISAA aruannetele. ISAA andmed peaksid pärinema EU-CyCLONe-lt ja kübervaldkonna hindamise ühisaruandest. Nõukogu tugineb lisaks sellele SIACi analüüsidele.</w:t>
                      </w:r>
                    </w:p>
                    <w:p w14:paraId="3AF18C4F" w14:textId="77777777" w:rsidR="00405F0F" w:rsidRPr="0048756A" w:rsidRDefault="00405F0F" w:rsidP="00405F0F">
                      <w:pPr>
                        <w:rPr>
                          <w:sz w:val="20"/>
                          <w:szCs w:val="20"/>
                        </w:rPr>
                      </w:pPr>
                      <w:r>
                        <w:rPr>
                          <w:sz w:val="20"/>
                        </w:rPr>
                        <w:t xml:space="preserve">6) CERT-EU vastutab operatiivtasandi reageerimise eest kriisidele, mis mõjutavad liidu üksusi; sellekohast teavet võib EU-CyCLONe-le esitada IICB komisjoni kui kontaktpunkti kaudu. </w:t>
                      </w:r>
                    </w:p>
                    <w:p w14:paraId="5FA0784E" w14:textId="77777777" w:rsidR="00405F0F" w:rsidRDefault="00405F0F" w:rsidP="00405F0F">
                      <w:r>
                        <w:rPr>
                          <w:sz w:val="20"/>
                        </w:rPr>
                        <w:t>7) Nõukogul, EU-CyCLONe-l ja CSIRTide võrgustikul on ülevaade vastavalt poliitilise, operatiivse ja tehnilise tasandi reageerimisest.</w:t>
                      </w:r>
                    </w:p>
                  </w:txbxContent>
                </v:textbox>
                <w10:anchorlock/>
              </v:shape>
            </w:pict>
          </mc:Fallback>
        </mc:AlternateContent>
      </w:r>
    </w:p>
    <w:p w14:paraId="1A162D81" w14:textId="6B79F0DD" w:rsidR="002A2210" w:rsidRPr="00274D96" w:rsidRDefault="002A2210" w:rsidP="002A2210">
      <w:pPr>
        <w:rPr>
          <w:noProof/>
        </w:rPr>
        <w:sectPr w:rsidR="002A2210" w:rsidRPr="00274D96" w:rsidSect="00C72892">
          <w:headerReference w:type="even" r:id="rId19"/>
          <w:headerReference w:type="default" r:id="rId20"/>
          <w:footerReference w:type="even" r:id="rId21"/>
          <w:footerReference w:type="default" r:id="rId22"/>
          <w:headerReference w:type="first" r:id="rId23"/>
          <w:footerReference w:type="first" r:id="rId24"/>
          <w:pgSz w:w="16840" w:h="11907" w:orient="landscape"/>
          <w:pgMar w:top="1418" w:right="1134" w:bottom="1418" w:left="1134" w:header="709" w:footer="709" w:gutter="0"/>
          <w:cols w:space="720"/>
          <w:docGrid w:linePitch="326"/>
        </w:sectPr>
      </w:pPr>
    </w:p>
    <w:p w14:paraId="24DCB4CA" w14:textId="77777777" w:rsidR="00331903" w:rsidRPr="00274D96" w:rsidRDefault="002A2210" w:rsidP="00B95DDD">
      <w:pPr>
        <w:pStyle w:val="Annexetitre"/>
        <w:jc w:val="left"/>
        <w:rPr>
          <w:noProof/>
        </w:rPr>
      </w:pPr>
      <w:r w:rsidRPr="00274D96">
        <w:rPr>
          <w:noProof/>
        </w:rPr>
        <w:lastRenderedPageBreak/>
        <w:t>II LISA. LIIDU TASANDI ASJAOMASED ÜKSUSED (NII ERALDI KUI KA VÕRGUSTIKENA) JA KRIISIOHJEMEHHANISMID</w:t>
      </w:r>
    </w:p>
    <w:p w14:paraId="4210603B" w14:textId="77777777" w:rsidR="002A2210" w:rsidRPr="00274D96" w:rsidRDefault="002A2210" w:rsidP="006F4368">
      <w:pPr>
        <w:pStyle w:val="Point0number"/>
        <w:numPr>
          <w:ilvl w:val="0"/>
          <w:numId w:val="6"/>
        </w:numPr>
        <w:rPr>
          <w:b/>
          <w:bCs/>
          <w:noProof/>
        </w:rPr>
      </w:pPr>
      <w:r w:rsidRPr="00274D96">
        <w:rPr>
          <w:b/>
          <w:noProof/>
        </w:rPr>
        <w:t>Küberkriiside ohjamise tsüklis osalevad kesksed üksused liidu tasandil</w:t>
      </w:r>
    </w:p>
    <w:p w14:paraId="09488FC7" w14:textId="77777777" w:rsidR="002A2210" w:rsidRPr="00274D96" w:rsidRDefault="002A2210" w:rsidP="002A2210">
      <w:pPr>
        <w:rPr>
          <w:noProof/>
        </w:rPr>
      </w:pPr>
    </w:p>
    <w:tbl>
      <w:tblPr>
        <w:tblStyle w:val="TableGrid"/>
        <w:tblW w:w="10209" w:type="dxa"/>
        <w:tblLook w:val="04A0" w:firstRow="1" w:lastRow="0" w:firstColumn="1" w:lastColumn="0" w:noHBand="0" w:noVBand="1"/>
      </w:tblPr>
      <w:tblGrid>
        <w:gridCol w:w="1739"/>
        <w:gridCol w:w="1975"/>
        <w:gridCol w:w="1643"/>
        <w:gridCol w:w="2877"/>
        <w:gridCol w:w="1975"/>
      </w:tblGrid>
      <w:tr w:rsidR="00DE711D" w:rsidRPr="00274D96" w14:paraId="2DB3F4DD" w14:textId="77777777" w:rsidTr="00936194">
        <w:trPr>
          <w:tblHeader/>
        </w:trPr>
        <w:tc>
          <w:tcPr>
            <w:tcW w:w="1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07EB0" w14:textId="77777777" w:rsidR="002A2210" w:rsidRPr="00274D96" w:rsidRDefault="002A2210" w:rsidP="00816DA8">
            <w:pPr>
              <w:jc w:val="center"/>
              <w:rPr>
                <w:b/>
                <w:bCs/>
                <w:noProof/>
              </w:rPr>
            </w:pPr>
            <w:r w:rsidRPr="00274D96">
              <w:rPr>
                <w:b/>
                <w:noProof/>
              </w:rPr>
              <w:t>Tasand/Etapp</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C90505" w14:textId="77777777" w:rsidR="002A2210" w:rsidRPr="00274D96" w:rsidRDefault="002A2210" w:rsidP="00816DA8">
            <w:pPr>
              <w:jc w:val="center"/>
              <w:rPr>
                <w:b/>
                <w:bCs/>
                <w:noProof/>
              </w:rPr>
            </w:pPr>
            <w:r w:rsidRPr="00274D96">
              <w:rPr>
                <w:b/>
                <w:noProof/>
              </w:rPr>
              <w:t>Valmisolek</w:t>
            </w:r>
          </w:p>
        </w:tc>
        <w:tc>
          <w:tcPr>
            <w:tcW w:w="1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D27DE9" w14:textId="77777777" w:rsidR="002A2210" w:rsidRPr="00274D96" w:rsidRDefault="002A2210" w:rsidP="00816DA8">
            <w:pPr>
              <w:jc w:val="center"/>
              <w:rPr>
                <w:b/>
                <w:bCs/>
                <w:noProof/>
              </w:rPr>
            </w:pPr>
            <w:r w:rsidRPr="00274D96">
              <w:rPr>
                <w:b/>
                <w:noProof/>
              </w:rPr>
              <w:t>Avastamine</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353F77" w14:textId="77777777" w:rsidR="002A2210" w:rsidRPr="00274D96" w:rsidRDefault="002A2210" w:rsidP="00816DA8">
            <w:pPr>
              <w:jc w:val="center"/>
              <w:rPr>
                <w:b/>
                <w:bCs/>
                <w:noProof/>
              </w:rPr>
            </w:pPr>
            <w:r w:rsidRPr="00274D96">
              <w:rPr>
                <w:b/>
                <w:noProof/>
              </w:rPr>
              <w:t>Reageerimine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0A0C2" w14:textId="77777777" w:rsidR="002A2210" w:rsidRPr="00274D96" w:rsidRDefault="002A2210" w:rsidP="00816DA8">
            <w:pPr>
              <w:jc w:val="center"/>
              <w:rPr>
                <w:b/>
                <w:bCs/>
                <w:noProof/>
              </w:rPr>
            </w:pPr>
            <w:r w:rsidRPr="00274D96">
              <w:rPr>
                <w:b/>
                <w:noProof/>
              </w:rPr>
              <w:t>Taastamine</w:t>
            </w:r>
          </w:p>
        </w:tc>
      </w:tr>
      <w:tr w:rsidR="00936194" w:rsidRPr="00274D96" w14:paraId="4C7D6823" w14:textId="77777777" w:rsidTr="00936194">
        <w:trPr>
          <w:tblHeader/>
        </w:trPr>
        <w:tc>
          <w:tcPr>
            <w:tcW w:w="1739" w:type="dxa"/>
            <w:tcBorders>
              <w:top w:val="single" w:sz="4" w:space="0" w:color="auto"/>
              <w:left w:val="single" w:sz="4" w:space="0" w:color="auto"/>
              <w:bottom w:val="single" w:sz="4" w:space="0" w:color="auto"/>
              <w:right w:val="single" w:sz="4" w:space="0" w:color="auto"/>
            </w:tcBorders>
            <w:hideMark/>
          </w:tcPr>
          <w:p w14:paraId="6BC59993" w14:textId="77777777" w:rsidR="002A2210" w:rsidRPr="00274D96" w:rsidRDefault="002A2210" w:rsidP="008F6857">
            <w:pPr>
              <w:rPr>
                <w:b/>
                <w:bCs/>
                <w:noProof/>
              </w:rPr>
            </w:pPr>
            <w:r w:rsidRPr="00274D96">
              <w:rPr>
                <w:b/>
                <w:noProof/>
              </w:rPr>
              <w:t>Poliitiline</w:t>
            </w:r>
          </w:p>
        </w:tc>
        <w:tc>
          <w:tcPr>
            <w:tcW w:w="0" w:type="auto"/>
            <w:tcBorders>
              <w:top w:val="single" w:sz="4" w:space="0" w:color="auto"/>
              <w:left w:val="single" w:sz="4" w:space="0" w:color="auto"/>
              <w:bottom w:val="single" w:sz="4" w:space="0" w:color="auto"/>
              <w:right w:val="single" w:sz="4" w:space="0" w:color="auto"/>
            </w:tcBorders>
            <w:hideMark/>
          </w:tcPr>
          <w:p w14:paraId="16A18DB2" w14:textId="77777777" w:rsidR="002A2210" w:rsidRPr="00274D96" w:rsidRDefault="002A2210" w:rsidP="002F1EA2">
            <w:pPr>
              <w:numPr>
                <w:ilvl w:val="0"/>
                <w:numId w:val="5"/>
              </w:numPr>
              <w:ind w:left="283"/>
              <w:rPr>
                <w:noProof/>
              </w:rPr>
            </w:pPr>
            <w:r w:rsidRPr="00274D96">
              <w:rPr>
                <w:noProof/>
              </w:rPr>
              <w:t xml:space="preserve">Nõukogu </w:t>
            </w:r>
          </w:p>
          <w:p w14:paraId="4EC5B1B7" w14:textId="77777777" w:rsidR="002A2210" w:rsidRPr="00274D96" w:rsidRDefault="002A2210" w:rsidP="002F1EA2">
            <w:pPr>
              <w:numPr>
                <w:ilvl w:val="0"/>
                <w:numId w:val="5"/>
              </w:numPr>
              <w:ind w:left="283"/>
              <w:rPr>
                <w:noProof/>
              </w:rPr>
            </w:pPr>
            <w:r w:rsidRPr="00274D96">
              <w:rPr>
                <w:noProof/>
              </w:rPr>
              <w:t>Komisjon</w:t>
            </w:r>
          </w:p>
          <w:p w14:paraId="113FA156" w14:textId="77777777" w:rsidR="002A2210" w:rsidRPr="00274D96" w:rsidRDefault="002A2210" w:rsidP="002F1EA2">
            <w:pPr>
              <w:numPr>
                <w:ilvl w:val="0"/>
                <w:numId w:val="5"/>
              </w:numPr>
              <w:ind w:left="283"/>
              <w:rPr>
                <w:noProof/>
              </w:rPr>
            </w:pPr>
            <w:r w:rsidRPr="00274D96">
              <w:rPr>
                <w:noProof/>
              </w:rPr>
              <w:t>Euroopa välisteenistus</w:t>
            </w:r>
          </w:p>
        </w:tc>
        <w:tc>
          <w:tcPr>
            <w:tcW w:w="1476" w:type="dxa"/>
            <w:tcBorders>
              <w:top w:val="single" w:sz="4" w:space="0" w:color="auto"/>
              <w:left w:val="single" w:sz="4" w:space="0" w:color="auto"/>
              <w:bottom w:val="single" w:sz="4" w:space="0" w:color="auto"/>
              <w:right w:val="single" w:sz="4" w:space="0" w:color="auto"/>
            </w:tcBorders>
          </w:tcPr>
          <w:p w14:paraId="511D0A47" w14:textId="77777777" w:rsidR="002A2210" w:rsidRPr="00274D96" w:rsidRDefault="002A2210" w:rsidP="00B651CE">
            <w:pPr>
              <w:rPr>
                <w:noProof/>
              </w:rPr>
            </w:pPr>
          </w:p>
        </w:tc>
        <w:tc>
          <w:tcPr>
            <w:tcW w:w="2877" w:type="dxa"/>
            <w:tcBorders>
              <w:top w:val="single" w:sz="4" w:space="0" w:color="auto"/>
              <w:left w:val="single" w:sz="4" w:space="0" w:color="auto"/>
              <w:bottom w:val="single" w:sz="4" w:space="0" w:color="auto"/>
              <w:right w:val="single" w:sz="4" w:space="0" w:color="auto"/>
            </w:tcBorders>
            <w:hideMark/>
          </w:tcPr>
          <w:p w14:paraId="62201BCF" w14:textId="77777777" w:rsidR="002A2210" w:rsidRPr="00274D96" w:rsidRDefault="002A2210" w:rsidP="002F1EA2">
            <w:pPr>
              <w:numPr>
                <w:ilvl w:val="0"/>
                <w:numId w:val="5"/>
              </w:numPr>
              <w:ind w:left="283"/>
              <w:rPr>
                <w:noProof/>
              </w:rPr>
            </w:pPr>
            <w:r w:rsidRPr="00274D96">
              <w:rPr>
                <w:noProof/>
              </w:rPr>
              <w:t xml:space="preserve">Nõukogu </w:t>
            </w:r>
          </w:p>
          <w:p w14:paraId="04D7C21F" w14:textId="77777777" w:rsidR="002A2210" w:rsidRPr="00274D96" w:rsidRDefault="002A2210" w:rsidP="002F1EA2">
            <w:pPr>
              <w:numPr>
                <w:ilvl w:val="0"/>
                <w:numId w:val="5"/>
              </w:numPr>
              <w:ind w:left="283"/>
              <w:rPr>
                <w:noProof/>
              </w:rPr>
            </w:pPr>
            <w:r w:rsidRPr="00274D96">
              <w:rPr>
                <w:noProof/>
              </w:rPr>
              <w:t>Komisjon</w:t>
            </w:r>
          </w:p>
          <w:p w14:paraId="643EE4A5" w14:textId="77777777" w:rsidR="002A2210" w:rsidRPr="00274D96" w:rsidRDefault="002A2210" w:rsidP="002F1EA2">
            <w:pPr>
              <w:numPr>
                <w:ilvl w:val="0"/>
                <w:numId w:val="5"/>
              </w:numPr>
              <w:ind w:left="283"/>
              <w:rPr>
                <w:noProof/>
              </w:rPr>
            </w:pPr>
            <w:r w:rsidRPr="00274D96">
              <w:rPr>
                <w:noProof/>
              </w:rPr>
              <w:t>Euroopa välisteenistus</w:t>
            </w:r>
          </w:p>
        </w:tc>
        <w:tc>
          <w:tcPr>
            <w:tcW w:w="0" w:type="auto"/>
            <w:tcBorders>
              <w:top w:val="single" w:sz="4" w:space="0" w:color="auto"/>
              <w:left w:val="single" w:sz="4" w:space="0" w:color="auto"/>
              <w:bottom w:val="single" w:sz="4" w:space="0" w:color="auto"/>
              <w:right w:val="single" w:sz="4" w:space="0" w:color="auto"/>
            </w:tcBorders>
          </w:tcPr>
          <w:p w14:paraId="5BD66F6C" w14:textId="77777777" w:rsidR="002A2210" w:rsidRPr="00274D96" w:rsidRDefault="002A2210" w:rsidP="00B651CE">
            <w:pPr>
              <w:rPr>
                <w:noProof/>
              </w:rPr>
            </w:pPr>
          </w:p>
        </w:tc>
      </w:tr>
      <w:tr w:rsidR="00936194" w:rsidRPr="00274D96" w14:paraId="625A026A" w14:textId="77777777" w:rsidTr="00936194">
        <w:trPr>
          <w:tblHeader/>
        </w:trPr>
        <w:tc>
          <w:tcPr>
            <w:tcW w:w="1739" w:type="dxa"/>
            <w:tcBorders>
              <w:top w:val="single" w:sz="4" w:space="0" w:color="auto"/>
              <w:left w:val="single" w:sz="4" w:space="0" w:color="auto"/>
              <w:bottom w:val="single" w:sz="4" w:space="0" w:color="auto"/>
              <w:right w:val="single" w:sz="4" w:space="0" w:color="auto"/>
            </w:tcBorders>
            <w:hideMark/>
          </w:tcPr>
          <w:p w14:paraId="0210E1C2" w14:textId="77777777" w:rsidR="002A2210" w:rsidRPr="00274D96" w:rsidRDefault="002A2210" w:rsidP="008F6857">
            <w:pPr>
              <w:rPr>
                <w:b/>
                <w:bCs/>
                <w:noProof/>
              </w:rPr>
            </w:pPr>
            <w:r w:rsidRPr="00274D96">
              <w:rPr>
                <w:b/>
                <w:noProof/>
              </w:rPr>
              <w:t>Operatiivne</w:t>
            </w:r>
          </w:p>
        </w:tc>
        <w:tc>
          <w:tcPr>
            <w:tcW w:w="0" w:type="auto"/>
            <w:tcBorders>
              <w:top w:val="single" w:sz="4" w:space="0" w:color="auto"/>
              <w:left w:val="single" w:sz="4" w:space="0" w:color="auto"/>
              <w:bottom w:val="single" w:sz="4" w:space="0" w:color="auto"/>
              <w:right w:val="single" w:sz="4" w:space="0" w:color="auto"/>
            </w:tcBorders>
            <w:hideMark/>
          </w:tcPr>
          <w:p w14:paraId="5CB17730" w14:textId="77777777" w:rsidR="002A2210" w:rsidRPr="00274D96" w:rsidRDefault="002A2210" w:rsidP="002F1EA2">
            <w:pPr>
              <w:numPr>
                <w:ilvl w:val="0"/>
                <w:numId w:val="5"/>
              </w:numPr>
              <w:ind w:left="283"/>
              <w:rPr>
                <w:noProof/>
              </w:rPr>
            </w:pPr>
            <w:r w:rsidRPr="00274D96">
              <w:rPr>
                <w:noProof/>
              </w:rPr>
              <w:t>EU-CyCLONe</w:t>
            </w:r>
          </w:p>
          <w:p w14:paraId="1F36509F" w14:textId="77777777" w:rsidR="002A2210" w:rsidRPr="00274D96" w:rsidRDefault="002A2210" w:rsidP="002F1EA2">
            <w:pPr>
              <w:numPr>
                <w:ilvl w:val="0"/>
                <w:numId w:val="5"/>
              </w:numPr>
              <w:ind w:left="283"/>
              <w:rPr>
                <w:noProof/>
              </w:rPr>
            </w:pPr>
            <w:r w:rsidRPr="00274D96">
              <w:rPr>
                <w:noProof/>
              </w:rPr>
              <w:t>Euroopa Liidu Küberturvalisuse Amet</w:t>
            </w:r>
          </w:p>
          <w:p w14:paraId="01BFA8A0" w14:textId="77777777" w:rsidR="002A2210" w:rsidRPr="00274D96" w:rsidRDefault="002A2210" w:rsidP="002F1EA2">
            <w:pPr>
              <w:numPr>
                <w:ilvl w:val="0"/>
                <w:numId w:val="5"/>
              </w:numPr>
              <w:ind w:left="283"/>
              <w:rPr>
                <w:noProof/>
              </w:rPr>
            </w:pPr>
            <w:r w:rsidRPr="00274D96">
              <w:rPr>
                <w:noProof/>
              </w:rPr>
              <w:t>Komisjon</w:t>
            </w:r>
          </w:p>
          <w:p w14:paraId="30B4B2D4" w14:textId="77777777" w:rsidR="002A2210" w:rsidRPr="00274D96" w:rsidRDefault="002A2210" w:rsidP="002F1EA2">
            <w:pPr>
              <w:numPr>
                <w:ilvl w:val="0"/>
                <w:numId w:val="5"/>
              </w:numPr>
              <w:ind w:left="283"/>
              <w:rPr>
                <w:noProof/>
              </w:rPr>
            </w:pPr>
            <w:r w:rsidRPr="00274D96">
              <w:rPr>
                <w:noProof/>
              </w:rPr>
              <w:t>Europol</w:t>
            </w:r>
          </w:p>
        </w:tc>
        <w:tc>
          <w:tcPr>
            <w:tcW w:w="1476" w:type="dxa"/>
            <w:tcBorders>
              <w:top w:val="single" w:sz="4" w:space="0" w:color="auto"/>
              <w:left w:val="single" w:sz="4" w:space="0" w:color="auto"/>
              <w:bottom w:val="single" w:sz="4" w:space="0" w:color="auto"/>
              <w:right w:val="single" w:sz="4" w:space="0" w:color="auto"/>
            </w:tcBorders>
          </w:tcPr>
          <w:p w14:paraId="1F3D4B68" w14:textId="77777777" w:rsidR="002A2210" w:rsidRPr="00274D96" w:rsidRDefault="002A2210" w:rsidP="00B651CE">
            <w:pPr>
              <w:rPr>
                <w:noProof/>
              </w:rPr>
            </w:pPr>
          </w:p>
        </w:tc>
        <w:tc>
          <w:tcPr>
            <w:tcW w:w="2877" w:type="dxa"/>
            <w:tcBorders>
              <w:top w:val="single" w:sz="4" w:space="0" w:color="auto"/>
              <w:left w:val="single" w:sz="4" w:space="0" w:color="auto"/>
              <w:bottom w:val="single" w:sz="4" w:space="0" w:color="auto"/>
              <w:right w:val="single" w:sz="4" w:space="0" w:color="auto"/>
            </w:tcBorders>
            <w:hideMark/>
          </w:tcPr>
          <w:p w14:paraId="0D829DD7" w14:textId="77777777" w:rsidR="008F6857" w:rsidRPr="00274D96" w:rsidRDefault="008F6857" w:rsidP="002F1EA2">
            <w:pPr>
              <w:numPr>
                <w:ilvl w:val="0"/>
                <w:numId w:val="5"/>
              </w:numPr>
              <w:ind w:left="283"/>
              <w:rPr>
                <w:noProof/>
              </w:rPr>
            </w:pPr>
            <w:r w:rsidRPr="00274D96">
              <w:rPr>
                <w:noProof/>
              </w:rPr>
              <w:t>EU-CyCLONe</w:t>
            </w:r>
          </w:p>
          <w:p w14:paraId="66EDF867" w14:textId="77777777" w:rsidR="002A2210" w:rsidRPr="00274D96" w:rsidRDefault="002A2210" w:rsidP="002F1EA2">
            <w:pPr>
              <w:numPr>
                <w:ilvl w:val="0"/>
                <w:numId w:val="5"/>
              </w:numPr>
              <w:ind w:left="283"/>
              <w:rPr>
                <w:noProof/>
              </w:rPr>
            </w:pPr>
            <w:r w:rsidRPr="00274D96">
              <w:rPr>
                <w:noProof/>
              </w:rPr>
              <w:t>Komisjon</w:t>
            </w:r>
          </w:p>
          <w:p w14:paraId="525F6334" w14:textId="77777777" w:rsidR="002A2210" w:rsidRPr="00274D96" w:rsidRDefault="002A2210" w:rsidP="002F1EA2">
            <w:pPr>
              <w:numPr>
                <w:ilvl w:val="0"/>
                <w:numId w:val="5"/>
              </w:numPr>
              <w:ind w:left="283"/>
              <w:rPr>
                <w:noProof/>
              </w:rPr>
            </w:pPr>
            <w:r w:rsidRPr="00274D96">
              <w:rPr>
                <w:noProof/>
              </w:rPr>
              <w:t>Euroopa Liidu Küberturvalisuse Amet</w:t>
            </w:r>
          </w:p>
          <w:p w14:paraId="306DAF4A" w14:textId="77777777" w:rsidR="002A2210" w:rsidRPr="00274D96" w:rsidRDefault="002A2210" w:rsidP="002F1EA2">
            <w:pPr>
              <w:numPr>
                <w:ilvl w:val="0"/>
                <w:numId w:val="5"/>
              </w:numPr>
              <w:ind w:left="283"/>
              <w:rPr>
                <w:noProof/>
              </w:rPr>
            </w:pPr>
            <w:r w:rsidRPr="00274D96">
              <w:rPr>
                <w:noProof/>
              </w:rPr>
              <w:t>CERT-EU (liidu üksuseid puudutavate intsidentide puhul)</w:t>
            </w:r>
          </w:p>
          <w:p w14:paraId="7AEA64D9" w14:textId="77777777" w:rsidR="002A2210" w:rsidRPr="00274D96" w:rsidRDefault="002A2210" w:rsidP="002F1EA2">
            <w:pPr>
              <w:numPr>
                <w:ilvl w:val="0"/>
                <w:numId w:val="5"/>
              </w:numPr>
              <w:ind w:left="283"/>
              <w:rPr>
                <w:noProof/>
              </w:rPr>
            </w:pPr>
            <w:r w:rsidRPr="00274D96">
              <w:rPr>
                <w:noProof/>
              </w:rPr>
              <w:t>Europol</w:t>
            </w:r>
          </w:p>
        </w:tc>
        <w:tc>
          <w:tcPr>
            <w:tcW w:w="0" w:type="auto"/>
            <w:tcBorders>
              <w:top w:val="single" w:sz="4" w:space="0" w:color="auto"/>
              <w:left w:val="single" w:sz="4" w:space="0" w:color="auto"/>
              <w:bottom w:val="single" w:sz="4" w:space="0" w:color="auto"/>
              <w:right w:val="single" w:sz="4" w:space="0" w:color="auto"/>
            </w:tcBorders>
          </w:tcPr>
          <w:p w14:paraId="0D2BD72A" w14:textId="77777777" w:rsidR="002A2210" w:rsidRPr="00274D96" w:rsidRDefault="002A2210" w:rsidP="002F1EA2">
            <w:pPr>
              <w:numPr>
                <w:ilvl w:val="0"/>
                <w:numId w:val="5"/>
              </w:numPr>
              <w:ind w:left="283"/>
              <w:rPr>
                <w:noProof/>
              </w:rPr>
            </w:pPr>
            <w:r w:rsidRPr="00274D96">
              <w:rPr>
                <w:noProof/>
              </w:rPr>
              <w:t>Euroopa Liidu Küberturvalisuse Amet</w:t>
            </w:r>
          </w:p>
          <w:p w14:paraId="65EA2353" w14:textId="77777777" w:rsidR="002A2210" w:rsidRPr="00274D96" w:rsidRDefault="002A2210" w:rsidP="00B651CE">
            <w:pPr>
              <w:rPr>
                <w:noProof/>
              </w:rPr>
            </w:pPr>
          </w:p>
        </w:tc>
      </w:tr>
      <w:tr w:rsidR="00936194" w:rsidRPr="00274D96" w14:paraId="1B3C617F" w14:textId="77777777" w:rsidTr="00936194">
        <w:trPr>
          <w:tblHeader/>
        </w:trPr>
        <w:tc>
          <w:tcPr>
            <w:tcW w:w="1739" w:type="dxa"/>
            <w:tcBorders>
              <w:top w:val="single" w:sz="4" w:space="0" w:color="auto"/>
              <w:left w:val="single" w:sz="4" w:space="0" w:color="auto"/>
              <w:bottom w:val="single" w:sz="4" w:space="0" w:color="auto"/>
              <w:right w:val="single" w:sz="4" w:space="0" w:color="auto"/>
            </w:tcBorders>
            <w:hideMark/>
          </w:tcPr>
          <w:p w14:paraId="321B7F7D" w14:textId="77777777" w:rsidR="002A2210" w:rsidRPr="00274D96" w:rsidRDefault="002A2210" w:rsidP="008F6857">
            <w:pPr>
              <w:rPr>
                <w:noProof/>
              </w:rPr>
            </w:pPr>
            <w:r w:rsidRPr="00274D96">
              <w:rPr>
                <w:b/>
                <w:noProof/>
              </w:rPr>
              <w:t>Tehniline</w:t>
            </w:r>
          </w:p>
        </w:tc>
        <w:tc>
          <w:tcPr>
            <w:tcW w:w="0" w:type="auto"/>
            <w:tcBorders>
              <w:top w:val="single" w:sz="4" w:space="0" w:color="auto"/>
              <w:left w:val="single" w:sz="4" w:space="0" w:color="auto"/>
              <w:bottom w:val="single" w:sz="4" w:space="0" w:color="auto"/>
              <w:right w:val="single" w:sz="4" w:space="0" w:color="auto"/>
            </w:tcBorders>
            <w:hideMark/>
          </w:tcPr>
          <w:p w14:paraId="63F6B639" w14:textId="77777777" w:rsidR="002A2210" w:rsidRPr="00274D96" w:rsidRDefault="002A2210" w:rsidP="002F1EA2">
            <w:pPr>
              <w:numPr>
                <w:ilvl w:val="0"/>
                <w:numId w:val="5"/>
              </w:numPr>
              <w:ind w:left="283"/>
              <w:rPr>
                <w:noProof/>
              </w:rPr>
            </w:pPr>
            <w:r w:rsidRPr="00274D96">
              <w:rPr>
                <w:noProof/>
              </w:rPr>
              <w:t>CSIRTide võrgustik</w:t>
            </w:r>
          </w:p>
          <w:p w14:paraId="0AB9A46B" w14:textId="77777777" w:rsidR="002A2210" w:rsidRPr="00274D96" w:rsidRDefault="002A2210" w:rsidP="002F1EA2">
            <w:pPr>
              <w:numPr>
                <w:ilvl w:val="0"/>
                <w:numId w:val="5"/>
              </w:numPr>
              <w:ind w:left="283"/>
              <w:rPr>
                <w:noProof/>
              </w:rPr>
            </w:pPr>
            <w:r w:rsidRPr="00274D96">
              <w:rPr>
                <w:noProof/>
              </w:rPr>
              <w:t>Piiriülesed küberkeskused</w:t>
            </w:r>
          </w:p>
          <w:p w14:paraId="0EE54C14" w14:textId="77777777" w:rsidR="002A2210" w:rsidRPr="00274D96" w:rsidRDefault="002A2210" w:rsidP="002F1EA2">
            <w:pPr>
              <w:numPr>
                <w:ilvl w:val="0"/>
                <w:numId w:val="5"/>
              </w:numPr>
              <w:ind w:left="283"/>
              <w:rPr>
                <w:noProof/>
              </w:rPr>
            </w:pPr>
            <w:r w:rsidRPr="00274D96">
              <w:rPr>
                <w:noProof/>
              </w:rPr>
              <w:t>CERT-EU</w:t>
            </w:r>
          </w:p>
        </w:tc>
        <w:tc>
          <w:tcPr>
            <w:tcW w:w="1476" w:type="dxa"/>
            <w:tcBorders>
              <w:top w:val="single" w:sz="4" w:space="0" w:color="auto"/>
              <w:left w:val="single" w:sz="4" w:space="0" w:color="auto"/>
              <w:bottom w:val="single" w:sz="4" w:space="0" w:color="auto"/>
              <w:right w:val="single" w:sz="4" w:space="0" w:color="auto"/>
            </w:tcBorders>
            <w:hideMark/>
          </w:tcPr>
          <w:p w14:paraId="0DA45F61" w14:textId="77777777" w:rsidR="002A2210" w:rsidRPr="00274D96" w:rsidRDefault="002A2210" w:rsidP="002F1EA2">
            <w:pPr>
              <w:numPr>
                <w:ilvl w:val="0"/>
                <w:numId w:val="5"/>
              </w:numPr>
              <w:ind w:left="283"/>
              <w:rPr>
                <w:noProof/>
              </w:rPr>
            </w:pPr>
            <w:r w:rsidRPr="00274D96">
              <w:rPr>
                <w:noProof/>
              </w:rPr>
              <w:t>CSIRTide võrgustik</w:t>
            </w:r>
          </w:p>
          <w:p w14:paraId="75EBC3FB" w14:textId="77777777" w:rsidR="002A2210" w:rsidRPr="00274D96" w:rsidRDefault="002A2210" w:rsidP="002F1EA2">
            <w:pPr>
              <w:numPr>
                <w:ilvl w:val="0"/>
                <w:numId w:val="5"/>
              </w:numPr>
              <w:ind w:left="283"/>
              <w:rPr>
                <w:noProof/>
              </w:rPr>
            </w:pPr>
            <w:r w:rsidRPr="00274D96">
              <w:rPr>
                <w:noProof/>
              </w:rPr>
              <w:t>Piiriülesed küberkeskused</w:t>
            </w:r>
          </w:p>
          <w:p w14:paraId="70CA79C7" w14:textId="77777777" w:rsidR="002A2210" w:rsidRPr="00274D96" w:rsidRDefault="002A2210" w:rsidP="002F1EA2">
            <w:pPr>
              <w:numPr>
                <w:ilvl w:val="0"/>
                <w:numId w:val="5"/>
              </w:numPr>
              <w:ind w:left="283"/>
              <w:rPr>
                <w:noProof/>
              </w:rPr>
            </w:pPr>
            <w:r w:rsidRPr="00274D96">
              <w:rPr>
                <w:noProof/>
              </w:rPr>
              <w:t>CERT-EU</w:t>
            </w:r>
          </w:p>
        </w:tc>
        <w:tc>
          <w:tcPr>
            <w:tcW w:w="2877" w:type="dxa"/>
            <w:tcBorders>
              <w:top w:val="single" w:sz="4" w:space="0" w:color="auto"/>
              <w:left w:val="single" w:sz="4" w:space="0" w:color="auto"/>
              <w:bottom w:val="single" w:sz="4" w:space="0" w:color="auto"/>
              <w:right w:val="single" w:sz="4" w:space="0" w:color="auto"/>
            </w:tcBorders>
            <w:hideMark/>
          </w:tcPr>
          <w:p w14:paraId="22AEC267" w14:textId="77777777" w:rsidR="002A2210" w:rsidRPr="00274D96" w:rsidRDefault="002A2210" w:rsidP="002F1EA2">
            <w:pPr>
              <w:numPr>
                <w:ilvl w:val="0"/>
                <w:numId w:val="5"/>
              </w:numPr>
              <w:ind w:left="283"/>
              <w:rPr>
                <w:noProof/>
              </w:rPr>
            </w:pPr>
            <w:r w:rsidRPr="00274D96">
              <w:rPr>
                <w:noProof/>
              </w:rPr>
              <w:t>CSIRTide võrgustik</w:t>
            </w:r>
          </w:p>
          <w:p w14:paraId="2564ADAE" w14:textId="77777777" w:rsidR="002A2210" w:rsidRPr="00274D96" w:rsidRDefault="002A2210" w:rsidP="002F1EA2">
            <w:pPr>
              <w:numPr>
                <w:ilvl w:val="0"/>
                <w:numId w:val="5"/>
              </w:numPr>
              <w:ind w:left="283"/>
              <w:rPr>
                <w:noProof/>
              </w:rPr>
            </w:pPr>
            <w:r w:rsidRPr="00274D96">
              <w:rPr>
                <w:noProof/>
              </w:rPr>
              <w:t>CERT-EU</w:t>
            </w:r>
          </w:p>
        </w:tc>
        <w:tc>
          <w:tcPr>
            <w:tcW w:w="0" w:type="auto"/>
            <w:tcBorders>
              <w:top w:val="single" w:sz="4" w:space="0" w:color="auto"/>
              <w:left w:val="single" w:sz="4" w:space="0" w:color="auto"/>
              <w:bottom w:val="single" w:sz="4" w:space="0" w:color="auto"/>
              <w:right w:val="single" w:sz="4" w:space="0" w:color="auto"/>
            </w:tcBorders>
            <w:hideMark/>
          </w:tcPr>
          <w:p w14:paraId="2267B1E5" w14:textId="77777777" w:rsidR="002A2210" w:rsidRPr="00274D96" w:rsidRDefault="002A2210" w:rsidP="002F1EA2">
            <w:pPr>
              <w:numPr>
                <w:ilvl w:val="0"/>
                <w:numId w:val="5"/>
              </w:numPr>
              <w:ind w:left="283"/>
              <w:rPr>
                <w:noProof/>
              </w:rPr>
            </w:pPr>
            <w:r w:rsidRPr="00274D96">
              <w:rPr>
                <w:noProof/>
              </w:rPr>
              <w:t xml:space="preserve">CSIRTide võrgustik </w:t>
            </w:r>
          </w:p>
          <w:p w14:paraId="7F20752E" w14:textId="77777777" w:rsidR="002A2210" w:rsidRPr="00274D96" w:rsidRDefault="002A2210" w:rsidP="002F1EA2">
            <w:pPr>
              <w:numPr>
                <w:ilvl w:val="0"/>
                <w:numId w:val="5"/>
              </w:numPr>
              <w:ind w:left="283"/>
              <w:rPr>
                <w:noProof/>
              </w:rPr>
            </w:pPr>
            <w:r w:rsidRPr="00274D96">
              <w:rPr>
                <w:noProof/>
              </w:rPr>
              <w:t>CERT-EU</w:t>
            </w:r>
          </w:p>
        </w:tc>
      </w:tr>
    </w:tbl>
    <w:p w14:paraId="7674FB4F" w14:textId="77777777" w:rsidR="002A2210" w:rsidRPr="00274D96" w:rsidRDefault="002A2210" w:rsidP="006F4368">
      <w:pPr>
        <w:pStyle w:val="Point0number"/>
        <w:numPr>
          <w:ilvl w:val="0"/>
          <w:numId w:val="6"/>
        </w:numPr>
        <w:rPr>
          <w:b/>
          <w:bCs/>
          <w:noProof/>
        </w:rPr>
      </w:pPr>
      <w:r w:rsidRPr="00274D96">
        <w:rPr>
          <w:b/>
          <w:noProof/>
        </w:rPr>
        <w:t xml:space="preserve">Tähestikulises järjekorras esitatud liidu üksuste roll ja pädevus küberkriiside ohjamisel </w:t>
      </w:r>
    </w:p>
    <w:tbl>
      <w:tblPr>
        <w:tblStyle w:val="TableGrid"/>
        <w:tblW w:w="0" w:type="auto"/>
        <w:tblLook w:val="04A0" w:firstRow="1" w:lastRow="0" w:firstColumn="1" w:lastColumn="0" w:noHBand="0" w:noVBand="1"/>
      </w:tblPr>
      <w:tblGrid>
        <w:gridCol w:w="2523"/>
        <w:gridCol w:w="1947"/>
        <w:gridCol w:w="2829"/>
        <w:gridCol w:w="1990"/>
      </w:tblGrid>
      <w:tr w:rsidR="0062176B" w:rsidRPr="00274D96" w14:paraId="7CA13F99" w14:textId="77777777" w:rsidTr="0003468E">
        <w:trPr>
          <w:tblHeader/>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D9EC0E" w14:textId="77777777" w:rsidR="002A2210" w:rsidRPr="00274D96" w:rsidRDefault="002A2210" w:rsidP="00816DA8">
            <w:pPr>
              <w:rPr>
                <w:b/>
                <w:bCs/>
                <w:noProof/>
              </w:rPr>
            </w:pPr>
            <w:r w:rsidRPr="00274D96">
              <w:rPr>
                <w:b/>
                <w:noProof/>
              </w:rPr>
              <w:t>Üksus</w:t>
            </w:r>
          </w:p>
        </w:t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18D5B" w14:textId="77777777" w:rsidR="002A2210" w:rsidRPr="00274D96" w:rsidRDefault="002A2210" w:rsidP="00816DA8">
            <w:pPr>
              <w:rPr>
                <w:b/>
                <w:bCs/>
                <w:noProof/>
              </w:rPr>
            </w:pPr>
            <w:r w:rsidRPr="00274D96">
              <w:rPr>
                <w:b/>
                <w:noProof/>
              </w:rPr>
              <w:t>Tasand</w:t>
            </w:r>
          </w:p>
        </w:tc>
        <w:tc>
          <w:tcPr>
            <w:tcW w:w="2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D8C5B5" w14:textId="77777777" w:rsidR="002A2210" w:rsidRPr="00274D96" w:rsidRDefault="002A2210" w:rsidP="00816DA8">
            <w:pPr>
              <w:rPr>
                <w:b/>
                <w:bCs/>
                <w:noProof/>
              </w:rPr>
            </w:pPr>
            <w:r w:rsidRPr="00274D96">
              <w:rPr>
                <w:b/>
                <w:noProof/>
              </w:rPr>
              <w:t xml:space="preserve">Roll ja pädevus </w:t>
            </w:r>
          </w:p>
        </w:tc>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59A67" w14:textId="77777777" w:rsidR="002A2210" w:rsidRPr="00274D96" w:rsidRDefault="002A2210" w:rsidP="00816DA8">
            <w:pPr>
              <w:rPr>
                <w:b/>
                <w:bCs/>
                <w:noProof/>
              </w:rPr>
            </w:pPr>
            <w:r w:rsidRPr="00274D96">
              <w:rPr>
                <w:b/>
                <w:noProof/>
              </w:rPr>
              <w:t xml:space="preserve">Aluseks olev õigusakt </w:t>
            </w:r>
          </w:p>
        </w:tc>
      </w:tr>
      <w:tr w:rsidR="0062176B" w:rsidRPr="00274D96" w14:paraId="7091164A" w14:textId="77777777" w:rsidTr="0003468E">
        <w:tc>
          <w:tcPr>
            <w:tcW w:w="1951" w:type="dxa"/>
            <w:tcBorders>
              <w:top w:val="single" w:sz="4" w:space="0" w:color="auto"/>
              <w:left w:val="single" w:sz="4" w:space="0" w:color="auto"/>
              <w:bottom w:val="single" w:sz="4" w:space="0" w:color="auto"/>
              <w:right w:val="single" w:sz="4" w:space="0" w:color="auto"/>
            </w:tcBorders>
            <w:hideMark/>
          </w:tcPr>
          <w:p w14:paraId="5111DD26" w14:textId="77777777" w:rsidR="002A2210" w:rsidRPr="00274D96" w:rsidRDefault="002A2210" w:rsidP="00816DA8">
            <w:pPr>
              <w:rPr>
                <w:noProof/>
              </w:rPr>
            </w:pPr>
            <w:r w:rsidRPr="00274D96">
              <w:rPr>
                <w:noProof/>
              </w:rPr>
              <w:t xml:space="preserve">CERT-EU </w:t>
            </w:r>
          </w:p>
        </w:tc>
        <w:tc>
          <w:tcPr>
            <w:tcW w:w="2689" w:type="dxa"/>
            <w:tcBorders>
              <w:top w:val="single" w:sz="4" w:space="0" w:color="auto"/>
              <w:left w:val="single" w:sz="4" w:space="0" w:color="auto"/>
              <w:bottom w:val="single" w:sz="4" w:space="0" w:color="auto"/>
              <w:right w:val="single" w:sz="4" w:space="0" w:color="auto"/>
            </w:tcBorders>
            <w:hideMark/>
          </w:tcPr>
          <w:p w14:paraId="355DCB5B" w14:textId="4A71D60F" w:rsidR="002A2210" w:rsidRPr="00274D96" w:rsidRDefault="002A2210" w:rsidP="00816DA8">
            <w:pPr>
              <w:rPr>
                <w:noProof/>
              </w:rPr>
            </w:pPr>
            <w:r w:rsidRPr="00274D96">
              <w:rPr>
                <w:noProof/>
              </w:rPr>
              <w:t>Tehniline/</w:t>
            </w:r>
            <w:r w:rsidR="0003468E">
              <w:rPr>
                <w:noProof/>
              </w:rPr>
              <w:t xml:space="preserve"> </w:t>
            </w:r>
            <w:r w:rsidRPr="00274D96">
              <w:rPr>
                <w:noProof/>
              </w:rPr>
              <w:t>operatiivne</w:t>
            </w:r>
          </w:p>
        </w:tc>
        <w:tc>
          <w:tcPr>
            <w:tcW w:w="2782" w:type="dxa"/>
            <w:tcBorders>
              <w:top w:val="single" w:sz="4" w:space="0" w:color="auto"/>
              <w:left w:val="single" w:sz="4" w:space="0" w:color="auto"/>
              <w:bottom w:val="single" w:sz="4" w:space="0" w:color="auto"/>
              <w:right w:val="single" w:sz="4" w:space="0" w:color="auto"/>
            </w:tcBorders>
            <w:hideMark/>
          </w:tcPr>
          <w:p w14:paraId="6A4F1FA6" w14:textId="77777777" w:rsidR="002A2210" w:rsidRPr="00274D96" w:rsidRDefault="43D86BF9" w:rsidP="00816DA8">
            <w:pPr>
              <w:rPr>
                <w:noProof/>
              </w:rPr>
            </w:pPr>
            <w:r w:rsidRPr="00274D96">
              <w:rPr>
                <w:noProof/>
              </w:rPr>
              <w:t>Koordineerib liidu üksusi mõjutavatele tõsistele intsidentidele reageerimist ja nende ohjamist.</w:t>
            </w:r>
          </w:p>
          <w:p w14:paraId="787E08FB" w14:textId="77777777" w:rsidR="00753D67" w:rsidRPr="00274D96" w:rsidRDefault="00753D67" w:rsidP="00816DA8">
            <w:pPr>
              <w:rPr>
                <w:noProof/>
              </w:rPr>
            </w:pPr>
          </w:p>
          <w:p w14:paraId="162B71AF" w14:textId="77777777" w:rsidR="00D76C80" w:rsidRPr="00274D96" w:rsidRDefault="00D76C80" w:rsidP="00816DA8">
            <w:pPr>
              <w:rPr>
                <w:noProof/>
              </w:rPr>
            </w:pPr>
            <w:r w:rsidRPr="00274D96">
              <w:rPr>
                <w:noProof/>
              </w:rPr>
              <w:t>Kuulub CSIRTide võrgustikku.</w:t>
            </w:r>
          </w:p>
          <w:p w14:paraId="1BB4FAA7" w14:textId="77777777" w:rsidR="002A2210" w:rsidRPr="00274D96" w:rsidRDefault="002A2210" w:rsidP="00816DA8">
            <w:pPr>
              <w:rPr>
                <w:noProof/>
              </w:rPr>
            </w:pPr>
            <w:r w:rsidRPr="00274D96">
              <w:rPr>
                <w:noProof/>
              </w:rPr>
              <w:t>Toetab komisjoni EU-CyCLONe raames.</w:t>
            </w:r>
          </w:p>
          <w:p w14:paraId="0900955D" w14:textId="77777777" w:rsidR="002A2210" w:rsidRPr="00274D96" w:rsidRDefault="00D76C80" w:rsidP="00816DA8">
            <w:pPr>
              <w:rPr>
                <w:noProof/>
              </w:rPr>
            </w:pPr>
            <w:r w:rsidRPr="00274D96">
              <w:rPr>
                <w:noProof/>
              </w:rPr>
              <w:t xml:space="preserve">Tegutseb küberturvalisust puudutava teabe vahetamist ja intsidentidele reageerimist koordineeriva keskusena, soodustades intsidentide, küberohtude, nõrkuste ja intsidendiohtudega seotud teabevahetust liidu üksuste ja nende korrespondentide vahel. </w:t>
            </w:r>
          </w:p>
          <w:p w14:paraId="766EC934" w14:textId="77777777" w:rsidR="002A2210" w:rsidRPr="00274D96" w:rsidRDefault="002A2210" w:rsidP="00816DA8">
            <w:pPr>
              <w:rPr>
                <w:noProof/>
              </w:rPr>
            </w:pPr>
            <w:r w:rsidRPr="00274D96">
              <w:rPr>
                <w:noProof/>
              </w:rPr>
              <w:t>Taotleb liidu üksuste nimel ELi küberreservi kasutuselevõtmist.</w:t>
            </w:r>
          </w:p>
          <w:p w14:paraId="1329C77B" w14:textId="77777777" w:rsidR="00D76C80" w:rsidRPr="00274D96" w:rsidRDefault="00D76C80" w:rsidP="00816DA8">
            <w:pPr>
              <w:rPr>
                <w:noProof/>
              </w:rPr>
            </w:pPr>
            <w:r w:rsidRPr="00274D96">
              <w:rPr>
                <w:noProof/>
              </w:rPr>
              <w:t>Teeb koostööd NATO küberturvalisuskeskusega (nendevahelise tehnilise kokkuleppe alusel)</w:t>
            </w:r>
          </w:p>
        </w:tc>
        <w:tc>
          <w:tcPr>
            <w:tcW w:w="1867" w:type="dxa"/>
            <w:tcBorders>
              <w:top w:val="single" w:sz="4" w:space="0" w:color="auto"/>
              <w:left w:val="single" w:sz="4" w:space="0" w:color="auto"/>
              <w:bottom w:val="single" w:sz="4" w:space="0" w:color="auto"/>
              <w:right w:val="single" w:sz="4" w:space="0" w:color="auto"/>
            </w:tcBorders>
            <w:hideMark/>
          </w:tcPr>
          <w:p w14:paraId="44D66943" w14:textId="77777777" w:rsidR="002A2210" w:rsidRPr="00274D96" w:rsidRDefault="002A2210" w:rsidP="00816DA8">
            <w:pPr>
              <w:rPr>
                <w:noProof/>
              </w:rPr>
            </w:pPr>
            <w:r w:rsidRPr="00274D96">
              <w:rPr>
                <w:noProof/>
              </w:rPr>
              <w:t>Määrus (EL, Euratom) 2023/2841</w:t>
            </w:r>
          </w:p>
        </w:tc>
      </w:tr>
      <w:tr w:rsidR="0062176B" w:rsidRPr="00274D96" w14:paraId="02D7496D" w14:textId="77777777" w:rsidTr="0003468E">
        <w:tc>
          <w:tcPr>
            <w:tcW w:w="1951" w:type="dxa"/>
            <w:tcBorders>
              <w:top w:val="single" w:sz="4" w:space="0" w:color="auto"/>
              <w:left w:val="single" w:sz="4" w:space="0" w:color="auto"/>
              <w:bottom w:val="single" w:sz="4" w:space="0" w:color="auto"/>
              <w:right w:val="single" w:sz="4" w:space="0" w:color="auto"/>
            </w:tcBorders>
            <w:hideMark/>
          </w:tcPr>
          <w:p w14:paraId="091104C1" w14:textId="77777777" w:rsidR="002A2210" w:rsidRPr="00274D96" w:rsidRDefault="002A2210" w:rsidP="00816DA8">
            <w:pPr>
              <w:rPr>
                <w:noProof/>
              </w:rPr>
            </w:pPr>
            <w:r w:rsidRPr="00274D96">
              <w:rPr>
                <w:noProof/>
              </w:rPr>
              <w:t>Nõukogu eesistujariik</w:t>
            </w:r>
          </w:p>
        </w:tc>
        <w:tc>
          <w:tcPr>
            <w:tcW w:w="2689" w:type="dxa"/>
            <w:tcBorders>
              <w:top w:val="single" w:sz="4" w:space="0" w:color="auto"/>
              <w:left w:val="single" w:sz="4" w:space="0" w:color="auto"/>
              <w:bottom w:val="single" w:sz="4" w:space="0" w:color="auto"/>
              <w:right w:val="single" w:sz="4" w:space="0" w:color="auto"/>
            </w:tcBorders>
            <w:hideMark/>
          </w:tcPr>
          <w:p w14:paraId="6CF01AEE" w14:textId="77777777" w:rsidR="002A2210" w:rsidRPr="00274D96" w:rsidRDefault="002A2210" w:rsidP="00816DA8">
            <w:pPr>
              <w:rPr>
                <w:noProof/>
              </w:rPr>
            </w:pPr>
            <w:r w:rsidRPr="00274D96">
              <w:rPr>
                <w:noProof/>
              </w:rPr>
              <w:t>Poliitiline</w:t>
            </w:r>
          </w:p>
        </w:tc>
        <w:tc>
          <w:tcPr>
            <w:tcW w:w="2782" w:type="dxa"/>
            <w:tcBorders>
              <w:top w:val="single" w:sz="4" w:space="0" w:color="auto"/>
              <w:left w:val="single" w:sz="4" w:space="0" w:color="auto"/>
              <w:bottom w:val="single" w:sz="4" w:space="0" w:color="auto"/>
              <w:right w:val="single" w:sz="4" w:space="0" w:color="auto"/>
            </w:tcBorders>
            <w:hideMark/>
          </w:tcPr>
          <w:p w14:paraId="52460CDA" w14:textId="77777777" w:rsidR="002A2210" w:rsidRPr="00274D96" w:rsidRDefault="002A2210" w:rsidP="00816DA8">
            <w:pPr>
              <w:rPr>
                <w:noProof/>
              </w:rPr>
            </w:pPr>
            <w:r w:rsidRPr="00274D96">
              <w:rPr>
                <w:noProof/>
              </w:rPr>
              <w:t>Otsustab IPCRi aktiveerimise või desaktiveerimise üle, kui mõni liikmesriiki seda taotleb (välja arvatud juhul, kui Euroopa Liidu toimimise lepingu artikli 222 alusel on aktiveeritud solidaarsusklausel), konsulteerides vajadust mööda mõjutatud liikmesriikide, samuti komisjon ja kõrge esindajaga, ja selle üle, millal minna edasi järgmisele või tagasi eelmisele aktiveerimisrežiimile</w:t>
            </w:r>
          </w:p>
        </w:tc>
        <w:tc>
          <w:tcPr>
            <w:tcW w:w="1867" w:type="dxa"/>
            <w:tcBorders>
              <w:top w:val="single" w:sz="4" w:space="0" w:color="auto"/>
              <w:left w:val="single" w:sz="4" w:space="0" w:color="auto"/>
              <w:bottom w:val="single" w:sz="4" w:space="0" w:color="auto"/>
              <w:right w:val="single" w:sz="4" w:space="0" w:color="auto"/>
            </w:tcBorders>
            <w:hideMark/>
          </w:tcPr>
          <w:p w14:paraId="6467F2B7" w14:textId="77777777" w:rsidR="002A2210" w:rsidRPr="00274D96" w:rsidRDefault="00E927D6" w:rsidP="00816DA8">
            <w:pPr>
              <w:rPr>
                <w:noProof/>
              </w:rPr>
            </w:pPr>
            <w:r w:rsidRPr="00274D96">
              <w:rPr>
                <w:noProof/>
              </w:rPr>
              <w:t xml:space="preserve">Euroopa Liidu lepingu artikkel 16; nõukogu rakendusotsus (EL) 2018/1993 </w:t>
            </w:r>
          </w:p>
        </w:tc>
      </w:tr>
      <w:tr w:rsidR="0062176B" w:rsidRPr="00274D96" w14:paraId="632C6B8B" w14:textId="77777777" w:rsidTr="0003468E">
        <w:tc>
          <w:tcPr>
            <w:tcW w:w="1951" w:type="dxa"/>
            <w:tcBorders>
              <w:top w:val="single" w:sz="4" w:space="0" w:color="auto"/>
              <w:left w:val="single" w:sz="4" w:space="0" w:color="auto"/>
              <w:bottom w:val="single" w:sz="4" w:space="0" w:color="auto"/>
              <w:right w:val="single" w:sz="4" w:space="0" w:color="auto"/>
            </w:tcBorders>
            <w:hideMark/>
          </w:tcPr>
          <w:p w14:paraId="18288024" w14:textId="77777777" w:rsidR="002A2210" w:rsidRPr="00274D96" w:rsidRDefault="002A2210" w:rsidP="00816DA8">
            <w:pPr>
              <w:rPr>
                <w:noProof/>
              </w:rPr>
            </w:pPr>
            <w:r w:rsidRPr="00274D96">
              <w:rPr>
                <w:noProof/>
              </w:rPr>
              <w:t>Piiriülesed küberkeskused</w:t>
            </w:r>
          </w:p>
        </w:tc>
        <w:tc>
          <w:tcPr>
            <w:tcW w:w="2689" w:type="dxa"/>
            <w:tcBorders>
              <w:top w:val="single" w:sz="4" w:space="0" w:color="auto"/>
              <w:left w:val="single" w:sz="4" w:space="0" w:color="auto"/>
              <w:bottom w:val="single" w:sz="4" w:space="0" w:color="auto"/>
              <w:right w:val="single" w:sz="4" w:space="0" w:color="auto"/>
            </w:tcBorders>
            <w:hideMark/>
          </w:tcPr>
          <w:p w14:paraId="64C898A1" w14:textId="77777777" w:rsidR="002A2210" w:rsidRPr="00274D96" w:rsidRDefault="002A2210" w:rsidP="00816DA8">
            <w:pPr>
              <w:rPr>
                <w:noProof/>
              </w:rPr>
            </w:pPr>
            <w:r w:rsidRPr="00274D96">
              <w:rPr>
                <w:noProof/>
              </w:rPr>
              <w:t>Tehniline</w:t>
            </w:r>
          </w:p>
        </w:tc>
        <w:tc>
          <w:tcPr>
            <w:tcW w:w="2782" w:type="dxa"/>
            <w:tcBorders>
              <w:top w:val="single" w:sz="4" w:space="0" w:color="auto"/>
              <w:left w:val="single" w:sz="4" w:space="0" w:color="auto"/>
              <w:bottom w:val="single" w:sz="4" w:space="0" w:color="auto"/>
              <w:right w:val="single" w:sz="4" w:space="0" w:color="auto"/>
            </w:tcBorders>
            <w:hideMark/>
          </w:tcPr>
          <w:p w14:paraId="7E944821" w14:textId="0B1FB82C" w:rsidR="002A2210" w:rsidRPr="00274D96" w:rsidRDefault="002A2210" w:rsidP="00816DA8">
            <w:pPr>
              <w:rPr>
                <w:noProof/>
              </w:rPr>
            </w:pPr>
            <w:r w:rsidRPr="00274D96">
              <w:rPr>
                <w:noProof/>
              </w:rPr>
              <w:t>Koosnevad kolmest või enamast riiklikust küberkeskusest. Tagavad küberohte, intsidendiohte, turvarikke indikaatoreid ja küberturbeteateid puudutava olulise teabe vahetamise piiriülese keskuse liikmete vahel.</w:t>
            </w:r>
          </w:p>
          <w:p w14:paraId="19A00C8E" w14:textId="77777777" w:rsidR="002A2210" w:rsidRPr="00274D96" w:rsidRDefault="002A2210" w:rsidP="00816DA8">
            <w:pPr>
              <w:rPr>
                <w:noProof/>
              </w:rPr>
            </w:pPr>
            <w:r w:rsidRPr="00274D96">
              <w:rPr>
                <w:noProof/>
              </w:rPr>
              <w:t>Teevad teabevahetuse eesmärgil tihedat koostööd CSIRTide võrgustikuga.</w:t>
            </w:r>
          </w:p>
          <w:p w14:paraId="2C0E7316" w14:textId="77777777" w:rsidR="002A2210" w:rsidRPr="00274D96" w:rsidRDefault="002A2210" w:rsidP="00816DA8">
            <w:pPr>
              <w:rPr>
                <w:noProof/>
              </w:rPr>
            </w:pPr>
            <w:r w:rsidRPr="00274D96">
              <w:rPr>
                <w:noProof/>
              </w:rPr>
              <w:t xml:space="preserve">Edastavad liikmesriikide asutustele ja komisjonile EU-CyCLONe ja CSIRTide võrgustiku kaudu teavet võimaliku või käimasoleva ulatusliku küberintsidendi kohta </w:t>
            </w:r>
          </w:p>
        </w:tc>
        <w:tc>
          <w:tcPr>
            <w:tcW w:w="1867" w:type="dxa"/>
            <w:tcBorders>
              <w:top w:val="single" w:sz="4" w:space="0" w:color="auto"/>
              <w:left w:val="single" w:sz="4" w:space="0" w:color="auto"/>
              <w:bottom w:val="single" w:sz="4" w:space="0" w:color="auto"/>
              <w:right w:val="single" w:sz="4" w:space="0" w:color="auto"/>
            </w:tcBorders>
            <w:hideMark/>
          </w:tcPr>
          <w:p w14:paraId="4161E21E" w14:textId="77777777" w:rsidR="002A2210" w:rsidRPr="00274D96" w:rsidRDefault="007D73D4" w:rsidP="00816DA8">
            <w:pPr>
              <w:rPr>
                <w:noProof/>
              </w:rPr>
            </w:pPr>
            <w:r w:rsidRPr="00274D96">
              <w:rPr>
                <w:noProof/>
              </w:rPr>
              <w:t>Määrus (EL) 2025/38</w:t>
            </w:r>
          </w:p>
        </w:tc>
      </w:tr>
      <w:tr w:rsidR="0062176B" w:rsidRPr="00274D96" w14:paraId="4E3A0C7A" w14:textId="77777777" w:rsidTr="0003468E">
        <w:tc>
          <w:tcPr>
            <w:tcW w:w="1951" w:type="dxa"/>
            <w:tcBorders>
              <w:top w:val="single" w:sz="4" w:space="0" w:color="auto"/>
              <w:left w:val="single" w:sz="4" w:space="0" w:color="auto"/>
              <w:bottom w:val="single" w:sz="4" w:space="0" w:color="auto"/>
              <w:right w:val="single" w:sz="4" w:space="0" w:color="auto"/>
            </w:tcBorders>
            <w:hideMark/>
          </w:tcPr>
          <w:p w14:paraId="3A269ABF" w14:textId="77777777" w:rsidR="002A2210" w:rsidRPr="00274D96" w:rsidRDefault="002A2210" w:rsidP="00816DA8">
            <w:pPr>
              <w:rPr>
                <w:noProof/>
              </w:rPr>
            </w:pPr>
            <w:r w:rsidRPr="00274D96">
              <w:rPr>
                <w:noProof/>
              </w:rPr>
              <w:t>CSIRTide võrgustik</w:t>
            </w:r>
          </w:p>
        </w:tc>
        <w:tc>
          <w:tcPr>
            <w:tcW w:w="2689" w:type="dxa"/>
            <w:tcBorders>
              <w:top w:val="single" w:sz="4" w:space="0" w:color="auto"/>
              <w:left w:val="single" w:sz="4" w:space="0" w:color="auto"/>
              <w:bottom w:val="single" w:sz="4" w:space="0" w:color="auto"/>
              <w:right w:val="single" w:sz="4" w:space="0" w:color="auto"/>
            </w:tcBorders>
            <w:hideMark/>
          </w:tcPr>
          <w:p w14:paraId="760B76C3" w14:textId="77777777" w:rsidR="002A2210" w:rsidRPr="00274D96" w:rsidRDefault="002A2210" w:rsidP="00816DA8">
            <w:pPr>
              <w:rPr>
                <w:noProof/>
              </w:rPr>
            </w:pPr>
            <w:r w:rsidRPr="00274D96">
              <w:rPr>
                <w:noProof/>
              </w:rPr>
              <w:t xml:space="preserve">Tehniline </w:t>
            </w:r>
          </w:p>
        </w:tc>
        <w:tc>
          <w:tcPr>
            <w:tcW w:w="2782" w:type="dxa"/>
            <w:tcBorders>
              <w:top w:val="single" w:sz="4" w:space="0" w:color="auto"/>
              <w:left w:val="single" w:sz="4" w:space="0" w:color="auto"/>
              <w:bottom w:val="single" w:sz="4" w:space="0" w:color="auto"/>
              <w:right w:val="single" w:sz="4" w:space="0" w:color="auto"/>
            </w:tcBorders>
            <w:hideMark/>
          </w:tcPr>
          <w:p w14:paraId="30D80DD4" w14:textId="77777777" w:rsidR="002A2210" w:rsidRPr="00274D96" w:rsidRDefault="002A2210" w:rsidP="00816DA8">
            <w:pPr>
              <w:rPr>
                <w:noProof/>
              </w:rPr>
            </w:pPr>
            <w:r w:rsidRPr="00274D96">
              <w:rPr>
                <w:noProof/>
              </w:rPr>
              <w:t xml:space="preserve">Vahetab olulist teavet intsidentide, intsidendiohtude, küberohtude, riskide ja nõrkuste kohta. </w:t>
            </w:r>
          </w:p>
          <w:p w14:paraId="6B974293" w14:textId="77777777" w:rsidR="002A2210" w:rsidRPr="00274D96" w:rsidRDefault="002A2210" w:rsidP="00816DA8">
            <w:pPr>
              <w:rPr>
                <w:noProof/>
              </w:rPr>
            </w:pPr>
            <w:r w:rsidRPr="00274D96">
              <w:rPr>
                <w:noProof/>
              </w:rPr>
              <w:t xml:space="preserve">Intsidendist potentsiaalselt mõjutatud liikme taotluse alusel vahetab võrgustik asjaomast intsidenti ja sellega seonduvaid küberohte puudutavat teavet ja arutab seda. </w:t>
            </w:r>
          </w:p>
          <w:p w14:paraId="24E1E2F6" w14:textId="77777777" w:rsidR="002A2210" w:rsidRPr="00274D96" w:rsidRDefault="002A2210" w:rsidP="00816DA8">
            <w:pPr>
              <w:rPr>
                <w:noProof/>
              </w:rPr>
            </w:pPr>
            <w:r w:rsidRPr="00274D96">
              <w:rPr>
                <w:noProof/>
              </w:rPr>
              <w:t>Võrgustik võib lisaks sellele reageerida koordineeritult intsidendile, mis on kindlaks tehtud taotluse esitanud liikme jurisdiktsioonis.</w:t>
            </w:r>
          </w:p>
          <w:p w14:paraId="08CCBE07" w14:textId="77777777" w:rsidR="002A2210" w:rsidRPr="00274D96" w:rsidRDefault="002A2210" w:rsidP="00816DA8">
            <w:pPr>
              <w:rPr>
                <w:noProof/>
              </w:rPr>
            </w:pPr>
            <w:r w:rsidRPr="00274D96">
              <w:rPr>
                <w:noProof/>
              </w:rPr>
              <w:t>Saab liikmesriikidelt teavet nende poolt ELi küberreservile esitatud taotluste kohta</w:t>
            </w:r>
          </w:p>
        </w:tc>
        <w:tc>
          <w:tcPr>
            <w:tcW w:w="1867" w:type="dxa"/>
            <w:tcBorders>
              <w:top w:val="single" w:sz="4" w:space="0" w:color="auto"/>
              <w:left w:val="single" w:sz="4" w:space="0" w:color="auto"/>
              <w:bottom w:val="single" w:sz="4" w:space="0" w:color="auto"/>
              <w:right w:val="single" w:sz="4" w:space="0" w:color="auto"/>
            </w:tcBorders>
            <w:hideMark/>
          </w:tcPr>
          <w:p w14:paraId="31A2D109" w14:textId="77777777" w:rsidR="002A2210" w:rsidRPr="00274D96" w:rsidRDefault="00DE7BE2" w:rsidP="00816DA8">
            <w:pPr>
              <w:rPr>
                <w:noProof/>
              </w:rPr>
            </w:pPr>
            <w:r w:rsidRPr="00274D96">
              <w:rPr>
                <w:noProof/>
              </w:rPr>
              <w:t>Direktiivi (EL) 2022/2555 artikkel 15</w:t>
            </w:r>
          </w:p>
        </w:tc>
      </w:tr>
      <w:tr w:rsidR="0062176B" w:rsidRPr="00274D96" w14:paraId="4F1FC570" w14:textId="77777777" w:rsidTr="0003468E">
        <w:tc>
          <w:tcPr>
            <w:tcW w:w="1951" w:type="dxa"/>
            <w:tcBorders>
              <w:top w:val="single" w:sz="4" w:space="0" w:color="auto"/>
              <w:left w:val="single" w:sz="4" w:space="0" w:color="auto"/>
              <w:bottom w:val="single" w:sz="4" w:space="0" w:color="auto"/>
              <w:right w:val="single" w:sz="4" w:space="0" w:color="auto"/>
            </w:tcBorders>
            <w:hideMark/>
          </w:tcPr>
          <w:p w14:paraId="23FD85BB" w14:textId="77777777" w:rsidR="002A2210" w:rsidRPr="00274D96" w:rsidRDefault="002A2210" w:rsidP="00816DA8">
            <w:pPr>
              <w:rPr>
                <w:noProof/>
              </w:rPr>
            </w:pPr>
            <w:r w:rsidRPr="00274D96">
              <w:rPr>
                <w:noProof/>
              </w:rPr>
              <w:t xml:space="preserve">Küberväejuhatuse ülemate konverents </w:t>
            </w:r>
          </w:p>
        </w:tc>
        <w:tc>
          <w:tcPr>
            <w:tcW w:w="2689" w:type="dxa"/>
            <w:tcBorders>
              <w:top w:val="single" w:sz="4" w:space="0" w:color="auto"/>
              <w:left w:val="single" w:sz="4" w:space="0" w:color="auto"/>
              <w:bottom w:val="single" w:sz="4" w:space="0" w:color="auto"/>
              <w:right w:val="single" w:sz="4" w:space="0" w:color="auto"/>
            </w:tcBorders>
          </w:tcPr>
          <w:p w14:paraId="50000F81" w14:textId="77777777" w:rsidR="002A2210" w:rsidRPr="00274D96" w:rsidRDefault="002A2210" w:rsidP="00816DA8">
            <w:pPr>
              <w:rPr>
                <w:noProof/>
              </w:rPr>
            </w:pPr>
          </w:p>
        </w:tc>
        <w:tc>
          <w:tcPr>
            <w:tcW w:w="2782" w:type="dxa"/>
            <w:tcBorders>
              <w:top w:val="single" w:sz="4" w:space="0" w:color="auto"/>
              <w:left w:val="single" w:sz="4" w:space="0" w:color="auto"/>
              <w:bottom w:val="single" w:sz="4" w:space="0" w:color="auto"/>
              <w:right w:val="single" w:sz="4" w:space="0" w:color="auto"/>
            </w:tcBorders>
            <w:hideMark/>
          </w:tcPr>
          <w:p w14:paraId="2D5FA706" w14:textId="77777777" w:rsidR="002A2210" w:rsidRPr="00274D96" w:rsidRDefault="002A2210" w:rsidP="00816DA8">
            <w:pPr>
              <w:rPr>
                <w:noProof/>
              </w:rPr>
            </w:pPr>
            <w:r w:rsidRPr="00274D96">
              <w:rPr>
                <w:noProof/>
              </w:rPr>
              <w:t>Riikliku (liikmesriigi) tasandi küberväejuhatuse ülemate foorum, mille eesmärk on teha koostööd ja vahetada elutähtsat teavet küberruumis käimasolevate operatsioonide ning ulatuslike küberturvalisuse intsidentide mõju leevendamise strateegiate kohta. Seda korraldab Euroopa Liidu Nõukogu rotatsiooni korras vahetuv eesistujariik Euroopa Kaitseagentuuri, Euroopa välisteenistuse ja Euroopa Liidu sõjalise staabi toetusel</w:t>
            </w:r>
          </w:p>
        </w:tc>
        <w:tc>
          <w:tcPr>
            <w:tcW w:w="1867" w:type="dxa"/>
            <w:tcBorders>
              <w:top w:val="single" w:sz="4" w:space="0" w:color="auto"/>
              <w:left w:val="single" w:sz="4" w:space="0" w:color="auto"/>
              <w:bottom w:val="single" w:sz="4" w:space="0" w:color="auto"/>
              <w:right w:val="single" w:sz="4" w:space="0" w:color="auto"/>
            </w:tcBorders>
            <w:hideMark/>
          </w:tcPr>
          <w:p w14:paraId="49975EE1" w14:textId="77777777" w:rsidR="002A2210" w:rsidRPr="00274D96" w:rsidRDefault="002A2210" w:rsidP="00816DA8">
            <w:pPr>
              <w:rPr>
                <w:noProof/>
              </w:rPr>
            </w:pPr>
            <w:r w:rsidRPr="00274D96">
              <w:rPr>
                <w:noProof/>
              </w:rPr>
              <w:t>Ühisteatis küberkaitse kohta</w:t>
            </w:r>
          </w:p>
        </w:tc>
      </w:tr>
      <w:tr w:rsidR="0062176B" w:rsidRPr="00274D96" w14:paraId="60F34600" w14:textId="77777777" w:rsidTr="0003468E">
        <w:tc>
          <w:tcPr>
            <w:tcW w:w="1951" w:type="dxa"/>
            <w:tcBorders>
              <w:top w:val="single" w:sz="4" w:space="0" w:color="auto"/>
              <w:left w:val="single" w:sz="4" w:space="0" w:color="auto"/>
              <w:bottom w:val="single" w:sz="4" w:space="0" w:color="auto"/>
              <w:right w:val="single" w:sz="4" w:space="0" w:color="auto"/>
            </w:tcBorders>
            <w:hideMark/>
          </w:tcPr>
          <w:p w14:paraId="10E64284" w14:textId="77777777" w:rsidR="002A2210" w:rsidRPr="00274D96" w:rsidRDefault="002A2210" w:rsidP="00816DA8">
            <w:pPr>
              <w:rPr>
                <w:noProof/>
              </w:rPr>
            </w:pPr>
            <w:r w:rsidRPr="00274D96">
              <w:rPr>
                <w:noProof/>
              </w:rPr>
              <w:t>Komisjon</w:t>
            </w:r>
          </w:p>
        </w:tc>
        <w:tc>
          <w:tcPr>
            <w:tcW w:w="2689" w:type="dxa"/>
            <w:tcBorders>
              <w:top w:val="single" w:sz="4" w:space="0" w:color="auto"/>
              <w:left w:val="single" w:sz="4" w:space="0" w:color="auto"/>
              <w:bottom w:val="single" w:sz="4" w:space="0" w:color="auto"/>
              <w:right w:val="single" w:sz="4" w:space="0" w:color="auto"/>
            </w:tcBorders>
            <w:hideMark/>
          </w:tcPr>
          <w:p w14:paraId="6C9279D9" w14:textId="0C2DDA70" w:rsidR="002A2210" w:rsidRPr="00274D96" w:rsidRDefault="002A2210" w:rsidP="00816DA8">
            <w:pPr>
              <w:rPr>
                <w:noProof/>
              </w:rPr>
            </w:pPr>
            <w:r w:rsidRPr="00274D96">
              <w:rPr>
                <w:noProof/>
              </w:rPr>
              <w:t>Operatiivne/</w:t>
            </w:r>
            <w:r w:rsidR="0003468E">
              <w:rPr>
                <w:noProof/>
              </w:rPr>
              <w:t xml:space="preserve"> </w:t>
            </w:r>
            <w:r w:rsidRPr="00274D96">
              <w:rPr>
                <w:noProof/>
              </w:rPr>
              <w:t>poliitiline</w:t>
            </w:r>
          </w:p>
        </w:tc>
        <w:tc>
          <w:tcPr>
            <w:tcW w:w="2782" w:type="dxa"/>
            <w:tcBorders>
              <w:top w:val="single" w:sz="4" w:space="0" w:color="auto"/>
              <w:left w:val="single" w:sz="4" w:space="0" w:color="auto"/>
              <w:bottom w:val="single" w:sz="4" w:space="0" w:color="auto"/>
              <w:right w:val="single" w:sz="4" w:space="0" w:color="auto"/>
            </w:tcBorders>
            <w:hideMark/>
          </w:tcPr>
          <w:p w14:paraId="4A596701" w14:textId="77777777" w:rsidR="002A2210" w:rsidRPr="00274D96" w:rsidRDefault="002A2210" w:rsidP="00816DA8">
            <w:pPr>
              <w:rPr>
                <w:noProof/>
              </w:rPr>
            </w:pPr>
            <w:r w:rsidRPr="00274D96">
              <w:rPr>
                <w:noProof/>
              </w:rPr>
              <w:t>Tagab siseturu tõrgeteta toimimise.</w:t>
            </w:r>
          </w:p>
          <w:p w14:paraId="62D15DDD" w14:textId="77777777" w:rsidR="002A2210" w:rsidRPr="00274D96" w:rsidRDefault="002A2210" w:rsidP="00816DA8">
            <w:pPr>
              <w:rPr>
                <w:noProof/>
              </w:rPr>
            </w:pPr>
            <w:r w:rsidRPr="00274D96">
              <w:rPr>
                <w:noProof/>
              </w:rPr>
              <w:t xml:space="preserve">Esitab IPCRi mehhanismi jaoks vajalikke analüütilisi aruandeid (integreeritud olukorrateadlikkuse ja analüüsi aruanded). </w:t>
            </w:r>
          </w:p>
          <w:p w14:paraId="150AD296" w14:textId="77777777" w:rsidR="002A2210" w:rsidRPr="00274D96" w:rsidRDefault="002A2210" w:rsidP="00816DA8">
            <w:pPr>
              <w:rPr>
                <w:noProof/>
              </w:rPr>
            </w:pPr>
            <w:r w:rsidRPr="00274D96">
              <w:rPr>
                <w:noProof/>
              </w:rPr>
              <w:t>Üldised valmisolekumeetmed, sealhulgas hädaolukordadele reageerimise koordineerimiskeskuse ja ühise hädaolukordade side- ja infosüsteeme haldamine.</w:t>
            </w:r>
          </w:p>
          <w:p w14:paraId="5B3D7C2A" w14:textId="77777777" w:rsidR="002A2210" w:rsidRPr="00274D96" w:rsidRDefault="002A2210" w:rsidP="00816DA8">
            <w:pPr>
              <w:rPr>
                <w:noProof/>
              </w:rPr>
            </w:pPr>
            <w:r w:rsidRPr="00274D96">
              <w:rPr>
                <w:noProof/>
              </w:rPr>
              <w:t xml:space="preserve">Osaleb EU-CyCLONes vaatlejana ja võimaliku või käimasoleva ulatusliku küberintsidendi puhul on selle liige. </w:t>
            </w:r>
          </w:p>
          <w:p w14:paraId="60D12F86" w14:textId="77777777" w:rsidR="002A2210" w:rsidRPr="00274D96" w:rsidRDefault="002A2210" w:rsidP="00816DA8">
            <w:pPr>
              <w:rPr>
                <w:noProof/>
              </w:rPr>
            </w:pPr>
            <w:r w:rsidRPr="00274D96">
              <w:rPr>
                <w:noProof/>
              </w:rPr>
              <w:t xml:space="preserve">Osaleb CSIRTide võrgustikus vaatlejana. </w:t>
            </w:r>
          </w:p>
          <w:p w14:paraId="54190078" w14:textId="77777777" w:rsidR="002A2210" w:rsidRPr="00274D96" w:rsidRDefault="002A2210" w:rsidP="00816DA8">
            <w:pPr>
              <w:rPr>
                <w:noProof/>
              </w:rPr>
            </w:pPr>
            <w:r w:rsidRPr="00274D96">
              <w:rPr>
                <w:noProof/>
              </w:rPr>
              <w:t>Omab üldist vastutust ELi küberreservi rakendamise eest.</w:t>
            </w:r>
          </w:p>
          <w:p w14:paraId="5E33DECC" w14:textId="77777777" w:rsidR="002A2210" w:rsidRPr="00274D96" w:rsidRDefault="002A2210" w:rsidP="00816DA8">
            <w:pPr>
              <w:rPr>
                <w:noProof/>
              </w:rPr>
            </w:pPr>
            <w:r w:rsidRPr="00274D96">
              <w:rPr>
                <w:noProof/>
              </w:rPr>
              <w:t>Institutsioonidevahelise küberturvalisuse nõukoja kontaktpunkt tõsiste intsidentidega seotud olulise teabe jagamiseks EU-CyCLONega.</w:t>
            </w:r>
          </w:p>
          <w:p w14:paraId="06F724D6" w14:textId="5F0A2669" w:rsidR="002A2210" w:rsidRPr="00274D96" w:rsidRDefault="002A2210" w:rsidP="003275D0">
            <w:pPr>
              <w:rPr>
                <w:noProof/>
              </w:rPr>
            </w:pPr>
            <w:r w:rsidRPr="00274D96">
              <w:rPr>
                <w:noProof/>
              </w:rPr>
              <w:t>Galileo turvaseirekeskuse strateegiline järelevalve</w:t>
            </w:r>
          </w:p>
          <w:p w14:paraId="524CC85C" w14:textId="66B09759" w:rsidR="002A2210" w:rsidRPr="00274D96" w:rsidRDefault="002A2210" w:rsidP="003275D0">
            <w:pPr>
              <w:rPr>
                <w:noProof/>
              </w:rPr>
            </w:pPr>
            <w:r w:rsidRPr="00274D96">
              <w:rPr>
                <w:noProof/>
              </w:rPr>
              <w:t>Nõukogu eesistujariik peab temaga nõu, kui ta otsustab IPCRi aktiveerimise või deaktiveerimise üle. Komisjoni talitused koos Euroopa välisteenistusega koostavad ISAA aruande</w:t>
            </w:r>
          </w:p>
        </w:tc>
        <w:tc>
          <w:tcPr>
            <w:tcW w:w="1867" w:type="dxa"/>
            <w:tcBorders>
              <w:top w:val="single" w:sz="4" w:space="0" w:color="auto"/>
              <w:left w:val="single" w:sz="4" w:space="0" w:color="auto"/>
              <w:bottom w:val="single" w:sz="4" w:space="0" w:color="auto"/>
              <w:right w:val="single" w:sz="4" w:space="0" w:color="auto"/>
            </w:tcBorders>
          </w:tcPr>
          <w:p w14:paraId="66AF481D" w14:textId="77777777" w:rsidR="002A2210" w:rsidRPr="00274D96" w:rsidRDefault="007069EA" w:rsidP="00816DA8">
            <w:pPr>
              <w:rPr>
                <w:noProof/>
              </w:rPr>
            </w:pPr>
            <w:r w:rsidRPr="00274D96">
              <w:rPr>
                <w:noProof/>
              </w:rPr>
              <w:t>Euroopa Liidu lepingu artikkel 17; rakendusotsus (EL) 2018/1993;</w:t>
            </w:r>
          </w:p>
          <w:p w14:paraId="6D6E6071" w14:textId="77777777" w:rsidR="002A2210" w:rsidRPr="00274D96" w:rsidRDefault="002A2210" w:rsidP="00816DA8">
            <w:pPr>
              <w:rPr>
                <w:noProof/>
              </w:rPr>
            </w:pPr>
            <w:r w:rsidRPr="00274D96">
              <w:rPr>
                <w:noProof/>
              </w:rPr>
              <w:t>Euroopa Parlamendi ja nõukogu otsus nr 1313/2013/EL; </w:t>
            </w:r>
          </w:p>
          <w:p w14:paraId="3E76BC12" w14:textId="77777777" w:rsidR="00537749" w:rsidRPr="00274D96" w:rsidRDefault="00537749" w:rsidP="00537749">
            <w:pPr>
              <w:rPr>
                <w:noProof/>
              </w:rPr>
            </w:pPr>
            <w:r w:rsidRPr="00274D96">
              <w:rPr>
                <w:noProof/>
              </w:rPr>
              <w:t>direktiiv (EL) 2022/2555;</w:t>
            </w:r>
          </w:p>
          <w:p w14:paraId="6C19E377" w14:textId="77777777" w:rsidR="002A2210" w:rsidRPr="00274D96" w:rsidRDefault="00537749" w:rsidP="00816DA8">
            <w:pPr>
              <w:rPr>
                <w:noProof/>
              </w:rPr>
            </w:pPr>
            <w:r w:rsidRPr="00274D96">
              <w:rPr>
                <w:noProof/>
              </w:rPr>
              <w:t>määrus (EL) 2025/38; määrus (EL, Euratom) 2023/2841</w:t>
            </w:r>
          </w:p>
          <w:p w14:paraId="38383FC5" w14:textId="77777777" w:rsidR="002A2210" w:rsidRPr="00274D96" w:rsidRDefault="002A2210" w:rsidP="00816DA8">
            <w:pPr>
              <w:rPr>
                <w:noProof/>
              </w:rPr>
            </w:pPr>
          </w:p>
        </w:tc>
      </w:tr>
      <w:tr w:rsidR="0062176B" w:rsidRPr="00274D96" w14:paraId="1E9983FA" w14:textId="77777777" w:rsidTr="0003468E">
        <w:tc>
          <w:tcPr>
            <w:tcW w:w="1951" w:type="dxa"/>
            <w:tcBorders>
              <w:top w:val="single" w:sz="4" w:space="0" w:color="auto"/>
              <w:left w:val="single" w:sz="4" w:space="0" w:color="auto"/>
              <w:bottom w:val="single" w:sz="4" w:space="0" w:color="auto"/>
              <w:right w:val="single" w:sz="4" w:space="0" w:color="auto"/>
            </w:tcBorders>
            <w:hideMark/>
          </w:tcPr>
          <w:p w14:paraId="6FD15B3E" w14:textId="77777777" w:rsidR="002A2210" w:rsidRPr="00274D96" w:rsidRDefault="002A2210" w:rsidP="003275D0">
            <w:pPr>
              <w:rPr>
                <w:noProof/>
              </w:rPr>
            </w:pPr>
            <w:r w:rsidRPr="00274D96">
              <w:rPr>
                <w:noProof/>
              </w:rPr>
              <w:t>Euroopa Liidu Küberturvalisuse Amet (ENISA)</w:t>
            </w:r>
          </w:p>
        </w:tc>
        <w:tc>
          <w:tcPr>
            <w:tcW w:w="2689" w:type="dxa"/>
            <w:tcBorders>
              <w:top w:val="single" w:sz="4" w:space="0" w:color="auto"/>
              <w:left w:val="single" w:sz="4" w:space="0" w:color="auto"/>
              <w:bottom w:val="single" w:sz="4" w:space="0" w:color="auto"/>
              <w:right w:val="single" w:sz="4" w:space="0" w:color="auto"/>
            </w:tcBorders>
            <w:hideMark/>
          </w:tcPr>
          <w:p w14:paraId="4DA65348" w14:textId="5621BE1F" w:rsidR="002A2210" w:rsidRPr="00274D96" w:rsidRDefault="002A2210" w:rsidP="003275D0">
            <w:pPr>
              <w:rPr>
                <w:noProof/>
              </w:rPr>
            </w:pPr>
            <w:r w:rsidRPr="00274D96">
              <w:rPr>
                <w:noProof/>
              </w:rPr>
              <w:t>Tehniline/</w:t>
            </w:r>
            <w:r w:rsidR="0003468E">
              <w:rPr>
                <w:noProof/>
              </w:rPr>
              <w:t xml:space="preserve"> </w:t>
            </w:r>
            <w:r w:rsidRPr="00274D96">
              <w:rPr>
                <w:noProof/>
              </w:rPr>
              <w:t>operatiivne</w:t>
            </w:r>
          </w:p>
        </w:tc>
        <w:tc>
          <w:tcPr>
            <w:tcW w:w="2782" w:type="dxa"/>
            <w:tcBorders>
              <w:top w:val="single" w:sz="4" w:space="0" w:color="auto"/>
              <w:left w:val="single" w:sz="4" w:space="0" w:color="auto"/>
              <w:bottom w:val="single" w:sz="4" w:space="0" w:color="auto"/>
              <w:right w:val="single" w:sz="4" w:space="0" w:color="auto"/>
            </w:tcBorders>
            <w:hideMark/>
          </w:tcPr>
          <w:p w14:paraId="00D5D171" w14:textId="77777777" w:rsidR="002A2210" w:rsidRPr="00274D96" w:rsidRDefault="002A2210" w:rsidP="003275D0">
            <w:pPr>
              <w:rPr>
                <w:noProof/>
              </w:rPr>
            </w:pPr>
            <w:r w:rsidRPr="00274D96">
              <w:rPr>
                <w:noProof/>
              </w:rPr>
              <w:t>Tagab CSIRTide võrgustiku ja EU-CyCLONe sekretariaaditeenused.</w:t>
            </w:r>
          </w:p>
          <w:p w14:paraId="25D09F30" w14:textId="77777777" w:rsidR="002A2210" w:rsidRPr="00274D96" w:rsidRDefault="002A2210" w:rsidP="003275D0">
            <w:pPr>
              <w:rPr>
                <w:noProof/>
              </w:rPr>
            </w:pPr>
            <w:r w:rsidRPr="00274D96">
              <w:rPr>
                <w:noProof/>
              </w:rPr>
              <w:t>Aitab välja töötada ühised reageerimismeetmed ulatuslikele piiriülestele intsidentidele ja kriisidele, tehes järgmist:</w:t>
            </w:r>
          </w:p>
          <w:p w14:paraId="4F77C4B0" w14:textId="77777777" w:rsidR="002A2210" w:rsidRPr="00274D96" w:rsidRDefault="002A2210" w:rsidP="003275D0">
            <w:pPr>
              <w:rPr>
                <w:noProof/>
              </w:rPr>
            </w:pPr>
            <w:r w:rsidRPr="00274D96">
              <w:rPr>
                <w:noProof/>
              </w:rPr>
              <w:t>koondab ja analüüsib riiklikelt allikatelt saadud aruandeid;</w:t>
            </w:r>
          </w:p>
          <w:p w14:paraId="40C16785" w14:textId="77777777" w:rsidR="002A2210" w:rsidRPr="00274D96" w:rsidRDefault="002A2210" w:rsidP="003275D0">
            <w:pPr>
              <w:rPr>
                <w:noProof/>
              </w:rPr>
            </w:pPr>
            <w:r w:rsidRPr="00274D96">
              <w:rPr>
                <w:noProof/>
              </w:rPr>
              <w:t>tagab teabevoogude liikumise tehnilise, operatiivse ja poliitilise tasandi vahel;</w:t>
            </w:r>
          </w:p>
          <w:p w14:paraId="56AD37BA" w14:textId="77777777" w:rsidR="002A2210" w:rsidRPr="00274D96" w:rsidRDefault="002A2210" w:rsidP="003275D0">
            <w:pPr>
              <w:rPr>
                <w:noProof/>
              </w:rPr>
            </w:pPr>
            <w:r w:rsidRPr="00274D96">
              <w:rPr>
                <w:noProof/>
              </w:rPr>
              <w:t>hõlbustab intsidentide käsitlemist;</w:t>
            </w:r>
          </w:p>
          <w:p w14:paraId="4E3FAF50" w14:textId="77777777" w:rsidR="002A2210" w:rsidRPr="00274D96" w:rsidRDefault="002A2210" w:rsidP="003275D0">
            <w:pPr>
              <w:rPr>
                <w:noProof/>
              </w:rPr>
            </w:pPr>
            <w:r w:rsidRPr="00274D96">
              <w:rPr>
                <w:noProof/>
              </w:rPr>
              <w:t>toetab liidu üksusi avaliku kommunikatsiooni vallas;</w:t>
            </w:r>
          </w:p>
          <w:p w14:paraId="7C357A9B" w14:textId="77777777" w:rsidR="002A2210" w:rsidRPr="00274D96" w:rsidRDefault="002A2210" w:rsidP="003275D0">
            <w:pPr>
              <w:rPr>
                <w:noProof/>
              </w:rPr>
            </w:pPr>
            <w:r w:rsidRPr="00274D96">
              <w:rPr>
                <w:noProof/>
              </w:rPr>
              <w:t>katsetab intsidentidele reageerimise suutlikkust.</w:t>
            </w:r>
          </w:p>
          <w:p w14:paraId="2AAD97C0" w14:textId="77777777" w:rsidR="002A2210" w:rsidRPr="00274D96" w:rsidRDefault="002A2210" w:rsidP="003275D0">
            <w:pPr>
              <w:rPr>
                <w:noProof/>
              </w:rPr>
            </w:pPr>
            <w:r w:rsidRPr="00274D96">
              <w:rPr>
                <w:noProof/>
              </w:rPr>
              <w:t>Käitab ja haldab osaliselt või täielikult ELi küberreservi vastavalt kübersolidaarsuse määruses ettenähtule.</w:t>
            </w:r>
          </w:p>
          <w:p w14:paraId="60A37BF0" w14:textId="2B22BBED" w:rsidR="002A2210" w:rsidRPr="00274D96" w:rsidRDefault="002A2210" w:rsidP="003275D0">
            <w:pPr>
              <w:rPr>
                <w:noProof/>
              </w:rPr>
            </w:pPr>
            <w:r w:rsidRPr="00274D96">
              <w:rPr>
                <w:noProof/>
              </w:rPr>
              <w:t>Vaatab läbi konkreetse olulise küberintsidendi või ulatusliku küberintsidendiga seotud ohud, teadaolevad nõrkused ja leevendusmeetmed ning annab neile hinnangu</w:t>
            </w:r>
          </w:p>
          <w:p w14:paraId="7AD68232" w14:textId="77777777" w:rsidR="002A2210" w:rsidRPr="00274D96" w:rsidRDefault="002A2210" w:rsidP="003275D0">
            <w:pPr>
              <w:rPr>
                <w:noProof/>
              </w:rPr>
            </w:pPr>
            <w:r w:rsidRPr="00274D96">
              <w:rPr>
                <w:noProof/>
              </w:rPr>
              <w:t>Koostab intsidendi kohta läbivaatamisaruande</w:t>
            </w:r>
          </w:p>
        </w:tc>
        <w:tc>
          <w:tcPr>
            <w:tcW w:w="1867" w:type="dxa"/>
            <w:tcBorders>
              <w:top w:val="single" w:sz="4" w:space="0" w:color="auto"/>
              <w:left w:val="single" w:sz="4" w:space="0" w:color="auto"/>
              <w:bottom w:val="single" w:sz="4" w:space="0" w:color="auto"/>
              <w:right w:val="single" w:sz="4" w:space="0" w:color="auto"/>
            </w:tcBorders>
            <w:hideMark/>
          </w:tcPr>
          <w:p w14:paraId="124DBA78" w14:textId="77777777" w:rsidR="007331D3" w:rsidRPr="00274D96" w:rsidRDefault="007331D3" w:rsidP="007331D3">
            <w:pPr>
              <w:rPr>
                <w:noProof/>
              </w:rPr>
            </w:pPr>
            <w:r w:rsidRPr="00274D96">
              <w:rPr>
                <w:noProof/>
              </w:rPr>
              <w:t>Küberturvalisuse 2. direktiiv (direktiiv (EL) 2022/2555);</w:t>
            </w:r>
          </w:p>
          <w:p w14:paraId="4AF73C46" w14:textId="77777777" w:rsidR="007331D3" w:rsidRPr="00274D96" w:rsidRDefault="007331D3" w:rsidP="007331D3">
            <w:pPr>
              <w:rPr>
                <w:noProof/>
              </w:rPr>
            </w:pPr>
            <w:r w:rsidRPr="00274D96">
              <w:rPr>
                <w:noProof/>
              </w:rPr>
              <w:t xml:space="preserve">määrus (EL) 2019/881; </w:t>
            </w:r>
          </w:p>
          <w:p w14:paraId="09D0297E" w14:textId="77777777" w:rsidR="007331D3" w:rsidRPr="00274D96" w:rsidRDefault="007331D3" w:rsidP="007331D3">
            <w:pPr>
              <w:rPr>
                <w:noProof/>
              </w:rPr>
            </w:pPr>
            <w:r w:rsidRPr="00274D96">
              <w:rPr>
                <w:noProof/>
              </w:rPr>
              <w:t>määrus (EL) 2025/38;</w:t>
            </w:r>
          </w:p>
          <w:p w14:paraId="11D47502" w14:textId="77777777" w:rsidR="002A2210" w:rsidRPr="00274D96" w:rsidRDefault="007331D3" w:rsidP="003275D0">
            <w:pPr>
              <w:rPr>
                <w:noProof/>
              </w:rPr>
            </w:pPr>
            <w:r w:rsidRPr="00274D96">
              <w:rPr>
                <w:noProof/>
              </w:rPr>
              <w:t>määrus (EL) 2024/2847</w:t>
            </w:r>
          </w:p>
        </w:tc>
      </w:tr>
      <w:tr w:rsidR="0062176B" w:rsidRPr="00274D96" w14:paraId="71BE88CF" w14:textId="77777777" w:rsidTr="0003468E">
        <w:tc>
          <w:tcPr>
            <w:tcW w:w="1951" w:type="dxa"/>
            <w:tcBorders>
              <w:top w:val="single" w:sz="4" w:space="0" w:color="auto"/>
              <w:left w:val="single" w:sz="4" w:space="0" w:color="auto"/>
              <w:bottom w:val="single" w:sz="4" w:space="0" w:color="auto"/>
              <w:right w:val="single" w:sz="4" w:space="0" w:color="auto"/>
            </w:tcBorders>
            <w:hideMark/>
          </w:tcPr>
          <w:p w14:paraId="0268D4C8" w14:textId="77777777" w:rsidR="002A2210" w:rsidRPr="00274D96" w:rsidRDefault="002A2210" w:rsidP="003275D0">
            <w:pPr>
              <w:rPr>
                <w:noProof/>
              </w:rPr>
            </w:pPr>
            <w:r w:rsidRPr="00274D96">
              <w:rPr>
                <w:noProof/>
              </w:rPr>
              <w:t>Euroopa küberkriisiga tegelevate kontaktasutuste võrgustik (EU-CyCLONe)</w:t>
            </w:r>
          </w:p>
        </w:tc>
        <w:tc>
          <w:tcPr>
            <w:tcW w:w="2689" w:type="dxa"/>
            <w:tcBorders>
              <w:top w:val="single" w:sz="4" w:space="0" w:color="auto"/>
              <w:left w:val="single" w:sz="4" w:space="0" w:color="auto"/>
              <w:bottom w:val="single" w:sz="4" w:space="0" w:color="auto"/>
              <w:right w:val="single" w:sz="4" w:space="0" w:color="auto"/>
            </w:tcBorders>
            <w:hideMark/>
          </w:tcPr>
          <w:p w14:paraId="0AB7B0A9" w14:textId="77777777" w:rsidR="002A2210" w:rsidRPr="00274D96" w:rsidRDefault="002A2210" w:rsidP="003275D0">
            <w:pPr>
              <w:rPr>
                <w:noProof/>
              </w:rPr>
            </w:pPr>
            <w:r w:rsidRPr="00274D96">
              <w:rPr>
                <w:noProof/>
              </w:rPr>
              <w:t>Operatiivne</w:t>
            </w:r>
          </w:p>
        </w:tc>
        <w:tc>
          <w:tcPr>
            <w:tcW w:w="2782" w:type="dxa"/>
            <w:tcBorders>
              <w:top w:val="single" w:sz="4" w:space="0" w:color="auto"/>
              <w:left w:val="single" w:sz="4" w:space="0" w:color="auto"/>
              <w:bottom w:val="single" w:sz="4" w:space="0" w:color="auto"/>
              <w:right w:val="single" w:sz="4" w:space="0" w:color="auto"/>
            </w:tcBorders>
            <w:hideMark/>
          </w:tcPr>
          <w:p w14:paraId="4400F91F" w14:textId="77777777" w:rsidR="002A2210" w:rsidRPr="00274D96" w:rsidRDefault="002A2210" w:rsidP="003275D0">
            <w:pPr>
              <w:rPr>
                <w:noProof/>
              </w:rPr>
            </w:pPr>
            <w:r w:rsidRPr="00274D96">
              <w:rPr>
                <w:noProof/>
              </w:rPr>
              <w:t xml:space="preserve">Toetab ulatuslike küberturvalisuse intsidentide ja kriiside ohjamist operatiivtasandil. </w:t>
            </w:r>
          </w:p>
          <w:p w14:paraId="7461EDCB" w14:textId="77777777" w:rsidR="002A2210" w:rsidRPr="00274D96" w:rsidRDefault="002A2210" w:rsidP="003275D0">
            <w:pPr>
              <w:rPr>
                <w:noProof/>
              </w:rPr>
            </w:pPr>
            <w:r w:rsidRPr="00274D96">
              <w:rPr>
                <w:noProof/>
              </w:rPr>
              <w:t xml:space="preserve">Tagab asjakohase teabe korrapärase vahetamise liikmesriikide ning liidu institutsioonide, organite ja asutuste vahel. </w:t>
            </w:r>
          </w:p>
          <w:p w14:paraId="6BEC89F7" w14:textId="77777777" w:rsidR="002A2210" w:rsidRPr="00274D96" w:rsidRDefault="002A2210" w:rsidP="003275D0">
            <w:pPr>
              <w:rPr>
                <w:noProof/>
              </w:rPr>
            </w:pPr>
            <w:r w:rsidRPr="00274D96">
              <w:rPr>
                <w:noProof/>
              </w:rPr>
              <w:t xml:space="preserve">Koordineerib ulatuslike küberturvalisuse intsidentide ja kriiside ohjamist ning toetab selliste intsidentide ja kriisidega seotud otsuste tegemist poliitilisel tasandil. </w:t>
            </w:r>
          </w:p>
          <w:p w14:paraId="6C75C76F" w14:textId="77777777" w:rsidR="002A2210" w:rsidRPr="00274D96" w:rsidRDefault="002A2210" w:rsidP="003275D0">
            <w:pPr>
              <w:rPr>
                <w:noProof/>
              </w:rPr>
            </w:pPr>
            <w:r w:rsidRPr="00274D96">
              <w:rPr>
                <w:noProof/>
              </w:rPr>
              <w:t xml:space="preserve">Hindab ulatuslike küberturvalisuse intsidentide ja kriiside tagajärgi ja mõju ning pakub välja võimalikud leevendusmeetmed. </w:t>
            </w:r>
          </w:p>
          <w:p w14:paraId="7D70CD27" w14:textId="77777777" w:rsidR="002A2210" w:rsidRPr="00274D96" w:rsidRDefault="002A2210" w:rsidP="003275D0">
            <w:pPr>
              <w:rPr>
                <w:noProof/>
              </w:rPr>
            </w:pPr>
            <w:r w:rsidRPr="00274D96">
              <w:rPr>
                <w:noProof/>
              </w:rPr>
              <w:t>Töötab koos ENISAga välja näidisvormi, et hõlbustada ELi küberreservist toetuse saamise taotluste esitamist.</w:t>
            </w:r>
          </w:p>
          <w:p w14:paraId="6B7B5DA8" w14:textId="77777777" w:rsidR="002A2210" w:rsidRPr="00274D96" w:rsidRDefault="002A2210" w:rsidP="003275D0">
            <w:pPr>
              <w:rPr>
                <w:noProof/>
              </w:rPr>
            </w:pPr>
            <w:r w:rsidRPr="00274D96">
              <w:rPr>
                <w:noProof/>
              </w:rPr>
              <w:t>Saab liikmesriikidelt teavet nende poolt ELi küberreservile esitatud taotluste kohta</w:t>
            </w:r>
          </w:p>
          <w:p w14:paraId="76C4E60C" w14:textId="77777777" w:rsidR="002A2210" w:rsidRPr="00274D96" w:rsidRDefault="002A2210" w:rsidP="003275D0">
            <w:pPr>
              <w:rPr>
                <w:noProof/>
              </w:rPr>
            </w:pPr>
            <w:r w:rsidRPr="00274D96">
              <w:rPr>
                <w:noProof/>
              </w:rPr>
              <w:t>Saab piiriülestelt küberkeskustelt või CSIRTide võrgustikult võimalike või käimasolevate ulatuslike küberturvalisuse intsidentidega seotud teavet</w:t>
            </w:r>
          </w:p>
        </w:tc>
        <w:tc>
          <w:tcPr>
            <w:tcW w:w="1867" w:type="dxa"/>
            <w:tcBorders>
              <w:top w:val="single" w:sz="4" w:space="0" w:color="auto"/>
              <w:left w:val="single" w:sz="4" w:space="0" w:color="auto"/>
              <w:bottom w:val="single" w:sz="4" w:space="0" w:color="auto"/>
              <w:right w:val="single" w:sz="4" w:space="0" w:color="auto"/>
            </w:tcBorders>
            <w:hideMark/>
          </w:tcPr>
          <w:p w14:paraId="7ABA497A" w14:textId="77777777" w:rsidR="007D296F" w:rsidRPr="00274D96" w:rsidRDefault="007D296F" w:rsidP="007D296F">
            <w:pPr>
              <w:rPr>
                <w:noProof/>
              </w:rPr>
            </w:pPr>
            <w:r w:rsidRPr="00274D96">
              <w:rPr>
                <w:noProof/>
              </w:rPr>
              <w:t>Direktiiv (EL) 2022/2555;</w:t>
            </w:r>
          </w:p>
          <w:p w14:paraId="57A1B58B" w14:textId="77777777" w:rsidR="002A2210" w:rsidRPr="00274D96" w:rsidRDefault="007D296F" w:rsidP="003275D0">
            <w:pPr>
              <w:rPr>
                <w:noProof/>
              </w:rPr>
            </w:pPr>
            <w:r w:rsidRPr="00274D96">
              <w:rPr>
                <w:noProof/>
              </w:rPr>
              <w:t>määrus (EL) 2025/38</w:t>
            </w:r>
          </w:p>
        </w:tc>
      </w:tr>
      <w:tr w:rsidR="0062176B" w:rsidRPr="00274D96" w14:paraId="0D1636C2" w14:textId="77777777" w:rsidTr="0003468E">
        <w:tc>
          <w:tcPr>
            <w:tcW w:w="1951" w:type="dxa"/>
            <w:tcBorders>
              <w:top w:val="single" w:sz="4" w:space="0" w:color="auto"/>
              <w:left w:val="single" w:sz="4" w:space="0" w:color="auto"/>
              <w:bottom w:val="single" w:sz="4" w:space="0" w:color="auto"/>
              <w:right w:val="single" w:sz="4" w:space="0" w:color="auto"/>
            </w:tcBorders>
            <w:hideMark/>
          </w:tcPr>
          <w:p w14:paraId="35935BF2" w14:textId="77777777" w:rsidR="002A2210" w:rsidRPr="00274D96" w:rsidRDefault="002A2210" w:rsidP="003275D0">
            <w:pPr>
              <w:rPr>
                <w:noProof/>
              </w:rPr>
            </w:pPr>
            <w:r w:rsidRPr="00274D96">
              <w:rPr>
                <w:noProof/>
              </w:rPr>
              <w:t>Liidu välisasjade ja julgeolekupoliitika kõrge esindaja, keda abistab Euroopa välisteenistus</w:t>
            </w:r>
          </w:p>
        </w:tc>
        <w:tc>
          <w:tcPr>
            <w:tcW w:w="2689" w:type="dxa"/>
            <w:tcBorders>
              <w:top w:val="single" w:sz="4" w:space="0" w:color="auto"/>
              <w:left w:val="single" w:sz="4" w:space="0" w:color="auto"/>
              <w:bottom w:val="single" w:sz="4" w:space="0" w:color="auto"/>
              <w:right w:val="single" w:sz="4" w:space="0" w:color="auto"/>
            </w:tcBorders>
            <w:hideMark/>
          </w:tcPr>
          <w:p w14:paraId="713B185F" w14:textId="77777777" w:rsidR="002A2210" w:rsidRPr="00274D96" w:rsidRDefault="002A2210" w:rsidP="003275D0">
            <w:pPr>
              <w:rPr>
                <w:noProof/>
              </w:rPr>
            </w:pPr>
            <w:r w:rsidRPr="00274D96">
              <w:rPr>
                <w:noProof/>
              </w:rPr>
              <w:t>Poliitiline</w:t>
            </w:r>
          </w:p>
        </w:tc>
        <w:tc>
          <w:tcPr>
            <w:tcW w:w="2782" w:type="dxa"/>
            <w:tcBorders>
              <w:top w:val="single" w:sz="4" w:space="0" w:color="auto"/>
              <w:left w:val="single" w:sz="4" w:space="0" w:color="auto"/>
              <w:bottom w:val="single" w:sz="4" w:space="0" w:color="auto"/>
              <w:right w:val="single" w:sz="4" w:space="0" w:color="auto"/>
            </w:tcBorders>
            <w:hideMark/>
          </w:tcPr>
          <w:p w14:paraId="0322DCF7" w14:textId="77777777" w:rsidR="002A2210" w:rsidRPr="00274D96" w:rsidRDefault="002A2210" w:rsidP="003275D0">
            <w:pPr>
              <w:rPr>
                <w:noProof/>
              </w:rPr>
            </w:pPr>
            <w:r w:rsidRPr="00274D96">
              <w:rPr>
                <w:noProof/>
              </w:rPr>
              <w:t>Juhib ja koordineerib hübriid- ja küberohtude valdkonna välisjulgeolekuohtude vastast liidu tegevust</w:t>
            </w:r>
          </w:p>
          <w:p w14:paraId="6B83AB4C" w14:textId="77777777" w:rsidR="002A2210" w:rsidRPr="00274D96" w:rsidRDefault="002A2210" w:rsidP="003275D0">
            <w:pPr>
              <w:rPr>
                <w:noProof/>
              </w:rPr>
            </w:pPr>
            <w:r w:rsidRPr="00274D96">
              <w:rPr>
                <w:noProof/>
              </w:rPr>
              <w:t xml:space="preserve">Vastutab liidu küberdiplomaatia- ja küberkaitsevahendite eest eesmärgiga väliseid ohte heidutada ja neile reageerida, kasutades hübriid- ja küberdiplomaatiameetmete kogumit. </w:t>
            </w:r>
          </w:p>
          <w:p w14:paraId="354F6BF6" w14:textId="77777777" w:rsidR="002A2210" w:rsidRPr="00274D96" w:rsidRDefault="002A2210" w:rsidP="003275D0">
            <w:pPr>
              <w:rPr>
                <w:noProof/>
              </w:rPr>
            </w:pPr>
            <w:r w:rsidRPr="00274D96">
              <w:rPr>
                <w:noProof/>
              </w:rPr>
              <w:t>Suhtleb välispartneritega, muu hulgas ühise julgeoleku- ja kaitsepoliitika raames.</w:t>
            </w:r>
          </w:p>
          <w:p w14:paraId="42ED95C2" w14:textId="77777777" w:rsidR="002A2210" w:rsidRPr="00274D96" w:rsidRDefault="002A2210" w:rsidP="003275D0">
            <w:pPr>
              <w:rPr>
                <w:noProof/>
              </w:rPr>
            </w:pPr>
            <w:r w:rsidRPr="00274D96">
              <w:rPr>
                <w:noProof/>
              </w:rPr>
              <w:t>Tagab kriisivalmiduse liidule ja liikmesriikidele hübriid- ja küberohtude alase olukorrateadlikkuse ja reageerimissuutlikkuse, näiteks praktiliste õppuste, koolituse ja võrgustike abil.</w:t>
            </w:r>
          </w:p>
          <w:p w14:paraId="2F9701B4" w14:textId="77777777" w:rsidR="002A2210" w:rsidRPr="00274D96" w:rsidRDefault="002A2210" w:rsidP="003275D0">
            <w:pPr>
              <w:rPr>
                <w:noProof/>
              </w:rPr>
            </w:pPr>
            <w:r w:rsidRPr="00274D96">
              <w:rPr>
                <w:noProof/>
              </w:rPr>
              <w:t xml:space="preserve">Tegeleb liidu kosmosevarade mõjuga julgeolekule ja kaitsele, eriti liidu ühise julgeoleku- ja kaitsepoliitika raames. </w:t>
            </w:r>
          </w:p>
          <w:p w14:paraId="4F292224" w14:textId="7E55DAF6" w:rsidR="002A2210" w:rsidRPr="00274D96" w:rsidRDefault="002A2210" w:rsidP="003275D0">
            <w:pPr>
              <w:rPr>
                <w:noProof/>
              </w:rPr>
            </w:pPr>
            <w:r w:rsidRPr="00274D96">
              <w:rPr>
                <w:noProof/>
              </w:rPr>
              <w:t>Nõukogu eesistujariik peab temaga nõu, kui ta otsustab IPCRi aktiveerimise või deaktiveerimise üle. Euroopa välisteenistus koos komisjoni talitustega koostab ISAA aruande</w:t>
            </w:r>
          </w:p>
        </w:tc>
        <w:tc>
          <w:tcPr>
            <w:tcW w:w="1867" w:type="dxa"/>
            <w:tcBorders>
              <w:top w:val="single" w:sz="4" w:space="0" w:color="auto"/>
              <w:left w:val="single" w:sz="4" w:space="0" w:color="auto"/>
              <w:bottom w:val="single" w:sz="4" w:space="0" w:color="auto"/>
              <w:right w:val="single" w:sz="4" w:space="0" w:color="auto"/>
            </w:tcBorders>
            <w:hideMark/>
          </w:tcPr>
          <w:p w14:paraId="780FB16A" w14:textId="77777777" w:rsidR="002A2210" w:rsidRPr="00274D96" w:rsidRDefault="002A2210" w:rsidP="003275D0">
            <w:pPr>
              <w:rPr>
                <w:noProof/>
              </w:rPr>
            </w:pPr>
            <w:r w:rsidRPr="00274D96">
              <w:rPr>
                <w:noProof/>
              </w:rPr>
              <w:t>Nõukogu otsus 2010/427/EL</w:t>
            </w:r>
          </w:p>
        </w:tc>
      </w:tr>
      <w:tr w:rsidR="0062176B" w:rsidRPr="00274D96" w14:paraId="05D1313A" w14:textId="77777777" w:rsidTr="0003468E">
        <w:tc>
          <w:tcPr>
            <w:tcW w:w="1951" w:type="dxa"/>
            <w:tcBorders>
              <w:top w:val="single" w:sz="4" w:space="0" w:color="auto"/>
              <w:left w:val="single" w:sz="4" w:space="0" w:color="auto"/>
              <w:bottom w:val="single" w:sz="4" w:space="0" w:color="auto"/>
              <w:right w:val="single" w:sz="4" w:space="0" w:color="auto"/>
            </w:tcBorders>
            <w:hideMark/>
          </w:tcPr>
          <w:p w14:paraId="283F5EB6" w14:textId="77777777" w:rsidR="002A2210" w:rsidRPr="00274D96" w:rsidRDefault="008F6857" w:rsidP="003275D0">
            <w:pPr>
              <w:rPr>
                <w:noProof/>
              </w:rPr>
            </w:pPr>
            <w:r w:rsidRPr="00274D96">
              <w:rPr>
                <w:noProof/>
              </w:rPr>
              <w:t>Europol</w:t>
            </w:r>
          </w:p>
        </w:tc>
        <w:tc>
          <w:tcPr>
            <w:tcW w:w="2689" w:type="dxa"/>
            <w:tcBorders>
              <w:top w:val="single" w:sz="4" w:space="0" w:color="auto"/>
              <w:left w:val="single" w:sz="4" w:space="0" w:color="auto"/>
              <w:bottom w:val="single" w:sz="4" w:space="0" w:color="auto"/>
              <w:right w:val="single" w:sz="4" w:space="0" w:color="auto"/>
            </w:tcBorders>
            <w:hideMark/>
          </w:tcPr>
          <w:p w14:paraId="2221225E" w14:textId="77777777" w:rsidR="002A2210" w:rsidRPr="00274D96" w:rsidRDefault="002A2210" w:rsidP="003275D0">
            <w:pPr>
              <w:rPr>
                <w:noProof/>
              </w:rPr>
            </w:pPr>
            <w:r w:rsidRPr="00274D96">
              <w:rPr>
                <w:noProof/>
              </w:rPr>
              <w:t>Operatiivne</w:t>
            </w:r>
          </w:p>
        </w:tc>
        <w:tc>
          <w:tcPr>
            <w:tcW w:w="2782" w:type="dxa"/>
            <w:tcBorders>
              <w:top w:val="single" w:sz="4" w:space="0" w:color="auto"/>
              <w:left w:val="single" w:sz="4" w:space="0" w:color="auto"/>
              <w:bottom w:val="single" w:sz="4" w:space="0" w:color="auto"/>
              <w:right w:val="single" w:sz="4" w:space="0" w:color="auto"/>
            </w:tcBorders>
            <w:hideMark/>
          </w:tcPr>
          <w:p w14:paraId="6C30371A" w14:textId="77777777" w:rsidR="002A2210" w:rsidRPr="00274D96" w:rsidRDefault="008F6857" w:rsidP="003275D0">
            <w:pPr>
              <w:rPr>
                <w:noProof/>
              </w:rPr>
            </w:pPr>
            <w:r w:rsidRPr="00274D96">
              <w:rPr>
                <w:noProof/>
              </w:rPr>
              <w:t>Tagab liikmesriikide pädevatele asutustele operatiivse ja tehnilise toe küberkuritegevuse ennetamiseks ja heidutuseks</w:t>
            </w:r>
          </w:p>
        </w:tc>
        <w:tc>
          <w:tcPr>
            <w:tcW w:w="1867" w:type="dxa"/>
            <w:tcBorders>
              <w:top w:val="single" w:sz="4" w:space="0" w:color="auto"/>
              <w:left w:val="single" w:sz="4" w:space="0" w:color="auto"/>
              <w:bottom w:val="single" w:sz="4" w:space="0" w:color="auto"/>
              <w:right w:val="single" w:sz="4" w:space="0" w:color="auto"/>
            </w:tcBorders>
            <w:hideMark/>
          </w:tcPr>
          <w:p w14:paraId="10BEE12D" w14:textId="77777777" w:rsidR="002A2210" w:rsidRPr="00274D96" w:rsidRDefault="002A2210" w:rsidP="003275D0">
            <w:pPr>
              <w:rPr>
                <w:noProof/>
              </w:rPr>
            </w:pPr>
            <w:r w:rsidRPr="00274D96">
              <w:rPr>
                <w:noProof/>
              </w:rPr>
              <w:t xml:space="preserve">Määrus (EL) 2016/794, sealhulgas kõik selle muudatused </w:t>
            </w:r>
          </w:p>
        </w:tc>
      </w:tr>
      <w:tr w:rsidR="0062176B" w:rsidRPr="00274D96" w14:paraId="7801BF40" w14:textId="77777777" w:rsidTr="0003468E">
        <w:tc>
          <w:tcPr>
            <w:tcW w:w="1951" w:type="dxa"/>
            <w:tcBorders>
              <w:top w:val="single" w:sz="4" w:space="0" w:color="auto"/>
              <w:left w:val="single" w:sz="4" w:space="0" w:color="auto"/>
              <w:bottom w:val="single" w:sz="4" w:space="0" w:color="auto"/>
              <w:right w:val="single" w:sz="4" w:space="0" w:color="auto"/>
            </w:tcBorders>
            <w:hideMark/>
          </w:tcPr>
          <w:p w14:paraId="455A2230" w14:textId="77777777" w:rsidR="002A2210" w:rsidRPr="00274D96" w:rsidRDefault="002A2210" w:rsidP="003275D0">
            <w:pPr>
              <w:rPr>
                <w:noProof/>
              </w:rPr>
            </w:pPr>
            <w:r w:rsidRPr="00274D96">
              <w:rPr>
                <w:noProof/>
              </w:rPr>
              <w:t>Institutsioonidevaheline küberturvalisuse nõukoda</w:t>
            </w:r>
          </w:p>
        </w:tc>
        <w:tc>
          <w:tcPr>
            <w:tcW w:w="2689" w:type="dxa"/>
            <w:tcBorders>
              <w:top w:val="single" w:sz="4" w:space="0" w:color="auto"/>
              <w:left w:val="single" w:sz="4" w:space="0" w:color="auto"/>
              <w:bottom w:val="single" w:sz="4" w:space="0" w:color="auto"/>
              <w:right w:val="single" w:sz="4" w:space="0" w:color="auto"/>
            </w:tcBorders>
            <w:hideMark/>
          </w:tcPr>
          <w:p w14:paraId="2DDE540B" w14:textId="77777777" w:rsidR="002A2210" w:rsidRPr="00274D96" w:rsidRDefault="002A2210" w:rsidP="003275D0">
            <w:pPr>
              <w:rPr>
                <w:noProof/>
              </w:rPr>
            </w:pPr>
          </w:p>
        </w:tc>
        <w:tc>
          <w:tcPr>
            <w:tcW w:w="2782" w:type="dxa"/>
            <w:tcBorders>
              <w:top w:val="single" w:sz="4" w:space="0" w:color="auto"/>
              <w:left w:val="single" w:sz="4" w:space="0" w:color="auto"/>
              <w:bottom w:val="single" w:sz="4" w:space="0" w:color="auto"/>
              <w:right w:val="single" w:sz="4" w:space="0" w:color="auto"/>
            </w:tcBorders>
            <w:hideMark/>
          </w:tcPr>
          <w:p w14:paraId="51999F5A" w14:textId="49784341" w:rsidR="00200955" w:rsidRPr="00274D96" w:rsidRDefault="002A2210" w:rsidP="000F2656">
            <w:pPr>
              <w:rPr>
                <w:noProof/>
              </w:rPr>
            </w:pPr>
            <w:r w:rsidRPr="00274D96">
              <w:rPr>
                <w:noProof/>
              </w:rPr>
              <w:t>Kiidab heaks liidu üksuste institutsioonidevahelise küberkriiside ohjamise kava. Võtab CERT-EU ettepaneku alusel vastu suunised või soovitused koostöö kohta intsidentidele reageerimiseks liidu üksusi puudutavate oluliste intsidentide korral</w:t>
            </w:r>
          </w:p>
        </w:tc>
        <w:tc>
          <w:tcPr>
            <w:tcW w:w="1867" w:type="dxa"/>
            <w:tcBorders>
              <w:top w:val="single" w:sz="4" w:space="0" w:color="auto"/>
              <w:left w:val="single" w:sz="4" w:space="0" w:color="auto"/>
              <w:bottom w:val="single" w:sz="4" w:space="0" w:color="auto"/>
              <w:right w:val="single" w:sz="4" w:space="0" w:color="auto"/>
            </w:tcBorders>
            <w:hideMark/>
          </w:tcPr>
          <w:p w14:paraId="0D830FCC" w14:textId="77777777" w:rsidR="002A2210" w:rsidRPr="00274D96" w:rsidRDefault="002A2210" w:rsidP="003275D0">
            <w:pPr>
              <w:rPr>
                <w:noProof/>
              </w:rPr>
            </w:pPr>
            <w:r w:rsidRPr="00274D96">
              <w:rPr>
                <w:noProof/>
              </w:rPr>
              <w:t>Määrus (EL, Euratom) 2023/2841</w:t>
            </w:r>
          </w:p>
        </w:tc>
      </w:tr>
      <w:tr w:rsidR="0062176B" w:rsidRPr="00274D96" w14:paraId="6395FCA3" w14:textId="77777777" w:rsidTr="0003468E">
        <w:trPr>
          <w:trHeight w:val="300"/>
        </w:trPr>
        <w:tc>
          <w:tcPr>
            <w:tcW w:w="1951" w:type="dxa"/>
            <w:tcBorders>
              <w:top w:val="single" w:sz="4" w:space="0" w:color="auto"/>
              <w:left w:val="single" w:sz="4" w:space="0" w:color="auto"/>
              <w:bottom w:val="single" w:sz="4" w:space="0" w:color="auto"/>
              <w:right w:val="single" w:sz="4" w:space="0" w:color="auto"/>
            </w:tcBorders>
            <w:hideMark/>
          </w:tcPr>
          <w:p w14:paraId="7612F8A7" w14:textId="365BFC82" w:rsidR="002A2210" w:rsidRPr="00274D96" w:rsidRDefault="002A2210" w:rsidP="003275D0">
            <w:pPr>
              <w:rPr>
                <w:noProof/>
              </w:rPr>
            </w:pPr>
            <w:r w:rsidRPr="00274D96">
              <w:rPr>
                <w:noProof/>
              </w:rPr>
              <w:t>Sõjaliste infoturbeintsidentidega tegelevate rühmade operatiivvõrgustik (MICNET)</w:t>
            </w:r>
          </w:p>
        </w:tc>
        <w:tc>
          <w:tcPr>
            <w:tcW w:w="2689" w:type="dxa"/>
            <w:tcBorders>
              <w:top w:val="single" w:sz="4" w:space="0" w:color="auto"/>
              <w:left w:val="single" w:sz="4" w:space="0" w:color="auto"/>
              <w:bottom w:val="single" w:sz="4" w:space="0" w:color="auto"/>
              <w:right w:val="single" w:sz="4" w:space="0" w:color="auto"/>
            </w:tcBorders>
            <w:hideMark/>
          </w:tcPr>
          <w:p w14:paraId="50DA08FE" w14:textId="77777777" w:rsidR="002A2210" w:rsidRPr="00274D96" w:rsidRDefault="002A2210" w:rsidP="003275D0">
            <w:pPr>
              <w:rPr>
                <w:noProof/>
              </w:rPr>
            </w:pPr>
            <w:r w:rsidRPr="00274D96">
              <w:rPr>
                <w:noProof/>
              </w:rPr>
              <w:t xml:space="preserve">Tehniline </w:t>
            </w:r>
          </w:p>
        </w:tc>
        <w:tc>
          <w:tcPr>
            <w:tcW w:w="2782" w:type="dxa"/>
            <w:tcBorders>
              <w:top w:val="single" w:sz="4" w:space="0" w:color="auto"/>
              <w:left w:val="single" w:sz="4" w:space="0" w:color="auto"/>
              <w:bottom w:val="single" w:sz="4" w:space="0" w:color="auto"/>
              <w:right w:val="single" w:sz="4" w:space="0" w:color="auto"/>
            </w:tcBorders>
            <w:hideMark/>
          </w:tcPr>
          <w:p w14:paraId="5797C885" w14:textId="77777777" w:rsidR="002A2210" w:rsidRPr="00274D96" w:rsidRDefault="002A2210" w:rsidP="003275D0">
            <w:pPr>
              <w:rPr>
                <w:noProof/>
              </w:rPr>
            </w:pPr>
            <w:r w:rsidRPr="00274D96">
              <w:rPr>
                <w:noProof/>
              </w:rPr>
              <w:t>Propageerib jõulisemat ja koordineeritumat reageerimist küberohtudele, mis mõjutavad ELi kaitsesüsteeme, sealhulgas ÜJKP sõjalistes missioonides ja operatsioonides kasutatavaid kaitsesüsteeme; selle looja ja toetaja ja on Euroopa Kaitseagentuur</w:t>
            </w:r>
          </w:p>
        </w:tc>
        <w:tc>
          <w:tcPr>
            <w:tcW w:w="1867" w:type="dxa"/>
            <w:tcBorders>
              <w:top w:val="single" w:sz="4" w:space="0" w:color="auto"/>
              <w:left w:val="single" w:sz="4" w:space="0" w:color="auto"/>
              <w:bottom w:val="single" w:sz="4" w:space="0" w:color="auto"/>
              <w:right w:val="single" w:sz="4" w:space="0" w:color="auto"/>
            </w:tcBorders>
            <w:hideMark/>
          </w:tcPr>
          <w:p w14:paraId="74F484C2" w14:textId="77777777" w:rsidR="002A2210" w:rsidRPr="00274D96" w:rsidRDefault="002A2210" w:rsidP="003275D0">
            <w:pPr>
              <w:rPr>
                <w:noProof/>
              </w:rPr>
            </w:pPr>
            <w:r w:rsidRPr="00274D96">
              <w:rPr>
                <w:noProof/>
              </w:rPr>
              <w:t>2022. aasta ühisteatis küberkaitse kohta</w:t>
            </w:r>
          </w:p>
        </w:tc>
      </w:tr>
      <w:tr w:rsidR="0062176B" w:rsidRPr="00274D96" w14:paraId="3A7AF857" w14:textId="77777777" w:rsidTr="0003468E">
        <w:trPr>
          <w:trHeight w:val="300"/>
        </w:trPr>
        <w:tc>
          <w:tcPr>
            <w:tcW w:w="1951" w:type="dxa"/>
            <w:tcBorders>
              <w:top w:val="single" w:sz="4" w:space="0" w:color="auto"/>
              <w:left w:val="single" w:sz="4" w:space="0" w:color="auto"/>
              <w:bottom w:val="single" w:sz="4" w:space="0" w:color="auto"/>
              <w:right w:val="single" w:sz="4" w:space="0" w:color="auto"/>
            </w:tcBorders>
            <w:hideMark/>
          </w:tcPr>
          <w:p w14:paraId="0C09E44A" w14:textId="77777777" w:rsidR="002A2210" w:rsidRPr="00274D96" w:rsidRDefault="002A2210" w:rsidP="003275D0">
            <w:pPr>
              <w:rPr>
                <w:noProof/>
              </w:rPr>
            </w:pPr>
            <w:r w:rsidRPr="00274D96">
              <w:rPr>
                <w:noProof/>
              </w:rPr>
              <w:t>SIAC</w:t>
            </w:r>
          </w:p>
        </w:tc>
        <w:tc>
          <w:tcPr>
            <w:tcW w:w="2689" w:type="dxa"/>
            <w:tcBorders>
              <w:top w:val="single" w:sz="4" w:space="0" w:color="auto"/>
              <w:left w:val="single" w:sz="4" w:space="0" w:color="auto"/>
              <w:bottom w:val="single" w:sz="4" w:space="0" w:color="auto"/>
              <w:right w:val="single" w:sz="4" w:space="0" w:color="auto"/>
            </w:tcBorders>
            <w:hideMark/>
          </w:tcPr>
          <w:p w14:paraId="7287B403" w14:textId="77777777" w:rsidR="002A2210" w:rsidRPr="00274D96" w:rsidRDefault="002A2210" w:rsidP="003275D0">
            <w:pPr>
              <w:rPr>
                <w:noProof/>
              </w:rPr>
            </w:pPr>
          </w:p>
        </w:tc>
        <w:tc>
          <w:tcPr>
            <w:tcW w:w="2782" w:type="dxa"/>
            <w:tcBorders>
              <w:top w:val="single" w:sz="4" w:space="0" w:color="auto"/>
              <w:left w:val="single" w:sz="4" w:space="0" w:color="auto"/>
              <w:bottom w:val="single" w:sz="4" w:space="0" w:color="auto"/>
              <w:right w:val="single" w:sz="4" w:space="0" w:color="auto"/>
            </w:tcBorders>
            <w:hideMark/>
          </w:tcPr>
          <w:p w14:paraId="5B11BBB8" w14:textId="607E1A48" w:rsidR="002A2210" w:rsidRPr="00274D96" w:rsidRDefault="002A2210" w:rsidP="003275D0">
            <w:pPr>
              <w:rPr>
                <w:noProof/>
              </w:rPr>
            </w:pPr>
            <w:r w:rsidRPr="00274D96">
              <w:rPr>
                <w:noProof/>
              </w:rPr>
              <w:t xml:space="preserve">Koosneb 1) ELi luure- ja situatsioonikeskusest, mis käitleb tsiviilluureandmeid ja avalikest allikatest pärinevat teavet ning esitab strateegilist luuereteavet välispoliitika, terrorismi ja hübriidohtude kohta, ja 2) ELi sõjalise staabi luuredirektoraadist, mis käitleb ühise julgeoleku- ja kaitsepoliitika missioonidelt pärinevat sõjalist luureteavet ning toetab liidu kaitse-ja kriisiohjeoperatsioone. </w:t>
            </w:r>
          </w:p>
          <w:p w14:paraId="525B5996" w14:textId="77777777" w:rsidR="002A2210" w:rsidRPr="00274D96" w:rsidRDefault="002A2210" w:rsidP="00A75C21">
            <w:pPr>
              <w:rPr>
                <w:noProof/>
              </w:rPr>
            </w:pPr>
            <w:r w:rsidRPr="00274D96">
              <w:rPr>
                <w:noProof/>
              </w:rPr>
              <w:t>Kuulub kõrge esindaja alluvusse</w:t>
            </w:r>
          </w:p>
        </w:tc>
        <w:tc>
          <w:tcPr>
            <w:tcW w:w="1867" w:type="dxa"/>
            <w:tcBorders>
              <w:top w:val="single" w:sz="4" w:space="0" w:color="auto"/>
              <w:left w:val="single" w:sz="4" w:space="0" w:color="auto"/>
              <w:bottom w:val="single" w:sz="4" w:space="0" w:color="auto"/>
              <w:right w:val="single" w:sz="4" w:space="0" w:color="auto"/>
            </w:tcBorders>
            <w:hideMark/>
          </w:tcPr>
          <w:p w14:paraId="4EC2BB1F" w14:textId="37BBA0F3" w:rsidR="00577148" w:rsidRPr="00274D96" w:rsidRDefault="00324649" w:rsidP="003275D0">
            <w:pPr>
              <w:rPr>
                <w:noProof/>
              </w:rPr>
            </w:pPr>
            <w:r w:rsidRPr="00274D96">
              <w:rPr>
                <w:noProof/>
              </w:rPr>
              <w:t>Euroopa Liidu lepingu artiklid 38 ja 42–46 Nõukogu ühismeede 2001/555/ÜVJP</w:t>
            </w:r>
          </w:p>
          <w:p w14:paraId="15889DDF" w14:textId="2E8566BA" w:rsidR="002A2210" w:rsidRPr="00274D96" w:rsidRDefault="002A2210" w:rsidP="003275D0">
            <w:pPr>
              <w:rPr>
                <w:noProof/>
              </w:rPr>
            </w:pPr>
            <w:r w:rsidRPr="00274D96">
              <w:rPr>
                <w:noProof/>
              </w:rPr>
              <w:t xml:space="preserve"> </w:t>
            </w:r>
          </w:p>
          <w:p w14:paraId="351D2757" w14:textId="77777777" w:rsidR="002A2210" w:rsidRPr="00274D96" w:rsidRDefault="002A2210" w:rsidP="003275D0">
            <w:pPr>
              <w:rPr>
                <w:noProof/>
              </w:rPr>
            </w:pPr>
            <w:r w:rsidRPr="00274D96">
              <w:rPr>
                <w:noProof/>
              </w:rPr>
              <w:t>Nõukogu otsus 2010/461/ÜVJP</w:t>
            </w:r>
          </w:p>
        </w:tc>
      </w:tr>
    </w:tbl>
    <w:p w14:paraId="1A96033D" w14:textId="77777777" w:rsidR="002A2210" w:rsidRPr="00274D96" w:rsidRDefault="002A2210" w:rsidP="002A2210">
      <w:pPr>
        <w:rPr>
          <w:noProof/>
        </w:rPr>
      </w:pPr>
    </w:p>
    <w:p w14:paraId="080708A4" w14:textId="77777777" w:rsidR="002A2210" w:rsidRPr="00274D96" w:rsidRDefault="002A2210" w:rsidP="006F4368">
      <w:pPr>
        <w:pStyle w:val="Point0number"/>
        <w:numPr>
          <w:ilvl w:val="0"/>
          <w:numId w:val="6"/>
        </w:numPr>
        <w:rPr>
          <w:b/>
          <w:bCs/>
          <w:noProof/>
        </w:rPr>
      </w:pPr>
      <w:r w:rsidRPr="00274D96">
        <w:rPr>
          <w:b/>
          <w:noProof/>
        </w:rPr>
        <w:t>Liidu tasandi asjaomased kriisimehhanismid</w:t>
      </w:r>
    </w:p>
    <w:p w14:paraId="10E32804" w14:textId="77777777" w:rsidR="002A2210" w:rsidRPr="00274D96" w:rsidRDefault="002A2210" w:rsidP="002A2210">
      <w:pPr>
        <w:rPr>
          <w:noProof/>
        </w:rPr>
      </w:pPr>
    </w:p>
    <w:tbl>
      <w:tblPr>
        <w:tblStyle w:val="TableGrid"/>
        <w:tblW w:w="9945" w:type="dxa"/>
        <w:tblLayout w:type="fixed"/>
        <w:tblLook w:val="04A0" w:firstRow="1" w:lastRow="0" w:firstColumn="1" w:lastColumn="0" w:noHBand="0" w:noVBand="1"/>
      </w:tblPr>
      <w:tblGrid>
        <w:gridCol w:w="1952"/>
        <w:gridCol w:w="2267"/>
        <w:gridCol w:w="3404"/>
        <w:gridCol w:w="2322"/>
      </w:tblGrid>
      <w:tr w:rsidR="0062176B" w:rsidRPr="00274D96" w14:paraId="387AA5A7" w14:textId="77777777" w:rsidTr="0003468E">
        <w:trPr>
          <w:tblHeader/>
        </w:trPr>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2C9E9" w14:textId="77777777" w:rsidR="002A2210" w:rsidRPr="00274D96" w:rsidRDefault="002A2210" w:rsidP="00317BCE">
            <w:pPr>
              <w:jc w:val="center"/>
              <w:rPr>
                <w:b/>
                <w:bCs/>
                <w:noProof/>
              </w:rPr>
            </w:pPr>
            <w:r w:rsidRPr="00274D96">
              <w:rPr>
                <w:b/>
                <w:noProof/>
              </w:rPr>
              <w:t>Mehhanism</w:t>
            </w:r>
          </w:p>
        </w:tc>
        <w:tc>
          <w:tcPr>
            <w:tcW w:w="2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8F325" w14:textId="77777777" w:rsidR="002A2210" w:rsidRPr="00274D96" w:rsidRDefault="002A2210" w:rsidP="00317BCE">
            <w:pPr>
              <w:jc w:val="center"/>
              <w:rPr>
                <w:b/>
                <w:bCs/>
                <w:noProof/>
              </w:rPr>
            </w:pPr>
            <w:r w:rsidRPr="00274D96">
              <w:rPr>
                <w:b/>
                <w:noProof/>
              </w:rPr>
              <w:t>Horisontaalne / valdkondlik / kübervaldkonnaspetsiifiline</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4A3E3" w14:textId="77777777" w:rsidR="002A2210" w:rsidRPr="00274D96" w:rsidRDefault="002A2210" w:rsidP="00317BCE">
            <w:pPr>
              <w:jc w:val="center"/>
              <w:rPr>
                <w:b/>
                <w:bCs/>
                <w:noProof/>
              </w:rPr>
            </w:pPr>
            <w:r w:rsidRPr="00274D96">
              <w:rPr>
                <w:b/>
                <w:noProof/>
              </w:rPr>
              <w:t>Kirjeldus</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702651" w14:textId="77777777" w:rsidR="002A2210" w:rsidRPr="00274D96" w:rsidRDefault="002A2210" w:rsidP="00317BCE">
            <w:pPr>
              <w:jc w:val="center"/>
              <w:rPr>
                <w:b/>
                <w:bCs/>
                <w:noProof/>
              </w:rPr>
            </w:pPr>
            <w:r w:rsidRPr="00274D96">
              <w:rPr>
                <w:b/>
                <w:noProof/>
              </w:rPr>
              <w:t>Aluseks olev õigusakt</w:t>
            </w:r>
          </w:p>
        </w:tc>
      </w:tr>
      <w:tr w:rsidR="0062176B" w:rsidRPr="00274D96" w14:paraId="4800DFED"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5431C24C" w14:textId="77777777" w:rsidR="002A2210" w:rsidRPr="00274D96" w:rsidRDefault="002A2210" w:rsidP="00317BCE">
            <w:pPr>
              <w:rPr>
                <w:noProof/>
              </w:rPr>
            </w:pPr>
            <w:r w:rsidRPr="00274D96">
              <w:rPr>
                <w:noProof/>
              </w:rPr>
              <w:t>ARGUS</w:t>
            </w:r>
          </w:p>
        </w:tc>
        <w:tc>
          <w:tcPr>
            <w:tcW w:w="2267" w:type="dxa"/>
            <w:tcBorders>
              <w:top w:val="single" w:sz="4" w:space="0" w:color="auto"/>
              <w:left w:val="single" w:sz="4" w:space="0" w:color="auto"/>
              <w:bottom w:val="single" w:sz="4" w:space="0" w:color="auto"/>
              <w:right w:val="single" w:sz="4" w:space="0" w:color="auto"/>
            </w:tcBorders>
            <w:hideMark/>
          </w:tcPr>
          <w:p w14:paraId="13F7B428" w14:textId="77777777" w:rsidR="002A2210" w:rsidRPr="00274D96" w:rsidRDefault="002A2210" w:rsidP="00317BCE">
            <w:pPr>
              <w:rPr>
                <w:noProof/>
              </w:rPr>
            </w:pPr>
            <w:r w:rsidRPr="00274D96">
              <w:rPr>
                <w:noProof/>
              </w:rPr>
              <w:t>Horisontaalne</w:t>
            </w:r>
          </w:p>
        </w:tc>
        <w:tc>
          <w:tcPr>
            <w:tcW w:w="3404" w:type="dxa"/>
            <w:tcBorders>
              <w:top w:val="single" w:sz="4" w:space="0" w:color="auto"/>
              <w:left w:val="single" w:sz="4" w:space="0" w:color="auto"/>
              <w:bottom w:val="single" w:sz="4" w:space="0" w:color="auto"/>
              <w:right w:val="single" w:sz="4" w:space="0" w:color="auto"/>
            </w:tcBorders>
            <w:hideMark/>
          </w:tcPr>
          <w:p w14:paraId="20C70E24" w14:textId="77777777" w:rsidR="002A2210" w:rsidRPr="00274D96" w:rsidRDefault="002A2210" w:rsidP="00317BCE">
            <w:pPr>
              <w:rPr>
                <w:noProof/>
              </w:rPr>
            </w:pPr>
            <w:r w:rsidRPr="00274D96">
              <w:rPr>
                <w:noProof/>
              </w:rPr>
              <w:t>Võimaldab komisjonil vahetada olulist teavet uute mitut valdkonda hõlmavate kriiside kohta või liidu tasandi meetmeid nõudvate ettenähtavate või otseste ohtude kohta</w:t>
            </w:r>
          </w:p>
        </w:tc>
        <w:tc>
          <w:tcPr>
            <w:tcW w:w="2322" w:type="dxa"/>
            <w:tcBorders>
              <w:top w:val="single" w:sz="4" w:space="0" w:color="auto"/>
              <w:left w:val="single" w:sz="4" w:space="0" w:color="auto"/>
              <w:bottom w:val="single" w:sz="4" w:space="0" w:color="auto"/>
              <w:right w:val="single" w:sz="4" w:space="0" w:color="auto"/>
            </w:tcBorders>
            <w:hideMark/>
          </w:tcPr>
          <w:p w14:paraId="0F7649FB" w14:textId="3122560D" w:rsidR="002A2210" w:rsidRPr="00274D96" w:rsidRDefault="002A2210" w:rsidP="00317BCE">
            <w:pPr>
              <w:rPr>
                <w:noProof/>
              </w:rPr>
            </w:pPr>
            <w:r w:rsidRPr="00274D96">
              <w:rPr>
                <w:noProof/>
              </w:rPr>
              <w:t>Komisjoni teatis (2005) 662</w:t>
            </w:r>
          </w:p>
        </w:tc>
      </w:tr>
      <w:tr w:rsidR="0062176B" w:rsidRPr="00274D96" w14:paraId="6C690AE8"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649B5459" w14:textId="77777777" w:rsidR="002A2210" w:rsidRPr="00274D96" w:rsidRDefault="002A2210" w:rsidP="00317BCE">
            <w:pPr>
              <w:rPr>
                <w:noProof/>
              </w:rPr>
            </w:pPr>
            <w:r w:rsidRPr="00274D96">
              <w:rPr>
                <w:noProof/>
              </w:rPr>
              <w:t>Euroopa välisteenistuse kriisidele reageerimine keskus</w:t>
            </w:r>
          </w:p>
        </w:tc>
        <w:tc>
          <w:tcPr>
            <w:tcW w:w="2267" w:type="dxa"/>
            <w:tcBorders>
              <w:top w:val="single" w:sz="4" w:space="0" w:color="auto"/>
              <w:left w:val="single" w:sz="4" w:space="0" w:color="auto"/>
              <w:bottom w:val="single" w:sz="4" w:space="0" w:color="auto"/>
              <w:right w:val="single" w:sz="4" w:space="0" w:color="auto"/>
            </w:tcBorders>
            <w:hideMark/>
          </w:tcPr>
          <w:p w14:paraId="35FFBE96" w14:textId="77777777" w:rsidR="002A2210" w:rsidRPr="00274D96" w:rsidRDefault="002A2210" w:rsidP="00317BCE">
            <w:pPr>
              <w:rPr>
                <w:noProof/>
              </w:rPr>
            </w:pPr>
            <w:r w:rsidRPr="00274D96">
              <w:rPr>
                <w:noProof/>
              </w:rPr>
              <w:t>Horisontaalne</w:t>
            </w:r>
          </w:p>
        </w:tc>
        <w:tc>
          <w:tcPr>
            <w:tcW w:w="3404" w:type="dxa"/>
            <w:tcBorders>
              <w:top w:val="single" w:sz="4" w:space="0" w:color="auto"/>
              <w:left w:val="single" w:sz="4" w:space="0" w:color="auto"/>
              <w:bottom w:val="single" w:sz="4" w:space="0" w:color="auto"/>
              <w:right w:val="single" w:sz="4" w:space="0" w:color="auto"/>
            </w:tcBorders>
            <w:hideMark/>
          </w:tcPr>
          <w:p w14:paraId="2F3F5BAE" w14:textId="1D3FBC2A" w:rsidR="002A2210" w:rsidRPr="00274D96" w:rsidRDefault="002A2210" w:rsidP="00317BCE">
            <w:pPr>
              <w:rPr>
                <w:noProof/>
              </w:rPr>
            </w:pPr>
            <w:r w:rsidRPr="00274D96">
              <w:rPr>
                <w:noProof/>
              </w:rPr>
              <w:t>Euroopa välisteenistuse ühtne kontaktpunkt kõigis kriisidega seotud küsimustes ja ööpäevaringselt töötav alaline kriisidele reageerimine üksus selliste hädaolukordade puhuks, mis ähvardavad ELi delegatsioonide töötajate turvalisust, ja/või selleks et reageerida kriisidele, mis mõjutavad liidu kodanikke väljaspool ELi. See koondab julgeoleku, konsulaartöö ja olukorrateadlikkuse eksperte ning kasutab samas liidu delegatsioonides töötavaid pühendunud spetsialiste</w:t>
            </w:r>
          </w:p>
        </w:tc>
        <w:tc>
          <w:tcPr>
            <w:tcW w:w="2322" w:type="dxa"/>
            <w:tcBorders>
              <w:top w:val="single" w:sz="4" w:space="0" w:color="auto"/>
              <w:left w:val="single" w:sz="4" w:space="0" w:color="auto"/>
              <w:bottom w:val="single" w:sz="4" w:space="0" w:color="auto"/>
              <w:right w:val="single" w:sz="4" w:space="0" w:color="auto"/>
            </w:tcBorders>
          </w:tcPr>
          <w:p w14:paraId="2CACFE39" w14:textId="77777777" w:rsidR="002A2210" w:rsidRPr="00274D96" w:rsidRDefault="6E11CE86" w:rsidP="00E62971">
            <w:pPr>
              <w:rPr>
                <w:noProof/>
              </w:rPr>
            </w:pPr>
            <w:r w:rsidRPr="00274D96">
              <w:rPr>
                <w:noProof/>
              </w:rPr>
              <w:t>Julgeoleku- ja kaitsevaldkonna strateegiline kompass Euroopa Liidule, kes kaitseb oma kodanikke, väärtusi ja huve ning toetab rahvusvahelist rahu ja julgeolekut (21. märts 2022)</w:t>
            </w:r>
          </w:p>
          <w:p w14:paraId="03A1ACA6" w14:textId="77777777" w:rsidR="002A2210" w:rsidRPr="00274D96" w:rsidRDefault="002A2210" w:rsidP="00E62971">
            <w:pPr>
              <w:rPr>
                <w:noProof/>
              </w:rPr>
            </w:pPr>
          </w:p>
        </w:tc>
      </w:tr>
      <w:tr w:rsidR="0062176B" w:rsidRPr="00274D96" w14:paraId="057BC473"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14D465BD" w14:textId="77777777" w:rsidR="002A2210" w:rsidRPr="00274D96" w:rsidRDefault="002A2210" w:rsidP="00317BCE">
            <w:pPr>
              <w:rPr>
                <w:noProof/>
              </w:rPr>
            </w:pPr>
            <w:r w:rsidRPr="00274D96">
              <w:rPr>
                <w:noProof/>
              </w:rPr>
              <w:t>Elutähtsa taristu tegevuskava</w:t>
            </w:r>
          </w:p>
        </w:tc>
        <w:tc>
          <w:tcPr>
            <w:tcW w:w="2267" w:type="dxa"/>
            <w:tcBorders>
              <w:top w:val="single" w:sz="4" w:space="0" w:color="auto"/>
              <w:left w:val="single" w:sz="4" w:space="0" w:color="auto"/>
              <w:bottom w:val="single" w:sz="4" w:space="0" w:color="auto"/>
              <w:right w:val="single" w:sz="4" w:space="0" w:color="auto"/>
            </w:tcBorders>
            <w:hideMark/>
          </w:tcPr>
          <w:p w14:paraId="334FB617" w14:textId="77777777" w:rsidR="002A2210" w:rsidRPr="00274D96" w:rsidRDefault="002A2210" w:rsidP="00317BCE">
            <w:pPr>
              <w:rPr>
                <w:noProof/>
              </w:rPr>
            </w:pPr>
            <w:r w:rsidRPr="00274D96">
              <w:rPr>
                <w:noProof/>
              </w:rPr>
              <w:t>Horisontaalne</w:t>
            </w:r>
          </w:p>
        </w:tc>
        <w:tc>
          <w:tcPr>
            <w:tcW w:w="3404" w:type="dxa"/>
            <w:tcBorders>
              <w:top w:val="single" w:sz="4" w:space="0" w:color="auto"/>
              <w:left w:val="single" w:sz="4" w:space="0" w:color="auto"/>
              <w:bottom w:val="single" w:sz="4" w:space="0" w:color="auto"/>
              <w:right w:val="single" w:sz="4" w:space="0" w:color="auto"/>
            </w:tcBorders>
            <w:hideMark/>
          </w:tcPr>
          <w:p w14:paraId="14094D33" w14:textId="77777777" w:rsidR="002A2210" w:rsidRPr="00274D96" w:rsidRDefault="002A2210" w:rsidP="00317BCE">
            <w:pPr>
              <w:rPr>
                <w:noProof/>
              </w:rPr>
            </w:pPr>
            <w:r w:rsidRPr="00274D96">
              <w:rPr>
                <w:noProof/>
              </w:rPr>
              <w:t>Sellega koordineeritakse liidu tasandi reageerimist märkimisväärse piiriülese tähtsusega elutähtsa taristu häiretele</w:t>
            </w:r>
          </w:p>
        </w:tc>
        <w:tc>
          <w:tcPr>
            <w:tcW w:w="2322" w:type="dxa"/>
            <w:tcBorders>
              <w:top w:val="single" w:sz="4" w:space="0" w:color="auto"/>
              <w:left w:val="single" w:sz="4" w:space="0" w:color="auto"/>
              <w:bottom w:val="single" w:sz="4" w:space="0" w:color="auto"/>
              <w:right w:val="single" w:sz="4" w:space="0" w:color="auto"/>
            </w:tcBorders>
            <w:hideMark/>
          </w:tcPr>
          <w:p w14:paraId="43E363E3" w14:textId="77777777" w:rsidR="002A2210" w:rsidRPr="00274D96" w:rsidRDefault="00817F16" w:rsidP="00317BCE">
            <w:pPr>
              <w:rPr>
                <w:noProof/>
              </w:rPr>
            </w:pPr>
            <w:r w:rsidRPr="00274D96">
              <w:rPr>
                <w:noProof/>
              </w:rPr>
              <w:t>Nõukogu soovitus C/2024/4371</w:t>
            </w:r>
          </w:p>
        </w:tc>
      </w:tr>
      <w:tr w:rsidR="0062176B" w:rsidRPr="00274D96" w14:paraId="08C8E845"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782C201A" w14:textId="77777777" w:rsidR="002A2210" w:rsidRPr="00274D96" w:rsidRDefault="002A2210" w:rsidP="00317BCE">
            <w:pPr>
              <w:rPr>
                <w:noProof/>
              </w:rPr>
            </w:pPr>
            <w:r w:rsidRPr="00274D96">
              <w:rPr>
                <w:noProof/>
              </w:rPr>
              <w:t>Kübertuvalisuse hoiatussüsteem</w:t>
            </w:r>
          </w:p>
        </w:tc>
        <w:tc>
          <w:tcPr>
            <w:tcW w:w="2267" w:type="dxa"/>
            <w:tcBorders>
              <w:top w:val="single" w:sz="4" w:space="0" w:color="auto"/>
              <w:left w:val="single" w:sz="4" w:space="0" w:color="auto"/>
              <w:bottom w:val="single" w:sz="4" w:space="0" w:color="auto"/>
              <w:right w:val="single" w:sz="4" w:space="0" w:color="auto"/>
            </w:tcBorders>
            <w:hideMark/>
          </w:tcPr>
          <w:p w14:paraId="4FD88BB7" w14:textId="77777777" w:rsidR="002A2210" w:rsidRPr="00274D96" w:rsidRDefault="002A2210" w:rsidP="00317BCE">
            <w:pPr>
              <w:rPr>
                <w:noProof/>
              </w:rPr>
            </w:pPr>
            <w:r w:rsidRPr="00274D96">
              <w:rPr>
                <w:noProof/>
              </w:rPr>
              <w:t>Kübervaldkonnaspetsiifiline</w:t>
            </w:r>
          </w:p>
        </w:tc>
        <w:tc>
          <w:tcPr>
            <w:tcW w:w="3404" w:type="dxa"/>
            <w:tcBorders>
              <w:top w:val="single" w:sz="4" w:space="0" w:color="auto"/>
              <w:left w:val="single" w:sz="4" w:space="0" w:color="auto"/>
              <w:bottom w:val="single" w:sz="4" w:space="0" w:color="auto"/>
              <w:right w:val="single" w:sz="4" w:space="0" w:color="auto"/>
            </w:tcBorders>
            <w:hideMark/>
          </w:tcPr>
          <w:p w14:paraId="4174D880" w14:textId="77777777" w:rsidR="002A2210" w:rsidRPr="00274D96" w:rsidRDefault="002A2210" w:rsidP="00317BCE">
            <w:pPr>
              <w:rPr>
                <w:noProof/>
              </w:rPr>
            </w:pPr>
            <w:r w:rsidRPr="00274D96">
              <w:rPr>
                <w:noProof/>
              </w:rPr>
              <w:t>Tagab liidu täiustatud suutlikkuse parandada küberohtudega seotud avastamis-, analüüsi- ja andmetöötlussuutlikkust ja intsidentide ennetamist liidus</w:t>
            </w:r>
          </w:p>
        </w:tc>
        <w:tc>
          <w:tcPr>
            <w:tcW w:w="2322" w:type="dxa"/>
            <w:tcBorders>
              <w:top w:val="single" w:sz="4" w:space="0" w:color="auto"/>
              <w:left w:val="single" w:sz="4" w:space="0" w:color="auto"/>
              <w:bottom w:val="single" w:sz="4" w:space="0" w:color="auto"/>
              <w:right w:val="single" w:sz="4" w:space="0" w:color="auto"/>
            </w:tcBorders>
            <w:hideMark/>
          </w:tcPr>
          <w:p w14:paraId="3AA28B5B" w14:textId="77777777" w:rsidR="002A2210" w:rsidRPr="00274D96" w:rsidRDefault="002A2210" w:rsidP="00317BCE">
            <w:pPr>
              <w:rPr>
                <w:noProof/>
              </w:rPr>
            </w:pPr>
            <w:r w:rsidRPr="00274D96">
              <w:rPr>
                <w:noProof/>
              </w:rPr>
              <w:t>Määrus (EL) 2025/38 (kübersolidaarsuse määrus), ELT L, 15.1.2025</w:t>
            </w:r>
          </w:p>
        </w:tc>
      </w:tr>
      <w:tr w:rsidR="0062176B" w:rsidRPr="00274D96" w14:paraId="035FD93E"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1E835A1D" w14:textId="77777777" w:rsidR="002A2210" w:rsidRPr="00274D96" w:rsidRDefault="002A2210" w:rsidP="00317BCE">
            <w:pPr>
              <w:rPr>
                <w:noProof/>
              </w:rPr>
            </w:pPr>
            <w:r w:rsidRPr="00274D96">
              <w:rPr>
                <w:noProof/>
              </w:rPr>
              <w:t>Küberdiplomaatia meetmete kogum (pahatahtlikule kübertegevusele ELi ühise diplomaatilise reageerimise raamistik)</w:t>
            </w:r>
          </w:p>
        </w:tc>
        <w:tc>
          <w:tcPr>
            <w:tcW w:w="2267" w:type="dxa"/>
            <w:tcBorders>
              <w:top w:val="single" w:sz="4" w:space="0" w:color="auto"/>
              <w:left w:val="single" w:sz="4" w:space="0" w:color="auto"/>
              <w:bottom w:val="single" w:sz="4" w:space="0" w:color="auto"/>
              <w:right w:val="single" w:sz="4" w:space="0" w:color="auto"/>
            </w:tcBorders>
            <w:hideMark/>
          </w:tcPr>
          <w:p w14:paraId="3024C31B" w14:textId="77777777" w:rsidR="002A2210" w:rsidRPr="00274D96" w:rsidRDefault="002A2210" w:rsidP="00317BCE">
            <w:pPr>
              <w:rPr>
                <w:noProof/>
              </w:rPr>
            </w:pPr>
            <w:r w:rsidRPr="00274D96">
              <w:rPr>
                <w:noProof/>
              </w:rPr>
              <w:t>Kübervaldkonnaspetsiifiline</w:t>
            </w:r>
          </w:p>
        </w:tc>
        <w:tc>
          <w:tcPr>
            <w:tcW w:w="3404" w:type="dxa"/>
            <w:tcBorders>
              <w:top w:val="single" w:sz="4" w:space="0" w:color="auto"/>
              <w:left w:val="single" w:sz="4" w:space="0" w:color="auto"/>
              <w:bottom w:val="single" w:sz="4" w:space="0" w:color="auto"/>
              <w:right w:val="single" w:sz="4" w:space="0" w:color="auto"/>
            </w:tcBorders>
            <w:hideMark/>
          </w:tcPr>
          <w:p w14:paraId="0D5DC1F9" w14:textId="77777777" w:rsidR="002A2210" w:rsidRPr="00274D96" w:rsidRDefault="002A2210" w:rsidP="00317BCE">
            <w:pPr>
              <w:rPr>
                <w:noProof/>
              </w:rPr>
            </w:pPr>
            <w:r w:rsidRPr="00274D96">
              <w:rPr>
                <w:noProof/>
              </w:rPr>
              <w:t xml:space="preserve">Liidu ühised diplomaatilised meetmed, millega reageeritakse pahatahtlikule kübertegevusele ja mis aitavad kaasa konfliktide ennetamisele, küberohtude leevendamisele ja rahvusvahelistes suhetes suurema stabiilsuse saavutamisele </w:t>
            </w:r>
          </w:p>
        </w:tc>
        <w:tc>
          <w:tcPr>
            <w:tcW w:w="2322" w:type="dxa"/>
            <w:tcBorders>
              <w:top w:val="single" w:sz="4" w:space="0" w:color="auto"/>
              <w:left w:val="single" w:sz="4" w:space="0" w:color="auto"/>
              <w:bottom w:val="single" w:sz="4" w:space="0" w:color="auto"/>
              <w:right w:val="single" w:sz="4" w:space="0" w:color="auto"/>
            </w:tcBorders>
            <w:hideMark/>
          </w:tcPr>
          <w:p w14:paraId="60E714CB" w14:textId="77777777" w:rsidR="002A2210" w:rsidRPr="00274D96" w:rsidRDefault="002A2210" w:rsidP="00F52CF9">
            <w:pPr>
              <w:rPr>
                <w:noProof/>
              </w:rPr>
            </w:pPr>
            <w:r w:rsidRPr="00274D96">
              <w:rPr>
                <w:noProof/>
              </w:rPr>
              <w:t>Nõukogu 19. juuni 2017. aasta järeldused</w:t>
            </w:r>
          </w:p>
          <w:p w14:paraId="1C159773" w14:textId="77777777" w:rsidR="002A2210" w:rsidRPr="00274D96" w:rsidRDefault="002A2210" w:rsidP="00F52CF9">
            <w:pPr>
              <w:rPr>
                <w:noProof/>
              </w:rPr>
            </w:pPr>
            <w:r w:rsidRPr="00274D96">
              <w:rPr>
                <w:noProof/>
              </w:rPr>
              <w:t>Läbivaadatud rakendussuunised, 10289/23, 8.6.2023</w:t>
            </w:r>
          </w:p>
        </w:tc>
      </w:tr>
      <w:tr w:rsidR="0062176B" w:rsidRPr="00274D96" w14:paraId="5EA43478"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0F1DD76C" w14:textId="77777777" w:rsidR="002A2210" w:rsidRPr="00274D96" w:rsidRDefault="002A2210" w:rsidP="00F52CF9">
            <w:pPr>
              <w:rPr>
                <w:noProof/>
              </w:rPr>
            </w:pPr>
            <w:r w:rsidRPr="00274D96">
              <w:rPr>
                <w:noProof/>
              </w:rPr>
              <w:t>Euroopa küberreserv</w:t>
            </w:r>
          </w:p>
        </w:tc>
        <w:tc>
          <w:tcPr>
            <w:tcW w:w="2267" w:type="dxa"/>
            <w:tcBorders>
              <w:top w:val="single" w:sz="4" w:space="0" w:color="auto"/>
              <w:left w:val="single" w:sz="4" w:space="0" w:color="auto"/>
              <w:bottom w:val="single" w:sz="4" w:space="0" w:color="auto"/>
              <w:right w:val="single" w:sz="4" w:space="0" w:color="auto"/>
            </w:tcBorders>
            <w:hideMark/>
          </w:tcPr>
          <w:p w14:paraId="06DE110C" w14:textId="77777777" w:rsidR="002A2210" w:rsidRPr="00274D96" w:rsidRDefault="002A2210" w:rsidP="00F52CF9">
            <w:pPr>
              <w:rPr>
                <w:noProof/>
              </w:rPr>
            </w:pPr>
            <w:r w:rsidRPr="00274D96">
              <w:rPr>
                <w:noProof/>
              </w:rPr>
              <w:t>Kübervaldkonnaspetsiifiline</w:t>
            </w:r>
          </w:p>
        </w:tc>
        <w:tc>
          <w:tcPr>
            <w:tcW w:w="3404" w:type="dxa"/>
            <w:tcBorders>
              <w:top w:val="single" w:sz="4" w:space="0" w:color="auto"/>
              <w:left w:val="single" w:sz="4" w:space="0" w:color="auto"/>
              <w:bottom w:val="single" w:sz="4" w:space="0" w:color="auto"/>
              <w:right w:val="single" w:sz="4" w:space="0" w:color="auto"/>
            </w:tcBorders>
            <w:hideMark/>
          </w:tcPr>
          <w:p w14:paraId="10409F6D" w14:textId="77777777" w:rsidR="002A2210" w:rsidRPr="00274D96" w:rsidRDefault="002A2210" w:rsidP="4A588F1B">
            <w:pPr>
              <w:rPr>
                <w:rFonts w:eastAsia="Times New Roman"/>
                <w:noProof/>
              </w:rPr>
            </w:pPr>
            <w:r w:rsidRPr="00274D96">
              <w:rPr>
                <w:noProof/>
              </w:rPr>
              <w:t>Kaasab kriiside kestel kübervaldkonna eksperte ja ressursse, et toetada liikmesriike, liidu institutsioone, organeid või asutusi kriisile reageerimisel</w:t>
            </w:r>
          </w:p>
        </w:tc>
        <w:tc>
          <w:tcPr>
            <w:tcW w:w="2322" w:type="dxa"/>
            <w:tcBorders>
              <w:top w:val="single" w:sz="4" w:space="0" w:color="auto"/>
              <w:left w:val="single" w:sz="4" w:space="0" w:color="auto"/>
              <w:bottom w:val="single" w:sz="4" w:space="0" w:color="auto"/>
              <w:right w:val="single" w:sz="4" w:space="0" w:color="auto"/>
            </w:tcBorders>
            <w:hideMark/>
          </w:tcPr>
          <w:p w14:paraId="1A30D691" w14:textId="77777777" w:rsidR="002A2210" w:rsidRPr="00274D96" w:rsidRDefault="002A2210" w:rsidP="00F52CF9">
            <w:pPr>
              <w:rPr>
                <w:noProof/>
              </w:rPr>
            </w:pPr>
            <w:r w:rsidRPr="00274D96">
              <w:rPr>
                <w:noProof/>
              </w:rPr>
              <w:t xml:space="preserve">Määrus (EL) 2025/38 </w:t>
            </w:r>
          </w:p>
        </w:tc>
      </w:tr>
      <w:tr w:rsidR="0062176B" w:rsidRPr="00274D96" w14:paraId="599E7BB9"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5C7DB77C" w14:textId="77777777" w:rsidR="002A2210" w:rsidRPr="00274D96" w:rsidRDefault="002A2210" w:rsidP="00F52CF9">
            <w:pPr>
              <w:rPr>
                <w:noProof/>
              </w:rPr>
            </w:pPr>
            <w:r w:rsidRPr="00274D96">
              <w:rPr>
                <w:noProof/>
              </w:rPr>
              <w:t>Võrgueeskiri piiriüleste elektrivoogude küberturvalisust käsitlevate sektoripõhiste normide kohta</w:t>
            </w:r>
          </w:p>
        </w:tc>
        <w:tc>
          <w:tcPr>
            <w:tcW w:w="2267" w:type="dxa"/>
            <w:tcBorders>
              <w:top w:val="single" w:sz="4" w:space="0" w:color="auto"/>
              <w:left w:val="single" w:sz="4" w:space="0" w:color="auto"/>
              <w:bottom w:val="single" w:sz="4" w:space="0" w:color="auto"/>
              <w:right w:val="single" w:sz="4" w:space="0" w:color="auto"/>
            </w:tcBorders>
            <w:hideMark/>
          </w:tcPr>
          <w:p w14:paraId="5DF4EC5B" w14:textId="77777777" w:rsidR="002A2210" w:rsidRPr="00274D96" w:rsidRDefault="002A2210" w:rsidP="00F52CF9">
            <w:pPr>
              <w:rPr>
                <w:noProof/>
              </w:rPr>
            </w:pPr>
            <w:r w:rsidRPr="00274D96">
              <w:rPr>
                <w:noProof/>
              </w:rPr>
              <w:t>Valdkondlik</w:t>
            </w:r>
          </w:p>
        </w:tc>
        <w:tc>
          <w:tcPr>
            <w:tcW w:w="3404" w:type="dxa"/>
            <w:tcBorders>
              <w:top w:val="single" w:sz="4" w:space="0" w:color="auto"/>
              <w:left w:val="single" w:sz="4" w:space="0" w:color="auto"/>
              <w:bottom w:val="single" w:sz="4" w:space="0" w:color="auto"/>
              <w:right w:val="single" w:sz="4" w:space="0" w:color="auto"/>
            </w:tcBorders>
            <w:hideMark/>
          </w:tcPr>
          <w:p w14:paraId="181C56DF" w14:textId="77777777" w:rsidR="002A2210" w:rsidRPr="00274D96" w:rsidRDefault="002A2210" w:rsidP="00F52CF9">
            <w:pPr>
              <w:rPr>
                <w:noProof/>
              </w:rPr>
            </w:pPr>
            <w:r w:rsidRPr="00274D96">
              <w:rPr>
                <w:noProof/>
              </w:rPr>
              <w:t xml:space="preserve">Sellega kehtestatakse elektrisektori küberriskide hindamise järjepidev protsess; eeskiri sisaldab spetsiaalseid kriisiohjesätteid ning sellega luuakse seos CSIRTide võrgustiku ja EU-CyCLONega </w:t>
            </w:r>
          </w:p>
        </w:tc>
        <w:tc>
          <w:tcPr>
            <w:tcW w:w="2322" w:type="dxa"/>
            <w:tcBorders>
              <w:top w:val="single" w:sz="4" w:space="0" w:color="auto"/>
              <w:left w:val="single" w:sz="4" w:space="0" w:color="auto"/>
              <w:bottom w:val="single" w:sz="4" w:space="0" w:color="auto"/>
              <w:right w:val="single" w:sz="4" w:space="0" w:color="auto"/>
            </w:tcBorders>
            <w:hideMark/>
          </w:tcPr>
          <w:p w14:paraId="123D6D80" w14:textId="77777777" w:rsidR="002A2210" w:rsidRPr="00274D96" w:rsidRDefault="002A2210" w:rsidP="00F52CF9">
            <w:pPr>
              <w:rPr>
                <w:noProof/>
              </w:rPr>
            </w:pPr>
            <w:r w:rsidRPr="00274D96">
              <w:rPr>
                <w:noProof/>
              </w:rPr>
              <w:t>Komisjoni delegeeritud määrus (EL) 2024/1366</w:t>
            </w:r>
          </w:p>
        </w:tc>
      </w:tr>
      <w:tr w:rsidR="0062176B" w:rsidRPr="00274D96" w14:paraId="1B4E0384"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2FFD5933" w14:textId="77777777" w:rsidR="002A2210" w:rsidRPr="00274D96" w:rsidRDefault="002A2210" w:rsidP="00F52CF9">
            <w:pPr>
              <w:rPr>
                <w:noProof/>
              </w:rPr>
            </w:pPr>
            <w:r w:rsidRPr="00274D96">
              <w:rPr>
                <w:noProof/>
              </w:rPr>
              <w:t xml:space="preserve">ELi küberkaitse koordineerimiskeskus </w:t>
            </w:r>
          </w:p>
        </w:tc>
        <w:tc>
          <w:tcPr>
            <w:tcW w:w="2267" w:type="dxa"/>
            <w:tcBorders>
              <w:top w:val="single" w:sz="4" w:space="0" w:color="auto"/>
              <w:left w:val="single" w:sz="4" w:space="0" w:color="auto"/>
              <w:bottom w:val="single" w:sz="4" w:space="0" w:color="auto"/>
              <w:right w:val="single" w:sz="4" w:space="0" w:color="auto"/>
            </w:tcBorders>
            <w:hideMark/>
          </w:tcPr>
          <w:p w14:paraId="2553D012" w14:textId="77777777" w:rsidR="002A2210" w:rsidRPr="00274D96" w:rsidRDefault="002A2210" w:rsidP="00F52CF9">
            <w:pPr>
              <w:rPr>
                <w:noProof/>
              </w:rPr>
            </w:pPr>
            <w:r w:rsidRPr="00274D96">
              <w:rPr>
                <w:noProof/>
              </w:rPr>
              <w:t>Horisontaalne</w:t>
            </w:r>
          </w:p>
        </w:tc>
        <w:tc>
          <w:tcPr>
            <w:tcW w:w="3404" w:type="dxa"/>
            <w:tcBorders>
              <w:top w:val="single" w:sz="4" w:space="0" w:color="auto"/>
              <w:left w:val="single" w:sz="4" w:space="0" w:color="auto"/>
              <w:bottom w:val="single" w:sz="4" w:space="0" w:color="auto"/>
              <w:right w:val="single" w:sz="4" w:space="0" w:color="auto"/>
            </w:tcBorders>
            <w:hideMark/>
          </w:tcPr>
          <w:p w14:paraId="1B621483" w14:textId="77777777" w:rsidR="002A2210" w:rsidRPr="00274D96" w:rsidRDefault="002A2210" w:rsidP="00F52CF9">
            <w:pPr>
              <w:rPr>
                <w:noProof/>
              </w:rPr>
            </w:pPr>
            <w:r w:rsidRPr="00274D96">
              <w:rPr>
                <w:noProof/>
              </w:rPr>
              <w:t>Algselt ennekõike suunatud liidu ja tema liikmesriikide parema ühise olukorrateadlikkuse saavutamisele küberruumise toimuva pahatahtliku tegevuse kohta, ennekõike mis puudutab ÜJKP sõjalisi missioone ja operatsioone</w:t>
            </w:r>
          </w:p>
        </w:tc>
        <w:tc>
          <w:tcPr>
            <w:tcW w:w="2322" w:type="dxa"/>
            <w:tcBorders>
              <w:top w:val="single" w:sz="4" w:space="0" w:color="auto"/>
              <w:left w:val="single" w:sz="4" w:space="0" w:color="auto"/>
              <w:bottom w:val="single" w:sz="4" w:space="0" w:color="auto"/>
              <w:right w:val="single" w:sz="4" w:space="0" w:color="auto"/>
            </w:tcBorders>
            <w:hideMark/>
          </w:tcPr>
          <w:p w14:paraId="1CB9B47E" w14:textId="77777777" w:rsidR="002A2210" w:rsidRPr="00274D96" w:rsidRDefault="002A2210" w:rsidP="00F52CF9">
            <w:pPr>
              <w:rPr>
                <w:noProof/>
              </w:rPr>
            </w:pPr>
            <w:r w:rsidRPr="00274D96">
              <w:rPr>
                <w:noProof/>
              </w:rPr>
              <w:t>2022. aasta ühisteatis küberkaitse kohta</w:t>
            </w:r>
          </w:p>
        </w:tc>
      </w:tr>
      <w:tr w:rsidR="0062176B" w:rsidRPr="00274D96" w14:paraId="4FD08370"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1AE9AC35" w14:textId="77777777" w:rsidR="002A2210" w:rsidRPr="00274D96" w:rsidRDefault="002A2210" w:rsidP="00F52CF9">
            <w:pPr>
              <w:rPr>
                <w:noProof/>
              </w:rPr>
            </w:pPr>
            <w:r w:rsidRPr="00274D96">
              <w:rPr>
                <w:noProof/>
              </w:rPr>
              <w:t>Hübriidmeetmete kogum</w:t>
            </w:r>
          </w:p>
        </w:tc>
        <w:tc>
          <w:tcPr>
            <w:tcW w:w="2267" w:type="dxa"/>
            <w:tcBorders>
              <w:top w:val="single" w:sz="4" w:space="0" w:color="auto"/>
              <w:left w:val="single" w:sz="4" w:space="0" w:color="auto"/>
              <w:bottom w:val="single" w:sz="4" w:space="0" w:color="auto"/>
              <w:right w:val="single" w:sz="4" w:space="0" w:color="auto"/>
            </w:tcBorders>
            <w:hideMark/>
          </w:tcPr>
          <w:p w14:paraId="11802B26" w14:textId="77777777" w:rsidR="002A2210" w:rsidRPr="00274D96" w:rsidRDefault="002A2210" w:rsidP="00F52CF9">
            <w:pPr>
              <w:rPr>
                <w:noProof/>
              </w:rPr>
            </w:pPr>
            <w:r w:rsidRPr="00274D96">
              <w:rPr>
                <w:noProof/>
              </w:rPr>
              <w:t>Horisontaalne</w:t>
            </w:r>
          </w:p>
        </w:tc>
        <w:tc>
          <w:tcPr>
            <w:tcW w:w="3404" w:type="dxa"/>
            <w:tcBorders>
              <w:top w:val="single" w:sz="4" w:space="0" w:color="auto"/>
              <w:left w:val="single" w:sz="4" w:space="0" w:color="auto"/>
              <w:bottom w:val="single" w:sz="4" w:space="0" w:color="auto"/>
              <w:right w:val="single" w:sz="4" w:space="0" w:color="auto"/>
            </w:tcBorders>
            <w:hideMark/>
          </w:tcPr>
          <w:p w14:paraId="7D0405A0" w14:textId="77777777" w:rsidR="002A2210" w:rsidRPr="00274D96" w:rsidRDefault="002A2210" w:rsidP="00F52CF9">
            <w:pPr>
              <w:rPr>
                <w:noProof/>
              </w:rPr>
            </w:pPr>
            <w:r w:rsidRPr="00274D96">
              <w:rPr>
                <w:noProof/>
              </w:rPr>
              <w:t>Sisaldab sätteid, mille eesmärk on tagada ülevaade ELi tasandil kättesaadavatest vahenditest mis tahes liiki hübriidohtudele reageerimiseks ja nende koordineeritud kasutamine, tagades sidususe kõigis valdkondades võetavate liidu meetmete vahel. Hübriidmeetmete kogum aitab tagada, et otsuste tegemise aluseks on terviklik olukorrateadlikkus ja saadud kogemused</w:t>
            </w:r>
          </w:p>
        </w:tc>
        <w:tc>
          <w:tcPr>
            <w:tcW w:w="2322" w:type="dxa"/>
            <w:tcBorders>
              <w:top w:val="single" w:sz="4" w:space="0" w:color="auto"/>
              <w:left w:val="single" w:sz="4" w:space="0" w:color="auto"/>
              <w:bottom w:val="single" w:sz="4" w:space="0" w:color="auto"/>
              <w:right w:val="single" w:sz="4" w:space="0" w:color="auto"/>
            </w:tcBorders>
            <w:hideMark/>
          </w:tcPr>
          <w:p w14:paraId="1E58CD81" w14:textId="77777777" w:rsidR="002A2210" w:rsidRPr="00274D96" w:rsidRDefault="002A2210" w:rsidP="00F52CF9">
            <w:pPr>
              <w:rPr>
                <w:noProof/>
              </w:rPr>
            </w:pPr>
            <w:r w:rsidRPr="00274D96">
              <w:rPr>
                <w:noProof/>
              </w:rPr>
              <w:t>Nõukogu järeldused, mis käsitlevad raamistikku ELi koordineeritud reageerimiseks hübriidkampaaniatele (22. juuni 2022).</w:t>
            </w:r>
          </w:p>
        </w:tc>
      </w:tr>
      <w:tr w:rsidR="0062176B" w:rsidRPr="00274D96" w14:paraId="4BB0E7ED"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0D4F34A9" w14:textId="77777777" w:rsidR="002A2210" w:rsidRPr="00274D96" w:rsidRDefault="002A2210" w:rsidP="00F52CF9">
            <w:pPr>
              <w:rPr>
                <w:noProof/>
              </w:rPr>
            </w:pPr>
            <w:r w:rsidRPr="00274D96">
              <w:rPr>
                <w:noProof/>
              </w:rPr>
              <w:t xml:space="preserve">Hübriidohtudega tegelevad kiirreageerimisrühmad </w:t>
            </w:r>
          </w:p>
        </w:tc>
        <w:tc>
          <w:tcPr>
            <w:tcW w:w="2267" w:type="dxa"/>
            <w:tcBorders>
              <w:top w:val="single" w:sz="4" w:space="0" w:color="auto"/>
              <w:left w:val="single" w:sz="4" w:space="0" w:color="auto"/>
              <w:bottom w:val="single" w:sz="4" w:space="0" w:color="auto"/>
              <w:right w:val="single" w:sz="4" w:space="0" w:color="auto"/>
            </w:tcBorders>
            <w:hideMark/>
          </w:tcPr>
          <w:p w14:paraId="32A3EA1F" w14:textId="77777777" w:rsidR="002A2210" w:rsidRPr="00274D96" w:rsidRDefault="002A2210" w:rsidP="00F52CF9">
            <w:pPr>
              <w:rPr>
                <w:noProof/>
              </w:rPr>
            </w:pPr>
            <w:r w:rsidRPr="00274D96">
              <w:rPr>
                <w:noProof/>
              </w:rPr>
              <w:t>Horisontaalne</w:t>
            </w:r>
          </w:p>
        </w:tc>
        <w:tc>
          <w:tcPr>
            <w:tcW w:w="3404" w:type="dxa"/>
            <w:tcBorders>
              <w:top w:val="single" w:sz="4" w:space="0" w:color="auto"/>
              <w:left w:val="single" w:sz="4" w:space="0" w:color="auto"/>
              <w:bottom w:val="single" w:sz="4" w:space="0" w:color="auto"/>
              <w:right w:val="single" w:sz="4" w:space="0" w:color="auto"/>
            </w:tcBorders>
            <w:hideMark/>
          </w:tcPr>
          <w:p w14:paraId="55597FFA" w14:textId="77777777" w:rsidR="002A2210" w:rsidRPr="00274D96" w:rsidRDefault="002A2210" w:rsidP="00F52CF9">
            <w:pPr>
              <w:rPr>
                <w:noProof/>
              </w:rPr>
            </w:pPr>
            <w:r w:rsidRPr="00274D96">
              <w:rPr>
                <w:noProof/>
              </w:rPr>
              <w:t>ELi hübriidmeetmete kogumi osana kasutavad hübriidohtudega tegelevad ELi kiirreageerimisrühmad vastava valdkonna riiklikke ja ELi tsiviil- ja sõjaväevaldkonna eksperditeadmisi, et pakkuda juhtumipõhist ja sihtotstarbelist lühiajalist abi liikmesriikidele, ühise julgeoleku- ja kaitsepoliitika raames toimuvate missioonide ja operatsioonide jaoks ning partnerriikidele, kes võitlevad hübriidohtude ja -kampaaniatega</w:t>
            </w:r>
          </w:p>
        </w:tc>
        <w:tc>
          <w:tcPr>
            <w:tcW w:w="2322" w:type="dxa"/>
            <w:tcBorders>
              <w:top w:val="single" w:sz="4" w:space="0" w:color="auto"/>
              <w:left w:val="single" w:sz="4" w:space="0" w:color="auto"/>
              <w:bottom w:val="single" w:sz="4" w:space="0" w:color="auto"/>
              <w:right w:val="single" w:sz="4" w:space="0" w:color="auto"/>
            </w:tcBorders>
            <w:hideMark/>
          </w:tcPr>
          <w:p w14:paraId="658F760E" w14:textId="77777777" w:rsidR="002A2210" w:rsidRPr="00274D96" w:rsidRDefault="002A2210" w:rsidP="00F52CF9">
            <w:pPr>
              <w:rPr>
                <w:noProof/>
              </w:rPr>
            </w:pPr>
            <w:r w:rsidRPr="00274D96">
              <w:rPr>
                <w:noProof/>
              </w:rPr>
              <w:t>Suunav raamistik hübriidohtudega tegelevate ELi kiirreageerimisrühmade moodustamiseks praktikas (21. mai 2024)</w:t>
            </w:r>
          </w:p>
        </w:tc>
      </w:tr>
      <w:tr w:rsidR="0062176B" w:rsidRPr="00274D96" w14:paraId="4552B569"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5CBE5E11" w14:textId="77777777" w:rsidR="002A2210" w:rsidRPr="00274D96" w:rsidRDefault="002A2210" w:rsidP="00F52CF9">
            <w:pPr>
              <w:rPr>
                <w:noProof/>
              </w:rPr>
            </w:pPr>
            <w:r w:rsidRPr="00274D96">
              <w:rPr>
                <w:noProof/>
              </w:rPr>
              <w:t>IPCR</w:t>
            </w:r>
          </w:p>
        </w:tc>
        <w:tc>
          <w:tcPr>
            <w:tcW w:w="2267" w:type="dxa"/>
            <w:tcBorders>
              <w:top w:val="single" w:sz="4" w:space="0" w:color="auto"/>
              <w:left w:val="single" w:sz="4" w:space="0" w:color="auto"/>
              <w:bottom w:val="single" w:sz="4" w:space="0" w:color="auto"/>
              <w:right w:val="single" w:sz="4" w:space="0" w:color="auto"/>
            </w:tcBorders>
            <w:hideMark/>
          </w:tcPr>
          <w:p w14:paraId="0E2B8C65" w14:textId="77777777" w:rsidR="002A2210" w:rsidRPr="00274D96" w:rsidRDefault="002A2210" w:rsidP="00F52CF9">
            <w:pPr>
              <w:rPr>
                <w:noProof/>
              </w:rPr>
            </w:pPr>
            <w:r w:rsidRPr="00274D96">
              <w:rPr>
                <w:noProof/>
              </w:rPr>
              <w:t>Horisontaalne</w:t>
            </w:r>
          </w:p>
        </w:tc>
        <w:tc>
          <w:tcPr>
            <w:tcW w:w="3404" w:type="dxa"/>
            <w:tcBorders>
              <w:top w:val="single" w:sz="4" w:space="0" w:color="auto"/>
              <w:left w:val="single" w:sz="4" w:space="0" w:color="auto"/>
              <w:bottom w:val="single" w:sz="4" w:space="0" w:color="auto"/>
              <w:right w:val="single" w:sz="4" w:space="0" w:color="auto"/>
            </w:tcBorders>
            <w:hideMark/>
          </w:tcPr>
          <w:p w14:paraId="37B5A67B" w14:textId="77777777" w:rsidR="002A2210" w:rsidRPr="00274D96" w:rsidRDefault="002A2210" w:rsidP="00F52CF9">
            <w:pPr>
              <w:rPr>
                <w:noProof/>
              </w:rPr>
            </w:pPr>
            <w:r w:rsidRPr="00274D96">
              <w:rPr>
                <w:noProof/>
              </w:rPr>
              <w:t>Toetab kiiret ja koordineeritud otsuste tegemist liidu poliitilisel tasandil tõsiste ja keerukate kriiside, sealhulgas terroriaktide puhul</w:t>
            </w:r>
          </w:p>
          <w:p w14:paraId="4EC08178" w14:textId="77777777" w:rsidR="002A2210" w:rsidRPr="00274D96" w:rsidRDefault="002A2210" w:rsidP="00F52CF9">
            <w:pPr>
              <w:rPr>
                <w:noProof/>
              </w:rPr>
            </w:pPr>
            <w:r w:rsidRPr="00274D96">
              <w:rPr>
                <w:noProof/>
              </w:rPr>
              <w:t>Otsuse selle aktiveerimise või desaktiveerimise kohta teeb nõukogu eesistujariik, konsulteerides (välja arvatud juhul kui on rakendatud on solidaarsusklauslit) mõjutatud liikmesriikide, komisjoni ja kõrge esindajaga.</w:t>
            </w:r>
          </w:p>
          <w:p w14:paraId="4A33A8B1" w14:textId="77777777" w:rsidR="002A2210" w:rsidRPr="00274D96" w:rsidRDefault="002A2210" w:rsidP="00F52CF9">
            <w:pPr>
              <w:rPr>
                <w:noProof/>
              </w:rPr>
            </w:pPr>
            <w:r w:rsidRPr="00274D96">
              <w:rPr>
                <w:noProof/>
              </w:rPr>
              <w:t>Samuti võivad nõukogu peasekretariaat, komisjoni talitused ja Euroopa välisteenistus leppida eesistujariigiga konsulteerides kokku, et IPCR aktiveeritakse teabevahetuse režiimil.</w:t>
            </w:r>
          </w:p>
          <w:p w14:paraId="3ADB6ECF" w14:textId="77777777" w:rsidR="002A2210" w:rsidRPr="00274D96" w:rsidRDefault="002A2210" w:rsidP="00F52CF9">
            <w:pPr>
              <w:rPr>
                <w:noProof/>
              </w:rPr>
            </w:pPr>
            <w:r w:rsidRPr="00274D96">
              <w:rPr>
                <w:noProof/>
              </w:rPr>
              <w:t>Arutelud tuginevad integreeritud olukorrateadlikkuse ja analüüsi aruandele, mille töötavad välja komisjoni talitused ja Euroopa välisteenistus. Aruande aluseks on teemakohased andmed ja analüüs, mille esitavad liikmesriigid (nt riiklikud kriisikeskused), eelkõige veebiplatvormi kaudu, ja liidu asutused</w:t>
            </w:r>
          </w:p>
        </w:tc>
        <w:tc>
          <w:tcPr>
            <w:tcW w:w="2322" w:type="dxa"/>
            <w:tcBorders>
              <w:top w:val="single" w:sz="4" w:space="0" w:color="auto"/>
              <w:left w:val="single" w:sz="4" w:space="0" w:color="auto"/>
              <w:bottom w:val="single" w:sz="4" w:space="0" w:color="auto"/>
              <w:right w:val="single" w:sz="4" w:space="0" w:color="auto"/>
            </w:tcBorders>
            <w:hideMark/>
          </w:tcPr>
          <w:p w14:paraId="0F36D33E" w14:textId="77777777" w:rsidR="002A2210" w:rsidRPr="00274D96" w:rsidRDefault="002A2210" w:rsidP="00E62971">
            <w:pPr>
              <w:rPr>
                <w:noProof/>
              </w:rPr>
            </w:pPr>
            <w:r w:rsidRPr="00274D96">
              <w:rPr>
                <w:noProof/>
              </w:rPr>
              <w:t>Nõukogu rakendusotsus (EL) 2018/1993</w:t>
            </w:r>
          </w:p>
        </w:tc>
      </w:tr>
      <w:tr w:rsidR="008F6857" w:rsidRPr="00274D96" w14:paraId="1AB58713"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1106465A" w14:textId="5D5DBE99" w:rsidR="008F6857" w:rsidRPr="00274D96" w:rsidRDefault="008F6857" w:rsidP="008F6857">
            <w:pPr>
              <w:rPr>
                <w:noProof/>
              </w:rPr>
            </w:pPr>
            <w:r w:rsidRPr="00274D96">
              <w:rPr>
                <w:noProof/>
              </w:rPr>
              <w:t>ELi protokoll õiguskaitsealase reageerimise kohta hädaolukordades</w:t>
            </w:r>
          </w:p>
        </w:tc>
        <w:tc>
          <w:tcPr>
            <w:tcW w:w="2267" w:type="dxa"/>
            <w:tcBorders>
              <w:top w:val="single" w:sz="4" w:space="0" w:color="auto"/>
              <w:left w:val="single" w:sz="4" w:space="0" w:color="auto"/>
              <w:bottom w:val="single" w:sz="4" w:space="0" w:color="auto"/>
              <w:right w:val="single" w:sz="4" w:space="0" w:color="auto"/>
            </w:tcBorders>
            <w:hideMark/>
          </w:tcPr>
          <w:p w14:paraId="38C5AFEE" w14:textId="77777777" w:rsidR="008F6857" w:rsidRPr="00274D96" w:rsidRDefault="008F6857" w:rsidP="008F6857">
            <w:pPr>
              <w:rPr>
                <w:noProof/>
              </w:rPr>
            </w:pPr>
            <w:r w:rsidRPr="00274D96">
              <w:rPr>
                <w:noProof/>
              </w:rPr>
              <w:t xml:space="preserve">Horisontaalne </w:t>
            </w:r>
          </w:p>
        </w:tc>
        <w:tc>
          <w:tcPr>
            <w:tcW w:w="3404" w:type="dxa"/>
            <w:tcBorders>
              <w:top w:val="single" w:sz="4" w:space="0" w:color="auto"/>
              <w:left w:val="single" w:sz="4" w:space="0" w:color="auto"/>
              <w:bottom w:val="single" w:sz="4" w:space="0" w:color="auto"/>
              <w:right w:val="single" w:sz="4" w:space="0" w:color="auto"/>
            </w:tcBorders>
            <w:hideMark/>
          </w:tcPr>
          <w:p w14:paraId="12FB1102" w14:textId="77777777" w:rsidR="008F6857" w:rsidRPr="00274D96" w:rsidRDefault="008F6857" w:rsidP="008F6857">
            <w:pPr>
              <w:rPr>
                <w:noProof/>
              </w:rPr>
            </w:pPr>
            <w:r w:rsidRPr="00274D96">
              <w:rPr>
                <w:noProof/>
              </w:rPr>
              <w:t>Vahend, mis aitab ELi õiguskaitseasutustel ulatuslikele piiriülestele küberrünnetele viivitamatult reageerida, andes kiire hinnangu, jagades turvaliselt ja õigeaegselt kriitilise tähtsusega teavet ning koordineerides tulemuslikult oma juurdluste rahvusvahelisi aspekte</w:t>
            </w:r>
          </w:p>
        </w:tc>
        <w:tc>
          <w:tcPr>
            <w:tcW w:w="2322" w:type="dxa"/>
            <w:tcBorders>
              <w:top w:val="single" w:sz="4" w:space="0" w:color="auto"/>
              <w:left w:val="single" w:sz="4" w:space="0" w:color="auto"/>
              <w:bottom w:val="single" w:sz="4" w:space="0" w:color="auto"/>
              <w:right w:val="single" w:sz="4" w:space="0" w:color="auto"/>
            </w:tcBorders>
          </w:tcPr>
          <w:p w14:paraId="44C84182" w14:textId="77777777" w:rsidR="008F6857" w:rsidRPr="00274D96" w:rsidRDefault="008F6857" w:rsidP="00E62971">
            <w:pPr>
              <w:rPr>
                <w:noProof/>
              </w:rPr>
            </w:pPr>
            <w:r w:rsidRPr="00274D96">
              <w:rPr>
                <w:noProof/>
              </w:rPr>
              <w:t>Nõukogu järeldused ELi koordineeritud reageerimise kohta ulatuslike küberturvalisuse intsidentide ja kriiside korral (26. juuni 2018)</w:t>
            </w:r>
          </w:p>
          <w:p w14:paraId="5185F284" w14:textId="77777777" w:rsidR="008F6857" w:rsidRPr="00274D96" w:rsidRDefault="008F6857" w:rsidP="008F6857">
            <w:pPr>
              <w:rPr>
                <w:noProof/>
              </w:rPr>
            </w:pPr>
          </w:p>
        </w:tc>
      </w:tr>
      <w:tr w:rsidR="008F6857" w:rsidRPr="00274D96" w14:paraId="51C4BF3B"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410BA491" w14:textId="77777777" w:rsidR="008F6857" w:rsidRPr="00274D96" w:rsidRDefault="008F6857" w:rsidP="008F6857">
            <w:pPr>
              <w:rPr>
                <w:noProof/>
              </w:rPr>
            </w:pPr>
            <w:r w:rsidRPr="00274D96">
              <w:rPr>
                <w:noProof/>
              </w:rPr>
              <w:t>PESCO küberturbe kiirreageerimisrühmad</w:t>
            </w:r>
          </w:p>
        </w:tc>
        <w:tc>
          <w:tcPr>
            <w:tcW w:w="2267" w:type="dxa"/>
            <w:tcBorders>
              <w:top w:val="single" w:sz="4" w:space="0" w:color="auto"/>
              <w:left w:val="single" w:sz="4" w:space="0" w:color="auto"/>
              <w:bottom w:val="single" w:sz="4" w:space="0" w:color="auto"/>
              <w:right w:val="single" w:sz="4" w:space="0" w:color="auto"/>
            </w:tcBorders>
            <w:hideMark/>
          </w:tcPr>
          <w:p w14:paraId="76B51F25" w14:textId="77777777" w:rsidR="008F6857" w:rsidRPr="00274D96" w:rsidRDefault="008F6857" w:rsidP="008F6857">
            <w:pPr>
              <w:rPr>
                <w:noProof/>
              </w:rPr>
            </w:pPr>
            <w:r w:rsidRPr="00274D96">
              <w:rPr>
                <w:noProof/>
              </w:rPr>
              <w:t>Kübervaldkonnaspetsiifiline</w:t>
            </w:r>
          </w:p>
        </w:tc>
        <w:tc>
          <w:tcPr>
            <w:tcW w:w="3404" w:type="dxa"/>
            <w:tcBorders>
              <w:top w:val="single" w:sz="4" w:space="0" w:color="auto"/>
              <w:left w:val="single" w:sz="4" w:space="0" w:color="auto"/>
              <w:bottom w:val="single" w:sz="4" w:space="0" w:color="auto"/>
              <w:right w:val="single" w:sz="4" w:space="0" w:color="auto"/>
            </w:tcBorders>
            <w:hideMark/>
          </w:tcPr>
          <w:p w14:paraId="1D78D1CB" w14:textId="77777777" w:rsidR="008F6857" w:rsidRPr="00274D96" w:rsidRDefault="008F6857" w:rsidP="008F6857">
            <w:pPr>
              <w:rPr>
                <w:noProof/>
              </w:rPr>
            </w:pPr>
            <w:r w:rsidRPr="00274D96">
              <w:rPr>
                <w:noProof/>
              </w:rPr>
              <w:t>Spetsiaalsed rühmad, kes lähetatakse olulistele küberturvalisuse intsidentidele kiirreageerimiseks, samuti selliste ennetusmeetmete võtmiseks nagu haavatavuse hindamine ja valimiste vaatlemine.</w:t>
            </w:r>
          </w:p>
          <w:p w14:paraId="3F151C42" w14:textId="77777777" w:rsidR="008F6857" w:rsidRPr="00274D96" w:rsidRDefault="008F6857" w:rsidP="008F6857">
            <w:pPr>
              <w:rPr>
                <w:noProof/>
              </w:rPr>
            </w:pPr>
            <w:r w:rsidRPr="00274D96">
              <w:rPr>
                <w:noProof/>
              </w:rPr>
              <w:t xml:space="preserve">Liikmesriigi initsiatiiv, mida finantseeritakse osaliselt Euroopa ühendamise rahastust </w:t>
            </w:r>
          </w:p>
        </w:tc>
        <w:tc>
          <w:tcPr>
            <w:tcW w:w="2322" w:type="dxa"/>
            <w:tcBorders>
              <w:top w:val="single" w:sz="4" w:space="0" w:color="auto"/>
              <w:left w:val="single" w:sz="4" w:space="0" w:color="auto"/>
              <w:bottom w:val="single" w:sz="4" w:space="0" w:color="auto"/>
              <w:right w:val="single" w:sz="4" w:space="0" w:color="auto"/>
            </w:tcBorders>
            <w:hideMark/>
          </w:tcPr>
          <w:p w14:paraId="27E9DCB4" w14:textId="573FBC27" w:rsidR="008F6857" w:rsidRPr="00274D96" w:rsidRDefault="00283A97" w:rsidP="008F6857">
            <w:pPr>
              <w:rPr>
                <w:noProof/>
              </w:rPr>
            </w:pPr>
            <w:r w:rsidRPr="00274D96">
              <w:rPr>
                <w:noProof/>
              </w:rPr>
              <w:t>Euroopa Liidu lepingu artikli 42 lõige 6, artikkel 46 ja protokoll nr 10</w:t>
            </w:r>
          </w:p>
        </w:tc>
      </w:tr>
      <w:tr w:rsidR="527F83FC" w:rsidRPr="00274D96" w14:paraId="5697123F" w14:textId="77777777" w:rsidTr="0003468E">
        <w:trPr>
          <w:trHeight w:val="300"/>
        </w:trPr>
        <w:tc>
          <w:tcPr>
            <w:tcW w:w="1952" w:type="dxa"/>
            <w:tcBorders>
              <w:top w:val="single" w:sz="4" w:space="0" w:color="auto"/>
              <w:left w:val="single" w:sz="4" w:space="0" w:color="auto"/>
              <w:bottom w:val="single" w:sz="4" w:space="0" w:color="auto"/>
              <w:right w:val="single" w:sz="4" w:space="0" w:color="auto"/>
            </w:tcBorders>
            <w:hideMark/>
          </w:tcPr>
          <w:p w14:paraId="03E90C1C" w14:textId="77777777" w:rsidR="527F83FC" w:rsidRPr="00274D96" w:rsidRDefault="527F83FC">
            <w:pPr>
              <w:rPr>
                <w:rFonts w:eastAsia="Times New Roman"/>
                <w:noProof/>
              </w:rPr>
            </w:pPr>
            <w:r w:rsidRPr="00274D96">
              <w:rPr>
                <w:noProof/>
              </w:rPr>
              <w:t>Kosmoseohtudele reageerimise struktuur</w:t>
            </w:r>
          </w:p>
        </w:tc>
        <w:tc>
          <w:tcPr>
            <w:tcW w:w="2267" w:type="dxa"/>
            <w:tcBorders>
              <w:top w:val="single" w:sz="4" w:space="0" w:color="auto"/>
              <w:left w:val="single" w:sz="4" w:space="0" w:color="auto"/>
              <w:bottom w:val="single" w:sz="4" w:space="0" w:color="auto"/>
              <w:right w:val="single" w:sz="4" w:space="0" w:color="auto"/>
            </w:tcBorders>
            <w:hideMark/>
          </w:tcPr>
          <w:p w14:paraId="1E824133" w14:textId="77777777" w:rsidR="527F83FC" w:rsidRPr="00274D96" w:rsidRDefault="527F83FC">
            <w:pPr>
              <w:rPr>
                <w:rFonts w:eastAsia="Times New Roman"/>
                <w:noProof/>
              </w:rPr>
            </w:pPr>
            <w:r w:rsidRPr="00274D96">
              <w:rPr>
                <w:noProof/>
              </w:rPr>
              <w:t>Valdkondlik</w:t>
            </w:r>
          </w:p>
          <w:p w14:paraId="060C0FC2" w14:textId="57C7688F" w:rsidR="527F83FC" w:rsidRPr="00274D96" w:rsidRDefault="527F83FC">
            <w:pPr>
              <w:rPr>
                <w:rFonts w:eastAsia="Times New Roman"/>
                <w:noProof/>
              </w:rPr>
            </w:pPr>
            <w:r w:rsidRPr="00274D96">
              <w:rPr>
                <w:noProof/>
              </w:rPr>
              <w:t>(kosmoseohud, sealhulgas kui need on seotud kübervaldkonnaga)</w:t>
            </w:r>
          </w:p>
        </w:tc>
        <w:tc>
          <w:tcPr>
            <w:tcW w:w="3404" w:type="dxa"/>
            <w:tcBorders>
              <w:top w:val="single" w:sz="4" w:space="0" w:color="auto"/>
              <w:left w:val="single" w:sz="4" w:space="0" w:color="auto"/>
              <w:bottom w:val="single" w:sz="4" w:space="0" w:color="auto"/>
              <w:right w:val="single" w:sz="4" w:space="0" w:color="auto"/>
            </w:tcBorders>
            <w:hideMark/>
          </w:tcPr>
          <w:p w14:paraId="17C52ADE" w14:textId="77777777" w:rsidR="527F83FC" w:rsidRPr="00274D96" w:rsidRDefault="527F83FC" w:rsidP="001D0DB0">
            <w:pPr>
              <w:spacing w:after="0"/>
              <w:rPr>
                <w:rFonts w:eastAsia="Times New Roman"/>
                <w:noProof/>
              </w:rPr>
            </w:pPr>
            <w:r w:rsidRPr="00274D96">
              <w:rPr>
                <w:noProof/>
              </w:rPr>
              <w:t>Kosmoseohtudele reageerimise struktuur, mis puudutab nõukogu ja kõrge esindaja täidetavaid kohustusi sellise ohu kõrvaldamiseks, mis tuleneb liidu kosmoseprogrammi raames loodud süsteemide ja pakutavate teenuste kasutuselevõtmisest, toimimisest või kasutamisest</w:t>
            </w:r>
          </w:p>
          <w:p w14:paraId="020A52A1" w14:textId="77777777" w:rsidR="527F83FC" w:rsidRPr="00274D96" w:rsidRDefault="527F83FC">
            <w:pPr>
              <w:rPr>
                <w:rFonts w:eastAsia="Times New Roman"/>
                <w:noProof/>
              </w:rPr>
            </w:pPr>
            <w:r w:rsidRPr="00274D96">
              <w:rPr>
                <w:noProof/>
              </w:rPr>
              <w:t xml:space="preserve"> </w:t>
            </w:r>
          </w:p>
        </w:tc>
        <w:tc>
          <w:tcPr>
            <w:tcW w:w="2322" w:type="dxa"/>
            <w:tcBorders>
              <w:top w:val="single" w:sz="4" w:space="0" w:color="auto"/>
              <w:left w:val="single" w:sz="4" w:space="0" w:color="auto"/>
              <w:bottom w:val="single" w:sz="4" w:space="0" w:color="auto"/>
              <w:right w:val="single" w:sz="4" w:space="0" w:color="auto"/>
            </w:tcBorders>
            <w:hideMark/>
          </w:tcPr>
          <w:p w14:paraId="6110A501" w14:textId="77777777" w:rsidR="527F83FC" w:rsidRPr="00274D96" w:rsidRDefault="527F83FC">
            <w:pPr>
              <w:rPr>
                <w:rFonts w:eastAsia="Times New Roman"/>
                <w:noProof/>
              </w:rPr>
            </w:pPr>
            <w:r w:rsidRPr="00274D96">
              <w:rPr>
                <w:noProof/>
              </w:rPr>
              <w:t>Nõukogu otsus (ÜVJP) 2021/698</w:t>
            </w:r>
          </w:p>
        </w:tc>
      </w:tr>
      <w:tr w:rsidR="008F6857" w:rsidRPr="00274D96" w14:paraId="1EE5640F"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7CA3E788" w14:textId="77777777" w:rsidR="008F6857" w:rsidRPr="00274D96" w:rsidRDefault="008F6857" w:rsidP="008F6857">
            <w:pPr>
              <w:rPr>
                <w:noProof/>
              </w:rPr>
            </w:pPr>
            <w:r w:rsidRPr="00274D96">
              <w:rPr>
                <w:noProof/>
              </w:rPr>
              <w:t>Süsteemsete küberturvalisuse intsidentide koordineerimisraamistik</w:t>
            </w:r>
          </w:p>
        </w:tc>
        <w:tc>
          <w:tcPr>
            <w:tcW w:w="2267" w:type="dxa"/>
            <w:tcBorders>
              <w:top w:val="single" w:sz="4" w:space="0" w:color="auto"/>
              <w:left w:val="single" w:sz="4" w:space="0" w:color="auto"/>
              <w:bottom w:val="single" w:sz="4" w:space="0" w:color="auto"/>
              <w:right w:val="single" w:sz="4" w:space="0" w:color="auto"/>
            </w:tcBorders>
            <w:hideMark/>
          </w:tcPr>
          <w:p w14:paraId="36F634C8" w14:textId="77777777" w:rsidR="008F6857" w:rsidRPr="00274D96" w:rsidRDefault="008F6857" w:rsidP="008F6857">
            <w:pPr>
              <w:rPr>
                <w:noProof/>
              </w:rPr>
            </w:pPr>
            <w:r w:rsidRPr="00274D96">
              <w:rPr>
                <w:noProof/>
              </w:rPr>
              <w:t>Valdkondlik</w:t>
            </w:r>
          </w:p>
        </w:tc>
        <w:tc>
          <w:tcPr>
            <w:tcW w:w="3404" w:type="dxa"/>
            <w:tcBorders>
              <w:top w:val="single" w:sz="4" w:space="0" w:color="auto"/>
              <w:left w:val="single" w:sz="4" w:space="0" w:color="auto"/>
              <w:bottom w:val="single" w:sz="4" w:space="0" w:color="auto"/>
              <w:right w:val="single" w:sz="4" w:space="0" w:color="auto"/>
            </w:tcBorders>
            <w:hideMark/>
          </w:tcPr>
          <w:p w14:paraId="1E53B78C" w14:textId="77777777" w:rsidR="008F6857" w:rsidRPr="00274D96" w:rsidRDefault="008F6857" w:rsidP="008F6857">
            <w:pPr>
              <w:rPr>
                <w:noProof/>
              </w:rPr>
            </w:pPr>
            <w:r w:rsidRPr="00274D96">
              <w:rPr>
                <w:noProof/>
              </w:rPr>
              <w:t>Väljatöötamisel side- ja koordineerimisraamistik, mille kaudu käsitletakse ja hallatakse potentsiaalseid süsteemseid kübersündmusi finantssektoris. See tugineb ühele rollidest, mis on määruse (EL) 2022/2554 kohaselt kavandatud Euroopa järelevalveasutustele: võimaldada järk-järgult tõhusat koordineeritud reageerimist liidu tasandil info- ja kommunikatsioonitehnoloogiaga seotud olulise piiriülese intsidendi või seonduva ohu korral, millel on süsteemne mõju liidu finantssektorile tervikuna</w:t>
            </w:r>
          </w:p>
        </w:tc>
        <w:tc>
          <w:tcPr>
            <w:tcW w:w="2322" w:type="dxa"/>
            <w:tcBorders>
              <w:top w:val="single" w:sz="4" w:space="0" w:color="auto"/>
              <w:left w:val="single" w:sz="4" w:space="0" w:color="auto"/>
              <w:bottom w:val="single" w:sz="4" w:space="0" w:color="auto"/>
              <w:right w:val="single" w:sz="4" w:space="0" w:color="auto"/>
            </w:tcBorders>
            <w:hideMark/>
          </w:tcPr>
          <w:p w14:paraId="0CB53600" w14:textId="77777777" w:rsidR="008F6857" w:rsidRPr="00274D96" w:rsidRDefault="008F6857" w:rsidP="008F6857">
            <w:pPr>
              <w:rPr>
                <w:noProof/>
              </w:rPr>
            </w:pPr>
            <w:r w:rsidRPr="00274D96">
              <w:rPr>
                <w:noProof/>
              </w:rPr>
              <w:t>Euroopa Süsteemsete Riskide Nõukogu 2. detsembri 2021. aasta soovitus seoses üleeuroopalise süsteemsete küberturvalisuse intsidentide koordineerimisraamistikuga asjaomastele asutustele (ESRN/2021/17)</w:t>
            </w:r>
          </w:p>
        </w:tc>
      </w:tr>
      <w:tr w:rsidR="008F6857" w:rsidRPr="00274D96" w14:paraId="5D7ACBBF"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613C66EB" w14:textId="77777777" w:rsidR="008F6857" w:rsidRPr="00274D96" w:rsidRDefault="008F6857" w:rsidP="008F6857">
            <w:pPr>
              <w:rPr>
                <w:noProof/>
              </w:rPr>
            </w:pPr>
            <w:r w:rsidRPr="00274D96">
              <w:rPr>
                <w:noProof/>
              </w:rPr>
              <w:t>Liidu elanikkonnakaitse mehhanism</w:t>
            </w:r>
          </w:p>
        </w:tc>
        <w:tc>
          <w:tcPr>
            <w:tcW w:w="2267" w:type="dxa"/>
            <w:tcBorders>
              <w:top w:val="single" w:sz="4" w:space="0" w:color="auto"/>
              <w:left w:val="single" w:sz="4" w:space="0" w:color="auto"/>
              <w:bottom w:val="single" w:sz="4" w:space="0" w:color="auto"/>
              <w:right w:val="single" w:sz="4" w:space="0" w:color="auto"/>
            </w:tcBorders>
            <w:hideMark/>
          </w:tcPr>
          <w:p w14:paraId="65452C8C" w14:textId="77777777" w:rsidR="008F6857" w:rsidRPr="00274D96" w:rsidRDefault="008F6857" w:rsidP="008F6857">
            <w:pPr>
              <w:rPr>
                <w:noProof/>
              </w:rPr>
            </w:pPr>
            <w:r w:rsidRPr="00274D96">
              <w:rPr>
                <w:noProof/>
              </w:rPr>
              <w:t>Horisontaalne</w:t>
            </w:r>
          </w:p>
        </w:tc>
        <w:tc>
          <w:tcPr>
            <w:tcW w:w="3404" w:type="dxa"/>
            <w:tcBorders>
              <w:top w:val="single" w:sz="4" w:space="0" w:color="auto"/>
              <w:left w:val="single" w:sz="4" w:space="0" w:color="auto"/>
              <w:bottom w:val="single" w:sz="4" w:space="0" w:color="auto"/>
              <w:right w:val="single" w:sz="4" w:space="0" w:color="auto"/>
            </w:tcBorders>
            <w:hideMark/>
          </w:tcPr>
          <w:p w14:paraId="29CAD545" w14:textId="77777777" w:rsidR="008F6857" w:rsidRPr="00274D96" w:rsidRDefault="008F6857" w:rsidP="008F6857">
            <w:pPr>
              <w:rPr>
                <w:noProof/>
              </w:rPr>
            </w:pPr>
            <w:r w:rsidRPr="00274D96">
              <w:rPr>
                <w:noProof/>
              </w:rPr>
              <w:t>Tagab elanikkonnakaitse alase koostöö, et parandada katastroofide ennetamist, nendeks valmisolekut ja neile reageerimist</w:t>
            </w:r>
          </w:p>
        </w:tc>
        <w:tc>
          <w:tcPr>
            <w:tcW w:w="2322" w:type="dxa"/>
            <w:tcBorders>
              <w:top w:val="single" w:sz="4" w:space="0" w:color="auto"/>
              <w:left w:val="single" w:sz="4" w:space="0" w:color="auto"/>
              <w:bottom w:val="single" w:sz="4" w:space="0" w:color="auto"/>
              <w:right w:val="single" w:sz="4" w:space="0" w:color="auto"/>
            </w:tcBorders>
            <w:hideMark/>
          </w:tcPr>
          <w:p w14:paraId="65648CCF" w14:textId="14C51855" w:rsidR="008F6857" w:rsidRPr="00274D96" w:rsidRDefault="008F6857" w:rsidP="008F6857">
            <w:pPr>
              <w:rPr>
                <w:noProof/>
              </w:rPr>
            </w:pPr>
            <w:r w:rsidRPr="00274D96">
              <w:rPr>
                <w:noProof/>
              </w:rPr>
              <w:t>Otsus 1313/2013</w:t>
            </w:r>
          </w:p>
        </w:tc>
      </w:tr>
      <w:tr w:rsidR="008F6857" w:rsidRPr="00274D96" w14:paraId="4536BD66" w14:textId="77777777" w:rsidTr="0003468E">
        <w:tc>
          <w:tcPr>
            <w:tcW w:w="1952" w:type="dxa"/>
            <w:tcBorders>
              <w:top w:val="single" w:sz="4" w:space="0" w:color="auto"/>
              <w:left w:val="single" w:sz="4" w:space="0" w:color="auto"/>
              <w:bottom w:val="single" w:sz="4" w:space="0" w:color="auto"/>
              <w:right w:val="single" w:sz="4" w:space="0" w:color="auto"/>
            </w:tcBorders>
            <w:hideMark/>
          </w:tcPr>
          <w:p w14:paraId="4AE74377" w14:textId="77777777" w:rsidR="008F6857" w:rsidRPr="00274D96" w:rsidRDefault="008F6857" w:rsidP="008F6857">
            <w:pPr>
              <w:rPr>
                <w:noProof/>
              </w:rPr>
            </w:pPr>
            <w:r w:rsidRPr="00274D96">
              <w:rPr>
                <w:noProof/>
              </w:rPr>
              <w:t>ELi merendusvaldkonna ühine teabejagamiskeskkond</w:t>
            </w:r>
          </w:p>
        </w:tc>
        <w:tc>
          <w:tcPr>
            <w:tcW w:w="2267" w:type="dxa"/>
            <w:tcBorders>
              <w:top w:val="single" w:sz="4" w:space="0" w:color="auto"/>
              <w:left w:val="single" w:sz="4" w:space="0" w:color="auto"/>
              <w:bottom w:val="single" w:sz="4" w:space="0" w:color="auto"/>
              <w:right w:val="single" w:sz="4" w:space="0" w:color="auto"/>
            </w:tcBorders>
            <w:hideMark/>
          </w:tcPr>
          <w:p w14:paraId="25140758" w14:textId="366CC766" w:rsidR="008F6857" w:rsidRPr="00274D96" w:rsidRDefault="008F6857" w:rsidP="008F6857">
            <w:pPr>
              <w:rPr>
                <w:noProof/>
              </w:rPr>
            </w:pPr>
            <w:r w:rsidRPr="00274D96">
              <w:rPr>
                <w:noProof/>
              </w:rPr>
              <w:t>Merendusspetsiifiline, hõlmab seitset sektorit</w:t>
            </w:r>
          </w:p>
        </w:tc>
        <w:tc>
          <w:tcPr>
            <w:tcW w:w="3404" w:type="dxa"/>
            <w:tcBorders>
              <w:top w:val="single" w:sz="4" w:space="0" w:color="auto"/>
              <w:left w:val="single" w:sz="4" w:space="0" w:color="auto"/>
              <w:bottom w:val="single" w:sz="4" w:space="0" w:color="auto"/>
              <w:right w:val="single" w:sz="4" w:space="0" w:color="auto"/>
            </w:tcBorders>
            <w:hideMark/>
          </w:tcPr>
          <w:p w14:paraId="0C6A9004" w14:textId="77777777" w:rsidR="008F6857" w:rsidRPr="00274D96" w:rsidRDefault="008F6857" w:rsidP="008F6857">
            <w:pPr>
              <w:rPr>
                <w:noProof/>
              </w:rPr>
            </w:pPr>
            <w:r w:rsidRPr="00274D96">
              <w:rPr>
                <w:noProof/>
              </w:rPr>
              <w:t>Tegu on võrgustikuga, mis ühendab mereseire eest vastutavate ELi/EMP asutuste süsteeme. Võimaldab olulise teabe sujuvat ja automaatset vahetamist piirüleselt ja eri sektorite vahel</w:t>
            </w:r>
          </w:p>
        </w:tc>
        <w:tc>
          <w:tcPr>
            <w:tcW w:w="2322" w:type="dxa"/>
            <w:tcBorders>
              <w:top w:val="single" w:sz="4" w:space="0" w:color="auto"/>
              <w:left w:val="single" w:sz="4" w:space="0" w:color="auto"/>
              <w:bottom w:val="single" w:sz="4" w:space="0" w:color="auto"/>
              <w:right w:val="single" w:sz="4" w:space="0" w:color="auto"/>
            </w:tcBorders>
            <w:hideMark/>
          </w:tcPr>
          <w:p w14:paraId="6F23A325" w14:textId="77777777" w:rsidR="008F6857" w:rsidRPr="00274D96" w:rsidRDefault="008F6857" w:rsidP="008F6857">
            <w:pPr>
              <w:rPr>
                <w:noProof/>
              </w:rPr>
            </w:pPr>
            <w:r w:rsidRPr="00274D96">
              <w:rPr>
                <w:noProof/>
              </w:rPr>
              <w:t>Julgeoleku- ja kaitsevaldkonna strateegiline kompass Euroopa Liidule, kes kaitseb oma kodanikke, väärtusi ja huve ning toetab rahvusvahelist rahu ja julgeolekut (21. märts 2022)</w:t>
            </w:r>
          </w:p>
        </w:tc>
      </w:tr>
    </w:tbl>
    <w:p w14:paraId="600CCEBD" w14:textId="77777777" w:rsidR="002A2210" w:rsidRPr="00274D96" w:rsidRDefault="002A2210" w:rsidP="002A2210">
      <w:pPr>
        <w:rPr>
          <w:noProof/>
        </w:rPr>
      </w:pPr>
    </w:p>
    <w:p w14:paraId="66641CF2" w14:textId="77777777" w:rsidR="002A2210" w:rsidRPr="00274D96" w:rsidRDefault="002A2210" w:rsidP="006F4368">
      <w:pPr>
        <w:pStyle w:val="Point0number"/>
        <w:numPr>
          <w:ilvl w:val="0"/>
          <w:numId w:val="6"/>
        </w:numPr>
        <w:rPr>
          <w:b/>
          <w:bCs/>
          <w:noProof/>
        </w:rPr>
      </w:pPr>
      <w:r w:rsidRPr="00274D96">
        <w:rPr>
          <w:b/>
          <w:noProof/>
        </w:rPr>
        <w:t>Eriti kriitilise tähtsusega sektorid ja muud kriitilised sektorid vastavalt direktiivile (EL) 2022/2555 ja liidu tasandi valdkondlikele kriisilahendusmehhanismidele (kui see on asjakohane)</w:t>
      </w:r>
    </w:p>
    <w:tbl>
      <w:tblPr>
        <w:tblStyle w:val="TableGrid"/>
        <w:tblW w:w="0" w:type="auto"/>
        <w:tblLook w:val="04A0" w:firstRow="1" w:lastRow="0" w:firstColumn="1" w:lastColumn="0" w:noHBand="0" w:noVBand="1"/>
      </w:tblPr>
      <w:tblGrid>
        <w:gridCol w:w="2451"/>
        <w:gridCol w:w="2902"/>
        <w:gridCol w:w="3936"/>
      </w:tblGrid>
      <w:tr w:rsidR="0062176B" w:rsidRPr="00274D96" w14:paraId="28C4D288" w14:textId="77777777" w:rsidTr="527F83F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B76C86" w14:textId="77777777" w:rsidR="002A2210" w:rsidRPr="00274D96" w:rsidRDefault="002A2210" w:rsidP="00BF6DBE">
            <w:pPr>
              <w:rPr>
                <w:b/>
                <w:bCs/>
                <w:noProof/>
              </w:rPr>
            </w:pPr>
            <w:r w:rsidRPr="00274D96">
              <w:rPr>
                <w:b/>
                <w:noProof/>
              </w:rPr>
              <w:t>Sektor</w:t>
            </w:r>
          </w:p>
        </w:tc>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CB06C6" w14:textId="77777777" w:rsidR="002A2210" w:rsidRPr="00274D96" w:rsidRDefault="002A2210" w:rsidP="00BF6DBE">
            <w:pPr>
              <w:rPr>
                <w:b/>
                <w:bCs/>
                <w:noProof/>
              </w:rPr>
            </w:pPr>
            <w:r w:rsidRPr="00274D96">
              <w:rPr>
                <w:b/>
                <w:noProof/>
              </w:rPr>
              <w:t>Allsektor</w:t>
            </w:r>
          </w:p>
        </w:tc>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CFDFAE" w14:textId="77777777" w:rsidR="002A2210" w:rsidRPr="00274D96" w:rsidRDefault="002A2210" w:rsidP="00BF6DBE">
            <w:pPr>
              <w:rPr>
                <w:b/>
                <w:bCs/>
                <w:noProof/>
              </w:rPr>
            </w:pPr>
            <w:r w:rsidRPr="00274D96">
              <w:rPr>
                <w:b/>
                <w:noProof/>
              </w:rPr>
              <w:t>Kohaldatavad valdkondlikud kriisilahendusmehhanismid</w:t>
            </w:r>
          </w:p>
        </w:tc>
      </w:tr>
      <w:tr w:rsidR="0062176B" w:rsidRPr="00274D96" w14:paraId="32460CEE" w14:textId="77777777" w:rsidTr="527F83FC">
        <w:trPr>
          <w:tblHeader/>
        </w:trPr>
        <w:tc>
          <w:tcPr>
            <w:tcW w:w="0" w:type="auto"/>
            <w:vMerge w:val="restart"/>
            <w:tcBorders>
              <w:top w:val="single" w:sz="4" w:space="0" w:color="auto"/>
              <w:left w:val="single" w:sz="4" w:space="0" w:color="auto"/>
              <w:bottom w:val="single" w:sz="4" w:space="0" w:color="auto"/>
              <w:right w:val="single" w:sz="4" w:space="0" w:color="auto"/>
            </w:tcBorders>
            <w:hideMark/>
          </w:tcPr>
          <w:p w14:paraId="21CD675A" w14:textId="77777777" w:rsidR="002A2210" w:rsidRPr="00274D96" w:rsidRDefault="002A2210" w:rsidP="00BF6DBE">
            <w:pPr>
              <w:rPr>
                <w:noProof/>
              </w:rPr>
            </w:pPr>
            <w:r w:rsidRPr="00274D96">
              <w:rPr>
                <w:noProof/>
              </w:rPr>
              <w:t>Energeetika</w:t>
            </w:r>
          </w:p>
        </w:tc>
        <w:tc>
          <w:tcPr>
            <w:tcW w:w="2902" w:type="dxa"/>
            <w:tcBorders>
              <w:top w:val="single" w:sz="4" w:space="0" w:color="auto"/>
              <w:left w:val="single" w:sz="4" w:space="0" w:color="auto"/>
              <w:bottom w:val="single" w:sz="4" w:space="0" w:color="auto"/>
              <w:right w:val="single" w:sz="4" w:space="0" w:color="auto"/>
            </w:tcBorders>
            <w:hideMark/>
          </w:tcPr>
          <w:p w14:paraId="6002A728" w14:textId="77777777" w:rsidR="002A2210" w:rsidRPr="00274D96" w:rsidRDefault="002A2210" w:rsidP="005E2EEF">
            <w:pPr>
              <w:rPr>
                <w:noProof/>
              </w:rPr>
            </w:pPr>
            <w:r w:rsidRPr="00274D96">
              <w:rPr>
                <w:noProof/>
              </w:rPr>
              <w:t>Elekter</w:t>
            </w:r>
          </w:p>
        </w:tc>
        <w:tc>
          <w:tcPr>
            <w:tcW w:w="3936" w:type="dxa"/>
            <w:tcBorders>
              <w:top w:val="single" w:sz="4" w:space="0" w:color="auto"/>
              <w:left w:val="single" w:sz="4" w:space="0" w:color="auto"/>
              <w:bottom w:val="single" w:sz="4" w:space="0" w:color="auto"/>
              <w:right w:val="single" w:sz="4" w:space="0" w:color="auto"/>
            </w:tcBorders>
            <w:hideMark/>
          </w:tcPr>
          <w:p w14:paraId="60D3A3F6" w14:textId="77777777" w:rsidR="002A2210" w:rsidRPr="00274D96" w:rsidRDefault="002A2210" w:rsidP="005E2EEF">
            <w:pPr>
              <w:rPr>
                <w:noProof/>
              </w:rPr>
            </w:pPr>
            <w:r w:rsidRPr="00274D96">
              <w:rPr>
                <w:noProof/>
              </w:rPr>
              <w:t xml:space="preserve">Elektrivaldkonna koordineerimise rühm </w:t>
            </w:r>
          </w:p>
        </w:tc>
      </w:tr>
      <w:tr w:rsidR="0062176B" w:rsidRPr="00274D96" w14:paraId="44FC0841" w14:textId="77777777" w:rsidTr="527F83FC">
        <w:trPr>
          <w:tblHeader/>
        </w:trPr>
        <w:tc>
          <w:tcPr>
            <w:tcW w:w="0" w:type="auto"/>
            <w:vMerge/>
            <w:vAlign w:val="center"/>
            <w:hideMark/>
          </w:tcPr>
          <w:p w14:paraId="446AC3E7" w14:textId="77777777" w:rsidR="002A2210" w:rsidRPr="00274D96" w:rsidRDefault="002A2210" w:rsidP="00BF6DBE">
            <w:pPr>
              <w:rPr>
                <w:noProof/>
              </w:rPr>
            </w:pPr>
          </w:p>
        </w:tc>
        <w:tc>
          <w:tcPr>
            <w:tcW w:w="2902" w:type="dxa"/>
            <w:tcBorders>
              <w:top w:val="single" w:sz="4" w:space="0" w:color="auto"/>
              <w:left w:val="single" w:sz="4" w:space="0" w:color="auto"/>
              <w:bottom w:val="single" w:sz="4" w:space="0" w:color="auto"/>
              <w:right w:val="single" w:sz="4" w:space="0" w:color="auto"/>
            </w:tcBorders>
            <w:hideMark/>
          </w:tcPr>
          <w:p w14:paraId="4EEA4CA9" w14:textId="77777777" w:rsidR="002A2210" w:rsidRPr="00274D96" w:rsidRDefault="002A2210" w:rsidP="005E2EEF">
            <w:pPr>
              <w:rPr>
                <w:noProof/>
              </w:rPr>
            </w:pPr>
            <w:r w:rsidRPr="00274D96">
              <w:rPr>
                <w:noProof/>
              </w:rPr>
              <w:t>Kaugküte ja -jahutus</w:t>
            </w:r>
          </w:p>
        </w:tc>
        <w:tc>
          <w:tcPr>
            <w:tcW w:w="3936" w:type="dxa"/>
            <w:tcBorders>
              <w:top w:val="single" w:sz="4" w:space="0" w:color="auto"/>
              <w:left w:val="single" w:sz="4" w:space="0" w:color="auto"/>
              <w:bottom w:val="single" w:sz="4" w:space="0" w:color="auto"/>
              <w:right w:val="single" w:sz="4" w:space="0" w:color="auto"/>
            </w:tcBorders>
          </w:tcPr>
          <w:p w14:paraId="0D8BBDC6" w14:textId="77777777" w:rsidR="002A2210" w:rsidRPr="00274D96" w:rsidRDefault="008F6857" w:rsidP="008F6857">
            <w:pPr>
              <w:rPr>
                <w:noProof/>
              </w:rPr>
            </w:pPr>
            <w:r w:rsidRPr="00274D96">
              <w:rPr>
                <w:noProof/>
              </w:rPr>
              <w:t>Puuduvad</w:t>
            </w:r>
          </w:p>
        </w:tc>
      </w:tr>
      <w:tr w:rsidR="0062176B" w:rsidRPr="00274D96" w14:paraId="5EBFAE79" w14:textId="77777777" w:rsidTr="527F83FC">
        <w:trPr>
          <w:tblHeader/>
        </w:trPr>
        <w:tc>
          <w:tcPr>
            <w:tcW w:w="0" w:type="auto"/>
            <w:vMerge/>
            <w:vAlign w:val="center"/>
            <w:hideMark/>
          </w:tcPr>
          <w:p w14:paraId="13D58FB7" w14:textId="77777777" w:rsidR="002A2210" w:rsidRPr="00274D96" w:rsidRDefault="002A2210" w:rsidP="00BF6DBE">
            <w:pPr>
              <w:rPr>
                <w:noProof/>
              </w:rPr>
            </w:pPr>
          </w:p>
        </w:tc>
        <w:tc>
          <w:tcPr>
            <w:tcW w:w="2902" w:type="dxa"/>
            <w:tcBorders>
              <w:top w:val="single" w:sz="4" w:space="0" w:color="auto"/>
              <w:left w:val="single" w:sz="4" w:space="0" w:color="auto"/>
              <w:bottom w:val="single" w:sz="4" w:space="0" w:color="auto"/>
              <w:right w:val="single" w:sz="4" w:space="0" w:color="auto"/>
            </w:tcBorders>
            <w:hideMark/>
          </w:tcPr>
          <w:p w14:paraId="02F71AC1" w14:textId="77777777" w:rsidR="002A2210" w:rsidRPr="00274D96" w:rsidRDefault="002A2210" w:rsidP="005E2EEF">
            <w:pPr>
              <w:rPr>
                <w:noProof/>
              </w:rPr>
            </w:pPr>
            <w:r w:rsidRPr="00274D96">
              <w:rPr>
                <w:noProof/>
              </w:rPr>
              <w:t>Nafta</w:t>
            </w:r>
          </w:p>
        </w:tc>
        <w:tc>
          <w:tcPr>
            <w:tcW w:w="3936" w:type="dxa"/>
            <w:tcBorders>
              <w:top w:val="single" w:sz="4" w:space="0" w:color="auto"/>
              <w:left w:val="single" w:sz="4" w:space="0" w:color="auto"/>
              <w:bottom w:val="single" w:sz="4" w:space="0" w:color="auto"/>
              <w:right w:val="single" w:sz="4" w:space="0" w:color="auto"/>
            </w:tcBorders>
            <w:hideMark/>
          </w:tcPr>
          <w:p w14:paraId="5CCA0539" w14:textId="77777777" w:rsidR="002A2210" w:rsidRPr="00274D96" w:rsidRDefault="002A2210" w:rsidP="005E2EEF">
            <w:pPr>
              <w:rPr>
                <w:noProof/>
              </w:rPr>
            </w:pPr>
            <w:r w:rsidRPr="00274D96">
              <w:rPr>
                <w:noProof/>
              </w:rPr>
              <w:t>Nafta koordineerimisrühm</w:t>
            </w:r>
          </w:p>
          <w:p w14:paraId="4D3754DE" w14:textId="77777777" w:rsidR="002A2210" w:rsidRPr="00274D96" w:rsidRDefault="002A2210" w:rsidP="005E2EEF">
            <w:pPr>
              <w:rPr>
                <w:noProof/>
              </w:rPr>
            </w:pPr>
            <w:r w:rsidRPr="00274D96">
              <w:rPr>
                <w:noProof/>
              </w:rPr>
              <w:t>Avameretegevust reguleerivate asutuste rühm</w:t>
            </w:r>
          </w:p>
        </w:tc>
      </w:tr>
      <w:tr w:rsidR="0062176B" w:rsidRPr="00274D96" w14:paraId="7FD1BCA8" w14:textId="77777777" w:rsidTr="527F83FC">
        <w:trPr>
          <w:tblHeader/>
        </w:trPr>
        <w:tc>
          <w:tcPr>
            <w:tcW w:w="0" w:type="auto"/>
            <w:vMerge/>
            <w:vAlign w:val="center"/>
            <w:hideMark/>
          </w:tcPr>
          <w:p w14:paraId="7A955263" w14:textId="77777777" w:rsidR="002A2210" w:rsidRPr="00274D96" w:rsidRDefault="002A2210" w:rsidP="00BF6DBE">
            <w:pPr>
              <w:rPr>
                <w:noProof/>
              </w:rPr>
            </w:pPr>
          </w:p>
        </w:tc>
        <w:tc>
          <w:tcPr>
            <w:tcW w:w="2902" w:type="dxa"/>
            <w:tcBorders>
              <w:top w:val="single" w:sz="4" w:space="0" w:color="auto"/>
              <w:left w:val="single" w:sz="4" w:space="0" w:color="auto"/>
              <w:bottom w:val="single" w:sz="4" w:space="0" w:color="auto"/>
              <w:right w:val="single" w:sz="4" w:space="0" w:color="auto"/>
            </w:tcBorders>
            <w:hideMark/>
          </w:tcPr>
          <w:p w14:paraId="4D869886" w14:textId="77777777" w:rsidR="002A2210" w:rsidRPr="00274D96" w:rsidRDefault="002A2210" w:rsidP="005E2EEF">
            <w:pPr>
              <w:rPr>
                <w:noProof/>
              </w:rPr>
            </w:pPr>
            <w:r w:rsidRPr="00274D96">
              <w:rPr>
                <w:noProof/>
              </w:rPr>
              <w:t>Gaas</w:t>
            </w:r>
          </w:p>
        </w:tc>
        <w:tc>
          <w:tcPr>
            <w:tcW w:w="3936" w:type="dxa"/>
            <w:tcBorders>
              <w:top w:val="single" w:sz="4" w:space="0" w:color="auto"/>
              <w:left w:val="single" w:sz="4" w:space="0" w:color="auto"/>
              <w:bottom w:val="single" w:sz="4" w:space="0" w:color="auto"/>
              <w:right w:val="single" w:sz="4" w:space="0" w:color="auto"/>
            </w:tcBorders>
            <w:hideMark/>
          </w:tcPr>
          <w:p w14:paraId="3F96308F" w14:textId="77777777" w:rsidR="002A2210" w:rsidRPr="00274D96" w:rsidRDefault="002A2210" w:rsidP="005E2EEF">
            <w:pPr>
              <w:rPr>
                <w:noProof/>
              </w:rPr>
            </w:pPr>
            <w:r w:rsidRPr="00274D96">
              <w:rPr>
                <w:noProof/>
              </w:rPr>
              <w:t>Gaasikoordineerimisrühm</w:t>
            </w:r>
          </w:p>
        </w:tc>
      </w:tr>
      <w:tr w:rsidR="0062176B" w:rsidRPr="00274D96" w14:paraId="46DAB97D" w14:textId="77777777" w:rsidTr="527F83FC">
        <w:trPr>
          <w:tblHeader/>
        </w:trPr>
        <w:tc>
          <w:tcPr>
            <w:tcW w:w="0" w:type="auto"/>
            <w:vMerge/>
            <w:vAlign w:val="center"/>
            <w:hideMark/>
          </w:tcPr>
          <w:p w14:paraId="2C3F69A6" w14:textId="77777777" w:rsidR="002A2210" w:rsidRPr="00274D96" w:rsidRDefault="002A2210" w:rsidP="00BF6DBE">
            <w:pPr>
              <w:rPr>
                <w:noProof/>
              </w:rPr>
            </w:pPr>
          </w:p>
        </w:tc>
        <w:tc>
          <w:tcPr>
            <w:tcW w:w="2902" w:type="dxa"/>
            <w:tcBorders>
              <w:top w:val="single" w:sz="4" w:space="0" w:color="auto"/>
              <w:left w:val="single" w:sz="4" w:space="0" w:color="auto"/>
              <w:bottom w:val="single" w:sz="4" w:space="0" w:color="auto"/>
              <w:right w:val="single" w:sz="4" w:space="0" w:color="auto"/>
            </w:tcBorders>
            <w:hideMark/>
          </w:tcPr>
          <w:p w14:paraId="17C4DF72" w14:textId="77777777" w:rsidR="002A2210" w:rsidRPr="00274D96" w:rsidRDefault="002A2210" w:rsidP="005E2EEF">
            <w:pPr>
              <w:rPr>
                <w:noProof/>
              </w:rPr>
            </w:pPr>
            <w:r w:rsidRPr="00274D96">
              <w:rPr>
                <w:noProof/>
              </w:rPr>
              <w:t>Vesinik</w:t>
            </w:r>
          </w:p>
        </w:tc>
        <w:tc>
          <w:tcPr>
            <w:tcW w:w="3936" w:type="dxa"/>
            <w:tcBorders>
              <w:top w:val="single" w:sz="4" w:space="0" w:color="auto"/>
              <w:left w:val="single" w:sz="4" w:space="0" w:color="auto"/>
              <w:bottom w:val="single" w:sz="4" w:space="0" w:color="auto"/>
              <w:right w:val="single" w:sz="4" w:space="0" w:color="auto"/>
            </w:tcBorders>
          </w:tcPr>
          <w:p w14:paraId="76BCDF98" w14:textId="77777777" w:rsidR="002A2210" w:rsidRPr="00274D96" w:rsidRDefault="008F6857" w:rsidP="005E2EEF">
            <w:pPr>
              <w:rPr>
                <w:noProof/>
              </w:rPr>
            </w:pPr>
            <w:r w:rsidRPr="00274D96">
              <w:rPr>
                <w:noProof/>
              </w:rPr>
              <w:t>Puuduvad</w:t>
            </w:r>
          </w:p>
        </w:tc>
      </w:tr>
      <w:tr w:rsidR="0062176B" w:rsidRPr="00274D96" w14:paraId="4D3333AE" w14:textId="77777777" w:rsidTr="527F83FC">
        <w:trPr>
          <w:tblHeader/>
        </w:trPr>
        <w:tc>
          <w:tcPr>
            <w:tcW w:w="0" w:type="auto"/>
            <w:vMerge w:val="restart"/>
            <w:tcBorders>
              <w:top w:val="single" w:sz="4" w:space="0" w:color="auto"/>
              <w:left w:val="single" w:sz="4" w:space="0" w:color="auto"/>
              <w:bottom w:val="single" w:sz="4" w:space="0" w:color="auto"/>
              <w:right w:val="single" w:sz="4" w:space="0" w:color="auto"/>
            </w:tcBorders>
            <w:hideMark/>
          </w:tcPr>
          <w:p w14:paraId="500AC035" w14:textId="77777777" w:rsidR="002A2210" w:rsidRPr="00274D96" w:rsidRDefault="002A2210" w:rsidP="00BF6DBE">
            <w:pPr>
              <w:rPr>
                <w:noProof/>
              </w:rPr>
            </w:pPr>
            <w:r w:rsidRPr="00274D96">
              <w:rPr>
                <w:noProof/>
              </w:rPr>
              <w:t>Transport</w:t>
            </w:r>
          </w:p>
        </w:tc>
        <w:tc>
          <w:tcPr>
            <w:tcW w:w="2902" w:type="dxa"/>
            <w:tcBorders>
              <w:top w:val="single" w:sz="4" w:space="0" w:color="auto"/>
              <w:left w:val="single" w:sz="4" w:space="0" w:color="auto"/>
              <w:bottom w:val="single" w:sz="4" w:space="0" w:color="auto"/>
              <w:right w:val="single" w:sz="4" w:space="0" w:color="auto"/>
            </w:tcBorders>
            <w:hideMark/>
          </w:tcPr>
          <w:p w14:paraId="477C9C40" w14:textId="77777777" w:rsidR="002A2210" w:rsidRPr="00274D96" w:rsidRDefault="002A2210" w:rsidP="005E2EEF">
            <w:pPr>
              <w:rPr>
                <w:noProof/>
              </w:rPr>
            </w:pPr>
            <w:r w:rsidRPr="00274D96">
              <w:rPr>
                <w:noProof/>
              </w:rPr>
              <w:t>Lennutransport</w:t>
            </w:r>
          </w:p>
        </w:tc>
        <w:tc>
          <w:tcPr>
            <w:tcW w:w="3936" w:type="dxa"/>
            <w:tcBorders>
              <w:top w:val="single" w:sz="4" w:space="0" w:color="auto"/>
              <w:left w:val="single" w:sz="4" w:space="0" w:color="auto"/>
              <w:bottom w:val="single" w:sz="4" w:space="0" w:color="auto"/>
              <w:right w:val="single" w:sz="4" w:space="0" w:color="auto"/>
            </w:tcBorders>
            <w:hideMark/>
          </w:tcPr>
          <w:p w14:paraId="12832BC7" w14:textId="77777777" w:rsidR="002A2210" w:rsidRPr="00274D96" w:rsidRDefault="002A2210" w:rsidP="005E2EEF">
            <w:pPr>
              <w:rPr>
                <w:noProof/>
              </w:rPr>
            </w:pPr>
            <w:r w:rsidRPr="00274D96">
              <w:rPr>
                <w:noProof/>
              </w:rPr>
              <w:t>Euroopa lennunduskriiside koordineerimisüksus</w:t>
            </w:r>
          </w:p>
        </w:tc>
      </w:tr>
      <w:tr w:rsidR="0062176B" w:rsidRPr="00274D96" w14:paraId="550800F6" w14:textId="77777777" w:rsidTr="527F83FC">
        <w:trPr>
          <w:tblHeader/>
        </w:trPr>
        <w:tc>
          <w:tcPr>
            <w:tcW w:w="0" w:type="auto"/>
            <w:vMerge/>
            <w:tcBorders>
              <w:left w:val="single" w:sz="4" w:space="0" w:color="auto"/>
              <w:right w:val="single" w:sz="4" w:space="0" w:color="auto"/>
            </w:tcBorders>
            <w:vAlign w:val="center"/>
            <w:hideMark/>
          </w:tcPr>
          <w:p w14:paraId="40527181" w14:textId="77777777" w:rsidR="002A2210" w:rsidRPr="00274D96" w:rsidRDefault="002A2210" w:rsidP="00BF6DBE">
            <w:pPr>
              <w:rPr>
                <w:noProof/>
              </w:rPr>
            </w:pPr>
          </w:p>
        </w:tc>
        <w:tc>
          <w:tcPr>
            <w:tcW w:w="2902" w:type="dxa"/>
            <w:tcBorders>
              <w:top w:val="single" w:sz="4" w:space="0" w:color="auto"/>
              <w:left w:val="single" w:sz="4" w:space="0" w:color="auto"/>
              <w:bottom w:val="single" w:sz="4" w:space="0" w:color="auto"/>
              <w:right w:val="single" w:sz="4" w:space="0" w:color="auto"/>
            </w:tcBorders>
            <w:hideMark/>
          </w:tcPr>
          <w:p w14:paraId="35D92CCB" w14:textId="77777777" w:rsidR="002A2210" w:rsidRPr="00274D96" w:rsidRDefault="002A2210" w:rsidP="005E2EEF">
            <w:pPr>
              <w:rPr>
                <w:noProof/>
              </w:rPr>
            </w:pPr>
            <w:r w:rsidRPr="00274D96">
              <w:rPr>
                <w:noProof/>
              </w:rPr>
              <w:t>Raudteetransport</w:t>
            </w:r>
          </w:p>
        </w:tc>
        <w:tc>
          <w:tcPr>
            <w:tcW w:w="3936" w:type="dxa"/>
            <w:tcBorders>
              <w:top w:val="single" w:sz="4" w:space="0" w:color="auto"/>
              <w:left w:val="single" w:sz="4" w:space="0" w:color="auto"/>
              <w:bottom w:val="single" w:sz="4" w:space="0" w:color="auto"/>
              <w:right w:val="single" w:sz="4" w:space="0" w:color="auto"/>
            </w:tcBorders>
          </w:tcPr>
          <w:p w14:paraId="679833CC" w14:textId="77777777" w:rsidR="002A2210" w:rsidRPr="00274D96" w:rsidRDefault="008F6857" w:rsidP="008F6857">
            <w:pPr>
              <w:rPr>
                <w:noProof/>
              </w:rPr>
            </w:pPr>
            <w:r w:rsidRPr="00274D96">
              <w:rPr>
                <w:noProof/>
              </w:rPr>
              <w:t>Puuduvad</w:t>
            </w:r>
          </w:p>
        </w:tc>
      </w:tr>
      <w:tr w:rsidR="0062176B" w:rsidRPr="00274D96" w14:paraId="4C5E7371" w14:textId="77777777" w:rsidTr="527F83FC">
        <w:trPr>
          <w:tblHeader/>
        </w:trPr>
        <w:tc>
          <w:tcPr>
            <w:tcW w:w="0" w:type="auto"/>
            <w:vMerge/>
            <w:tcBorders>
              <w:left w:val="single" w:sz="4" w:space="0" w:color="auto"/>
              <w:right w:val="single" w:sz="4" w:space="0" w:color="auto"/>
            </w:tcBorders>
            <w:vAlign w:val="center"/>
            <w:hideMark/>
          </w:tcPr>
          <w:p w14:paraId="2F19ADC4" w14:textId="77777777" w:rsidR="002A2210" w:rsidRPr="00274D96" w:rsidRDefault="002A2210" w:rsidP="00BF6DBE">
            <w:pPr>
              <w:rPr>
                <w:noProof/>
              </w:rPr>
            </w:pPr>
          </w:p>
        </w:tc>
        <w:tc>
          <w:tcPr>
            <w:tcW w:w="2902" w:type="dxa"/>
            <w:tcBorders>
              <w:top w:val="single" w:sz="4" w:space="0" w:color="auto"/>
              <w:left w:val="single" w:sz="4" w:space="0" w:color="auto"/>
              <w:bottom w:val="single" w:sz="4" w:space="0" w:color="auto"/>
              <w:right w:val="single" w:sz="4" w:space="0" w:color="auto"/>
            </w:tcBorders>
            <w:hideMark/>
          </w:tcPr>
          <w:p w14:paraId="072C0E39" w14:textId="77777777" w:rsidR="002A2210" w:rsidRPr="00274D96" w:rsidRDefault="002A2210" w:rsidP="005E2EEF">
            <w:pPr>
              <w:rPr>
                <w:noProof/>
              </w:rPr>
            </w:pPr>
            <w:r w:rsidRPr="00274D96">
              <w:rPr>
                <w:noProof/>
              </w:rPr>
              <w:t>Veetransport</w:t>
            </w:r>
          </w:p>
        </w:tc>
        <w:tc>
          <w:tcPr>
            <w:tcW w:w="3936" w:type="dxa"/>
            <w:tcBorders>
              <w:top w:val="single" w:sz="4" w:space="0" w:color="auto"/>
              <w:left w:val="single" w:sz="4" w:space="0" w:color="auto"/>
              <w:bottom w:val="single" w:sz="4" w:space="0" w:color="auto"/>
              <w:right w:val="single" w:sz="4" w:space="0" w:color="auto"/>
            </w:tcBorders>
            <w:hideMark/>
          </w:tcPr>
          <w:p w14:paraId="402A6844" w14:textId="77777777" w:rsidR="002A2210" w:rsidRPr="00274D96" w:rsidRDefault="002A2210" w:rsidP="005E2EEF">
            <w:pPr>
              <w:rPr>
                <w:noProof/>
              </w:rPr>
            </w:pPr>
            <w:r w:rsidRPr="00274D96">
              <w:rPr>
                <w:noProof/>
              </w:rPr>
              <w:t xml:space="preserve">Euroopa Kalanduskontrolli Amet </w:t>
            </w:r>
          </w:p>
          <w:p w14:paraId="35EEBE16" w14:textId="77777777" w:rsidR="002A2210" w:rsidRPr="00274D96" w:rsidRDefault="002A2210" w:rsidP="005E2EEF">
            <w:pPr>
              <w:rPr>
                <w:noProof/>
              </w:rPr>
            </w:pPr>
            <w:r w:rsidRPr="00274D96">
              <w:rPr>
                <w:noProof/>
              </w:rPr>
              <w:t>SafeSeaNet</w:t>
            </w:r>
          </w:p>
          <w:p w14:paraId="22FF337A" w14:textId="77777777" w:rsidR="002A2210" w:rsidRPr="00274D96" w:rsidRDefault="002A2210" w:rsidP="005E2EEF">
            <w:pPr>
              <w:rPr>
                <w:noProof/>
              </w:rPr>
            </w:pPr>
            <w:r w:rsidRPr="00274D96">
              <w:rPr>
                <w:noProof/>
              </w:rPr>
              <w:t>Integreeritud merendusteenused</w:t>
            </w:r>
          </w:p>
          <w:p w14:paraId="33668EDC" w14:textId="77777777" w:rsidR="002A2210" w:rsidRPr="00274D96" w:rsidRDefault="002A2210" w:rsidP="005E2EEF">
            <w:pPr>
              <w:rPr>
                <w:noProof/>
              </w:rPr>
            </w:pPr>
            <w:r w:rsidRPr="00274D96">
              <w:rPr>
                <w:noProof/>
              </w:rPr>
              <w:t>Laevade kaugtuvastuse ja kaugseire andmekeskus</w:t>
            </w:r>
          </w:p>
          <w:p w14:paraId="008368F7" w14:textId="77777777" w:rsidR="002A2210" w:rsidRPr="00274D96" w:rsidRDefault="002A2210" w:rsidP="005E2EEF">
            <w:pPr>
              <w:rPr>
                <w:noProof/>
              </w:rPr>
            </w:pPr>
            <w:r w:rsidRPr="00274D96">
              <w:rPr>
                <w:noProof/>
              </w:rPr>
              <w:t>Euroopa Meresõiduohutuse Ameti tugiteenused</w:t>
            </w:r>
          </w:p>
        </w:tc>
      </w:tr>
      <w:tr w:rsidR="0062176B" w:rsidRPr="00274D96" w14:paraId="4F39B04E" w14:textId="77777777" w:rsidTr="527F83FC">
        <w:trPr>
          <w:tblHeader/>
        </w:trPr>
        <w:tc>
          <w:tcPr>
            <w:tcW w:w="0" w:type="auto"/>
            <w:vMerge/>
            <w:tcBorders>
              <w:left w:val="single" w:sz="4" w:space="0" w:color="auto"/>
              <w:right w:val="single" w:sz="4" w:space="0" w:color="auto"/>
            </w:tcBorders>
            <w:vAlign w:val="center"/>
            <w:hideMark/>
          </w:tcPr>
          <w:p w14:paraId="5E7F9A3B" w14:textId="77777777" w:rsidR="002A2210" w:rsidRPr="00274D96" w:rsidRDefault="002A2210" w:rsidP="00BF6DBE">
            <w:pPr>
              <w:rPr>
                <w:noProof/>
              </w:rPr>
            </w:pPr>
          </w:p>
        </w:tc>
        <w:tc>
          <w:tcPr>
            <w:tcW w:w="2902" w:type="dxa"/>
            <w:tcBorders>
              <w:top w:val="single" w:sz="4" w:space="0" w:color="auto"/>
              <w:left w:val="single" w:sz="4" w:space="0" w:color="auto"/>
              <w:bottom w:val="single" w:sz="4" w:space="0" w:color="auto"/>
              <w:right w:val="single" w:sz="4" w:space="0" w:color="auto"/>
            </w:tcBorders>
            <w:hideMark/>
          </w:tcPr>
          <w:p w14:paraId="604CA91E" w14:textId="77777777" w:rsidR="002A2210" w:rsidRPr="00274D96" w:rsidRDefault="002A2210" w:rsidP="005E2EEF">
            <w:pPr>
              <w:rPr>
                <w:noProof/>
              </w:rPr>
            </w:pPr>
            <w:r w:rsidRPr="00274D96">
              <w:rPr>
                <w:noProof/>
              </w:rPr>
              <w:t>Maanteetransport</w:t>
            </w:r>
          </w:p>
        </w:tc>
        <w:tc>
          <w:tcPr>
            <w:tcW w:w="3936" w:type="dxa"/>
            <w:tcBorders>
              <w:top w:val="single" w:sz="4" w:space="0" w:color="auto"/>
              <w:left w:val="single" w:sz="4" w:space="0" w:color="auto"/>
              <w:bottom w:val="single" w:sz="4" w:space="0" w:color="auto"/>
              <w:right w:val="single" w:sz="4" w:space="0" w:color="auto"/>
            </w:tcBorders>
          </w:tcPr>
          <w:p w14:paraId="7800BC03" w14:textId="77777777" w:rsidR="002A2210" w:rsidRPr="00274D96" w:rsidRDefault="008F6857" w:rsidP="008F6857">
            <w:pPr>
              <w:rPr>
                <w:noProof/>
              </w:rPr>
            </w:pPr>
            <w:r w:rsidRPr="00274D96">
              <w:rPr>
                <w:noProof/>
              </w:rPr>
              <w:t>Puuduvad</w:t>
            </w:r>
          </w:p>
        </w:tc>
      </w:tr>
      <w:tr w:rsidR="527F83FC" w:rsidRPr="00274D96" w14:paraId="76FA7612" w14:textId="77777777" w:rsidTr="527F83FC">
        <w:trPr>
          <w:trHeight w:val="300"/>
          <w:tblHeader/>
        </w:trPr>
        <w:tc>
          <w:tcPr>
            <w:tcW w:w="2451" w:type="dxa"/>
            <w:vMerge/>
            <w:tcBorders>
              <w:left w:val="single" w:sz="4" w:space="0" w:color="auto"/>
              <w:bottom w:val="single" w:sz="4" w:space="0" w:color="auto"/>
              <w:right w:val="single" w:sz="4" w:space="0" w:color="auto"/>
            </w:tcBorders>
            <w:hideMark/>
          </w:tcPr>
          <w:p w14:paraId="732D8BDB" w14:textId="77777777" w:rsidR="000A3E79" w:rsidRPr="00274D96" w:rsidRDefault="000A3E79" w:rsidP="00BF6DBE">
            <w:pPr>
              <w:rPr>
                <w:noProof/>
              </w:rPr>
            </w:pPr>
          </w:p>
        </w:tc>
        <w:tc>
          <w:tcPr>
            <w:tcW w:w="2902" w:type="dxa"/>
            <w:tcBorders>
              <w:top w:val="single" w:sz="4" w:space="0" w:color="auto"/>
              <w:left w:val="single" w:sz="4" w:space="0" w:color="auto"/>
              <w:bottom w:val="single" w:sz="4" w:space="0" w:color="auto"/>
              <w:right w:val="single" w:sz="4" w:space="0" w:color="auto"/>
            </w:tcBorders>
            <w:hideMark/>
          </w:tcPr>
          <w:p w14:paraId="355B4380" w14:textId="77777777" w:rsidR="2416CA58" w:rsidRPr="00274D96" w:rsidRDefault="2416CA58" w:rsidP="527F83FC">
            <w:pPr>
              <w:rPr>
                <w:noProof/>
              </w:rPr>
            </w:pPr>
            <w:r w:rsidRPr="00274D96">
              <w:rPr>
                <w:noProof/>
              </w:rPr>
              <w:t>Horisontaalne</w:t>
            </w:r>
          </w:p>
        </w:tc>
        <w:tc>
          <w:tcPr>
            <w:tcW w:w="3936" w:type="dxa"/>
            <w:tcBorders>
              <w:top w:val="single" w:sz="4" w:space="0" w:color="auto"/>
              <w:left w:val="single" w:sz="4" w:space="0" w:color="auto"/>
              <w:bottom w:val="single" w:sz="4" w:space="0" w:color="auto"/>
              <w:right w:val="single" w:sz="4" w:space="0" w:color="auto"/>
            </w:tcBorders>
          </w:tcPr>
          <w:p w14:paraId="0939518E" w14:textId="77777777" w:rsidR="2416CA58" w:rsidRPr="00274D96" w:rsidRDefault="2416CA58" w:rsidP="527F83FC">
            <w:pPr>
              <w:rPr>
                <w:noProof/>
              </w:rPr>
            </w:pPr>
            <w:r w:rsidRPr="00274D96">
              <w:rPr>
                <w:noProof/>
              </w:rPr>
              <w:t>Transpordisektori hädaolukorra lahendamise plaaniga (COM(2022) 211) loodud transpordi kontaktpunktid</w:t>
            </w:r>
          </w:p>
        </w:tc>
      </w:tr>
      <w:tr w:rsidR="0062176B" w:rsidRPr="00274D96" w14:paraId="52657B27"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0190874E" w14:textId="77777777" w:rsidR="002A2210" w:rsidRPr="00274D96" w:rsidRDefault="002A2210" w:rsidP="00BF6DBE">
            <w:pPr>
              <w:rPr>
                <w:noProof/>
              </w:rPr>
            </w:pPr>
            <w:r w:rsidRPr="00274D96">
              <w:rPr>
                <w:noProof/>
              </w:rPr>
              <w:t>Pangandus</w:t>
            </w:r>
          </w:p>
        </w:tc>
        <w:tc>
          <w:tcPr>
            <w:tcW w:w="2902" w:type="dxa"/>
            <w:tcBorders>
              <w:top w:val="single" w:sz="4" w:space="0" w:color="auto"/>
              <w:left w:val="single" w:sz="4" w:space="0" w:color="auto"/>
              <w:bottom w:val="single" w:sz="4" w:space="0" w:color="auto"/>
              <w:right w:val="single" w:sz="4" w:space="0" w:color="auto"/>
            </w:tcBorders>
          </w:tcPr>
          <w:p w14:paraId="20A36B11" w14:textId="77777777" w:rsidR="002A2210" w:rsidRPr="00274D96" w:rsidRDefault="002A2210" w:rsidP="005E2EEF">
            <w:pPr>
              <w:ind w:left="1134"/>
              <w:rPr>
                <w:noProof/>
              </w:rPr>
            </w:pPr>
          </w:p>
        </w:tc>
        <w:tc>
          <w:tcPr>
            <w:tcW w:w="3936" w:type="dxa"/>
            <w:tcBorders>
              <w:top w:val="single" w:sz="4" w:space="0" w:color="auto"/>
              <w:left w:val="single" w:sz="4" w:space="0" w:color="auto"/>
              <w:bottom w:val="single" w:sz="4" w:space="0" w:color="auto"/>
              <w:right w:val="single" w:sz="4" w:space="0" w:color="auto"/>
            </w:tcBorders>
            <w:hideMark/>
          </w:tcPr>
          <w:p w14:paraId="384F39B4" w14:textId="77777777" w:rsidR="002A2210" w:rsidRPr="00274D96" w:rsidRDefault="002A2210" w:rsidP="005E2EEF">
            <w:pPr>
              <w:rPr>
                <w:noProof/>
              </w:rPr>
            </w:pPr>
            <w:r w:rsidRPr="00274D96">
              <w:rPr>
                <w:noProof/>
              </w:rPr>
              <w:t>ELi süsteemsete küberturvalisuse intsidentide koordineerimisraamistik</w:t>
            </w:r>
          </w:p>
        </w:tc>
      </w:tr>
      <w:tr w:rsidR="0062176B" w:rsidRPr="00274D96" w14:paraId="721C3822"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1A3277B7" w14:textId="77777777" w:rsidR="002A2210" w:rsidRPr="00274D96" w:rsidRDefault="002A2210" w:rsidP="00BF6DBE">
            <w:pPr>
              <w:rPr>
                <w:noProof/>
              </w:rPr>
            </w:pPr>
            <w:r w:rsidRPr="00274D96">
              <w:rPr>
                <w:noProof/>
              </w:rPr>
              <w:t>Finantsturutaristud</w:t>
            </w:r>
          </w:p>
        </w:tc>
        <w:tc>
          <w:tcPr>
            <w:tcW w:w="2902" w:type="dxa"/>
            <w:tcBorders>
              <w:top w:val="single" w:sz="4" w:space="0" w:color="auto"/>
              <w:left w:val="single" w:sz="4" w:space="0" w:color="auto"/>
              <w:bottom w:val="single" w:sz="4" w:space="0" w:color="auto"/>
              <w:right w:val="single" w:sz="4" w:space="0" w:color="auto"/>
            </w:tcBorders>
          </w:tcPr>
          <w:p w14:paraId="1D275437" w14:textId="77777777" w:rsidR="002A2210" w:rsidRPr="00274D96" w:rsidRDefault="002A2210" w:rsidP="005E2EEF">
            <w:pPr>
              <w:ind w:left="1134"/>
              <w:rPr>
                <w:noProof/>
              </w:rPr>
            </w:pPr>
          </w:p>
        </w:tc>
        <w:tc>
          <w:tcPr>
            <w:tcW w:w="3936" w:type="dxa"/>
            <w:tcBorders>
              <w:top w:val="single" w:sz="4" w:space="0" w:color="auto"/>
              <w:left w:val="single" w:sz="4" w:space="0" w:color="auto"/>
              <w:bottom w:val="single" w:sz="4" w:space="0" w:color="auto"/>
              <w:right w:val="single" w:sz="4" w:space="0" w:color="auto"/>
            </w:tcBorders>
            <w:hideMark/>
          </w:tcPr>
          <w:p w14:paraId="08D68652" w14:textId="77777777" w:rsidR="002A2210" w:rsidRPr="00274D96" w:rsidRDefault="002A2210" w:rsidP="005E2EEF">
            <w:pPr>
              <w:rPr>
                <w:noProof/>
              </w:rPr>
            </w:pPr>
            <w:r w:rsidRPr="00274D96">
              <w:rPr>
                <w:noProof/>
              </w:rPr>
              <w:t>ELi süsteemsete küberturvalisuse intsidentide koordineerimisraamistik</w:t>
            </w:r>
          </w:p>
          <w:p w14:paraId="28EB9E14" w14:textId="77777777" w:rsidR="008F6857" w:rsidRPr="00274D96" w:rsidRDefault="008F6857" w:rsidP="005E2EEF">
            <w:pPr>
              <w:rPr>
                <w:noProof/>
              </w:rPr>
            </w:pPr>
            <w:r w:rsidRPr="00274D96">
              <w:rPr>
                <w:noProof/>
              </w:rPr>
              <w:t>Euroopa finantsstabiilsusmehhanism</w:t>
            </w:r>
          </w:p>
        </w:tc>
      </w:tr>
      <w:tr w:rsidR="0062176B" w:rsidRPr="00274D96" w14:paraId="3CA0BA87"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3FA26C82" w14:textId="77777777" w:rsidR="002A2210" w:rsidRPr="00274D96" w:rsidRDefault="002A2210" w:rsidP="00BF6DBE">
            <w:pPr>
              <w:rPr>
                <w:noProof/>
              </w:rPr>
            </w:pPr>
            <w:r w:rsidRPr="00274D96">
              <w:rPr>
                <w:noProof/>
              </w:rPr>
              <w:t>Tervishoid</w:t>
            </w:r>
          </w:p>
        </w:tc>
        <w:tc>
          <w:tcPr>
            <w:tcW w:w="2902" w:type="dxa"/>
            <w:tcBorders>
              <w:top w:val="single" w:sz="4" w:space="0" w:color="auto"/>
              <w:left w:val="single" w:sz="4" w:space="0" w:color="auto"/>
              <w:bottom w:val="single" w:sz="4" w:space="0" w:color="auto"/>
              <w:right w:val="single" w:sz="4" w:space="0" w:color="auto"/>
            </w:tcBorders>
          </w:tcPr>
          <w:p w14:paraId="55299051" w14:textId="77777777" w:rsidR="002A2210" w:rsidRPr="00274D96" w:rsidRDefault="002A2210" w:rsidP="005E2EEF">
            <w:pPr>
              <w:ind w:left="1134"/>
              <w:rPr>
                <w:noProof/>
              </w:rPr>
            </w:pPr>
          </w:p>
        </w:tc>
        <w:tc>
          <w:tcPr>
            <w:tcW w:w="3936" w:type="dxa"/>
            <w:tcBorders>
              <w:top w:val="single" w:sz="4" w:space="0" w:color="auto"/>
              <w:left w:val="single" w:sz="4" w:space="0" w:color="auto"/>
              <w:bottom w:val="single" w:sz="4" w:space="0" w:color="auto"/>
              <w:right w:val="single" w:sz="4" w:space="0" w:color="auto"/>
            </w:tcBorders>
            <w:hideMark/>
          </w:tcPr>
          <w:p w14:paraId="36924C24" w14:textId="68433F81" w:rsidR="008F6857" w:rsidRPr="00274D96" w:rsidRDefault="008F6857" w:rsidP="008F6857">
            <w:pPr>
              <w:rPr>
                <w:noProof/>
              </w:rPr>
            </w:pPr>
            <w:r w:rsidRPr="00274D96">
              <w:rPr>
                <w:noProof/>
              </w:rPr>
              <w:t>Varajase hoiatamise ja reageerimise süsteem</w:t>
            </w:r>
          </w:p>
          <w:p w14:paraId="257FDD51" w14:textId="77777777" w:rsidR="008F6857" w:rsidRPr="00274D96" w:rsidRDefault="008F6857" w:rsidP="008F6857">
            <w:pPr>
              <w:rPr>
                <w:noProof/>
              </w:rPr>
            </w:pPr>
            <w:r w:rsidRPr="00274D96">
              <w:rPr>
                <w:noProof/>
              </w:rPr>
              <w:t>Tervisealaste hädaolukordade lahendamise üksus Kudede, rakkude ja verekomponentide kiirhoiatussüsteem</w:t>
            </w:r>
          </w:p>
          <w:p w14:paraId="355A36E8" w14:textId="77777777" w:rsidR="008F6857" w:rsidRPr="00274D96" w:rsidRDefault="008F6857" w:rsidP="008F6857">
            <w:pPr>
              <w:rPr>
                <w:noProof/>
              </w:rPr>
            </w:pPr>
            <w:r w:rsidRPr="00274D96">
              <w:rPr>
                <w:noProof/>
              </w:rPr>
              <w:t>Tervisealase hädaolukorra raamistik</w:t>
            </w:r>
          </w:p>
          <w:p w14:paraId="60F92AE3" w14:textId="77777777" w:rsidR="008F6857" w:rsidRPr="00274D96" w:rsidRDefault="008F6857" w:rsidP="008F6857">
            <w:pPr>
              <w:rPr>
                <w:noProof/>
              </w:rPr>
            </w:pPr>
            <w:r w:rsidRPr="00274D96">
              <w:rPr>
                <w:noProof/>
              </w:rPr>
              <w:t>Keemiliste ainetega seotud intsidentide kiirhoiatussüsteem</w:t>
            </w:r>
          </w:p>
          <w:p w14:paraId="51EF20AE" w14:textId="77777777" w:rsidR="008F6857" w:rsidRPr="00274D96" w:rsidRDefault="008F6857" w:rsidP="008F6857">
            <w:pPr>
              <w:rPr>
                <w:noProof/>
              </w:rPr>
            </w:pPr>
            <w:r w:rsidRPr="00274D96">
              <w:rPr>
                <w:noProof/>
              </w:rPr>
              <w:t xml:space="preserve">Euroopa nakkushaiguste seireportaal </w:t>
            </w:r>
          </w:p>
          <w:p w14:paraId="5DC5815C" w14:textId="77777777" w:rsidR="008F6857" w:rsidRPr="00274D96" w:rsidRDefault="008F6857" w:rsidP="008F6857">
            <w:pPr>
              <w:rPr>
                <w:noProof/>
              </w:rPr>
            </w:pPr>
            <w:r w:rsidRPr="00274D96">
              <w:rPr>
                <w:noProof/>
              </w:rPr>
              <w:t>Tervisealasteks hädaolukordadeks valmisoleku ja neile reageerimise asutus</w:t>
            </w:r>
          </w:p>
          <w:p w14:paraId="7D009191" w14:textId="77777777" w:rsidR="008F6857" w:rsidRPr="00274D96" w:rsidRDefault="008F6857" w:rsidP="008F6857">
            <w:pPr>
              <w:rPr>
                <w:noProof/>
              </w:rPr>
            </w:pPr>
            <w:r w:rsidRPr="00274D96">
              <w:rPr>
                <w:noProof/>
              </w:rPr>
              <w:t>Meditsiiniinfosüsteem</w:t>
            </w:r>
          </w:p>
          <w:p w14:paraId="19DD5E24" w14:textId="77777777" w:rsidR="008F6857" w:rsidRPr="00274D96" w:rsidRDefault="008F6857" w:rsidP="008F6857">
            <w:pPr>
              <w:rPr>
                <w:noProof/>
              </w:rPr>
            </w:pPr>
            <w:r w:rsidRPr="00274D96">
              <w:rPr>
                <w:noProof/>
              </w:rPr>
              <w:t>Meditsiiniseadmete nappuse juhtrühm</w:t>
            </w:r>
          </w:p>
          <w:p w14:paraId="5C71454C" w14:textId="77777777" w:rsidR="008F6857" w:rsidRPr="00274D96" w:rsidRDefault="008F6857" w:rsidP="008F6857">
            <w:pPr>
              <w:rPr>
                <w:noProof/>
              </w:rPr>
            </w:pPr>
            <w:r w:rsidRPr="00274D96">
              <w:rPr>
                <w:noProof/>
              </w:rPr>
              <w:t>Ravimiohutuse järelevalve kiirhoiatussüsteem</w:t>
            </w:r>
          </w:p>
          <w:p w14:paraId="007C539F" w14:textId="77777777" w:rsidR="002A2210" w:rsidRPr="00274D96" w:rsidRDefault="008F6857" w:rsidP="008F6857">
            <w:pPr>
              <w:rPr>
                <w:noProof/>
              </w:rPr>
            </w:pPr>
            <w:r w:rsidRPr="00274D96">
              <w:rPr>
                <w:noProof/>
              </w:rPr>
              <w:t>ELi tervishoiu rakkerühm</w:t>
            </w:r>
          </w:p>
        </w:tc>
      </w:tr>
      <w:tr w:rsidR="008F6857" w:rsidRPr="00274D96" w14:paraId="0AE21B08"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7D20969F" w14:textId="77777777" w:rsidR="008F6857" w:rsidRPr="00274D96" w:rsidRDefault="008F6857" w:rsidP="00BF6DBE">
            <w:pPr>
              <w:rPr>
                <w:noProof/>
              </w:rPr>
            </w:pPr>
            <w:r w:rsidRPr="00274D96">
              <w:rPr>
                <w:noProof/>
              </w:rPr>
              <w:t>Joogivesi</w:t>
            </w:r>
          </w:p>
        </w:tc>
        <w:tc>
          <w:tcPr>
            <w:tcW w:w="2902" w:type="dxa"/>
            <w:tcBorders>
              <w:top w:val="single" w:sz="4" w:space="0" w:color="auto"/>
              <w:left w:val="single" w:sz="4" w:space="0" w:color="auto"/>
              <w:bottom w:val="single" w:sz="4" w:space="0" w:color="auto"/>
              <w:right w:val="single" w:sz="4" w:space="0" w:color="auto"/>
            </w:tcBorders>
          </w:tcPr>
          <w:p w14:paraId="663F454D" w14:textId="77777777" w:rsidR="008F6857" w:rsidRPr="00274D96" w:rsidRDefault="008F6857" w:rsidP="008F6857">
            <w:pPr>
              <w:ind w:left="1134"/>
              <w:rPr>
                <w:noProof/>
              </w:rPr>
            </w:pPr>
          </w:p>
        </w:tc>
        <w:tc>
          <w:tcPr>
            <w:tcW w:w="3936" w:type="dxa"/>
            <w:tcBorders>
              <w:top w:val="single" w:sz="4" w:space="0" w:color="auto"/>
              <w:left w:val="single" w:sz="4" w:space="0" w:color="auto"/>
              <w:bottom w:val="single" w:sz="4" w:space="0" w:color="auto"/>
              <w:right w:val="single" w:sz="4" w:space="0" w:color="auto"/>
            </w:tcBorders>
          </w:tcPr>
          <w:p w14:paraId="24527869" w14:textId="77777777" w:rsidR="008F6857" w:rsidRPr="00274D96" w:rsidRDefault="008F6857" w:rsidP="008F6857">
            <w:pPr>
              <w:rPr>
                <w:noProof/>
                <w:szCs w:val="28"/>
              </w:rPr>
            </w:pPr>
            <w:r w:rsidRPr="00274D96">
              <w:rPr>
                <w:noProof/>
              </w:rPr>
              <w:t>Puuduvad</w:t>
            </w:r>
          </w:p>
        </w:tc>
      </w:tr>
      <w:tr w:rsidR="008F6857" w:rsidRPr="00274D96" w14:paraId="54076513"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1F33AEF1" w14:textId="77777777" w:rsidR="008F6857" w:rsidRPr="00274D96" w:rsidRDefault="008F6857" w:rsidP="00BF6DBE">
            <w:pPr>
              <w:rPr>
                <w:noProof/>
              </w:rPr>
            </w:pPr>
            <w:r w:rsidRPr="00274D96">
              <w:rPr>
                <w:noProof/>
              </w:rPr>
              <w:t>Reovesi</w:t>
            </w:r>
          </w:p>
        </w:tc>
        <w:tc>
          <w:tcPr>
            <w:tcW w:w="2902" w:type="dxa"/>
            <w:tcBorders>
              <w:top w:val="single" w:sz="4" w:space="0" w:color="auto"/>
              <w:left w:val="single" w:sz="4" w:space="0" w:color="auto"/>
              <w:bottom w:val="single" w:sz="4" w:space="0" w:color="auto"/>
              <w:right w:val="single" w:sz="4" w:space="0" w:color="auto"/>
            </w:tcBorders>
          </w:tcPr>
          <w:p w14:paraId="1CCB0D66" w14:textId="77777777" w:rsidR="008F6857" w:rsidRPr="00274D96" w:rsidRDefault="008F6857" w:rsidP="008F6857">
            <w:pPr>
              <w:rPr>
                <w:noProof/>
              </w:rPr>
            </w:pPr>
          </w:p>
        </w:tc>
        <w:tc>
          <w:tcPr>
            <w:tcW w:w="3936" w:type="dxa"/>
            <w:tcBorders>
              <w:top w:val="single" w:sz="4" w:space="0" w:color="auto"/>
              <w:left w:val="single" w:sz="4" w:space="0" w:color="auto"/>
              <w:bottom w:val="single" w:sz="4" w:space="0" w:color="auto"/>
              <w:right w:val="single" w:sz="4" w:space="0" w:color="auto"/>
            </w:tcBorders>
          </w:tcPr>
          <w:p w14:paraId="34CDBE39" w14:textId="77777777" w:rsidR="008F6857" w:rsidRPr="00274D96" w:rsidRDefault="008F6857" w:rsidP="008F6857">
            <w:pPr>
              <w:rPr>
                <w:noProof/>
                <w:szCs w:val="28"/>
              </w:rPr>
            </w:pPr>
            <w:r w:rsidRPr="00274D96">
              <w:rPr>
                <w:noProof/>
              </w:rPr>
              <w:t>Puuduvad</w:t>
            </w:r>
          </w:p>
        </w:tc>
      </w:tr>
      <w:tr w:rsidR="008F6857" w:rsidRPr="00274D96" w14:paraId="09E33510"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3ABD77F9" w14:textId="77777777" w:rsidR="008F6857" w:rsidRPr="00274D96" w:rsidRDefault="008F6857" w:rsidP="00BF6DBE">
            <w:pPr>
              <w:rPr>
                <w:noProof/>
              </w:rPr>
            </w:pPr>
            <w:r w:rsidRPr="00274D96">
              <w:rPr>
                <w:noProof/>
              </w:rPr>
              <w:t>Digitaristu</w:t>
            </w:r>
          </w:p>
        </w:tc>
        <w:tc>
          <w:tcPr>
            <w:tcW w:w="2902" w:type="dxa"/>
            <w:tcBorders>
              <w:top w:val="single" w:sz="4" w:space="0" w:color="auto"/>
              <w:left w:val="single" w:sz="4" w:space="0" w:color="auto"/>
              <w:bottom w:val="single" w:sz="4" w:space="0" w:color="auto"/>
              <w:right w:val="single" w:sz="4" w:space="0" w:color="auto"/>
            </w:tcBorders>
          </w:tcPr>
          <w:p w14:paraId="11B05EC8" w14:textId="77777777" w:rsidR="008F6857" w:rsidRPr="00274D96" w:rsidRDefault="008F6857" w:rsidP="008F6857">
            <w:pPr>
              <w:rPr>
                <w:noProof/>
              </w:rPr>
            </w:pPr>
          </w:p>
        </w:tc>
        <w:tc>
          <w:tcPr>
            <w:tcW w:w="3936" w:type="dxa"/>
            <w:tcBorders>
              <w:top w:val="single" w:sz="4" w:space="0" w:color="auto"/>
              <w:left w:val="single" w:sz="4" w:space="0" w:color="auto"/>
              <w:bottom w:val="single" w:sz="4" w:space="0" w:color="auto"/>
              <w:right w:val="single" w:sz="4" w:space="0" w:color="auto"/>
            </w:tcBorders>
          </w:tcPr>
          <w:p w14:paraId="3630D189" w14:textId="77777777" w:rsidR="008F6857" w:rsidRPr="00274D96" w:rsidRDefault="008F6857" w:rsidP="008F6857">
            <w:pPr>
              <w:rPr>
                <w:noProof/>
                <w:szCs w:val="28"/>
              </w:rPr>
            </w:pPr>
            <w:r w:rsidRPr="00274D96">
              <w:rPr>
                <w:noProof/>
              </w:rPr>
              <w:t>Puuduvad</w:t>
            </w:r>
          </w:p>
        </w:tc>
      </w:tr>
      <w:tr w:rsidR="008F6857" w:rsidRPr="00274D96" w14:paraId="14C95F3C"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6C775471" w14:textId="77777777" w:rsidR="008F6857" w:rsidRPr="00274D96" w:rsidRDefault="008F6857" w:rsidP="00BF6DBE">
            <w:pPr>
              <w:rPr>
                <w:noProof/>
              </w:rPr>
            </w:pPr>
            <w:r w:rsidRPr="00274D96">
              <w:rPr>
                <w:noProof/>
              </w:rPr>
              <w:t>IKT-teenuste haldus</w:t>
            </w:r>
          </w:p>
        </w:tc>
        <w:tc>
          <w:tcPr>
            <w:tcW w:w="2902" w:type="dxa"/>
            <w:tcBorders>
              <w:top w:val="single" w:sz="4" w:space="0" w:color="auto"/>
              <w:left w:val="single" w:sz="4" w:space="0" w:color="auto"/>
              <w:bottom w:val="single" w:sz="4" w:space="0" w:color="auto"/>
              <w:right w:val="single" w:sz="4" w:space="0" w:color="auto"/>
            </w:tcBorders>
          </w:tcPr>
          <w:p w14:paraId="38EF64A5" w14:textId="77777777" w:rsidR="008F6857" w:rsidRPr="00274D96" w:rsidRDefault="008F6857" w:rsidP="008F6857">
            <w:pPr>
              <w:rPr>
                <w:noProof/>
              </w:rPr>
            </w:pPr>
          </w:p>
        </w:tc>
        <w:tc>
          <w:tcPr>
            <w:tcW w:w="3936" w:type="dxa"/>
            <w:tcBorders>
              <w:top w:val="single" w:sz="4" w:space="0" w:color="auto"/>
              <w:left w:val="single" w:sz="4" w:space="0" w:color="auto"/>
              <w:bottom w:val="single" w:sz="4" w:space="0" w:color="auto"/>
              <w:right w:val="single" w:sz="4" w:space="0" w:color="auto"/>
            </w:tcBorders>
          </w:tcPr>
          <w:p w14:paraId="52F4CF81" w14:textId="77777777" w:rsidR="008F6857" w:rsidRPr="00274D96" w:rsidRDefault="008F6857" w:rsidP="008F6857">
            <w:pPr>
              <w:rPr>
                <w:noProof/>
                <w:szCs w:val="28"/>
              </w:rPr>
            </w:pPr>
            <w:r w:rsidRPr="00274D96">
              <w:rPr>
                <w:noProof/>
              </w:rPr>
              <w:t>Puuduvad</w:t>
            </w:r>
          </w:p>
        </w:tc>
      </w:tr>
      <w:tr w:rsidR="008F6857" w:rsidRPr="00274D96" w14:paraId="34D0BB7A"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0C572C55" w14:textId="77777777" w:rsidR="008F6857" w:rsidRPr="00274D96" w:rsidRDefault="008F6857" w:rsidP="00BF6DBE">
            <w:pPr>
              <w:rPr>
                <w:noProof/>
              </w:rPr>
            </w:pPr>
            <w:r w:rsidRPr="00274D96">
              <w:rPr>
                <w:noProof/>
              </w:rPr>
              <w:t>Avalik haldus</w:t>
            </w:r>
          </w:p>
        </w:tc>
        <w:tc>
          <w:tcPr>
            <w:tcW w:w="2902" w:type="dxa"/>
            <w:tcBorders>
              <w:top w:val="single" w:sz="4" w:space="0" w:color="auto"/>
              <w:left w:val="single" w:sz="4" w:space="0" w:color="auto"/>
              <w:bottom w:val="single" w:sz="4" w:space="0" w:color="auto"/>
              <w:right w:val="single" w:sz="4" w:space="0" w:color="auto"/>
            </w:tcBorders>
          </w:tcPr>
          <w:p w14:paraId="074C80D0" w14:textId="77777777" w:rsidR="008F6857" w:rsidRPr="00274D96" w:rsidRDefault="008F6857" w:rsidP="008F6857">
            <w:pPr>
              <w:ind w:left="1134"/>
              <w:rPr>
                <w:noProof/>
              </w:rPr>
            </w:pPr>
          </w:p>
        </w:tc>
        <w:tc>
          <w:tcPr>
            <w:tcW w:w="3936" w:type="dxa"/>
            <w:tcBorders>
              <w:top w:val="single" w:sz="4" w:space="0" w:color="auto"/>
              <w:left w:val="single" w:sz="4" w:space="0" w:color="auto"/>
              <w:bottom w:val="single" w:sz="4" w:space="0" w:color="auto"/>
              <w:right w:val="single" w:sz="4" w:space="0" w:color="auto"/>
            </w:tcBorders>
          </w:tcPr>
          <w:p w14:paraId="1CF66D6D" w14:textId="77777777" w:rsidR="008F6857" w:rsidRPr="00274D96" w:rsidRDefault="008F6857" w:rsidP="008F6857">
            <w:pPr>
              <w:rPr>
                <w:noProof/>
                <w:szCs w:val="28"/>
              </w:rPr>
            </w:pPr>
            <w:r w:rsidRPr="00274D96">
              <w:rPr>
                <w:noProof/>
              </w:rPr>
              <w:t>Puuduvad</w:t>
            </w:r>
          </w:p>
        </w:tc>
      </w:tr>
      <w:tr w:rsidR="0062176B" w:rsidRPr="00274D96" w14:paraId="0ABB774D"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46B4F8BC" w14:textId="77777777" w:rsidR="002A2210" w:rsidRPr="00274D96" w:rsidRDefault="002A2210" w:rsidP="00BF6DBE">
            <w:pPr>
              <w:rPr>
                <w:noProof/>
              </w:rPr>
            </w:pPr>
            <w:r w:rsidRPr="00274D96">
              <w:rPr>
                <w:noProof/>
              </w:rPr>
              <w:t>Kosmos</w:t>
            </w:r>
          </w:p>
        </w:tc>
        <w:tc>
          <w:tcPr>
            <w:tcW w:w="2902" w:type="dxa"/>
            <w:tcBorders>
              <w:top w:val="single" w:sz="4" w:space="0" w:color="auto"/>
              <w:left w:val="single" w:sz="4" w:space="0" w:color="auto"/>
              <w:bottom w:val="single" w:sz="4" w:space="0" w:color="auto"/>
              <w:right w:val="single" w:sz="4" w:space="0" w:color="auto"/>
            </w:tcBorders>
          </w:tcPr>
          <w:p w14:paraId="27B70DBA" w14:textId="77777777" w:rsidR="002A2210" w:rsidRPr="00274D96" w:rsidRDefault="002A2210" w:rsidP="006D0E9E">
            <w:pPr>
              <w:rPr>
                <w:noProof/>
              </w:rPr>
            </w:pPr>
          </w:p>
        </w:tc>
        <w:tc>
          <w:tcPr>
            <w:tcW w:w="3936" w:type="dxa"/>
            <w:tcBorders>
              <w:top w:val="single" w:sz="4" w:space="0" w:color="auto"/>
              <w:left w:val="single" w:sz="4" w:space="0" w:color="auto"/>
              <w:bottom w:val="single" w:sz="4" w:space="0" w:color="auto"/>
              <w:right w:val="single" w:sz="4" w:space="0" w:color="auto"/>
            </w:tcBorders>
            <w:hideMark/>
          </w:tcPr>
          <w:p w14:paraId="349672B6" w14:textId="77777777" w:rsidR="002A2210" w:rsidRPr="00274D96" w:rsidRDefault="008F6857" w:rsidP="006D0E9E">
            <w:pPr>
              <w:rPr>
                <w:noProof/>
              </w:rPr>
            </w:pPr>
            <w:r w:rsidRPr="00274D96">
              <w:rPr>
                <w:noProof/>
              </w:rPr>
              <w:t>Kosmoseohtudele reageerimise struktuur</w:t>
            </w:r>
          </w:p>
        </w:tc>
      </w:tr>
      <w:tr w:rsidR="008F6857" w:rsidRPr="00274D96" w14:paraId="16A007D7"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54DC8DE0" w14:textId="77777777" w:rsidR="008F6857" w:rsidRPr="00274D96" w:rsidRDefault="008F6857" w:rsidP="00BF6DBE">
            <w:pPr>
              <w:rPr>
                <w:noProof/>
              </w:rPr>
            </w:pPr>
            <w:r w:rsidRPr="00274D96">
              <w:rPr>
                <w:noProof/>
              </w:rPr>
              <w:t>Posti- ja kulleriteenused</w:t>
            </w:r>
          </w:p>
        </w:tc>
        <w:tc>
          <w:tcPr>
            <w:tcW w:w="2902" w:type="dxa"/>
            <w:tcBorders>
              <w:top w:val="single" w:sz="4" w:space="0" w:color="auto"/>
              <w:left w:val="single" w:sz="4" w:space="0" w:color="auto"/>
              <w:bottom w:val="single" w:sz="4" w:space="0" w:color="auto"/>
              <w:right w:val="single" w:sz="4" w:space="0" w:color="auto"/>
            </w:tcBorders>
          </w:tcPr>
          <w:p w14:paraId="2C3BC077" w14:textId="77777777" w:rsidR="008F6857" w:rsidRPr="00274D96" w:rsidRDefault="008F6857" w:rsidP="008F6857">
            <w:pPr>
              <w:rPr>
                <w:noProof/>
              </w:rPr>
            </w:pPr>
          </w:p>
        </w:tc>
        <w:tc>
          <w:tcPr>
            <w:tcW w:w="3936" w:type="dxa"/>
            <w:tcBorders>
              <w:top w:val="single" w:sz="4" w:space="0" w:color="auto"/>
              <w:left w:val="single" w:sz="4" w:space="0" w:color="auto"/>
              <w:bottom w:val="single" w:sz="4" w:space="0" w:color="auto"/>
              <w:right w:val="single" w:sz="4" w:space="0" w:color="auto"/>
            </w:tcBorders>
          </w:tcPr>
          <w:p w14:paraId="0B5352E6" w14:textId="77777777" w:rsidR="008F6857" w:rsidRPr="00274D96" w:rsidRDefault="008F6857" w:rsidP="008F6857">
            <w:pPr>
              <w:rPr>
                <w:noProof/>
                <w:szCs w:val="28"/>
              </w:rPr>
            </w:pPr>
            <w:r w:rsidRPr="00274D96">
              <w:rPr>
                <w:noProof/>
              </w:rPr>
              <w:t>Puuduvad</w:t>
            </w:r>
          </w:p>
        </w:tc>
      </w:tr>
      <w:tr w:rsidR="008F6857" w:rsidRPr="00274D96" w14:paraId="5934BBD9"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1459851F" w14:textId="77777777" w:rsidR="008F6857" w:rsidRPr="00274D96" w:rsidRDefault="008F6857" w:rsidP="00BF6DBE">
            <w:pPr>
              <w:rPr>
                <w:noProof/>
              </w:rPr>
            </w:pPr>
            <w:r w:rsidRPr="00274D96">
              <w:rPr>
                <w:noProof/>
              </w:rPr>
              <w:t>Jäätmekäitlus</w:t>
            </w:r>
          </w:p>
        </w:tc>
        <w:tc>
          <w:tcPr>
            <w:tcW w:w="2902" w:type="dxa"/>
            <w:tcBorders>
              <w:top w:val="single" w:sz="4" w:space="0" w:color="auto"/>
              <w:left w:val="single" w:sz="4" w:space="0" w:color="auto"/>
              <w:bottom w:val="single" w:sz="4" w:space="0" w:color="auto"/>
              <w:right w:val="single" w:sz="4" w:space="0" w:color="auto"/>
            </w:tcBorders>
          </w:tcPr>
          <w:p w14:paraId="4954AAB6" w14:textId="77777777" w:rsidR="008F6857" w:rsidRPr="00274D96" w:rsidRDefault="008F6857" w:rsidP="008F6857">
            <w:pPr>
              <w:rPr>
                <w:noProof/>
              </w:rPr>
            </w:pPr>
          </w:p>
        </w:tc>
        <w:tc>
          <w:tcPr>
            <w:tcW w:w="3936" w:type="dxa"/>
            <w:tcBorders>
              <w:top w:val="single" w:sz="4" w:space="0" w:color="auto"/>
              <w:left w:val="single" w:sz="4" w:space="0" w:color="auto"/>
              <w:bottom w:val="single" w:sz="4" w:space="0" w:color="auto"/>
              <w:right w:val="single" w:sz="4" w:space="0" w:color="auto"/>
            </w:tcBorders>
          </w:tcPr>
          <w:p w14:paraId="5025E7A6" w14:textId="77777777" w:rsidR="008F6857" w:rsidRPr="00274D96" w:rsidRDefault="008F6857" w:rsidP="008F6857">
            <w:pPr>
              <w:rPr>
                <w:noProof/>
                <w:szCs w:val="28"/>
              </w:rPr>
            </w:pPr>
            <w:r w:rsidRPr="00274D96">
              <w:rPr>
                <w:noProof/>
              </w:rPr>
              <w:t>Puuduvad</w:t>
            </w:r>
          </w:p>
        </w:tc>
      </w:tr>
      <w:tr w:rsidR="0062176B" w:rsidRPr="00274D96" w14:paraId="2A3FEDB6"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571746ED" w14:textId="77777777" w:rsidR="002A2210" w:rsidRPr="00274D96" w:rsidRDefault="002A2210" w:rsidP="00BF6DBE">
            <w:pPr>
              <w:rPr>
                <w:noProof/>
              </w:rPr>
            </w:pPr>
            <w:r w:rsidRPr="00274D96">
              <w:rPr>
                <w:noProof/>
              </w:rPr>
              <w:t>Kemikaalide valmistamine, tootmine ja levitamine</w:t>
            </w:r>
          </w:p>
        </w:tc>
        <w:tc>
          <w:tcPr>
            <w:tcW w:w="2902" w:type="dxa"/>
            <w:tcBorders>
              <w:top w:val="single" w:sz="4" w:space="0" w:color="auto"/>
              <w:left w:val="single" w:sz="4" w:space="0" w:color="auto"/>
              <w:bottom w:val="single" w:sz="4" w:space="0" w:color="auto"/>
              <w:right w:val="single" w:sz="4" w:space="0" w:color="auto"/>
            </w:tcBorders>
          </w:tcPr>
          <w:p w14:paraId="3308DCCC" w14:textId="77777777" w:rsidR="002A2210" w:rsidRPr="00274D96" w:rsidRDefault="002A2210" w:rsidP="006D0E9E">
            <w:pPr>
              <w:rPr>
                <w:noProof/>
              </w:rPr>
            </w:pPr>
          </w:p>
        </w:tc>
        <w:tc>
          <w:tcPr>
            <w:tcW w:w="3936" w:type="dxa"/>
            <w:tcBorders>
              <w:top w:val="single" w:sz="4" w:space="0" w:color="auto"/>
              <w:left w:val="single" w:sz="4" w:space="0" w:color="auto"/>
              <w:bottom w:val="single" w:sz="4" w:space="0" w:color="auto"/>
              <w:right w:val="single" w:sz="4" w:space="0" w:color="auto"/>
            </w:tcBorders>
            <w:hideMark/>
          </w:tcPr>
          <w:p w14:paraId="760B4AC2" w14:textId="77777777" w:rsidR="002A2210" w:rsidRPr="00274D96" w:rsidRDefault="002A2210" w:rsidP="006D0E9E">
            <w:pPr>
              <w:rPr>
                <w:noProof/>
              </w:rPr>
            </w:pPr>
            <w:r w:rsidRPr="00274D96">
              <w:rPr>
                <w:noProof/>
              </w:rPr>
              <w:t>Keemiliste ainetega seotud intsidentide kiirhoiatussüsteem</w:t>
            </w:r>
          </w:p>
        </w:tc>
      </w:tr>
      <w:tr w:rsidR="0062176B" w:rsidRPr="00274D96" w14:paraId="6660DA50"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718F350F" w14:textId="77777777" w:rsidR="002A2210" w:rsidRPr="00274D96" w:rsidRDefault="002A2210" w:rsidP="00BF6DBE">
            <w:pPr>
              <w:rPr>
                <w:noProof/>
              </w:rPr>
            </w:pPr>
            <w:r w:rsidRPr="00274D96">
              <w:rPr>
                <w:noProof/>
              </w:rPr>
              <w:t>Toiduainete tootmine, töötlemine ja turustamine</w:t>
            </w:r>
          </w:p>
        </w:tc>
        <w:tc>
          <w:tcPr>
            <w:tcW w:w="2902" w:type="dxa"/>
            <w:tcBorders>
              <w:top w:val="single" w:sz="4" w:space="0" w:color="auto"/>
              <w:left w:val="single" w:sz="4" w:space="0" w:color="auto"/>
              <w:bottom w:val="single" w:sz="4" w:space="0" w:color="auto"/>
              <w:right w:val="single" w:sz="4" w:space="0" w:color="auto"/>
            </w:tcBorders>
          </w:tcPr>
          <w:p w14:paraId="1DF36767" w14:textId="77777777" w:rsidR="002A2210" w:rsidRPr="00274D96" w:rsidRDefault="002A2210" w:rsidP="005E2EEF">
            <w:pPr>
              <w:ind w:left="1134"/>
              <w:rPr>
                <w:noProof/>
              </w:rPr>
            </w:pPr>
          </w:p>
        </w:tc>
        <w:tc>
          <w:tcPr>
            <w:tcW w:w="3936" w:type="dxa"/>
            <w:tcBorders>
              <w:top w:val="single" w:sz="4" w:space="0" w:color="auto"/>
              <w:left w:val="single" w:sz="4" w:space="0" w:color="auto"/>
              <w:bottom w:val="single" w:sz="4" w:space="0" w:color="auto"/>
              <w:right w:val="single" w:sz="4" w:space="0" w:color="auto"/>
            </w:tcBorders>
            <w:hideMark/>
          </w:tcPr>
          <w:p w14:paraId="1DD2A413" w14:textId="77777777" w:rsidR="008F6857" w:rsidRPr="00274D96" w:rsidRDefault="008F6857" w:rsidP="008F6857">
            <w:pPr>
              <w:rPr>
                <w:noProof/>
              </w:rPr>
            </w:pPr>
            <w:r w:rsidRPr="00274D96">
              <w:rPr>
                <w:noProof/>
              </w:rPr>
              <w:t>Euroopa põllumajanduskultuuride seiresüsteem</w:t>
            </w:r>
          </w:p>
          <w:p w14:paraId="34ED3595" w14:textId="77777777" w:rsidR="008F6857" w:rsidRPr="00274D96" w:rsidRDefault="008F6857" w:rsidP="008F6857">
            <w:pPr>
              <w:rPr>
                <w:noProof/>
              </w:rPr>
            </w:pPr>
            <w:r w:rsidRPr="00274D96">
              <w:rPr>
                <w:noProof/>
              </w:rPr>
              <w:t>Üleilmse põllumajandustoodangu anomaaliate tulipunktide tuvastamine Euroopa taimetervisealaste teabesüsteemide võrgustik ELi veterinaariaalane hädaabirühm</w:t>
            </w:r>
          </w:p>
          <w:p w14:paraId="0B2D7650" w14:textId="77777777" w:rsidR="008F6857" w:rsidRPr="00274D96" w:rsidRDefault="008F6857" w:rsidP="008F6857">
            <w:pPr>
              <w:rPr>
                <w:noProof/>
              </w:rPr>
            </w:pPr>
            <w:r w:rsidRPr="00274D96">
              <w:rPr>
                <w:noProof/>
              </w:rPr>
              <w:t>Toidu- ja söödaalane kiirhoiatussüsteem</w:t>
            </w:r>
          </w:p>
          <w:p w14:paraId="6A20A517" w14:textId="77777777" w:rsidR="008F6857" w:rsidRPr="00274D96" w:rsidRDefault="008F6857" w:rsidP="008F6857">
            <w:pPr>
              <w:rPr>
                <w:noProof/>
              </w:rPr>
            </w:pPr>
            <w:r w:rsidRPr="00274D96">
              <w:rPr>
                <w:noProof/>
              </w:rPr>
              <w:t>Euroopa toiduga kindlustatuse kriisiks valmisoleku ja sellele reageerimise mehhanism</w:t>
            </w:r>
          </w:p>
          <w:p w14:paraId="016A4EE2" w14:textId="77777777" w:rsidR="002A2210" w:rsidRPr="00274D96" w:rsidRDefault="008F6857" w:rsidP="008F6857">
            <w:pPr>
              <w:rPr>
                <w:noProof/>
              </w:rPr>
            </w:pPr>
            <w:r w:rsidRPr="00274D96">
              <w:rPr>
                <w:noProof/>
              </w:rPr>
              <w:t>Siseturu hädaolukorra ja vastupanuvõime määrus</w:t>
            </w:r>
          </w:p>
        </w:tc>
      </w:tr>
      <w:tr w:rsidR="008F6857" w:rsidRPr="00274D96" w14:paraId="21FE4B7D" w14:textId="77777777" w:rsidTr="527F83FC">
        <w:trPr>
          <w:tblHeader/>
        </w:trPr>
        <w:tc>
          <w:tcPr>
            <w:tcW w:w="0" w:type="auto"/>
            <w:vMerge w:val="restart"/>
            <w:tcBorders>
              <w:top w:val="single" w:sz="4" w:space="0" w:color="auto"/>
              <w:left w:val="single" w:sz="4" w:space="0" w:color="auto"/>
              <w:bottom w:val="single" w:sz="4" w:space="0" w:color="auto"/>
              <w:right w:val="single" w:sz="4" w:space="0" w:color="auto"/>
            </w:tcBorders>
            <w:hideMark/>
          </w:tcPr>
          <w:p w14:paraId="2CA42155" w14:textId="77777777" w:rsidR="008F6857" w:rsidRPr="00274D96" w:rsidRDefault="008F6857" w:rsidP="00BF6DBE">
            <w:pPr>
              <w:rPr>
                <w:noProof/>
              </w:rPr>
            </w:pPr>
            <w:r w:rsidRPr="00274D96">
              <w:rPr>
                <w:noProof/>
              </w:rPr>
              <w:t>Töötlev tööstus</w:t>
            </w:r>
          </w:p>
        </w:tc>
        <w:tc>
          <w:tcPr>
            <w:tcW w:w="2902" w:type="dxa"/>
            <w:tcBorders>
              <w:top w:val="single" w:sz="4" w:space="0" w:color="auto"/>
              <w:left w:val="single" w:sz="4" w:space="0" w:color="auto"/>
              <w:bottom w:val="single" w:sz="4" w:space="0" w:color="auto"/>
              <w:right w:val="single" w:sz="4" w:space="0" w:color="auto"/>
            </w:tcBorders>
            <w:hideMark/>
          </w:tcPr>
          <w:p w14:paraId="2F9F78E5" w14:textId="77777777" w:rsidR="008F6857" w:rsidRPr="00274D96" w:rsidRDefault="008F6857" w:rsidP="008F6857">
            <w:pPr>
              <w:rPr>
                <w:noProof/>
              </w:rPr>
            </w:pPr>
            <w:r w:rsidRPr="00274D96">
              <w:rPr>
                <w:noProof/>
              </w:rPr>
              <w:t>Meditsiiniseadmed</w:t>
            </w:r>
          </w:p>
        </w:tc>
        <w:tc>
          <w:tcPr>
            <w:tcW w:w="3936" w:type="dxa"/>
            <w:tcBorders>
              <w:top w:val="single" w:sz="4" w:space="0" w:color="auto"/>
              <w:left w:val="single" w:sz="4" w:space="0" w:color="auto"/>
              <w:bottom w:val="single" w:sz="4" w:space="0" w:color="auto"/>
              <w:right w:val="single" w:sz="4" w:space="0" w:color="auto"/>
            </w:tcBorders>
          </w:tcPr>
          <w:p w14:paraId="13EDB9D1" w14:textId="77777777" w:rsidR="008F6857" w:rsidRPr="00274D96" w:rsidRDefault="008F6857" w:rsidP="008F6857">
            <w:pPr>
              <w:rPr>
                <w:noProof/>
                <w:szCs w:val="28"/>
              </w:rPr>
            </w:pPr>
            <w:r w:rsidRPr="00274D96">
              <w:rPr>
                <w:noProof/>
              </w:rPr>
              <w:t>Puuduvad</w:t>
            </w:r>
          </w:p>
        </w:tc>
      </w:tr>
      <w:tr w:rsidR="008F6857" w:rsidRPr="00274D96" w14:paraId="3A013DEB" w14:textId="77777777" w:rsidTr="527F83FC">
        <w:trPr>
          <w:tblHeader/>
        </w:trPr>
        <w:tc>
          <w:tcPr>
            <w:tcW w:w="0" w:type="auto"/>
            <w:vMerge/>
            <w:vAlign w:val="center"/>
            <w:hideMark/>
          </w:tcPr>
          <w:p w14:paraId="33A2B59B" w14:textId="77777777" w:rsidR="008F6857" w:rsidRPr="00274D96" w:rsidRDefault="008F6857" w:rsidP="00BF6DBE">
            <w:pPr>
              <w:rPr>
                <w:noProof/>
              </w:rPr>
            </w:pPr>
          </w:p>
        </w:tc>
        <w:tc>
          <w:tcPr>
            <w:tcW w:w="2902" w:type="dxa"/>
            <w:tcBorders>
              <w:top w:val="single" w:sz="4" w:space="0" w:color="auto"/>
              <w:left w:val="single" w:sz="4" w:space="0" w:color="auto"/>
              <w:bottom w:val="single" w:sz="4" w:space="0" w:color="auto"/>
              <w:right w:val="single" w:sz="4" w:space="0" w:color="auto"/>
            </w:tcBorders>
            <w:hideMark/>
          </w:tcPr>
          <w:p w14:paraId="041DC1D2" w14:textId="77777777" w:rsidR="008F6857" w:rsidRPr="00274D96" w:rsidRDefault="008F6857" w:rsidP="008F6857">
            <w:pPr>
              <w:rPr>
                <w:noProof/>
              </w:rPr>
            </w:pPr>
            <w:r w:rsidRPr="00274D96">
              <w:rPr>
                <w:noProof/>
              </w:rPr>
              <w:t>Arvutid, elektroonika- ja optikaseadmed</w:t>
            </w:r>
          </w:p>
        </w:tc>
        <w:tc>
          <w:tcPr>
            <w:tcW w:w="3936" w:type="dxa"/>
            <w:tcBorders>
              <w:top w:val="single" w:sz="4" w:space="0" w:color="auto"/>
              <w:left w:val="single" w:sz="4" w:space="0" w:color="auto"/>
              <w:bottom w:val="single" w:sz="4" w:space="0" w:color="auto"/>
              <w:right w:val="single" w:sz="4" w:space="0" w:color="auto"/>
            </w:tcBorders>
          </w:tcPr>
          <w:p w14:paraId="04A145D9" w14:textId="77777777" w:rsidR="008F6857" w:rsidRPr="00274D96" w:rsidRDefault="008F6857" w:rsidP="008F6857">
            <w:pPr>
              <w:rPr>
                <w:noProof/>
                <w:szCs w:val="28"/>
              </w:rPr>
            </w:pPr>
            <w:r w:rsidRPr="00274D96">
              <w:rPr>
                <w:noProof/>
              </w:rPr>
              <w:t>Puuduvad</w:t>
            </w:r>
          </w:p>
        </w:tc>
      </w:tr>
      <w:tr w:rsidR="008F6857" w:rsidRPr="00274D96" w14:paraId="49C0111B" w14:textId="77777777" w:rsidTr="527F83FC">
        <w:trPr>
          <w:tblHeader/>
        </w:trPr>
        <w:tc>
          <w:tcPr>
            <w:tcW w:w="0" w:type="auto"/>
            <w:vMerge/>
            <w:vAlign w:val="center"/>
            <w:hideMark/>
          </w:tcPr>
          <w:p w14:paraId="5CB14107" w14:textId="77777777" w:rsidR="008F6857" w:rsidRPr="00274D96" w:rsidRDefault="008F6857" w:rsidP="00BF6DBE">
            <w:pPr>
              <w:rPr>
                <w:noProof/>
              </w:rPr>
            </w:pPr>
          </w:p>
        </w:tc>
        <w:tc>
          <w:tcPr>
            <w:tcW w:w="2902" w:type="dxa"/>
            <w:tcBorders>
              <w:top w:val="single" w:sz="4" w:space="0" w:color="auto"/>
              <w:left w:val="single" w:sz="4" w:space="0" w:color="auto"/>
              <w:bottom w:val="single" w:sz="4" w:space="0" w:color="auto"/>
              <w:right w:val="single" w:sz="4" w:space="0" w:color="auto"/>
            </w:tcBorders>
            <w:hideMark/>
          </w:tcPr>
          <w:p w14:paraId="17188F86" w14:textId="77777777" w:rsidR="008F6857" w:rsidRPr="00274D96" w:rsidRDefault="008F6857" w:rsidP="008F6857">
            <w:pPr>
              <w:rPr>
                <w:noProof/>
              </w:rPr>
            </w:pPr>
            <w:r w:rsidRPr="00274D96">
              <w:rPr>
                <w:noProof/>
              </w:rPr>
              <w:t>Masinad ja seadmed</w:t>
            </w:r>
          </w:p>
        </w:tc>
        <w:tc>
          <w:tcPr>
            <w:tcW w:w="3936" w:type="dxa"/>
            <w:tcBorders>
              <w:top w:val="single" w:sz="4" w:space="0" w:color="auto"/>
              <w:left w:val="single" w:sz="4" w:space="0" w:color="auto"/>
              <w:bottom w:val="single" w:sz="4" w:space="0" w:color="auto"/>
              <w:right w:val="single" w:sz="4" w:space="0" w:color="auto"/>
            </w:tcBorders>
          </w:tcPr>
          <w:p w14:paraId="2446C353" w14:textId="77777777" w:rsidR="008F6857" w:rsidRPr="00274D96" w:rsidRDefault="008F6857" w:rsidP="008F6857">
            <w:pPr>
              <w:rPr>
                <w:noProof/>
                <w:szCs w:val="28"/>
              </w:rPr>
            </w:pPr>
            <w:r w:rsidRPr="00274D96">
              <w:rPr>
                <w:noProof/>
              </w:rPr>
              <w:t>Puuduvad</w:t>
            </w:r>
          </w:p>
        </w:tc>
      </w:tr>
      <w:tr w:rsidR="008F6857" w:rsidRPr="00274D96" w14:paraId="150315D7" w14:textId="77777777" w:rsidTr="527F83FC">
        <w:trPr>
          <w:tblHeader/>
        </w:trPr>
        <w:tc>
          <w:tcPr>
            <w:tcW w:w="0" w:type="auto"/>
            <w:vMerge/>
            <w:vAlign w:val="center"/>
            <w:hideMark/>
          </w:tcPr>
          <w:p w14:paraId="685D1D5C" w14:textId="77777777" w:rsidR="008F6857" w:rsidRPr="00274D96" w:rsidRDefault="008F6857" w:rsidP="00BF6DBE">
            <w:pPr>
              <w:rPr>
                <w:noProof/>
              </w:rPr>
            </w:pPr>
          </w:p>
        </w:tc>
        <w:tc>
          <w:tcPr>
            <w:tcW w:w="2902" w:type="dxa"/>
            <w:tcBorders>
              <w:top w:val="single" w:sz="4" w:space="0" w:color="auto"/>
              <w:left w:val="single" w:sz="4" w:space="0" w:color="auto"/>
              <w:bottom w:val="single" w:sz="4" w:space="0" w:color="auto"/>
              <w:right w:val="single" w:sz="4" w:space="0" w:color="auto"/>
            </w:tcBorders>
            <w:hideMark/>
          </w:tcPr>
          <w:p w14:paraId="573C497B" w14:textId="77777777" w:rsidR="008F6857" w:rsidRPr="00274D96" w:rsidRDefault="008F6857" w:rsidP="008F6857">
            <w:pPr>
              <w:rPr>
                <w:noProof/>
              </w:rPr>
            </w:pPr>
            <w:r w:rsidRPr="00274D96">
              <w:rPr>
                <w:noProof/>
              </w:rPr>
              <w:t>Mootorsõidukite, haagiste ja poolhaagiste tootmine</w:t>
            </w:r>
          </w:p>
        </w:tc>
        <w:tc>
          <w:tcPr>
            <w:tcW w:w="3936" w:type="dxa"/>
            <w:tcBorders>
              <w:top w:val="single" w:sz="4" w:space="0" w:color="auto"/>
              <w:left w:val="single" w:sz="4" w:space="0" w:color="auto"/>
              <w:bottom w:val="single" w:sz="4" w:space="0" w:color="auto"/>
              <w:right w:val="single" w:sz="4" w:space="0" w:color="auto"/>
            </w:tcBorders>
          </w:tcPr>
          <w:p w14:paraId="3EDBE593" w14:textId="77777777" w:rsidR="008F6857" w:rsidRPr="00274D96" w:rsidRDefault="008F6857" w:rsidP="008F6857">
            <w:pPr>
              <w:rPr>
                <w:noProof/>
                <w:szCs w:val="28"/>
              </w:rPr>
            </w:pPr>
            <w:r w:rsidRPr="00274D96">
              <w:rPr>
                <w:noProof/>
              </w:rPr>
              <w:t>Puuduvad</w:t>
            </w:r>
          </w:p>
        </w:tc>
      </w:tr>
      <w:tr w:rsidR="008F6857" w:rsidRPr="00274D96" w14:paraId="79158706" w14:textId="77777777" w:rsidTr="527F83FC">
        <w:trPr>
          <w:tblHeader/>
        </w:trPr>
        <w:tc>
          <w:tcPr>
            <w:tcW w:w="0" w:type="auto"/>
            <w:vMerge/>
            <w:vAlign w:val="center"/>
            <w:hideMark/>
          </w:tcPr>
          <w:p w14:paraId="32699FFD" w14:textId="77777777" w:rsidR="008F6857" w:rsidRPr="00274D96" w:rsidRDefault="008F6857" w:rsidP="00BF6DBE">
            <w:pPr>
              <w:rPr>
                <w:noProof/>
              </w:rPr>
            </w:pPr>
          </w:p>
        </w:tc>
        <w:tc>
          <w:tcPr>
            <w:tcW w:w="2902" w:type="dxa"/>
            <w:tcBorders>
              <w:top w:val="single" w:sz="4" w:space="0" w:color="auto"/>
              <w:left w:val="single" w:sz="4" w:space="0" w:color="auto"/>
              <w:bottom w:val="single" w:sz="4" w:space="0" w:color="auto"/>
              <w:right w:val="single" w:sz="4" w:space="0" w:color="auto"/>
            </w:tcBorders>
            <w:hideMark/>
          </w:tcPr>
          <w:p w14:paraId="192B804F" w14:textId="77777777" w:rsidR="008F6857" w:rsidRPr="00274D96" w:rsidRDefault="008F6857" w:rsidP="008F6857">
            <w:pPr>
              <w:rPr>
                <w:noProof/>
              </w:rPr>
            </w:pPr>
            <w:r w:rsidRPr="00274D96">
              <w:rPr>
                <w:noProof/>
              </w:rPr>
              <w:t>Muude transpordivahendite tootmine</w:t>
            </w:r>
          </w:p>
        </w:tc>
        <w:tc>
          <w:tcPr>
            <w:tcW w:w="3936" w:type="dxa"/>
            <w:tcBorders>
              <w:top w:val="single" w:sz="4" w:space="0" w:color="auto"/>
              <w:left w:val="single" w:sz="4" w:space="0" w:color="auto"/>
              <w:bottom w:val="single" w:sz="4" w:space="0" w:color="auto"/>
              <w:right w:val="single" w:sz="4" w:space="0" w:color="auto"/>
            </w:tcBorders>
          </w:tcPr>
          <w:p w14:paraId="34E6108B" w14:textId="77777777" w:rsidR="008F6857" w:rsidRPr="00274D96" w:rsidRDefault="008F6857" w:rsidP="008F6857">
            <w:pPr>
              <w:rPr>
                <w:noProof/>
                <w:szCs w:val="28"/>
              </w:rPr>
            </w:pPr>
            <w:r w:rsidRPr="00274D96">
              <w:rPr>
                <w:noProof/>
              </w:rPr>
              <w:t>Puuduvad</w:t>
            </w:r>
          </w:p>
        </w:tc>
      </w:tr>
      <w:tr w:rsidR="008F6857" w:rsidRPr="00274D96" w14:paraId="03E3777F"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49E9EBE9" w14:textId="77777777" w:rsidR="008F6857" w:rsidRPr="00274D96" w:rsidRDefault="008F6857" w:rsidP="00BF6DBE">
            <w:pPr>
              <w:rPr>
                <w:noProof/>
              </w:rPr>
            </w:pPr>
            <w:r w:rsidRPr="00274D96">
              <w:rPr>
                <w:noProof/>
              </w:rPr>
              <w:t>Digiteenuste osutajad</w:t>
            </w:r>
          </w:p>
        </w:tc>
        <w:tc>
          <w:tcPr>
            <w:tcW w:w="2902" w:type="dxa"/>
            <w:tcBorders>
              <w:top w:val="single" w:sz="4" w:space="0" w:color="auto"/>
              <w:left w:val="single" w:sz="4" w:space="0" w:color="auto"/>
              <w:bottom w:val="single" w:sz="4" w:space="0" w:color="auto"/>
              <w:right w:val="single" w:sz="4" w:space="0" w:color="auto"/>
            </w:tcBorders>
          </w:tcPr>
          <w:p w14:paraId="2E0C37DE" w14:textId="77777777" w:rsidR="008F6857" w:rsidRPr="00274D96" w:rsidRDefault="008F6857" w:rsidP="008F6857">
            <w:pPr>
              <w:ind w:left="1134"/>
              <w:rPr>
                <w:noProof/>
              </w:rPr>
            </w:pPr>
          </w:p>
        </w:tc>
        <w:tc>
          <w:tcPr>
            <w:tcW w:w="3936" w:type="dxa"/>
            <w:tcBorders>
              <w:top w:val="single" w:sz="4" w:space="0" w:color="auto"/>
              <w:left w:val="single" w:sz="4" w:space="0" w:color="auto"/>
              <w:bottom w:val="single" w:sz="4" w:space="0" w:color="auto"/>
              <w:right w:val="single" w:sz="4" w:space="0" w:color="auto"/>
            </w:tcBorders>
            <w:hideMark/>
          </w:tcPr>
          <w:p w14:paraId="25C7FA8B" w14:textId="77777777" w:rsidR="008F6857" w:rsidRPr="00274D96" w:rsidRDefault="008F6857" w:rsidP="008F6857">
            <w:pPr>
              <w:rPr>
                <w:noProof/>
                <w:szCs w:val="28"/>
              </w:rPr>
            </w:pPr>
            <w:r w:rsidRPr="00274D96">
              <w:rPr>
                <w:noProof/>
              </w:rPr>
              <w:t>Puuduvad</w:t>
            </w:r>
          </w:p>
        </w:tc>
      </w:tr>
      <w:tr w:rsidR="008F6857" w:rsidRPr="00274D96" w14:paraId="0D4F6985" w14:textId="77777777" w:rsidTr="527F83FC">
        <w:trPr>
          <w:tblHeader/>
        </w:trPr>
        <w:tc>
          <w:tcPr>
            <w:tcW w:w="0" w:type="auto"/>
            <w:tcBorders>
              <w:top w:val="single" w:sz="4" w:space="0" w:color="auto"/>
              <w:left w:val="single" w:sz="4" w:space="0" w:color="auto"/>
              <w:bottom w:val="single" w:sz="4" w:space="0" w:color="auto"/>
              <w:right w:val="single" w:sz="4" w:space="0" w:color="auto"/>
            </w:tcBorders>
            <w:hideMark/>
          </w:tcPr>
          <w:p w14:paraId="486C042D" w14:textId="77777777" w:rsidR="008F6857" w:rsidRPr="00274D96" w:rsidRDefault="008F6857" w:rsidP="00BF6DBE">
            <w:pPr>
              <w:rPr>
                <w:noProof/>
              </w:rPr>
            </w:pPr>
            <w:r w:rsidRPr="00274D96">
              <w:rPr>
                <w:noProof/>
              </w:rPr>
              <w:t>Teadustegevus</w:t>
            </w:r>
          </w:p>
        </w:tc>
        <w:tc>
          <w:tcPr>
            <w:tcW w:w="2902" w:type="dxa"/>
            <w:tcBorders>
              <w:top w:val="single" w:sz="4" w:space="0" w:color="auto"/>
              <w:left w:val="single" w:sz="4" w:space="0" w:color="auto"/>
              <w:bottom w:val="single" w:sz="4" w:space="0" w:color="auto"/>
              <w:right w:val="single" w:sz="4" w:space="0" w:color="auto"/>
            </w:tcBorders>
          </w:tcPr>
          <w:p w14:paraId="72E8FF4C" w14:textId="77777777" w:rsidR="008F6857" w:rsidRPr="00274D96" w:rsidRDefault="008F6857" w:rsidP="008F6857">
            <w:pPr>
              <w:ind w:left="1134"/>
              <w:rPr>
                <w:noProof/>
              </w:rPr>
            </w:pPr>
          </w:p>
        </w:tc>
        <w:tc>
          <w:tcPr>
            <w:tcW w:w="3936" w:type="dxa"/>
            <w:tcBorders>
              <w:top w:val="single" w:sz="4" w:space="0" w:color="auto"/>
              <w:left w:val="single" w:sz="4" w:space="0" w:color="auto"/>
              <w:bottom w:val="single" w:sz="4" w:space="0" w:color="auto"/>
              <w:right w:val="single" w:sz="4" w:space="0" w:color="auto"/>
            </w:tcBorders>
          </w:tcPr>
          <w:p w14:paraId="6F96F55A" w14:textId="77777777" w:rsidR="008F6857" w:rsidRPr="00274D96" w:rsidRDefault="008F6857" w:rsidP="008F6857">
            <w:pPr>
              <w:rPr>
                <w:noProof/>
                <w:szCs w:val="28"/>
              </w:rPr>
            </w:pPr>
            <w:r w:rsidRPr="00274D96">
              <w:rPr>
                <w:noProof/>
              </w:rPr>
              <w:t>Puuduvad</w:t>
            </w:r>
          </w:p>
        </w:tc>
      </w:tr>
    </w:tbl>
    <w:p w14:paraId="3A8FD57B" w14:textId="77777777" w:rsidR="002A2210" w:rsidRPr="00274D96" w:rsidRDefault="002A2210" w:rsidP="002A2210">
      <w:pPr>
        <w:rPr>
          <w:noProof/>
        </w:rPr>
      </w:pPr>
    </w:p>
    <w:p w14:paraId="3AFD9212" w14:textId="77777777" w:rsidR="00331903" w:rsidRPr="00274D96" w:rsidRDefault="00331903" w:rsidP="00331903">
      <w:pPr>
        <w:rPr>
          <w:noProof/>
        </w:rPr>
        <w:sectPr w:rsidR="00331903" w:rsidRPr="00274D96" w:rsidSect="00C72892">
          <w:headerReference w:type="default" r:id="rId25"/>
          <w:footerReference w:type="default" r:id="rId26"/>
          <w:pgSz w:w="11907" w:h="16839"/>
          <w:pgMar w:top="1134" w:right="1417" w:bottom="1134" w:left="1417" w:header="709" w:footer="709" w:gutter="0"/>
          <w:cols w:space="720"/>
          <w:docGrid w:linePitch="360"/>
        </w:sectPr>
      </w:pPr>
    </w:p>
    <w:p w14:paraId="2CD993D5" w14:textId="77777777" w:rsidR="00331903" w:rsidRPr="00274D96" w:rsidRDefault="00331903" w:rsidP="00331903">
      <w:pPr>
        <w:pStyle w:val="Annexetitre"/>
        <w:rPr>
          <w:noProof/>
        </w:rPr>
      </w:pPr>
      <w:r w:rsidRPr="00274D96">
        <w:rPr>
          <w:noProof/>
        </w:rPr>
        <w:t>3. LISA. JUHTPÕHIMÕTTED</w:t>
      </w:r>
    </w:p>
    <w:p w14:paraId="32091D4F" w14:textId="77777777" w:rsidR="002A2210" w:rsidRPr="00274D96" w:rsidRDefault="002A2210" w:rsidP="002A2210">
      <w:pPr>
        <w:rPr>
          <w:noProof/>
        </w:rPr>
      </w:pPr>
      <w:r w:rsidRPr="00274D96">
        <w:rPr>
          <w:noProof/>
        </w:rPr>
        <w:t xml:space="preserve">2017. aasta küberturvalisuse tegevuskavas esitatud põhimõtted on endiselt aktuaalsed. </w:t>
      </w:r>
    </w:p>
    <w:p w14:paraId="22B62BC1" w14:textId="77777777" w:rsidR="002A2210" w:rsidRPr="00274D96" w:rsidRDefault="002A2210" w:rsidP="002A2210">
      <w:pPr>
        <w:rPr>
          <w:noProof/>
        </w:rPr>
      </w:pPr>
      <w:r w:rsidRPr="00274D96">
        <w:rPr>
          <w:i/>
          <w:noProof/>
        </w:rPr>
        <w:t>Proportsionaalsus</w:t>
      </w:r>
      <w:r w:rsidRPr="00274D96">
        <w:rPr>
          <w:noProof/>
        </w:rPr>
        <w:t xml:space="preserve">: suur osa liikmesriike mõjutavatest küberturvalisuse intsidentidest ei ole oma olemuselt sellised, et neid saaks käsitada riikliku või Euroopa kriisina. Küberturvalisuse intsidentide korral teevad liikmesriigid koostööd CSIRTide võrgustiku ja EU-CyCLONe raames vastavalt nende kummagi poolt kohaldatavate menetlustega. </w:t>
      </w:r>
    </w:p>
    <w:p w14:paraId="41B94C9A" w14:textId="77777777" w:rsidR="002A2210" w:rsidRPr="00274D96" w:rsidRDefault="002A2210" w:rsidP="002A2210">
      <w:pPr>
        <w:rPr>
          <w:noProof/>
        </w:rPr>
      </w:pPr>
      <w:r w:rsidRPr="00274D96">
        <w:rPr>
          <w:i/>
          <w:noProof/>
        </w:rPr>
        <w:t>Subsidiaarsus</w:t>
      </w:r>
      <w:r w:rsidRPr="00274D96">
        <w:rPr>
          <w:noProof/>
        </w:rPr>
        <w:t>: esmane vastutus reageerimise eest juhul, kui liikmesriiki mõjutab ulatuslik küberturvalisuse intsident või kriis, lasub liikmesriigil endal. Komisjonil, Euroopa välisteenistusel, ENISA-l, CERT-EU-l, Europolil ja kõigil teistel asjakohastel liidu üksustel on oluline roll kriisitsükli kõigis etappides. See roll on sätestatud IPCRis, kuid tuleneb ka liidu õigusest ja kajastab seda, kuidas küberintsidendid ja -kriisid mõjutavad ühtse turu üht või mitut majandustegevuse sektorit, liidu julgeolekut ja rahvusvahelisi suhteid ning institutsioone endid.</w:t>
      </w:r>
    </w:p>
    <w:p w14:paraId="7CBC8057" w14:textId="77777777" w:rsidR="002A2210" w:rsidRPr="00274D96" w:rsidRDefault="002A2210" w:rsidP="459A887A">
      <w:pPr>
        <w:rPr>
          <w:noProof/>
        </w:rPr>
      </w:pPr>
      <w:r w:rsidRPr="00274D96">
        <w:rPr>
          <w:i/>
          <w:noProof/>
        </w:rPr>
        <w:t>Vastastikune täiendavus</w:t>
      </w:r>
      <w:r w:rsidRPr="00274D96">
        <w:rPr>
          <w:noProof/>
        </w:rPr>
        <w:t>: käesolevas soovituses võetakse täielikult arvesse olemasolevaid liidu tasandi kriisiohjemehhanisme, eelkõige IPCRi, ARGUSt ja Euroopa välisteenistuse kriisidele reageerimise mehhanismi. Selles võetakse arvesse CSIRTide võrgustiku ja EU-CyCLONe muutunud rolli, mis tuleneb alates 2017. aastast vastu võetud eeskirjadest, et saavutada maksimaalne sünergia ja viia dubleerimine miinimumini, samuti ELi õiguskaitsealastele hädaolukordadele reageerimise protokolli vastuvõtmist.</w:t>
      </w:r>
    </w:p>
    <w:p w14:paraId="669485FC" w14:textId="77777777" w:rsidR="00331903" w:rsidRPr="00274D96" w:rsidRDefault="002A2210" w:rsidP="002A2210">
      <w:pPr>
        <w:rPr>
          <w:noProof/>
        </w:rPr>
      </w:pPr>
      <w:r w:rsidRPr="00274D96">
        <w:rPr>
          <w:i/>
          <w:noProof/>
        </w:rPr>
        <w:t>Teabe konfidentsiaalsus</w:t>
      </w:r>
      <w:r w:rsidRPr="00274D96">
        <w:rPr>
          <w:noProof/>
        </w:rPr>
        <w:t>: Kogu käesoleva soovituse raames toimuv teabevahetus peab olema kooskõlas normidega, mis kehtivad julgeoleku ja isikukandmete kaitse suhtes ning fooritulede analoogial põhineva protokolli süsteemi suhtes teabe tundlikkuse märgistamiseks. Salastatud teabe edastamiseks tuleks liigitussüsteemist olenemata kasutada kättesaadavaid akrediteeritud vahendeid. Seoses isikuandmete töötlemisega tuleb eelkõige järgida kohaldatavaid liidu õigusnorme, eelkõige Euroopa Parlamendi ja nõukogu määrust (EL) 2016/679,</w:t>
      </w:r>
      <w:r w:rsidR="00C06055" w:rsidRPr="00274D96">
        <w:rPr>
          <w:rStyle w:val="FootnoteReference"/>
          <w:noProof/>
        </w:rPr>
        <w:footnoteReference w:id="2"/>
      </w:r>
      <w:r w:rsidRPr="00274D96">
        <w:rPr>
          <w:noProof/>
        </w:rPr>
        <w:t xml:space="preserve"> Euroopa Parlamendi ja nõukogu direktiivi 2002/58/EÜ</w:t>
      </w:r>
      <w:r w:rsidR="00BC2E99" w:rsidRPr="00274D96">
        <w:rPr>
          <w:rStyle w:val="FootnoteReference"/>
          <w:noProof/>
        </w:rPr>
        <w:footnoteReference w:id="3"/>
      </w:r>
      <w:r w:rsidRPr="00274D96">
        <w:rPr>
          <w:noProof/>
        </w:rPr>
        <w:t xml:space="preserve"> ning Euroopa Parlamendi ja nõukogu määrust (EL) 2018/1725</w:t>
      </w:r>
      <w:r w:rsidR="00FE2236" w:rsidRPr="00274D96">
        <w:rPr>
          <w:rStyle w:val="FootnoteReference"/>
          <w:noProof/>
        </w:rPr>
        <w:footnoteReference w:id="4"/>
      </w:r>
      <w:r w:rsidRPr="00274D96">
        <w:rPr>
          <w:noProof/>
        </w:rPr>
        <w:t>.</w:t>
      </w:r>
    </w:p>
    <w:p w14:paraId="6AE50277" w14:textId="77777777" w:rsidR="00905D22" w:rsidRPr="00274D96" w:rsidRDefault="00905D22" w:rsidP="004B108D">
      <w:pPr>
        <w:rPr>
          <w:noProof/>
        </w:rPr>
      </w:pPr>
    </w:p>
    <w:sectPr w:rsidR="00905D22" w:rsidRPr="00274D96" w:rsidSect="00C7289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39EE1" w14:textId="77777777" w:rsidR="00121E3A" w:rsidRDefault="00121E3A" w:rsidP="00331903">
      <w:pPr>
        <w:spacing w:after="0"/>
      </w:pPr>
      <w:r>
        <w:separator/>
      </w:r>
    </w:p>
  </w:endnote>
  <w:endnote w:type="continuationSeparator" w:id="0">
    <w:p w14:paraId="14B2ABF5" w14:textId="77777777" w:rsidR="00121E3A" w:rsidRDefault="00121E3A" w:rsidP="00331903">
      <w:pPr>
        <w:spacing w:after="0"/>
      </w:pPr>
      <w:r>
        <w:continuationSeparator/>
      </w:r>
    </w:p>
  </w:endnote>
  <w:endnote w:type="continuationNotice" w:id="1">
    <w:p w14:paraId="0F16C834" w14:textId="77777777" w:rsidR="00121E3A" w:rsidRDefault="00121E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6BD10" w14:textId="72CD1647" w:rsidR="00C72892" w:rsidRPr="00C72892" w:rsidRDefault="00C72892" w:rsidP="00C72892">
    <w:pPr>
      <w:pStyle w:val="Footer"/>
      <w:rPr>
        <w:rFonts w:ascii="Arial" w:hAnsi="Arial" w:cs="Arial"/>
        <w:b/>
        <w:sz w:val="48"/>
      </w:rPr>
    </w:pPr>
    <w:r w:rsidRPr="00C72892">
      <w:rPr>
        <w:rFonts w:ascii="Arial" w:hAnsi="Arial" w:cs="Arial"/>
        <w:b/>
        <w:sz w:val="48"/>
      </w:rPr>
      <w:t>ET</w:t>
    </w:r>
    <w:r w:rsidRPr="00C72892">
      <w:rPr>
        <w:rFonts w:ascii="Arial" w:hAnsi="Arial" w:cs="Arial"/>
        <w:b/>
        <w:sz w:val="48"/>
      </w:rPr>
      <w:tab/>
    </w:r>
    <w:r w:rsidRPr="00C72892">
      <w:rPr>
        <w:rFonts w:ascii="Arial" w:hAnsi="Arial" w:cs="Arial"/>
        <w:b/>
        <w:sz w:val="48"/>
      </w:rPr>
      <w:tab/>
    </w:r>
    <w:r w:rsidRPr="00C72892">
      <w:tab/>
    </w:r>
    <w:r w:rsidRPr="00C72892">
      <w:rPr>
        <w:rFonts w:ascii="Arial" w:hAnsi="Arial" w:cs="Arial"/>
        <w:b/>
        <w:sz w:val="48"/>
      </w:rPr>
      <w:t>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AB273" w14:textId="20E40001" w:rsidR="00C72892" w:rsidRPr="00C72892" w:rsidRDefault="00C72892" w:rsidP="00C72892">
    <w:pPr>
      <w:pStyle w:val="Footer"/>
      <w:rPr>
        <w:rFonts w:ascii="Arial" w:hAnsi="Arial" w:cs="Arial"/>
        <w:b/>
        <w:sz w:val="48"/>
      </w:rPr>
    </w:pPr>
    <w:r w:rsidRPr="00C72892">
      <w:rPr>
        <w:rFonts w:ascii="Arial" w:hAnsi="Arial" w:cs="Arial"/>
        <w:b/>
        <w:sz w:val="48"/>
      </w:rPr>
      <w:t>ET</w:t>
    </w:r>
    <w:r w:rsidRPr="00C72892">
      <w:rPr>
        <w:rFonts w:ascii="Arial" w:hAnsi="Arial" w:cs="Arial"/>
        <w:b/>
        <w:sz w:val="48"/>
      </w:rPr>
      <w:tab/>
    </w:r>
    <w:r w:rsidRPr="00C72892">
      <w:rPr>
        <w:rFonts w:ascii="Arial" w:hAnsi="Arial" w:cs="Arial"/>
        <w:b/>
        <w:sz w:val="48"/>
      </w:rPr>
      <w:tab/>
    </w:r>
    <w:r w:rsidRPr="00C72892">
      <w:tab/>
    </w:r>
    <w:r w:rsidRPr="00C72892">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7D68" w14:textId="77777777" w:rsidR="00C72892" w:rsidRPr="00C72892" w:rsidRDefault="00C72892" w:rsidP="00C728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F1C6A" w14:textId="77777777" w:rsidR="00C72892" w:rsidRDefault="00C728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F71B0" w14:textId="34C52AC8" w:rsidR="00C72892" w:rsidRPr="00C72892" w:rsidRDefault="00C72892" w:rsidP="00C72892">
    <w:pPr>
      <w:pStyle w:val="FooterLandscape"/>
      <w:rPr>
        <w:rFonts w:ascii="Arial" w:hAnsi="Arial" w:cs="Arial"/>
        <w:b/>
        <w:sz w:val="48"/>
      </w:rPr>
    </w:pPr>
    <w:r w:rsidRPr="00C72892">
      <w:rPr>
        <w:rFonts w:ascii="Arial" w:hAnsi="Arial" w:cs="Arial"/>
        <w:b/>
        <w:sz w:val="48"/>
      </w:rPr>
      <w:t>ET</w:t>
    </w:r>
    <w:r w:rsidRPr="00C72892">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72892">
      <w:tab/>
    </w:r>
    <w:r w:rsidRPr="00C72892">
      <w:rPr>
        <w:rFonts w:ascii="Arial" w:hAnsi="Arial" w:cs="Arial"/>
        <w:b/>
        <w:sz w:val="48"/>
      </w:rPr>
      <w:t>ET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EF5AD" w14:textId="77777777" w:rsidR="00C72892" w:rsidRDefault="00C72892" w:rsidP="00C728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7B8DC" w14:textId="7691060C" w:rsidR="00C72892" w:rsidRPr="00C72892" w:rsidRDefault="00C72892" w:rsidP="00C72892">
    <w:pPr>
      <w:pStyle w:val="Footer"/>
      <w:rPr>
        <w:rFonts w:ascii="Arial" w:hAnsi="Arial" w:cs="Arial"/>
        <w:b/>
        <w:sz w:val="48"/>
      </w:rPr>
    </w:pPr>
    <w:r w:rsidRPr="00C72892">
      <w:rPr>
        <w:rFonts w:ascii="Arial" w:hAnsi="Arial" w:cs="Arial"/>
        <w:b/>
        <w:sz w:val="48"/>
      </w:rPr>
      <w:t>ET</w:t>
    </w:r>
    <w:r w:rsidRPr="00C7289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72892">
      <w:tab/>
    </w:r>
    <w:r w:rsidRPr="00C72892">
      <w:rPr>
        <w:rFonts w:ascii="Arial" w:hAnsi="Arial" w:cs="Arial"/>
        <w:b/>
        <w:sz w:val="48"/>
      </w:rPr>
      <w:t>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9C37E" w14:textId="77777777" w:rsidR="00121E3A" w:rsidRDefault="00121E3A" w:rsidP="00331903">
      <w:pPr>
        <w:spacing w:after="0"/>
      </w:pPr>
      <w:r>
        <w:separator/>
      </w:r>
    </w:p>
  </w:footnote>
  <w:footnote w:type="continuationSeparator" w:id="0">
    <w:p w14:paraId="4CEC5015" w14:textId="77777777" w:rsidR="00121E3A" w:rsidRDefault="00121E3A" w:rsidP="00331903">
      <w:pPr>
        <w:spacing w:after="0"/>
      </w:pPr>
      <w:r>
        <w:continuationSeparator/>
      </w:r>
    </w:p>
  </w:footnote>
  <w:footnote w:type="continuationNotice" w:id="1">
    <w:p w14:paraId="5F5FDDDD" w14:textId="77777777" w:rsidR="00121E3A" w:rsidRDefault="00121E3A">
      <w:pPr>
        <w:spacing w:after="0"/>
      </w:pPr>
    </w:p>
  </w:footnote>
  <w:footnote w:id="2">
    <w:p w14:paraId="0BF499AE" w14:textId="4C874580" w:rsidR="00C06055" w:rsidRPr="001D0DB0" w:rsidRDefault="00C06055">
      <w:pPr>
        <w:pStyle w:val="FootnoteText"/>
      </w:pPr>
      <w:r>
        <w:rPr>
          <w:rStyle w:val="FootnoteReference"/>
        </w:rPr>
        <w:footnoteRef/>
      </w:r>
      <w:r>
        <w:tab/>
        <w:t>Euroopa Parlamendi ja nõukogu 27. aprilli 2016. aasta määrus (EL) 2016/679 füüsiliste isikute kaitse kohta isikuandmete töötlemisel ja selliste andmete vaba liikumise ning direktiivi 95/46/EÜ kehtetuks tunnistamise kohta (isikuandmete kaitse üldmäärus) (ELT L 119, 4.5.2016, lk 1, ELI: http://data.europa.eu/eli/reg/2016/679/oj).</w:t>
      </w:r>
    </w:p>
  </w:footnote>
  <w:footnote w:id="3">
    <w:p w14:paraId="41B85804" w14:textId="29182D7E" w:rsidR="00BC2E99" w:rsidRPr="001D0DB0" w:rsidRDefault="00BC2E99">
      <w:pPr>
        <w:pStyle w:val="FootnoteText"/>
      </w:pPr>
      <w:r>
        <w:rPr>
          <w:rStyle w:val="FootnoteReference"/>
        </w:rPr>
        <w:footnoteRef/>
      </w:r>
      <w:r>
        <w:tab/>
        <w:t>Euroopa Parlamendi ja nõukogu 12. juuli 2002. aasta direktiiv 2002/58/EÜ, milles käsitletakse isikuandmete töötlemist ja eraelu puutumatuse kaitset elektroonilise side sektoris (eraelu puutumatust ja elektroonilist sidet käsitlev direktiiv) (EÜT L 201, 31.7.2002, lk 37, ELI: http://data.europa.eu/eli/dir/2002/58/oj).</w:t>
      </w:r>
    </w:p>
  </w:footnote>
  <w:footnote w:id="4">
    <w:p w14:paraId="581566F2" w14:textId="566BD8B7" w:rsidR="00FE2236" w:rsidRPr="001D0DB0" w:rsidRDefault="00FE2236">
      <w:pPr>
        <w:pStyle w:val="FootnoteText"/>
      </w:pPr>
      <w:r>
        <w:rPr>
          <w:rStyle w:val="FootnoteReference"/>
        </w:rPr>
        <w:footnoteRef/>
      </w:r>
      <w:r>
        <w:tab/>
        <w:t>Euroopa Parlamendi ja nõukogu 23. oktoobri 2018. aasta määrus (EL) 2018/1725, mis käsitleb füüsiliste isikute kaitset isikuandmete töötlemisel liidu institutsioonides, organites ja asutustes ning isikuandmete vaba liikumist, ning millega tunnistatakse kehtetuks määrus (EÜ) nr 45/2001 ja otsus nr 1247/2002/EÜ (ELT L 295, 21.11.2018, lk 39, ELI: http://data.europa.eu/eli/reg/2018/1725/oj).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F541E" w14:textId="77777777" w:rsidR="00C72892" w:rsidRPr="00C72892" w:rsidRDefault="00C72892" w:rsidP="00C72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35B1" w14:textId="77777777" w:rsidR="00C72892" w:rsidRPr="00C72892" w:rsidRDefault="00C72892" w:rsidP="00C72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E2237" w14:textId="77777777" w:rsidR="00C72892" w:rsidRPr="00C72892" w:rsidRDefault="00C72892" w:rsidP="00C728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02B1" w14:textId="77777777" w:rsidR="00C72892" w:rsidRDefault="00C728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56F1" w14:textId="77777777" w:rsidR="00C72892" w:rsidRPr="00C72892" w:rsidRDefault="00C72892" w:rsidP="00C72892">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9A6D" w14:textId="77777777" w:rsidR="00C72892" w:rsidRDefault="00C72892" w:rsidP="00C728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A6E9E" w14:textId="77777777" w:rsidR="00C72892" w:rsidRPr="00C72892" w:rsidRDefault="00C72892" w:rsidP="00C72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C926EE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F7EA1A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982C58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3E732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18"/>
  </w:num>
  <w:num w:numId="10">
    <w:abstractNumId w:val="8"/>
  </w:num>
  <w:num w:numId="11">
    <w:abstractNumId w:val="10"/>
  </w:num>
  <w:num w:numId="12">
    <w:abstractNumId w:val="11"/>
  </w:num>
  <w:num w:numId="13">
    <w:abstractNumId w:val="6"/>
  </w:num>
  <w:num w:numId="14">
    <w:abstractNumId w:val="17"/>
  </w:num>
  <w:num w:numId="15">
    <w:abstractNumId w:val="5"/>
  </w:num>
  <w:num w:numId="16">
    <w:abstractNumId w:val="12"/>
  </w:num>
  <w:num w:numId="17">
    <w:abstractNumId w:val="14"/>
  </w:num>
  <w:num w:numId="18">
    <w:abstractNumId w:val="15"/>
  </w:num>
  <w:num w:numId="19">
    <w:abstractNumId w:val="7"/>
  </w:num>
  <w:num w:numId="20">
    <w:abstractNumId w:val="13"/>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3-24 16:27:4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järgmise dokumendi juurde:"/>
    <w:docVar w:name="LW_ACCOMPAGNANT.CP" w:val="järgmise dokumendi juurde:"/>
    <w:docVar w:name="LW_ANNEX_NBR_FIRST" w:val="1"/>
    <w:docVar w:name="LW_ANNEX_NBR_LAST" w:val="3"/>
    <w:docVar w:name="LW_ANNEX_UNIQUE" w:val="0"/>
    <w:docVar w:name="LW_CORRIGENDUM" w:val="&lt;UNUSED&gt;"/>
    <w:docVar w:name="LW_COVERPAGE_EXISTS" w:val="True"/>
    <w:docVar w:name="LW_COVERPAGE_GUID" w:val="45C24D94-5D40-42AB-9C8F-FD9B97A0C803"/>
    <w:docVar w:name="LW_COVERPAGE_TYPE" w:val="1"/>
    <w:docVar w:name="LW_CreatedUtc" w:val="2025-02-12T11:07:29.0274510Z"/>
    <w:docVar w:name="LW_CROSSREFERENCE" w:val="&lt;UNUSED&gt;"/>
    <w:docVar w:name="LW_DocType" w:val="ANNEX"/>
    <w:docVar w:name="LW_EMISSION" w:val="24.2.2025"/>
    <w:docVar w:name="LW_EMISSION_ISODATE" w:val="2025-02-24"/>
    <w:docVar w:name="LW_EMISSION_LOCATION" w:val="BRX"/>
    <w:docVar w:name="LW_EMISSION_PREFIX" w:val="Brüssel,"/>
    <w:docVar w:name="LW_EMISSION_SUFFIX" w:val=" "/>
    <w:docVar w:name="LW_ID_DOCSTRUCTURE" w:val="COM/ANNEX"/>
    <w:docVar w:name="LW_ID_DOCTYPE" w:val="SG-017"/>
    <w:docVar w:name="LW_LANGUE" w:val="ET"/>
    <w:docVar w:name="LW_LEVEL_OF_SENSITIVITY" w:val="Standard treatment"/>
    <w:docVar w:name="LW_NOM.INST" w:val="EUROOPA KOMISJON"/>
    <w:docVar w:name="LW_NOM.INST_JOINTDOC" w:val="&lt;EMPTY&gt;"/>
    <w:docVar w:name="LW_OBJETACTEPRINCIPAL" w:val="&lt;FMT:Bold&gt;ELi tegevuskava kohta küberturvalisuse kriiside ohjamise teemal&lt;/FMT&gt;_x000b_"/>
    <w:docVar w:name="LW_OBJETACTEPRINCIPAL.CP" w:val="&lt;FMT:Bold&gt;ELi tegevuskava kohta küberturvalisuse kriiside ohjamise teemal&lt;/FMT&gt;_x000b_"/>
    <w:docVar w:name="LW_PART_NBR" w:val="&lt;UNUSED&gt;"/>
    <w:docVar w:name="LW_PART_NBR_TOTAL" w:val="&lt;UNUSED&gt;"/>
    <w:docVar w:name="LW_REF.INST.NEW" w:val="COM"/>
    <w:docVar w:name="LW_REF.INST.NEW_ADOPTED" w:val="final"/>
    <w:docVar w:name="LW_REF.INST.NEW_TEXT" w:val="(2025) 6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SAD"/>
    <w:docVar w:name="LW_TYPE.DOC.CP" w:val="LISAD"/>
    <w:docVar w:name="LW_TYPEACTEPRINCIPAL" w:val="Ettepanek: NÕUKOGU SOOVITUS"/>
    <w:docVar w:name="LW_TYPEACTEPRINCIPAL.CP" w:val="Ettepanek: NÕUKOGU SOOVITUS"/>
    <w:docVar w:name="LwApiVersions" w:val="LW4CoDe 1.24.5.0; LW 9.0, Build 20240221"/>
  </w:docVars>
  <w:rsids>
    <w:rsidRoot w:val="00331903"/>
    <w:rsid w:val="0000234B"/>
    <w:rsid w:val="000079E9"/>
    <w:rsid w:val="00014354"/>
    <w:rsid w:val="00017601"/>
    <w:rsid w:val="00017B4C"/>
    <w:rsid w:val="00023AF8"/>
    <w:rsid w:val="000243AC"/>
    <w:rsid w:val="000314D1"/>
    <w:rsid w:val="00034338"/>
    <w:rsid w:val="0003468E"/>
    <w:rsid w:val="00044AB0"/>
    <w:rsid w:val="00067B3B"/>
    <w:rsid w:val="00071EBB"/>
    <w:rsid w:val="0007284D"/>
    <w:rsid w:val="00076B4F"/>
    <w:rsid w:val="00090270"/>
    <w:rsid w:val="00094D4C"/>
    <w:rsid w:val="000A00CD"/>
    <w:rsid w:val="000A3E79"/>
    <w:rsid w:val="000A4A40"/>
    <w:rsid w:val="000D472D"/>
    <w:rsid w:val="000E01EB"/>
    <w:rsid w:val="000E2219"/>
    <w:rsid w:val="000F1661"/>
    <w:rsid w:val="000F2656"/>
    <w:rsid w:val="00102D18"/>
    <w:rsid w:val="00107003"/>
    <w:rsid w:val="0011336D"/>
    <w:rsid w:val="00121E3A"/>
    <w:rsid w:val="001404F3"/>
    <w:rsid w:val="00150862"/>
    <w:rsid w:val="00153930"/>
    <w:rsid w:val="00156FF2"/>
    <w:rsid w:val="0016283B"/>
    <w:rsid w:val="00165C4F"/>
    <w:rsid w:val="001A2AB9"/>
    <w:rsid w:val="001B5360"/>
    <w:rsid w:val="001C1228"/>
    <w:rsid w:val="001D0DB0"/>
    <w:rsid w:val="001E553F"/>
    <w:rsid w:val="001F2455"/>
    <w:rsid w:val="001F343E"/>
    <w:rsid w:val="00200955"/>
    <w:rsid w:val="0020125D"/>
    <w:rsid w:val="00233C7F"/>
    <w:rsid w:val="00245905"/>
    <w:rsid w:val="002668C8"/>
    <w:rsid w:val="00267B2A"/>
    <w:rsid w:val="00270B2E"/>
    <w:rsid w:val="00274D96"/>
    <w:rsid w:val="00283A97"/>
    <w:rsid w:val="00293093"/>
    <w:rsid w:val="00293A23"/>
    <w:rsid w:val="002A2210"/>
    <w:rsid w:val="002C439C"/>
    <w:rsid w:val="002D02F1"/>
    <w:rsid w:val="002D4687"/>
    <w:rsid w:val="002E0D25"/>
    <w:rsid w:val="002F1EA2"/>
    <w:rsid w:val="00311296"/>
    <w:rsid w:val="00315B8B"/>
    <w:rsid w:val="00317BCE"/>
    <w:rsid w:val="0032352D"/>
    <w:rsid w:val="00324649"/>
    <w:rsid w:val="003275D0"/>
    <w:rsid w:val="00331903"/>
    <w:rsid w:val="00346724"/>
    <w:rsid w:val="003626FC"/>
    <w:rsid w:val="00370477"/>
    <w:rsid w:val="00384905"/>
    <w:rsid w:val="003859E1"/>
    <w:rsid w:val="00387260"/>
    <w:rsid w:val="00391ACE"/>
    <w:rsid w:val="00393323"/>
    <w:rsid w:val="00395009"/>
    <w:rsid w:val="003A2BF4"/>
    <w:rsid w:val="003A59F7"/>
    <w:rsid w:val="003B20ED"/>
    <w:rsid w:val="003B781F"/>
    <w:rsid w:val="003C3DA6"/>
    <w:rsid w:val="003D5A9D"/>
    <w:rsid w:val="003E1C3A"/>
    <w:rsid w:val="0040346D"/>
    <w:rsid w:val="00405F0F"/>
    <w:rsid w:val="0041005F"/>
    <w:rsid w:val="00412A88"/>
    <w:rsid w:val="004137AD"/>
    <w:rsid w:val="00413DD8"/>
    <w:rsid w:val="00417A78"/>
    <w:rsid w:val="00424D1E"/>
    <w:rsid w:val="004311E1"/>
    <w:rsid w:val="00433156"/>
    <w:rsid w:val="00434505"/>
    <w:rsid w:val="00435C72"/>
    <w:rsid w:val="00437A7C"/>
    <w:rsid w:val="00442F0D"/>
    <w:rsid w:val="004437A8"/>
    <w:rsid w:val="00447824"/>
    <w:rsid w:val="00452FFB"/>
    <w:rsid w:val="00454FA1"/>
    <w:rsid w:val="00461489"/>
    <w:rsid w:val="00464B91"/>
    <w:rsid w:val="0047116B"/>
    <w:rsid w:val="00472D3A"/>
    <w:rsid w:val="0047643A"/>
    <w:rsid w:val="004811F3"/>
    <w:rsid w:val="00492204"/>
    <w:rsid w:val="00492EB7"/>
    <w:rsid w:val="004B108D"/>
    <w:rsid w:val="004B1995"/>
    <w:rsid w:val="004C07FA"/>
    <w:rsid w:val="004C4220"/>
    <w:rsid w:val="004E5989"/>
    <w:rsid w:val="004E7A20"/>
    <w:rsid w:val="004F770B"/>
    <w:rsid w:val="00511971"/>
    <w:rsid w:val="005143AB"/>
    <w:rsid w:val="00537749"/>
    <w:rsid w:val="00537962"/>
    <w:rsid w:val="00543BD2"/>
    <w:rsid w:val="00544DDB"/>
    <w:rsid w:val="0057062F"/>
    <w:rsid w:val="0057292F"/>
    <w:rsid w:val="00577148"/>
    <w:rsid w:val="00585A5C"/>
    <w:rsid w:val="005C75ED"/>
    <w:rsid w:val="005E2EEF"/>
    <w:rsid w:val="005F5A6A"/>
    <w:rsid w:val="006011AD"/>
    <w:rsid w:val="00605ED2"/>
    <w:rsid w:val="00614FF7"/>
    <w:rsid w:val="006150C6"/>
    <w:rsid w:val="0062176B"/>
    <w:rsid w:val="00626E37"/>
    <w:rsid w:val="006313AF"/>
    <w:rsid w:val="00632CEA"/>
    <w:rsid w:val="0064274E"/>
    <w:rsid w:val="006441BB"/>
    <w:rsid w:val="00646236"/>
    <w:rsid w:val="00653981"/>
    <w:rsid w:val="00660190"/>
    <w:rsid w:val="00661E08"/>
    <w:rsid w:val="00671D1E"/>
    <w:rsid w:val="00682508"/>
    <w:rsid w:val="006946B8"/>
    <w:rsid w:val="006A6BCB"/>
    <w:rsid w:val="006B4E5E"/>
    <w:rsid w:val="006C6A45"/>
    <w:rsid w:val="006D019C"/>
    <w:rsid w:val="006D0E9E"/>
    <w:rsid w:val="006D4FB0"/>
    <w:rsid w:val="006D63FC"/>
    <w:rsid w:val="006E3E47"/>
    <w:rsid w:val="006F4368"/>
    <w:rsid w:val="0070268F"/>
    <w:rsid w:val="00704379"/>
    <w:rsid w:val="007069EA"/>
    <w:rsid w:val="00712A00"/>
    <w:rsid w:val="007331D3"/>
    <w:rsid w:val="00753D67"/>
    <w:rsid w:val="00790108"/>
    <w:rsid w:val="00793C58"/>
    <w:rsid w:val="0079477F"/>
    <w:rsid w:val="00796208"/>
    <w:rsid w:val="00796EFB"/>
    <w:rsid w:val="007A0811"/>
    <w:rsid w:val="007A66CE"/>
    <w:rsid w:val="007B40B5"/>
    <w:rsid w:val="007B4194"/>
    <w:rsid w:val="007C204D"/>
    <w:rsid w:val="007C4D81"/>
    <w:rsid w:val="007C53B1"/>
    <w:rsid w:val="007D296F"/>
    <w:rsid w:val="007D2D1B"/>
    <w:rsid w:val="007D31D0"/>
    <w:rsid w:val="007D73D4"/>
    <w:rsid w:val="00813B1C"/>
    <w:rsid w:val="00816DA8"/>
    <w:rsid w:val="00817F16"/>
    <w:rsid w:val="00822B53"/>
    <w:rsid w:val="008372BE"/>
    <w:rsid w:val="00845E15"/>
    <w:rsid w:val="00855118"/>
    <w:rsid w:val="0087311E"/>
    <w:rsid w:val="00876B83"/>
    <w:rsid w:val="00887E12"/>
    <w:rsid w:val="008A3082"/>
    <w:rsid w:val="008B1A47"/>
    <w:rsid w:val="008D6398"/>
    <w:rsid w:val="008E751C"/>
    <w:rsid w:val="008F6857"/>
    <w:rsid w:val="00900892"/>
    <w:rsid w:val="00905D22"/>
    <w:rsid w:val="0090779D"/>
    <w:rsid w:val="009114F0"/>
    <w:rsid w:val="009237F0"/>
    <w:rsid w:val="00930232"/>
    <w:rsid w:val="00933FFF"/>
    <w:rsid w:val="00936194"/>
    <w:rsid w:val="00936A10"/>
    <w:rsid w:val="00942234"/>
    <w:rsid w:val="00952DFC"/>
    <w:rsid w:val="00976961"/>
    <w:rsid w:val="00995233"/>
    <w:rsid w:val="009B3277"/>
    <w:rsid w:val="009B3DC9"/>
    <w:rsid w:val="009E5875"/>
    <w:rsid w:val="009E69A5"/>
    <w:rsid w:val="00A053F1"/>
    <w:rsid w:val="00A06799"/>
    <w:rsid w:val="00A06BC3"/>
    <w:rsid w:val="00A1473D"/>
    <w:rsid w:val="00A15DF5"/>
    <w:rsid w:val="00A42AE9"/>
    <w:rsid w:val="00A468FE"/>
    <w:rsid w:val="00A507D0"/>
    <w:rsid w:val="00A536BE"/>
    <w:rsid w:val="00A6243B"/>
    <w:rsid w:val="00A6426B"/>
    <w:rsid w:val="00A71F6D"/>
    <w:rsid w:val="00A739CF"/>
    <w:rsid w:val="00A75C21"/>
    <w:rsid w:val="00A76451"/>
    <w:rsid w:val="00A92E2B"/>
    <w:rsid w:val="00AA5E89"/>
    <w:rsid w:val="00AA6297"/>
    <w:rsid w:val="00AD4AC1"/>
    <w:rsid w:val="00AE0506"/>
    <w:rsid w:val="00AE0AC0"/>
    <w:rsid w:val="00AF2ED0"/>
    <w:rsid w:val="00B07830"/>
    <w:rsid w:val="00B11789"/>
    <w:rsid w:val="00B213C8"/>
    <w:rsid w:val="00B23A0F"/>
    <w:rsid w:val="00B31601"/>
    <w:rsid w:val="00B343A5"/>
    <w:rsid w:val="00B364FC"/>
    <w:rsid w:val="00B57DA0"/>
    <w:rsid w:val="00B61392"/>
    <w:rsid w:val="00B651CE"/>
    <w:rsid w:val="00B727C9"/>
    <w:rsid w:val="00B86A01"/>
    <w:rsid w:val="00B953E0"/>
    <w:rsid w:val="00B95DDD"/>
    <w:rsid w:val="00BA4F3C"/>
    <w:rsid w:val="00BB30BC"/>
    <w:rsid w:val="00BB7552"/>
    <w:rsid w:val="00BC2E99"/>
    <w:rsid w:val="00BC384D"/>
    <w:rsid w:val="00BD229E"/>
    <w:rsid w:val="00BF1ED4"/>
    <w:rsid w:val="00BF4CC8"/>
    <w:rsid w:val="00BF6DBE"/>
    <w:rsid w:val="00C06055"/>
    <w:rsid w:val="00C160B5"/>
    <w:rsid w:val="00C20E39"/>
    <w:rsid w:val="00C240F2"/>
    <w:rsid w:val="00C26A3C"/>
    <w:rsid w:val="00C3288D"/>
    <w:rsid w:val="00C63049"/>
    <w:rsid w:val="00C72892"/>
    <w:rsid w:val="00C75DD5"/>
    <w:rsid w:val="00C77168"/>
    <w:rsid w:val="00C93F21"/>
    <w:rsid w:val="00C953CA"/>
    <w:rsid w:val="00C96C90"/>
    <w:rsid w:val="00CA2ADD"/>
    <w:rsid w:val="00CB11E2"/>
    <w:rsid w:val="00CB3C9D"/>
    <w:rsid w:val="00CB4D0E"/>
    <w:rsid w:val="00CB6F51"/>
    <w:rsid w:val="00CB7713"/>
    <w:rsid w:val="00CC144F"/>
    <w:rsid w:val="00CC2747"/>
    <w:rsid w:val="00CF2A46"/>
    <w:rsid w:val="00D22856"/>
    <w:rsid w:val="00D328C4"/>
    <w:rsid w:val="00D33986"/>
    <w:rsid w:val="00D44EE2"/>
    <w:rsid w:val="00D50619"/>
    <w:rsid w:val="00D61C93"/>
    <w:rsid w:val="00D6504D"/>
    <w:rsid w:val="00D76C80"/>
    <w:rsid w:val="00D92CE8"/>
    <w:rsid w:val="00D933C0"/>
    <w:rsid w:val="00DB24F9"/>
    <w:rsid w:val="00DC1841"/>
    <w:rsid w:val="00DC713E"/>
    <w:rsid w:val="00DE2A8C"/>
    <w:rsid w:val="00DE711D"/>
    <w:rsid w:val="00DE77F8"/>
    <w:rsid w:val="00DE7BE2"/>
    <w:rsid w:val="00DF191E"/>
    <w:rsid w:val="00E01790"/>
    <w:rsid w:val="00E13880"/>
    <w:rsid w:val="00E171CE"/>
    <w:rsid w:val="00E171FC"/>
    <w:rsid w:val="00E17B13"/>
    <w:rsid w:val="00E225EC"/>
    <w:rsid w:val="00E26046"/>
    <w:rsid w:val="00E3377D"/>
    <w:rsid w:val="00E5147F"/>
    <w:rsid w:val="00E53061"/>
    <w:rsid w:val="00E62971"/>
    <w:rsid w:val="00E7450A"/>
    <w:rsid w:val="00E830D8"/>
    <w:rsid w:val="00E927D6"/>
    <w:rsid w:val="00EA13D2"/>
    <w:rsid w:val="00EA3E86"/>
    <w:rsid w:val="00EC5918"/>
    <w:rsid w:val="00ED270A"/>
    <w:rsid w:val="00EE2677"/>
    <w:rsid w:val="00EF056C"/>
    <w:rsid w:val="00F071BE"/>
    <w:rsid w:val="00F1247B"/>
    <w:rsid w:val="00F26A37"/>
    <w:rsid w:val="00F26C13"/>
    <w:rsid w:val="00F403D2"/>
    <w:rsid w:val="00F420D7"/>
    <w:rsid w:val="00F437AE"/>
    <w:rsid w:val="00F43B1E"/>
    <w:rsid w:val="00F45463"/>
    <w:rsid w:val="00F47CAC"/>
    <w:rsid w:val="00F52CF9"/>
    <w:rsid w:val="00F52F75"/>
    <w:rsid w:val="00F542D3"/>
    <w:rsid w:val="00F65512"/>
    <w:rsid w:val="00F7024E"/>
    <w:rsid w:val="00F80AA0"/>
    <w:rsid w:val="00F81DF8"/>
    <w:rsid w:val="00F82260"/>
    <w:rsid w:val="00F831E6"/>
    <w:rsid w:val="00FB578D"/>
    <w:rsid w:val="00FD0792"/>
    <w:rsid w:val="00FE2236"/>
    <w:rsid w:val="021C5037"/>
    <w:rsid w:val="024FC325"/>
    <w:rsid w:val="06FF64F9"/>
    <w:rsid w:val="1606D56D"/>
    <w:rsid w:val="174D1187"/>
    <w:rsid w:val="18B7794E"/>
    <w:rsid w:val="1A93C135"/>
    <w:rsid w:val="1C00E051"/>
    <w:rsid w:val="1C2791F0"/>
    <w:rsid w:val="2049241D"/>
    <w:rsid w:val="2416CA58"/>
    <w:rsid w:val="24B72528"/>
    <w:rsid w:val="260964E3"/>
    <w:rsid w:val="2893FF55"/>
    <w:rsid w:val="290D91D0"/>
    <w:rsid w:val="29CF7E03"/>
    <w:rsid w:val="2BB9E6BB"/>
    <w:rsid w:val="2D1A8F76"/>
    <w:rsid w:val="32275631"/>
    <w:rsid w:val="335D2BCF"/>
    <w:rsid w:val="387255A0"/>
    <w:rsid w:val="3B8253C6"/>
    <w:rsid w:val="3C3F5DAE"/>
    <w:rsid w:val="3C676E04"/>
    <w:rsid w:val="3D0263FA"/>
    <w:rsid w:val="3D2CC89B"/>
    <w:rsid w:val="4141CAF0"/>
    <w:rsid w:val="4186E16A"/>
    <w:rsid w:val="43D86BF9"/>
    <w:rsid w:val="459A887A"/>
    <w:rsid w:val="46380012"/>
    <w:rsid w:val="482809CF"/>
    <w:rsid w:val="48D3AA29"/>
    <w:rsid w:val="4A588F1B"/>
    <w:rsid w:val="4E93BFF4"/>
    <w:rsid w:val="5008BA7C"/>
    <w:rsid w:val="527F83FC"/>
    <w:rsid w:val="583F51DC"/>
    <w:rsid w:val="588645EF"/>
    <w:rsid w:val="5AEA0B0B"/>
    <w:rsid w:val="6121B081"/>
    <w:rsid w:val="625F9109"/>
    <w:rsid w:val="62713ED7"/>
    <w:rsid w:val="63DE6CB2"/>
    <w:rsid w:val="66546A92"/>
    <w:rsid w:val="67296920"/>
    <w:rsid w:val="68AFF1D7"/>
    <w:rsid w:val="6D95DFDB"/>
    <w:rsid w:val="6DE76B5C"/>
    <w:rsid w:val="6E11CE86"/>
    <w:rsid w:val="6E155106"/>
    <w:rsid w:val="6E3EBD7C"/>
    <w:rsid w:val="6EDAEFB2"/>
    <w:rsid w:val="70EBCBDE"/>
    <w:rsid w:val="7682044D"/>
    <w:rsid w:val="77A27928"/>
    <w:rsid w:val="792E1F82"/>
    <w:rsid w:val="7F0B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5DC97B"/>
  <w15:docId w15:val="{2FAEFEF7-37E3-4FE2-92D5-158EC620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2A2210"/>
    <w:pPr>
      <w:numPr>
        <w:numId w:val="1"/>
      </w:numPr>
      <w:contextualSpacing/>
    </w:pPr>
  </w:style>
  <w:style w:type="paragraph" w:styleId="ListBullet2">
    <w:name w:val="List Bullet 2"/>
    <w:basedOn w:val="Normal"/>
    <w:uiPriority w:val="99"/>
    <w:semiHidden/>
    <w:unhideWhenUsed/>
    <w:rsid w:val="002A2210"/>
    <w:pPr>
      <w:numPr>
        <w:numId w:val="2"/>
      </w:numPr>
      <w:contextualSpacing/>
    </w:pPr>
  </w:style>
  <w:style w:type="paragraph" w:styleId="ListBullet3">
    <w:name w:val="List Bullet 3"/>
    <w:basedOn w:val="Normal"/>
    <w:uiPriority w:val="99"/>
    <w:semiHidden/>
    <w:unhideWhenUsed/>
    <w:rsid w:val="002A2210"/>
    <w:pPr>
      <w:numPr>
        <w:numId w:val="3"/>
      </w:numPr>
      <w:contextualSpacing/>
    </w:pPr>
  </w:style>
  <w:style w:type="paragraph" w:styleId="ListBullet4">
    <w:name w:val="List Bullet 4"/>
    <w:basedOn w:val="Normal"/>
    <w:uiPriority w:val="99"/>
    <w:semiHidden/>
    <w:unhideWhenUsed/>
    <w:rsid w:val="002A2210"/>
    <w:pPr>
      <w:numPr>
        <w:numId w:val="4"/>
      </w:numPr>
      <w:contextualSpacing/>
    </w:pPr>
  </w:style>
  <w:style w:type="character" w:styleId="Hyperlink">
    <w:name w:val="Hyperlink"/>
    <w:uiPriority w:val="99"/>
    <w:unhideWhenUsed/>
    <w:rsid w:val="002A2210"/>
    <w:rPr>
      <w:color w:val="0000FF"/>
      <w:u w:val="single"/>
    </w:rPr>
  </w:style>
  <w:style w:type="paragraph" w:styleId="CommentText">
    <w:name w:val="annotation text"/>
    <w:basedOn w:val="Normal"/>
    <w:link w:val="CommentTextChar"/>
    <w:unhideWhenUsed/>
    <w:rsid w:val="002A2210"/>
    <w:rPr>
      <w:rFonts w:eastAsia="Times New Roman"/>
      <w:sz w:val="20"/>
      <w:szCs w:val="20"/>
      <w:lang w:eastAsia="en-GB"/>
    </w:rPr>
  </w:style>
  <w:style w:type="character" w:customStyle="1" w:styleId="CommentTextChar">
    <w:name w:val="Comment Text Char"/>
    <w:basedOn w:val="DefaultParagraphFont"/>
    <w:link w:val="CommentText"/>
    <w:rsid w:val="002A2210"/>
    <w:rPr>
      <w:rFonts w:ascii="Times New Roman" w:eastAsia="Times New Roman" w:hAnsi="Times New Roman" w:cs="Times New Roman"/>
      <w:sz w:val="20"/>
      <w:szCs w:val="20"/>
      <w:lang w:val="et-EE" w:eastAsia="en-GB"/>
    </w:rPr>
  </w:style>
  <w:style w:type="table" w:styleId="TableGrid">
    <w:name w:val="Table Grid"/>
    <w:basedOn w:val="TableNormal"/>
    <w:uiPriority w:val="59"/>
    <w:rsid w:val="002A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2A2210"/>
    <w:pPr>
      <w:numPr>
        <w:numId w:val="5"/>
      </w:numPr>
    </w:pPr>
    <w:rPr>
      <w:rFonts w:eastAsia="Times New Roman"/>
      <w:lang w:eastAsia="de-D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651CE"/>
    <w:pPr>
      <w:spacing w:after="0" w:line="240" w:lineRule="auto"/>
    </w:pPr>
    <w:rPr>
      <w:rFonts w:ascii="Times New Roman" w:hAnsi="Times New Roman" w:cs="Times New Roman"/>
      <w:sz w:val="24"/>
    </w:rPr>
  </w:style>
  <w:style w:type="paragraph" w:styleId="ListParagraph">
    <w:name w:val="List Paragraph"/>
    <w:basedOn w:val="Normal"/>
    <w:uiPriority w:val="34"/>
    <w:qFormat/>
    <w:rsid w:val="006D0E9E"/>
    <w:pPr>
      <w:ind w:left="720"/>
      <w:contextualSpacing/>
    </w:pPr>
  </w:style>
  <w:style w:type="paragraph" w:styleId="CommentSubject">
    <w:name w:val="annotation subject"/>
    <w:basedOn w:val="CommentText"/>
    <w:next w:val="CommentText"/>
    <w:link w:val="CommentSubjectChar"/>
    <w:uiPriority w:val="99"/>
    <w:semiHidden/>
    <w:unhideWhenUsed/>
    <w:rsid w:val="00442F0D"/>
    <w:rPr>
      <w:rFonts w:eastAsiaTheme="minorHAnsi"/>
      <w:b/>
      <w:bCs/>
      <w:lang w:eastAsia="en-US"/>
    </w:rPr>
  </w:style>
  <w:style w:type="character" w:customStyle="1" w:styleId="CommentSubjectChar">
    <w:name w:val="Comment Subject Char"/>
    <w:basedOn w:val="CommentTextChar"/>
    <w:link w:val="CommentSubject"/>
    <w:uiPriority w:val="99"/>
    <w:semiHidden/>
    <w:rsid w:val="00442F0D"/>
    <w:rPr>
      <w:rFonts w:ascii="Times New Roman" w:eastAsia="Times New Roman" w:hAnsi="Times New Roman" w:cs="Times New Roman"/>
      <w:b/>
      <w:bCs/>
      <w:sz w:val="20"/>
      <w:szCs w:val="20"/>
      <w:lang w:val="et-EE" w:eastAsia="en-GB"/>
    </w:rPr>
  </w:style>
  <w:style w:type="character" w:customStyle="1" w:styleId="UnresolvedMention">
    <w:name w:val="Unresolved Mention"/>
    <w:basedOn w:val="DefaultParagraphFont"/>
    <w:uiPriority w:val="99"/>
    <w:semiHidden/>
    <w:unhideWhenUsed/>
    <w:rsid w:val="00442F0D"/>
    <w:rPr>
      <w:color w:val="605E5C"/>
      <w:shd w:val="clear" w:color="auto" w:fill="E1DFDD"/>
    </w:rPr>
  </w:style>
  <w:style w:type="paragraph" w:customStyle="1" w:styleId="ManualHeading21">
    <w:name w:val="Manual Heading 21"/>
    <w:basedOn w:val="ManualHeading2"/>
    <w:rsid w:val="00CA2ADD"/>
  </w:style>
  <w:style w:type="paragraph" w:customStyle="1" w:styleId="ManualHeading121">
    <w:name w:val="Manual Heading 1 21"/>
    <w:basedOn w:val="ManualHeading21"/>
    <w:rsid w:val="00CA2ADD"/>
  </w:style>
  <w:style w:type="character" w:customStyle="1" w:styleId="HeaderChar">
    <w:name w:val="Header Char"/>
    <w:basedOn w:val="DefaultParagraphFont"/>
    <w:link w:val="Header"/>
    <w:uiPriority w:val="99"/>
    <w:rsid w:val="00C72892"/>
    <w:rPr>
      <w:rFonts w:ascii="Times New Roman" w:hAnsi="Times New Roman" w:cs="Times New Roman"/>
      <w:sz w:val="24"/>
      <w:lang w:val="et-EE"/>
    </w:rPr>
  </w:style>
  <w:style w:type="character" w:customStyle="1" w:styleId="FooterChar">
    <w:name w:val="Footer Char"/>
    <w:basedOn w:val="DefaultParagraphFont"/>
    <w:link w:val="Footer"/>
    <w:uiPriority w:val="99"/>
    <w:rsid w:val="00C72892"/>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t-E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t-E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t-E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t-E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t-E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t-E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t-E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7289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72892"/>
    <w:pPr>
      <w:spacing w:before="0"/>
      <w:jc w:val="right"/>
    </w:pPr>
    <w:rPr>
      <w:sz w:val="28"/>
    </w:rPr>
  </w:style>
  <w:style w:type="paragraph" w:customStyle="1" w:styleId="FooterSensitivity">
    <w:name w:val="Footer Sensitivity"/>
    <w:basedOn w:val="Normal"/>
    <w:rsid w:val="00C7289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C72892"/>
    <w:pPr>
      <w:tabs>
        <w:tab w:val="center" w:pos="4535"/>
        <w:tab w:val="right" w:pos="9071"/>
      </w:tabs>
      <w:spacing w:before="0"/>
    </w:pPr>
  </w:style>
  <w:style w:type="paragraph" w:customStyle="1" w:styleId="HeaderLandscape">
    <w:name w:val="HeaderLandscape"/>
    <w:basedOn w:val="Normal"/>
    <w:rsid w:val="00C72892"/>
    <w:pPr>
      <w:tabs>
        <w:tab w:val="center" w:pos="7285"/>
        <w:tab w:val="right" w:pos="14003"/>
      </w:tabs>
      <w:spacing w:before="0"/>
    </w:pPr>
  </w:style>
  <w:style w:type="paragraph" w:styleId="Footer">
    <w:name w:val="footer"/>
    <w:basedOn w:val="Normal"/>
    <w:link w:val="FooterChar"/>
    <w:uiPriority w:val="99"/>
    <w:unhideWhenUsed/>
    <w:rsid w:val="00C7289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C7289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93878">
      <w:bodyDiv w:val="1"/>
      <w:marLeft w:val="0"/>
      <w:marRight w:val="0"/>
      <w:marTop w:val="0"/>
      <w:marBottom w:val="0"/>
      <w:divBdr>
        <w:top w:val="none" w:sz="0" w:space="0" w:color="auto"/>
        <w:left w:val="none" w:sz="0" w:space="0" w:color="auto"/>
        <w:bottom w:val="none" w:sz="0" w:space="0" w:color="auto"/>
        <w:right w:val="none" w:sz="0" w:space="0" w:color="auto"/>
      </w:divBdr>
    </w:div>
    <w:div w:id="1027760236">
      <w:bodyDiv w:val="1"/>
      <w:marLeft w:val="0"/>
      <w:marRight w:val="0"/>
      <w:marTop w:val="0"/>
      <w:marBottom w:val="0"/>
      <w:divBdr>
        <w:top w:val="none" w:sz="0" w:space="0" w:color="auto"/>
        <w:left w:val="none" w:sz="0" w:space="0" w:color="auto"/>
        <w:bottom w:val="none" w:sz="0" w:space="0" w:color="auto"/>
        <w:right w:val="none" w:sz="0" w:space="0" w:color="auto"/>
      </w:divBdr>
    </w:div>
    <w:div w:id="1461219356">
      <w:bodyDiv w:val="1"/>
      <w:marLeft w:val="0"/>
      <w:marRight w:val="0"/>
      <w:marTop w:val="0"/>
      <w:marBottom w:val="0"/>
      <w:divBdr>
        <w:top w:val="none" w:sz="0" w:space="0" w:color="auto"/>
        <w:left w:val="none" w:sz="0" w:space="0" w:color="auto"/>
        <w:bottom w:val="none" w:sz="0" w:space="0" w:color="auto"/>
        <w:right w:val="none" w:sz="0" w:space="0" w:color="auto"/>
      </w:divBdr>
    </w:div>
    <w:div w:id="1601797395">
      <w:bodyDiv w:val="1"/>
      <w:marLeft w:val="0"/>
      <w:marRight w:val="0"/>
      <w:marTop w:val="0"/>
      <w:marBottom w:val="0"/>
      <w:divBdr>
        <w:top w:val="none" w:sz="0" w:space="0" w:color="auto"/>
        <w:left w:val="none" w:sz="0" w:space="0" w:color="auto"/>
        <w:bottom w:val="none" w:sz="0" w:space="0" w:color="auto"/>
        <w:right w:val="none" w:sz="0" w:space="0" w:color="auto"/>
      </w:divBdr>
    </w:div>
    <w:div w:id="1617178031">
      <w:bodyDiv w:val="1"/>
      <w:marLeft w:val="0"/>
      <w:marRight w:val="0"/>
      <w:marTop w:val="0"/>
      <w:marBottom w:val="0"/>
      <w:divBdr>
        <w:top w:val="none" w:sz="0" w:space="0" w:color="auto"/>
        <w:left w:val="none" w:sz="0" w:space="0" w:color="auto"/>
        <w:bottom w:val="none" w:sz="0" w:space="0" w:color="auto"/>
        <w:right w:val="none" w:sz="0" w:space="0" w:color="auto"/>
      </w:divBdr>
    </w:div>
    <w:div w:id="203549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C51944DE6B0A4FAB35C81DB2CEE5C2" ma:contentTypeVersion="6" ma:contentTypeDescription="Create a new document." ma:contentTypeScope="" ma:versionID="c2312b4c8a89190bd33c0a2d0b0da903">
  <xsd:schema xmlns:xsd="http://www.w3.org/2001/XMLSchema" xmlns:xs="http://www.w3.org/2001/XMLSchema" xmlns:p="http://schemas.microsoft.com/office/2006/metadata/properties" xmlns:ns2="c942102f-7205-4784-9eb7-d74eefbec988" xmlns:ns3="9fb1621f-13c5-4596-ace4-bce27d2afdb3" targetNamespace="http://schemas.microsoft.com/office/2006/metadata/properties" ma:root="true" ma:fieldsID="53c01dffdc9eb91535607a631057ca77" ns2:_="" ns3:_="">
    <xsd:import namespace="c942102f-7205-4784-9eb7-d74eefbec988"/>
    <xsd:import namespace="9fb1621f-13c5-4596-ace4-bce27d2afd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2102f-7205-4784-9eb7-d74eefbec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1621f-13c5-4596-ace4-bce27d2afd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66AC-3F49-467E-A64D-615BAB515144}">
  <ds:schemaRefs>
    <ds:schemaRef ds:uri="http://schemas.microsoft.com/sharepoint/v3/contenttype/forms"/>
  </ds:schemaRefs>
</ds:datastoreItem>
</file>

<file path=customXml/itemProps2.xml><?xml version="1.0" encoding="utf-8"?>
<ds:datastoreItem xmlns:ds="http://schemas.openxmlformats.org/officeDocument/2006/customXml" ds:itemID="{F5FAA0D7-F189-429F-8020-AB3E12845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2102f-7205-4784-9eb7-d74eefbec988"/>
    <ds:schemaRef ds:uri="9fb1621f-13c5-4596-ace4-bce27d2af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9BE92-B6B7-4C1A-BB3B-D24B962925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77AC1D-711B-449C-9504-5B0F908D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22</TotalTime>
  <Pages>15</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TIMINSKAITE Ieva (CNECT)</dc:creator>
  <cp:keywords/>
  <dc:description/>
  <cp:lastModifiedBy>EC CoDe</cp:lastModifiedBy>
  <cp:revision>36</cp:revision>
  <dcterms:created xsi:type="dcterms:W3CDTF">2025-02-21T11:00:00Z</dcterms:created>
  <dcterms:modified xsi:type="dcterms:W3CDTF">2025-03-24T15:27:00Z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annex">
    <vt:lpwstr>3</vt:lpwstr>
  </property>
  <property fmtid="{D5CDD505-2E9C-101B-9397-08002B2CF9AE}" pid="3" name="MSIP_Label_6bd9ddd1-4d20-43f6-abfa-fc3c07406f94_Name">
    <vt:lpwstr>Commission Use</vt:lpwstr>
  </property>
  <property fmtid="{D5CDD505-2E9C-101B-9397-08002B2CF9AE}" pid="4" name="Version">
    <vt:lpwstr>8.0.25.0</vt:lpwstr>
  </property>
  <property fmtid="{D5CDD505-2E9C-101B-9397-08002B2CF9AE}" pid="5" name="Part">
    <vt:lpwstr>&lt;UNUSED&gt;</vt:lpwstr>
  </property>
  <property fmtid="{D5CDD505-2E9C-101B-9397-08002B2CF9AE}" pid="6" name="Last edited using">
    <vt:lpwstr>LW 9.1, Build 20240808</vt:lpwstr>
  </property>
  <property fmtid="{D5CDD505-2E9C-101B-9397-08002B2CF9AE}" pid="7" name="ContentTypeId">
    <vt:lpwstr>0x01010096C51944DE6B0A4FAB35C81DB2CEE5C2</vt:lpwstr>
  </property>
  <property fmtid="{D5CDD505-2E9C-101B-9397-08002B2CF9AE}" pid="8" name="MSIP_Label_6bd9ddd1-4d20-43f6-abfa-fc3c07406f94_ContentBits">
    <vt:lpwstr>0</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Method">
    <vt:lpwstr>Standard</vt:lpwstr>
  </property>
  <property fmtid="{D5CDD505-2E9C-101B-9397-08002B2CF9AE}" pid="11" name="MSIP_Label_6bd9ddd1-4d20-43f6-abfa-fc3c07406f94_Enabled">
    <vt:lpwstr>true</vt:lpwstr>
  </property>
  <property fmtid="{D5CDD505-2E9C-101B-9397-08002B2CF9AE}" pid="12" name="Created using">
    <vt:lpwstr>LW 9.1, Build 20240808</vt:lpwstr>
  </property>
  <property fmtid="{D5CDD505-2E9C-101B-9397-08002B2CF9AE}" pid="13" name="Total parts">
    <vt:lpwstr>&lt;UNUSED&gt;</vt:lpwstr>
  </property>
  <property fmtid="{D5CDD505-2E9C-101B-9397-08002B2CF9AE}" pid="14" name="Unique annex">
    <vt:lpwstr>0</vt:lpwstr>
  </property>
  <property fmtid="{D5CDD505-2E9C-101B-9397-08002B2CF9AE}" pid="15" name="Category">
    <vt:lpwstr>COM/ANNEX</vt:lpwstr>
  </property>
  <property fmtid="{D5CDD505-2E9C-101B-9397-08002B2CF9AE}" pid="16" name="First annex">
    <vt:lpwstr>1</vt:lpwstr>
  </property>
  <property fmtid="{D5CDD505-2E9C-101B-9397-08002B2CF9AE}" pid="17" name="MSIP_Label_6bd9ddd1-4d20-43f6-abfa-fc3c07406f94_SetDate">
    <vt:lpwstr>2025-02-12T11:12:47Z</vt:lpwstr>
  </property>
  <property fmtid="{D5CDD505-2E9C-101B-9397-08002B2CF9AE}" pid="18" name="Level of sensitivity">
    <vt:lpwstr>Standard treatment</vt:lpwstr>
  </property>
  <property fmtid="{D5CDD505-2E9C-101B-9397-08002B2CF9AE}" pid="19" name="MSIP_Label_6bd9ddd1-4d20-43f6-abfa-fc3c07406f94_ActionId">
    <vt:lpwstr>6557543a-41e1-49ee-af62-3f374dc86372</vt:lpwstr>
  </property>
  <property fmtid="{D5CDD505-2E9C-101B-9397-08002B2CF9AE}" pid="20" name="LWTemplateID">
    <vt:lpwstr>SG-017</vt:lpwstr>
  </property>
  <property fmtid="{D5CDD505-2E9C-101B-9397-08002B2CF9AE}" pid="21" name="DQCStatus">
    <vt:lpwstr>Green (DQC version 03)</vt:lpwstr>
  </property>
</Properties>
</file>